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7ACE3D" w14:textId="66FF2142" w:rsidR="0077727E" w:rsidRPr="00D2740F" w:rsidRDefault="0077727E" w:rsidP="0077727E">
      <w:pPr>
        <w:jc w:val="center"/>
        <w:rPr>
          <w:rFonts w:ascii="Arial" w:hAnsi="Arial" w:cs="Arial"/>
          <w:b/>
          <w:color w:val="000000" w:themeColor="text1"/>
          <w:sz w:val="20"/>
          <w:szCs w:val="20"/>
        </w:rPr>
      </w:pPr>
      <w:bookmarkStart w:id="0" w:name="_GoBack"/>
      <w:bookmarkEnd w:id="0"/>
      <w:r w:rsidRPr="00D2740F">
        <w:rPr>
          <w:rFonts w:ascii="Arial" w:hAnsi="Arial" w:cs="Arial"/>
          <w:b/>
          <w:color w:val="000000" w:themeColor="text1"/>
          <w:sz w:val="20"/>
          <w:szCs w:val="20"/>
        </w:rPr>
        <w:t>MATRIZ 3</w:t>
      </w:r>
      <w:r w:rsidR="00136C78" w:rsidRPr="00D2740F">
        <w:rPr>
          <w:rFonts w:ascii="Arial" w:hAnsi="Arial" w:cs="Arial"/>
          <w:b/>
          <w:color w:val="000000" w:themeColor="text1"/>
          <w:sz w:val="20"/>
          <w:szCs w:val="20"/>
        </w:rPr>
        <w:t xml:space="preserve"> - </w:t>
      </w:r>
      <w:r w:rsidRPr="00D2740F">
        <w:rPr>
          <w:rFonts w:ascii="Arial" w:hAnsi="Arial" w:cs="Arial"/>
          <w:b/>
          <w:color w:val="000000" w:themeColor="text1"/>
          <w:sz w:val="20"/>
          <w:szCs w:val="20"/>
        </w:rPr>
        <w:t>RIESGOS</w:t>
      </w:r>
    </w:p>
    <w:p w14:paraId="3146EDED" w14:textId="77777777" w:rsidR="00B81B1F" w:rsidRPr="00D2740F" w:rsidRDefault="00B81B1F" w:rsidP="007C702A">
      <w:pPr>
        <w:rPr>
          <w:rFonts w:ascii="Arial" w:hAnsi="Arial" w:cs="Arial"/>
          <w:color w:val="000000" w:themeColor="text1"/>
          <w:sz w:val="20"/>
          <w:szCs w:val="20"/>
          <w:lang w:val="es-ES_tradnl" w:eastAsia="es-CO"/>
        </w:rPr>
      </w:pPr>
    </w:p>
    <w:p w14:paraId="09226901" w14:textId="77777777" w:rsidR="0058222E" w:rsidRPr="00D2740F" w:rsidRDefault="0058222E" w:rsidP="007C702A">
      <w:pPr>
        <w:rPr>
          <w:rFonts w:ascii="Arial" w:hAnsi="Arial" w:cs="Arial"/>
          <w:color w:val="000000" w:themeColor="text1"/>
          <w:sz w:val="20"/>
          <w:szCs w:val="20"/>
          <w:lang w:val="es-ES_tradnl" w:eastAsia="es-CO"/>
        </w:rPr>
      </w:pPr>
    </w:p>
    <w:p w14:paraId="0822FEEB" w14:textId="5A00D6E2" w:rsidR="00D70D7B" w:rsidRPr="00D2740F" w:rsidRDefault="00D70D7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 xml:space="preserve">Para el presente </w:t>
      </w:r>
      <w:r w:rsidR="00C61BDB" w:rsidRPr="00D2740F">
        <w:rPr>
          <w:rFonts w:ascii="Arial" w:hAnsi="Arial" w:cs="Arial"/>
          <w:color w:val="000000" w:themeColor="text1"/>
          <w:sz w:val="20"/>
          <w:szCs w:val="20"/>
          <w:lang w:val="es-ES_tradnl" w:eastAsia="es-CO"/>
        </w:rPr>
        <w:t xml:space="preserve">procedimiento </w:t>
      </w:r>
      <w:r w:rsidRPr="00D2740F">
        <w:rPr>
          <w:rFonts w:ascii="Arial" w:hAnsi="Arial" w:cs="Arial"/>
          <w:color w:val="000000" w:themeColor="text1"/>
          <w:sz w:val="20"/>
          <w:szCs w:val="20"/>
          <w:lang w:val="es-ES_tradnl" w:eastAsia="es-CO"/>
        </w:rPr>
        <w:t xml:space="preserve">contractual, en atención </w:t>
      </w:r>
      <w:r w:rsidR="00B81B1F" w:rsidRPr="00D2740F">
        <w:rPr>
          <w:rFonts w:ascii="Arial" w:hAnsi="Arial" w:cs="Arial"/>
          <w:color w:val="000000" w:themeColor="text1"/>
          <w:sz w:val="20"/>
          <w:szCs w:val="20"/>
          <w:lang w:val="es-ES_tradnl" w:eastAsia="es-CO"/>
        </w:rPr>
        <w:t>a la</w:t>
      </w:r>
      <w:r w:rsidRPr="00D2740F">
        <w:rPr>
          <w:rFonts w:ascii="Arial" w:hAnsi="Arial" w:cs="Arial"/>
          <w:color w:val="000000" w:themeColor="text1"/>
          <w:sz w:val="20"/>
          <w:szCs w:val="20"/>
          <w:lang w:val="es-ES_tradnl" w:eastAsia="es-CO"/>
        </w:rPr>
        <w:t xml:space="preserve"> Ley 1150 de 2007 y los artículos 2.2.1.1.1.3.1 y 2.2.1.1.1.6.</w:t>
      </w:r>
      <w:r w:rsidR="00B81B1F" w:rsidRPr="00D2740F">
        <w:rPr>
          <w:rFonts w:ascii="Arial" w:hAnsi="Arial" w:cs="Arial"/>
          <w:color w:val="000000" w:themeColor="text1"/>
          <w:sz w:val="20"/>
          <w:szCs w:val="20"/>
          <w:lang w:val="es-ES_tradnl" w:eastAsia="es-CO"/>
        </w:rPr>
        <w:t>3. del</w:t>
      </w:r>
      <w:r w:rsidRPr="00D2740F">
        <w:rPr>
          <w:rFonts w:ascii="Arial" w:hAnsi="Arial" w:cs="Arial"/>
          <w:color w:val="000000" w:themeColor="text1"/>
          <w:sz w:val="20"/>
          <w:szCs w:val="20"/>
          <w:lang w:val="es-ES_tradnl" w:eastAsia="es-CO"/>
        </w:rPr>
        <w:t xml:space="preserve"> Decreto </w:t>
      </w:r>
      <w:r w:rsidR="00B81B1F" w:rsidRPr="00D2740F">
        <w:rPr>
          <w:rFonts w:ascii="Arial" w:hAnsi="Arial" w:cs="Arial"/>
          <w:color w:val="000000" w:themeColor="text1"/>
          <w:sz w:val="20"/>
          <w:szCs w:val="20"/>
          <w:lang w:val="es-ES_tradnl" w:eastAsia="es-CO"/>
        </w:rPr>
        <w:t>1082 de</w:t>
      </w:r>
      <w:r w:rsidR="006E6D9B" w:rsidRPr="00D2740F">
        <w:rPr>
          <w:rFonts w:ascii="Arial" w:hAnsi="Arial" w:cs="Arial"/>
          <w:color w:val="000000" w:themeColor="text1"/>
          <w:sz w:val="20"/>
          <w:szCs w:val="20"/>
          <w:lang w:val="es-ES_tradnl" w:eastAsia="es-CO"/>
        </w:rPr>
        <w:t xml:space="preserve"> 2015, entiéndase por </w:t>
      </w:r>
      <w:r w:rsidR="00624AC2">
        <w:rPr>
          <w:rFonts w:ascii="Arial" w:hAnsi="Arial" w:cs="Arial"/>
          <w:color w:val="000000" w:themeColor="text1"/>
          <w:sz w:val="20"/>
          <w:szCs w:val="20"/>
          <w:lang w:val="es-ES_tradnl" w:eastAsia="es-CO"/>
        </w:rPr>
        <w:t>r</w:t>
      </w:r>
      <w:r w:rsidRPr="00D2740F">
        <w:rPr>
          <w:rFonts w:ascii="Arial" w:hAnsi="Arial" w:cs="Arial"/>
          <w:color w:val="000000" w:themeColor="text1"/>
          <w:sz w:val="20"/>
          <w:szCs w:val="20"/>
          <w:lang w:val="es-ES_tradnl" w:eastAsia="es-CO"/>
        </w:rPr>
        <w:t>iesgo</w:t>
      </w:r>
      <w:r w:rsidR="006E6D9B" w:rsidRPr="00D2740F">
        <w:rPr>
          <w:rFonts w:ascii="Arial" w:hAnsi="Arial" w:cs="Arial"/>
          <w:color w:val="000000" w:themeColor="text1"/>
          <w:sz w:val="20"/>
          <w:szCs w:val="20"/>
          <w:lang w:val="es-ES_tradnl" w:eastAsia="es-CO"/>
        </w:rPr>
        <w:t xml:space="preserve"> </w:t>
      </w:r>
      <w:r w:rsidRPr="00D2740F">
        <w:rPr>
          <w:rFonts w:ascii="Arial" w:hAnsi="Arial" w:cs="Arial"/>
          <w:color w:val="000000" w:themeColor="text1"/>
          <w:sz w:val="20"/>
          <w:szCs w:val="20"/>
          <w:lang w:val="es-ES_tradnl" w:eastAsia="es-CO"/>
        </w:rPr>
        <w:t xml:space="preserve">la probabilidad de ocurrencia de eventos aleatorios que afecten el desarrollo del mismo, generando una variación sobre el resultado esperado, tanto en relación con los costos </w:t>
      </w:r>
      <w:r w:rsidR="00B81B1F" w:rsidRPr="00D2740F">
        <w:rPr>
          <w:rFonts w:ascii="Arial" w:hAnsi="Arial" w:cs="Arial"/>
          <w:color w:val="000000" w:themeColor="text1"/>
          <w:sz w:val="20"/>
          <w:szCs w:val="20"/>
          <w:lang w:val="es-ES_tradnl" w:eastAsia="es-CO"/>
        </w:rPr>
        <w:t>como con</w:t>
      </w:r>
      <w:r w:rsidRPr="00D2740F">
        <w:rPr>
          <w:rFonts w:ascii="Arial" w:hAnsi="Arial" w:cs="Arial"/>
          <w:color w:val="000000" w:themeColor="text1"/>
          <w:sz w:val="20"/>
          <w:szCs w:val="20"/>
          <w:lang w:val="es-ES_tradnl" w:eastAsia="es-CO"/>
        </w:rPr>
        <w:t xml:space="preserve"> las actividades a desarrollar en la ejecución contractual.</w:t>
      </w:r>
    </w:p>
    <w:p w14:paraId="419A2FA6" w14:textId="77777777" w:rsidR="00B81B1F" w:rsidRPr="00D2740F" w:rsidRDefault="00B81B1F" w:rsidP="007C702A">
      <w:pPr>
        <w:rPr>
          <w:rFonts w:ascii="Arial" w:hAnsi="Arial" w:cs="Arial"/>
          <w:color w:val="000000" w:themeColor="text1"/>
          <w:sz w:val="20"/>
          <w:szCs w:val="20"/>
          <w:lang w:val="es-ES_tradnl" w:eastAsia="es-CO"/>
        </w:rPr>
      </w:pPr>
    </w:p>
    <w:p w14:paraId="5322C892" w14:textId="6D4072CB" w:rsidR="00D70D7B" w:rsidRPr="00D2740F" w:rsidRDefault="00D70D7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Corresponderá al contratista seleccionado la asunción de</w:t>
      </w:r>
      <w:r w:rsidR="006E6D9B" w:rsidRPr="00D2740F">
        <w:rPr>
          <w:rFonts w:ascii="Arial" w:hAnsi="Arial" w:cs="Arial"/>
          <w:color w:val="000000" w:themeColor="text1"/>
          <w:sz w:val="20"/>
          <w:szCs w:val="20"/>
          <w:lang w:val="es-ES_tradnl" w:eastAsia="es-CO"/>
        </w:rPr>
        <w:t>l R</w:t>
      </w:r>
      <w:r w:rsidRPr="00D2740F">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w:t>
      </w:r>
      <w:r w:rsidR="00624AC2">
        <w:rPr>
          <w:rFonts w:ascii="Arial" w:hAnsi="Arial" w:cs="Arial"/>
          <w:color w:val="000000" w:themeColor="text1"/>
          <w:sz w:val="20"/>
          <w:szCs w:val="20"/>
          <w:lang w:val="es-ES_tradnl" w:eastAsia="es-CO"/>
        </w:rPr>
        <w:t>e</w:t>
      </w:r>
      <w:r w:rsidRPr="00D2740F">
        <w:rPr>
          <w:rFonts w:ascii="Arial" w:hAnsi="Arial" w:cs="Arial"/>
          <w:color w:val="000000" w:themeColor="text1"/>
          <w:sz w:val="20"/>
          <w:szCs w:val="20"/>
          <w:lang w:val="es-ES_tradnl" w:eastAsia="es-CO"/>
        </w:rPr>
        <w:t xml:space="preserve">ntidad en el contrato. </w:t>
      </w:r>
    </w:p>
    <w:p w14:paraId="78757E00" w14:textId="77777777" w:rsidR="00B81B1F" w:rsidRPr="00D2740F" w:rsidRDefault="00B81B1F" w:rsidP="007C702A">
      <w:pPr>
        <w:rPr>
          <w:rFonts w:ascii="Arial" w:hAnsi="Arial" w:cs="Arial"/>
          <w:color w:val="000000" w:themeColor="text1"/>
          <w:sz w:val="20"/>
          <w:szCs w:val="20"/>
          <w:lang w:val="es-ES_tradnl" w:eastAsia="es-CO"/>
        </w:rPr>
      </w:pPr>
    </w:p>
    <w:p w14:paraId="2E7008F5" w14:textId="14484365" w:rsidR="00545461" w:rsidRPr="00D2740F" w:rsidRDefault="006E6D9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 xml:space="preserve">De acuerdo con </w:t>
      </w:r>
      <w:r w:rsidR="00C61BDB" w:rsidRPr="00D2740F">
        <w:rPr>
          <w:rFonts w:ascii="Arial" w:hAnsi="Arial" w:cs="Arial"/>
          <w:color w:val="000000" w:themeColor="text1"/>
          <w:sz w:val="20"/>
          <w:szCs w:val="20"/>
          <w:lang w:val="es-ES_tradnl" w:eastAsia="es-CO"/>
        </w:rPr>
        <w:t xml:space="preserve">procedimiento </w:t>
      </w:r>
      <w:r w:rsidR="00545461" w:rsidRPr="00D2740F">
        <w:rPr>
          <w:rFonts w:ascii="Arial" w:hAnsi="Arial" w:cs="Arial"/>
          <w:color w:val="000000" w:themeColor="text1"/>
          <w:sz w:val="20"/>
          <w:szCs w:val="20"/>
          <w:lang w:val="es-ES_tradnl" w:eastAsia="es-CO"/>
        </w:rPr>
        <w:t xml:space="preserve">de la referencia, nos permitimos establecer la tipificación, estimación y asignación de los riesgos previsibles que puedan afectar el presente </w:t>
      </w:r>
      <w:r w:rsidR="00C61BDB" w:rsidRPr="00D2740F">
        <w:rPr>
          <w:rFonts w:ascii="Arial" w:hAnsi="Arial" w:cs="Arial"/>
          <w:color w:val="000000" w:themeColor="text1"/>
          <w:sz w:val="20"/>
          <w:szCs w:val="20"/>
          <w:lang w:val="es-ES_tradnl" w:eastAsia="es-CO"/>
        </w:rPr>
        <w:t>procedimiento</w:t>
      </w:r>
      <w:r w:rsidR="00545461" w:rsidRPr="00D2740F">
        <w:rPr>
          <w:rFonts w:ascii="Arial" w:hAnsi="Arial" w:cs="Arial"/>
          <w:color w:val="000000" w:themeColor="text1"/>
          <w:sz w:val="20"/>
          <w:szCs w:val="20"/>
          <w:lang w:val="es-ES_tradnl" w:eastAsia="es-CO"/>
        </w:rPr>
        <w:t>.</w:t>
      </w:r>
    </w:p>
    <w:p w14:paraId="50AA65CC" w14:textId="77777777" w:rsidR="005E5030" w:rsidRPr="009961A2" w:rsidRDefault="005E5030" w:rsidP="00D70D7B">
      <w:pPr>
        <w:spacing w:after="100" w:afterAutospacing="1"/>
        <w:rPr>
          <w:rFonts w:ascii="Arial" w:eastAsia="SimSun" w:hAnsi="Arial" w:cs="Arial"/>
          <w:b/>
          <w:color w:val="000000" w:themeColor="text1"/>
          <w:kern w:val="3"/>
          <w:sz w:val="20"/>
          <w:szCs w:val="20"/>
          <w:u w:val="single"/>
          <w:lang w:val="es-ES_tradnl" w:eastAsia="zh-CN" w:bidi="hi-IN"/>
        </w:rPr>
      </w:pPr>
    </w:p>
    <w:p w14:paraId="74770F23" w14:textId="433C47A5" w:rsidR="00815604" w:rsidRPr="005C2E52" w:rsidRDefault="00815604" w:rsidP="005C2E52">
      <w:pPr>
        <w:spacing w:after="100" w:afterAutospacing="1"/>
        <w:rPr>
          <w:rFonts w:ascii="Arial" w:eastAsia="SimSun" w:hAnsi="Arial" w:cs="Arial"/>
          <w:color w:val="000000" w:themeColor="text1"/>
          <w:kern w:val="3"/>
          <w:sz w:val="20"/>
          <w:szCs w:val="20"/>
          <w:lang w:eastAsia="zh-CN" w:bidi="hi-IN"/>
        </w:rPr>
      </w:pPr>
      <w:r w:rsidRPr="00D2740F">
        <w:rPr>
          <w:rFonts w:ascii="Arial" w:eastAsia="SimSun" w:hAnsi="Arial" w:cs="Arial"/>
          <w:b/>
          <w:color w:val="000000" w:themeColor="text1"/>
          <w:kern w:val="3"/>
          <w:sz w:val="20"/>
          <w:szCs w:val="20"/>
          <w:u w:val="single"/>
          <w:lang w:eastAsia="zh-CN" w:bidi="hi-IN"/>
        </w:rPr>
        <w:t>Matriz de Riesgos</w:t>
      </w:r>
    </w:p>
    <w:tbl>
      <w:tblPr>
        <w:tblpPr w:leftFromText="141" w:rightFromText="141" w:vertAnchor="page" w:horzAnchor="margin" w:tblpY="200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2"/>
        <w:gridCol w:w="278"/>
        <w:gridCol w:w="278"/>
        <w:gridCol w:w="278"/>
        <w:gridCol w:w="278"/>
        <w:gridCol w:w="746"/>
        <w:gridCol w:w="746"/>
        <w:gridCol w:w="261"/>
        <w:gridCol w:w="261"/>
        <w:gridCol w:w="261"/>
        <w:gridCol w:w="278"/>
        <w:gridCol w:w="719"/>
        <w:gridCol w:w="778"/>
        <w:gridCol w:w="278"/>
        <w:gridCol w:w="278"/>
        <w:gridCol w:w="277"/>
        <w:gridCol w:w="282"/>
        <w:gridCol w:w="261"/>
        <w:gridCol w:w="678"/>
        <w:gridCol w:w="723"/>
        <w:gridCol w:w="746"/>
        <w:gridCol w:w="567"/>
        <w:gridCol w:w="278"/>
      </w:tblGrid>
      <w:tr w:rsidR="005C2E52" w:rsidRPr="00205749" w14:paraId="6F271DDD" w14:textId="77777777" w:rsidTr="005C2E52">
        <w:trPr>
          <w:gridAfter w:val="1"/>
          <w:wAfter w:w="143" w:type="pct"/>
          <w:trHeight w:val="467"/>
        </w:trPr>
        <w:tc>
          <w:tcPr>
            <w:tcW w:w="134" w:type="pct"/>
            <w:vMerge w:val="restart"/>
            <w:shd w:val="clear" w:color="auto" w:fill="262626" w:themeFill="text1" w:themeFillTint="D9"/>
            <w:textDirection w:val="btLr"/>
            <w:vAlign w:val="center"/>
            <w:hideMark/>
          </w:tcPr>
          <w:p w14:paraId="2974109F"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r w:rsidRPr="005C2E52">
              <w:rPr>
                <w:rFonts w:ascii="Arial" w:eastAsia="SimSun" w:hAnsi="Arial" w:cs="Arial"/>
                <w:b/>
                <w:bCs/>
                <w:noProof/>
                <w:color w:val="FFFFFF" w:themeColor="background1"/>
                <w:kern w:val="3"/>
                <w:sz w:val="12"/>
                <w:szCs w:val="16"/>
                <w:lang w:eastAsia="es-CO"/>
              </w:rPr>
              <w:lastRenderedPageBreak/>
              <w:drawing>
                <wp:anchor distT="0" distB="0" distL="114300" distR="114300" simplePos="0" relativeHeight="251659264" behindDoc="1" locked="0" layoutInCell="1" allowOverlap="1" wp14:anchorId="27A737B7" wp14:editId="551130E9">
                  <wp:simplePos x="0" y="0"/>
                  <wp:positionH relativeFrom="column">
                    <wp:posOffset>-745490</wp:posOffset>
                  </wp:positionH>
                  <wp:positionV relativeFrom="paragraph">
                    <wp:posOffset>11986895</wp:posOffset>
                  </wp:positionV>
                  <wp:extent cx="7781925" cy="1530407"/>
                  <wp:effectExtent l="0" t="0" r="0" b="0"/>
                  <wp:wrapNone/>
                  <wp:docPr id="14" name="Imagen 14" descr="Macintosh HD:Users:BryanSantiagoGrisalesChica:Documents:Marca Ciudad Manizales:Diseños:Membretes Municipales:Barra-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BryanSantiagoGrisalesChica:Documents:Marca Ciudad Manizales:Diseños:Membretes Municipales:Barra-Inferior.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81925" cy="1530407"/>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14:sizeRelH relativeFrom="page">
                    <wp14:pctWidth>0</wp14:pctWidth>
                  </wp14:sizeRelH>
                  <wp14:sizeRelV relativeFrom="page">
                    <wp14:pctHeight>0</wp14:pctHeight>
                  </wp14:sizeRelV>
                </wp:anchor>
              </w:drawing>
            </w:r>
            <w:r w:rsidRPr="005C2E52">
              <w:rPr>
                <w:rFonts w:ascii="Arial" w:eastAsia="SimSun" w:hAnsi="Arial" w:cs="Arial"/>
                <w:b/>
                <w:bCs/>
                <w:color w:val="FFFFFF" w:themeColor="background1"/>
                <w:kern w:val="3"/>
                <w:sz w:val="12"/>
                <w:szCs w:val="16"/>
                <w:lang w:eastAsia="zh-CN" w:bidi="hi-IN"/>
              </w:rPr>
              <w:t>NO.</w:t>
            </w:r>
          </w:p>
        </w:tc>
        <w:tc>
          <w:tcPr>
            <w:tcW w:w="143" w:type="pct"/>
            <w:vMerge w:val="restart"/>
            <w:shd w:val="clear" w:color="auto" w:fill="262626" w:themeFill="text1" w:themeFillTint="D9"/>
            <w:textDirection w:val="btLr"/>
            <w:vAlign w:val="center"/>
            <w:hideMark/>
          </w:tcPr>
          <w:p w14:paraId="64AE7BEA"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r w:rsidRPr="005C2E52">
              <w:rPr>
                <w:rFonts w:ascii="Arial" w:eastAsia="SimSun" w:hAnsi="Arial" w:cs="Arial"/>
                <w:b/>
                <w:bCs/>
                <w:color w:val="FFFFFF" w:themeColor="background1"/>
                <w:kern w:val="3"/>
                <w:sz w:val="12"/>
                <w:szCs w:val="16"/>
                <w:lang w:eastAsia="zh-CN" w:bidi="hi-IN"/>
              </w:rPr>
              <w:t>CLASE</w:t>
            </w:r>
          </w:p>
        </w:tc>
        <w:tc>
          <w:tcPr>
            <w:tcW w:w="143" w:type="pct"/>
            <w:vMerge w:val="restart"/>
            <w:shd w:val="clear" w:color="auto" w:fill="262626" w:themeFill="text1" w:themeFillTint="D9"/>
            <w:textDirection w:val="btLr"/>
            <w:vAlign w:val="center"/>
            <w:hideMark/>
          </w:tcPr>
          <w:p w14:paraId="14D4A188"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r w:rsidRPr="005C2E52">
              <w:rPr>
                <w:rFonts w:ascii="Arial" w:eastAsia="SimSun" w:hAnsi="Arial" w:cs="Arial"/>
                <w:b/>
                <w:bCs/>
                <w:color w:val="FFFFFF" w:themeColor="background1"/>
                <w:kern w:val="3"/>
                <w:sz w:val="12"/>
                <w:szCs w:val="16"/>
                <w:lang w:eastAsia="zh-CN" w:bidi="hi-IN"/>
              </w:rPr>
              <w:t>FUENTE</w:t>
            </w:r>
          </w:p>
        </w:tc>
        <w:tc>
          <w:tcPr>
            <w:tcW w:w="143" w:type="pct"/>
            <w:vMerge w:val="restart"/>
            <w:shd w:val="clear" w:color="auto" w:fill="262626" w:themeFill="text1" w:themeFillTint="D9"/>
            <w:textDirection w:val="btLr"/>
            <w:vAlign w:val="center"/>
            <w:hideMark/>
          </w:tcPr>
          <w:p w14:paraId="3C458E36"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r w:rsidRPr="005C2E52">
              <w:rPr>
                <w:rFonts w:ascii="Arial" w:eastAsia="SimSun" w:hAnsi="Arial" w:cs="Arial"/>
                <w:b/>
                <w:bCs/>
                <w:color w:val="FFFFFF" w:themeColor="background1"/>
                <w:kern w:val="3"/>
                <w:sz w:val="12"/>
                <w:szCs w:val="16"/>
                <w:lang w:eastAsia="zh-CN" w:bidi="hi-IN"/>
              </w:rPr>
              <w:t>ETAPA</w:t>
            </w:r>
          </w:p>
        </w:tc>
        <w:tc>
          <w:tcPr>
            <w:tcW w:w="143" w:type="pct"/>
            <w:vMerge w:val="restart"/>
            <w:shd w:val="clear" w:color="auto" w:fill="262626" w:themeFill="text1" w:themeFillTint="D9"/>
            <w:textDirection w:val="btLr"/>
            <w:vAlign w:val="center"/>
            <w:hideMark/>
          </w:tcPr>
          <w:p w14:paraId="536D831C"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r w:rsidRPr="005C2E52">
              <w:rPr>
                <w:rFonts w:ascii="Arial" w:eastAsia="SimSun" w:hAnsi="Arial" w:cs="Arial"/>
                <w:b/>
                <w:bCs/>
                <w:color w:val="FFFFFF" w:themeColor="background1"/>
                <w:kern w:val="3"/>
                <w:sz w:val="12"/>
                <w:szCs w:val="16"/>
                <w:lang w:eastAsia="zh-CN" w:bidi="hi-IN"/>
              </w:rPr>
              <w:t>TIPO</w:t>
            </w:r>
          </w:p>
        </w:tc>
        <w:tc>
          <w:tcPr>
            <w:tcW w:w="379" w:type="pct"/>
            <w:vMerge w:val="restart"/>
            <w:shd w:val="clear" w:color="auto" w:fill="262626" w:themeFill="text1" w:themeFillTint="D9"/>
            <w:textDirection w:val="btLr"/>
            <w:vAlign w:val="center"/>
            <w:hideMark/>
          </w:tcPr>
          <w:p w14:paraId="2B4BACAE"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r w:rsidRPr="005C2E52">
              <w:rPr>
                <w:rFonts w:ascii="Arial" w:eastAsia="SimSun" w:hAnsi="Arial" w:cs="Arial"/>
                <w:b/>
                <w:bCs/>
                <w:color w:val="FFFFFF" w:themeColor="background1"/>
                <w:kern w:val="3"/>
                <w:sz w:val="12"/>
                <w:szCs w:val="16"/>
                <w:lang w:eastAsia="zh-CN" w:bidi="hi-IN"/>
              </w:rPr>
              <w:t>DESCRIPCIÓN</w:t>
            </w:r>
          </w:p>
          <w:p w14:paraId="112C4B15"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r w:rsidRPr="005C2E52">
              <w:rPr>
                <w:rFonts w:ascii="Arial" w:eastAsia="SimSun" w:hAnsi="Arial" w:cs="Arial"/>
                <w:b/>
                <w:bCs/>
                <w:color w:val="FFFFFF" w:themeColor="background1"/>
                <w:kern w:val="3"/>
                <w:sz w:val="12"/>
                <w:szCs w:val="16"/>
                <w:lang w:eastAsia="zh-CN" w:bidi="hi-IN"/>
              </w:rPr>
              <w:t>(Qué puede pasar y cómo puede ocurrir?)s</w:t>
            </w:r>
          </w:p>
        </w:tc>
        <w:tc>
          <w:tcPr>
            <w:tcW w:w="379" w:type="pct"/>
            <w:vMerge w:val="restart"/>
            <w:shd w:val="clear" w:color="auto" w:fill="262626" w:themeFill="text1" w:themeFillTint="D9"/>
            <w:textDirection w:val="btLr"/>
            <w:vAlign w:val="center"/>
            <w:hideMark/>
          </w:tcPr>
          <w:p w14:paraId="6B491D1F"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r w:rsidRPr="005C2E52">
              <w:rPr>
                <w:rFonts w:ascii="Arial" w:eastAsia="SimSun" w:hAnsi="Arial" w:cs="Arial"/>
                <w:b/>
                <w:bCs/>
                <w:color w:val="FFFFFF" w:themeColor="background1"/>
                <w:kern w:val="3"/>
                <w:sz w:val="12"/>
                <w:szCs w:val="16"/>
                <w:lang w:eastAsia="zh-CN" w:bidi="hi-IN"/>
              </w:rPr>
              <w:t>CONSECUENCIA DE LA OCURRENCIA DEL EVENTO</w:t>
            </w:r>
          </w:p>
        </w:tc>
        <w:tc>
          <w:tcPr>
            <w:tcW w:w="134" w:type="pct"/>
            <w:vMerge w:val="restart"/>
            <w:shd w:val="clear" w:color="auto" w:fill="262626" w:themeFill="text1" w:themeFillTint="D9"/>
            <w:textDirection w:val="btLr"/>
            <w:vAlign w:val="center"/>
            <w:hideMark/>
          </w:tcPr>
          <w:p w14:paraId="6EEF2CD0"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r w:rsidRPr="005C2E52">
              <w:rPr>
                <w:rFonts w:ascii="Arial" w:eastAsia="SimSun" w:hAnsi="Arial" w:cs="Arial"/>
                <w:b/>
                <w:bCs/>
                <w:color w:val="FFFFFF" w:themeColor="background1"/>
                <w:kern w:val="3"/>
                <w:sz w:val="12"/>
                <w:szCs w:val="16"/>
                <w:lang w:eastAsia="zh-CN" w:bidi="hi-IN"/>
              </w:rPr>
              <w:t>PROBABILIDAD</w:t>
            </w:r>
          </w:p>
        </w:tc>
        <w:tc>
          <w:tcPr>
            <w:tcW w:w="134" w:type="pct"/>
            <w:vMerge w:val="restart"/>
            <w:shd w:val="clear" w:color="auto" w:fill="262626" w:themeFill="text1" w:themeFillTint="D9"/>
            <w:textDirection w:val="btLr"/>
            <w:vAlign w:val="center"/>
            <w:hideMark/>
          </w:tcPr>
          <w:p w14:paraId="68971FD2"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r w:rsidRPr="005C2E52">
              <w:rPr>
                <w:rFonts w:ascii="Arial" w:eastAsia="SimSun" w:hAnsi="Arial" w:cs="Arial"/>
                <w:b/>
                <w:bCs/>
                <w:color w:val="FFFFFF" w:themeColor="background1"/>
                <w:kern w:val="3"/>
                <w:sz w:val="12"/>
                <w:szCs w:val="16"/>
                <w:lang w:eastAsia="zh-CN" w:bidi="hi-IN"/>
              </w:rPr>
              <w:t>IMPACTO</w:t>
            </w:r>
          </w:p>
        </w:tc>
        <w:tc>
          <w:tcPr>
            <w:tcW w:w="134" w:type="pct"/>
            <w:vMerge w:val="restart"/>
            <w:shd w:val="clear" w:color="auto" w:fill="262626" w:themeFill="text1" w:themeFillTint="D9"/>
            <w:textDirection w:val="btLr"/>
            <w:vAlign w:val="center"/>
            <w:hideMark/>
          </w:tcPr>
          <w:p w14:paraId="08ACA9AA"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r w:rsidRPr="005C2E52">
              <w:rPr>
                <w:rFonts w:ascii="Arial" w:eastAsia="SimSun" w:hAnsi="Arial" w:cs="Arial"/>
                <w:b/>
                <w:bCs/>
                <w:color w:val="FFFFFF" w:themeColor="background1"/>
                <w:kern w:val="3"/>
                <w:sz w:val="12"/>
                <w:szCs w:val="16"/>
                <w:lang w:eastAsia="zh-CN" w:bidi="hi-IN"/>
              </w:rPr>
              <w:t>VALORACIÓN DEL RIESGO</w:t>
            </w:r>
          </w:p>
        </w:tc>
        <w:tc>
          <w:tcPr>
            <w:tcW w:w="143" w:type="pct"/>
            <w:vMerge w:val="restart"/>
            <w:shd w:val="clear" w:color="auto" w:fill="262626" w:themeFill="text1" w:themeFillTint="D9"/>
            <w:textDirection w:val="btLr"/>
            <w:vAlign w:val="center"/>
            <w:hideMark/>
          </w:tcPr>
          <w:p w14:paraId="62F58139"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r w:rsidRPr="005C2E52">
              <w:rPr>
                <w:rFonts w:ascii="Arial" w:eastAsia="SimSun" w:hAnsi="Arial" w:cs="Arial"/>
                <w:b/>
                <w:bCs/>
                <w:color w:val="FFFFFF" w:themeColor="background1"/>
                <w:kern w:val="3"/>
                <w:sz w:val="12"/>
                <w:szCs w:val="16"/>
                <w:lang w:eastAsia="zh-CN" w:bidi="hi-IN"/>
              </w:rPr>
              <w:t>CATEGORÍA</w:t>
            </w:r>
          </w:p>
        </w:tc>
        <w:tc>
          <w:tcPr>
            <w:tcW w:w="365" w:type="pct"/>
            <w:vMerge w:val="restart"/>
            <w:shd w:val="clear" w:color="auto" w:fill="A6A6A6" w:themeFill="background1" w:themeFillShade="A6"/>
            <w:textDirection w:val="btLr"/>
            <w:vAlign w:val="center"/>
            <w:hideMark/>
          </w:tcPr>
          <w:p w14:paraId="7F6B56D2"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r w:rsidRPr="005C2E52">
              <w:rPr>
                <w:rFonts w:ascii="Arial" w:eastAsia="SimSun" w:hAnsi="Arial" w:cs="Arial"/>
                <w:b/>
                <w:bCs/>
                <w:color w:val="FFFFFF" w:themeColor="background1"/>
                <w:kern w:val="3"/>
                <w:sz w:val="12"/>
                <w:szCs w:val="16"/>
                <w:lang w:eastAsia="zh-CN" w:bidi="hi-IN"/>
              </w:rPr>
              <w:t>¿A QUIEN SE LE ASIGNA?</w:t>
            </w:r>
          </w:p>
        </w:tc>
        <w:tc>
          <w:tcPr>
            <w:tcW w:w="395" w:type="pct"/>
            <w:vMerge w:val="restart"/>
            <w:shd w:val="clear" w:color="auto" w:fill="A6A6A6" w:themeFill="background1" w:themeFillShade="A6"/>
            <w:textDirection w:val="btLr"/>
            <w:vAlign w:val="center"/>
            <w:hideMark/>
          </w:tcPr>
          <w:p w14:paraId="53EEC4CD"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r w:rsidRPr="005C2E52">
              <w:rPr>
                <w:rFonts w:ascii="Arial" w:eastAsia="SimSun" w:hAnsi="Arial" w:cs="Arial"/>
                <w:b/>
                <w:bCs/>
                <w:color w:val="FFFFFF" w:themeColor="background1"/>
                <w:kern w:val="3"/>
                <w:sz w:val="12"/>
                <w:szCs w:val="16"/>
                <w:lang w:eastAsia="zh-CN" w:bidi="hi-IN"/>
              </w:rPr>
              <w:t>TRATAMIENTO / CONTROLES A SER IMPLEMENTADOS</w:t>
            </w:r>
          </w:p>
        </w:tc>
        <w:tc>
          <w:tcPr>
            <w:tcW w:w="567" w:type="pct"/>
            <w:gridSpan w:val="4"/>
            <w:shd w:val="clear" w:color="auto" w:fill="A6A6A6" w:themeFill="background1" w:themeFillShade="A6"/>
            <w:vAlign w:val="center"/>
            <w:hideMark/>
          </w:tcPr>
          <w:p w14:paraId="0A00D8E6"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r w:rsidRPr="005C2E52">
              <w:rPr>
                <w:rFonts w:ascii="Arial" w:eastAsia="SimSun" w:hAnsi="Arial" w:cs="Arial"/>
                <w:b/>
                <w:bCs/>
                <w:color w:val="FFFFFF" w:themeColor="background1"/>
                <w:kern w:val="3"/>
                <w:sz w:val="12"/>
                <w:szCs w:val="16"/>
                <w:lang w:eastAsia="zh-CN" w:bidi="hi-IN"/>
              </w:rPr>
              <w:t>IMPACTO DESPUÉS DEL TRATAMIENTO</w:t>
            </w:r>
          </w:p>
        </w:tc>
        <w:tc>
          <w:tcPr>
            <w:tcW w:w="134" w:type="pct"/>
            <w:vMerge w:val="restart"/>
            <w:shd w:val="clear" w:color="auto" w:fill="A6A6A6" w:themeFill="background1" w:themeFillShade="A6"/>
            <w:textDirection w:val="btLr"/>
            <w:vAlign w:val="center"/>
            <w:hideMark/>
          </w:tcPr>
          <w:p w14:paraId="5D8D9CA9"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r w:rsidRPr="005C2E52">
              <w:rPr>
                <w:rFonts w:ascii="Arial" w:eastAsia="SimSun" w:hAnsi="Arial" w:cs="Arial"/>
                <w:b/>
                <w:bCs/>
                <w:color w:val="FFFFFF" w:themeColor="background1"/>
                <w:kern w:val="3"/>
                <w:sz w:val="12"/>
                <w:szCs w:val="16"/>
                <w:lang w:eastAsia="zh-CN" w:bidi="hi-IN"/>
              </w:rPr>
              <w:t>¿AFECTA LA EJECUCIÓN DEL CONTRATO?</w:t>
            </w:r>
          </w:p>
        </w:tc>
        <w:tc>
          <w:tcPr>
            <w:tcW w:w="351" w:type="pct"/>
            <w:vMerge w:val="restart"/>
            <w:shd w:val="clear" w:color="auto" w:fill="A6A6A6" w:themeFill="background1" w:themeFillShade="A6"/>
            <w:textDirection w:val="btLr"/>
            <w:vAlign w:val="center"/>
            <w:hideMark/>
          </w:tcPr>
          <w:p w14:paraId="1CBFE693"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r w:rsidRPr="005C2E52">
              <w:rPr>
                <w:rFonts w:ascii="Arial" w:eastAsia="SimSun" w:hAnsi="Arial" w:cs="Arial"/>
                <w:b/>
                <w:bCs/>
                <w:color w:val="FFFFFF" w:themeColor="background1"/>
                <w:kern w:val="3"/>
                <w:sz w:val="12"/>
                <w:szCs w:val="16"/>
                <w:lang w:eastAsia="zh-CN" w:bidi="hi-IN"/>
              </w:rPr>
              <w:t>PERSONA RESPONSABLE POR IMPLEMENTAR EL TRATAMIENTO</w:t>
            </w:r>
          </w:p>
        </w:tc>
        <w:tc>
          <w:tcPr>
            <w:tcW w:w="367" w:type="pct"/>
            <w:vMerge w:val="restart"/>
            <w:shd w:val="clear" w:color="auto" w:fill="A6A6A6" w:themeFill="background1" w:themeFillShade="A6"/>
            <w:textDirection w:val="btLr"/>
            <w:vAlign w:val="center"/>
            <w:hideMark/>
          </w:tcPr>
          <w:p w14:paraId="08FD4D74"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r w:rsidRPr="005C2E52">
              <w:rPr>
                <w:rFonts w:ascii="Arial" w:eastAsia="SimSun" w:hAnsi="Arial" w:cs="Arial"/>
                <w:b/>
                <w:bCs/>
                <w:color w:val="FFFFFF" w:themeColor="background1"/>
                <w:kern w:val="3"/>
                <w:sz w:val="12"/>
                <w:szCs w:val="16"/>
                <w:lang w:eastAsia="zh-CN" w:bidi="hi-IN"/>
              </w:rPr>
              <w:t>FECHA ESTIMADA EN QUE SE COMPLETA EL TRATAMIENTO</w:t>
            </w:r>
          </w:p>
        </w:tc>
        <w:tc>
          <w:tcPr>
            <w:tcW w:w="667" w:type="pct"/>
            <w:gridSpan w:val="2"/>
            <w:shd w:val="clear" w:color="auto" w:fill="A6A6A6" w:themeFill="background1" w:themeFillShade="A6"/>
            <w:vAlign w:val="center"/>
            <w:hideMark/>
          </w:tcPr>
          <w:p w14:paraId="78910985"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r w:rsidRPr="005C2E52">
              <w:rPr>
                <w:rFonts w:ascii="Arial" w:eastAsia="SimSun" w:hAnsi="Arial" w:cs="Arial"/>
                <w:b/>
                <w:bCs/>
                <w:color w:val="FFFFFF" w:themeColor="background1"/>
                <w:kern w:val="3"/>
                <w:sz w:val="12"/>
                <w:szCs w:val="16"/>
                <w:lang w:eastAsia="zh-CN" w:bidi="hi-IN"/>
              </w:rPr>
              <w:t>MONITOREO Y REVISIÓN</w:t>
            </w:r>
          </w:p>
        </w:tc>
      </w:tr>
      <w:tr w:rsidR="005C2E52" w:rsidRPr="00205749" w14:paraId="1789FB91" w14:textId="77777777" w:rsidTr="005C2E52">
        <w:trPr>
          <w:gridAfter w:val="1"/>
          <w:wAfter w:w="143" w:type="pct"/>
          <w:trHeight w:val="1685"/>
        </w:trPr>
        <w:tc>
          <w:tcPr>
            <w:tcW w:w="134" w:type="pct"/>
            <w:vMerge/>
            <w:shd w:val="clear" w:color="auto" w:fill="262626" w:themeFill="text1" w:themeFillTint="D9"/>
            <w:vAlign w:val="center"/>
            <w:hideMark/>
          </w:tcPr>
          <w:p w14:paraId="4AB18C83"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p>
        </w:tc>
        <w:tc>
          <w:tcPr>
            <w:tcW w:w="143" w:type="pct"/>
            <w:vMerge/>
            <w:shd w:val="clear" w:color="auto" w:fill="262626" w:themeFill="text1" w:themeFillTint="D9"/>
            <w:vAlign w:val="center"/>
            <w:hideMark/>
          </w:tcPr>
          <w:p w14:paraId="186866B8"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p>
        </w:tc>
        <w:tc>
          <w:tcPr>
            <w:tcW w:w="143" w:type="pct"/>
            <w:vMerge/>
            <w:shd w:val="clear" w:color="auto" w:fill="262626" w:themeFill="text1" w:themeFillTint="D9"/>
            <w:vAlign w:val="center"/>
            <w:hideMark/>
          </w:tcPr>
          <w:p w14:paraId="78394E3F"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p>
        </w:tc>
        <w:tc>
          <w:tcPr>
            <w:tcW w:w="143" w:type="pct"/>
            <w:vMerge/>
            <w:shd w:val="clear" w:color="auto" w:fill="262626" w:themeFill="text1" w:themeFillTint="D9"/>
            <w:vAlign w:val="center"/>
            <w:hideMark/>
          </w:tcPr>
          <w:p w14:paraId="497BC9F0"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p>
        </w:tc>
        <w:tc>
          <w:tcPr>
            <w:tcW w:w="143" w:type="pct"/>
            <w:vMerge/>
            <w:shd w:val="clear" w:color="auto" w:fill="262626" w:themeFill="text1" w:themeFillTint="D9"/>
            <w:vAlign w:val="center"/>
            <w:hideMark/>
          </w:tcPr>
          <w:p w14:paraId="2CFECA30"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p>
        </w:tc>
        <w:tc>
          <w:tcPr>
            <w:tcW w:w="379" w:type="pct"/>
            <w:vMerge/>
            <w:shd w:val="clear" w:color="auto" w:fill="262626" w:themeFill="text1" w:themeFillTint="D9"/>
            <w:vAlign w:val="center"/>
            <w:hideMark/>
          </w:tcPr>
          <w:p w14:paraId="459F70A6"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p>
        </w:tc>
        <w:tc>
          <w:tcPr>
            <w:tcW w:w="379" w:type="pct"/>
            <w:vMerge/>
            <w:shd w:val="clear" w:color="auto" w:fill="262626" w:themeFill="text1" w:themeFillTint="D9"/>
            <w:vAlign w:val="center"/>
            <w:hideMark/>
          </w:tcPr>
          <w:p w14:paraId="10B168A6"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p>
        </w:tc>
        <w:tc>
          <w:tcPr>
            <w:tcW w:w="134" w:type="pct"/>
            <w:vMerge/>
            <w:shd w:val="clear" w:color="auto" w:fill="262626" w:themeFill="text1" w:themeFillTint="D9"/>
            <w:vAlign w:val="center"/>
            <w:hideMark/>
          </w:tcPr>
          <w:p w14:paraId="010861B4"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p>
        </w:tc>
        <w:tc>
          <w:tcPr>
            <w:tcW w:w="134" w:type="pct"/>
            <w:vMerge/>
            <w:shd w:val="clear" w:color="auto" w:fill="262626" w:themeFill="text1" w:themeFillTint="D9"/>
            <w:vAlign w:val="center"/>
            <w:hideMark/>
          </w:tcPr>
          <w:p w14:paraId="3998EF1D"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p>
        </w:tc>
        <w:tc>
          <w:tcPr>
            <w:tcW w:w="134" w:type="pct"/>
            <w:vMerge/>
            <w:shd w:val="clear" w:color="auto" w:fill="262626" w:themeFill="text1" w:themeFillTint="D9"/>
            <w:vAlign w:val="center"/>
            <w:hideMark/>
          </w:tcPr>
          <w:p w14:paraId="3B19F245"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p>
        </w:tc>
        <w:tc>
          <w:tcPr>
            <w:tcW w:w="143" w:type="pct"/>
            <w:vMerge/>
            <w:shd w:val="clear" w:color="auto" w:fill="262626" w:themeFill="text1" w:themeFillTint="D9"/>
            <w:vAlign w:val="center"/>
            <w:hideMark/>
          </w:tcPr>
          <w:p w14:paraId="6D7011FD"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p>
        </w:tc>
        <w:tc>
          <w:tcPr>
            <w:tcW w:w="365" w:type="pct"/>
            <w:vMerge/>
            <w:shd w:val="clear" w:color="auto" w:fill="A6A6A6" w:themeFill="background1" w:themeFillShade="A6"/>
            <w:vAlign w:val="center"/>
            <w:hideMark/>
          </w:tcPr>
          <w:p w14:paraId="7F6EF757"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p>
        </w:tc>
        <w:tc>
          <w:tcPr>
            <w:tcW w:w="395" w:type="pct"/>
            <w:vMerge/>
            <w:shd w:val="clear" w:color="auto" w:fill="A6A6A6" w:themeFill="background1" w:themeFillShade="A6"/>
            <w:vAlign w:val="center"/>
            <w:hideMark/>
          </w:tcPr>
          <w:p w14:paraId="5F13BC1D"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p>
        </w:tc>
        <w:tc>
          <w:tcPr>
            <w:tcW w:w="141" w:type="pct"/>
            <w:shd w:val="clear" w:color="auto" w:fill="A6A6A6" w:themeFill="background1" w:themeFillShade="A6"/>
            <w:textDirection w:val="btLr"/>
            <w:vAlign w:val="center"/>
            <w:hideMark/>
          </w:tcPr>
          <w:p w14:paraId="132499F3"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r w:rsidRPr="005C2E52">
              <w:rPr>
                <w:rFonts w:ascii="Arial" w:eastAsia="SimSun" w:hAnsi="Arial" w:cs="Arial"/>
                <w:b/>
                <w:bCs/>
                <w:color w:val="FFFFFF" w:themeColor="background1"/>
                <w:kern w:val="3"/>
                <w:sz w:val="12"/>
                <w:szCs w:val="16"/>
                <w:lang w:eastAsia="zh-CN" w:bidi="hi-IN"/>
              </w:rPr>
              <w:t>PROBABILIDAD</w:t>
            </w:r>
          </w:p>
        </w:tc>
        <w:tc>
          <w:tcPr>
            <w:tcW w:w="141" w:type="pct"/>
            <w:shd w:val="clear" w:color="auto" w:fill="A6A6A6" w:themeFill="background1" w:themeFillShade="A6"/>
            <w:textDirection w:val="btLr"/>
            <w:vAlign w:val="center"/>
            <w:hideMark/>
          </w:tcPr>
          <w:p w14:paraId="7E32CAF4"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r w:rsidRPr="005C2E52">
              <w:rPr>
                <w:rFonts w:ascii="Arial" w:eastAsia="SimSun" w:hAnsi="Arial" w:cs="Arial"/>
                <w:b/>
                <w:bCs/>
                <w:color w:val="FFFFFF" w:themeColor="background1"/>
                <w:kern w:val="3"/>
                <w:sz w:val="12"/>
                <w:szCs w:val="16"/>
                <w:lang w:eastAsia="zh-CN" w:bidi="hi-IN"/>
              </w:rPr>
              <w:t>IMPACTO</w:t>
            </w:r>
          </w:p>
        </w:tc>
        <w:tc>
          <w:tcPr>
            <w:tcW w:w="141" w:type="pct"/>
            <w:shd w:val="clear" w:color="auto" w:fill="A6A6A6" w:themeFill="background1" w:themeFillShade="A6"/>
            <w:textDirection w:val="btLr"/>
            <w:vAlign w:val="center"/>
            <w:hideMark/>
          </w:tcPr>
          <w:p w14:paraId="7DA0DE02"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r w:rsidRPr="005C2E52">
              <w:rPr>
                <w:rFonts w:ascii="Arial" w:eastAsia="SimSun" w:hAnsi="Arial" w:cs="Arial"/>
                <w:b/>
                <w:bCs/>
                <w:color w:val="FFFFFF" w:themeColor="background1"/>
                <w:kern w:val="3"/>
                <w:sz w:val="12"/>
                <w:szCs w:val="16"/>
                <w:lang w:eastAsia="zh-CN" w:bidi="hi-IN"/>
              </w:rPr>
              <w:t>VALORACIÓN DEL RIESGO</w:t>
            </w:r>
          </w:p>
        </w:tc>
        <w:tc>
          <w:tcPr>
            <w:tcW w:w="143" w:type="pct"/>
            <w:shd w:val="clear" w:color="auto" w:fill="A6A6A6" w:themeFill="background1" w:themeFillShade="A6"/>
            <w:textDirection w:val="btLr"/>
            <w:vAlign w:val="center"/>
            <w:hideMark/>
          </w:tcPr>
          <w:p w14:paraId="1F71FE2C"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r w:rsidRPr="005C2E52">
              <w:rPr>
                <w:rFonts w:ascii="Arial" w:eastAsia="SimSun" w:hAnsi="Arial" w:cs="Arial"/>
                <w:b/>
                <w:bCs/>
                <w:color w:val="FFFFFF" w:themeColor="background1"/>
                <w:kern w:val="3"/>
                <w:sz w:val="12"/>
                <w:szCs w:val="16"/>
                <w:lang w:eastAsia="zh-CN" w:bidi="hi-IN"/>
              </w:rPr>
              <w:t>CATEGORÍA</w:t>
            </w:r>
          </w:p>
        </w:tc>
        <w:tc>
          <w:tcPr>
            <w:tcW w:w="134" w:type="pct"/>
            <w:vMerge/>
            <w:shd w:val="clear" w:color="auto" w:fill="A6A6A6" w:themeFill="background1" w:themeFillShade="A6"/>
            <w:vAlign w:val="center"/>
            <w:hideMark/>
          </w:tcPr>
          <w:p w14:paraId="733092CE"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p>
        </w:tc>
        <w:tc>
          <w:tcPr>
            <w:tcW w:w="351" w:type="pct"/>
            <w:vMerge/>
            <w:shd w:val="clear" w:color="auto" w:fill="A6A6A6" w:themeFill="background1" w:themeFillShade="A6"/>
            <w:vAlign w:val="center"/>
            <w:hideMark/>
          </w:tcPr>
          <w:p w14:paraId="297CEB36"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p>
        </w:tc>
        <w:tc>
          <w:tcPr>
            <w:tcW w:w="367" w:type="pct"/>
            <w:vMerge/>
            <w:shd w:val="clear" w:color="auto" w:fill="A6A6A6" w:themeFill="background1" w:themeFillShade="A6"/>
            <w:vAlign w:val="center"/>
            <w:hideMark/>
          </w:tcPr>
          <w:p w14:paraId="3858528E"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p>
        </w:tc>
        <w:tc>
          <w:tcPr>
            <w:tcW w:w="379" w:type="pct"/>
            <w:shd w:val="clear" w:color="auto" w:fill="A6A6A6" w:themeFill="background1" w:themeFillShade="A6"/>
            <w:textDirection w:val="btLr"/>
            <w:vAlign w:val="center"/>
            <w:hideMark/>
          </w:tcPr>
          <w:p w14:paraId="2F63E68E"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r w:rsidRPr="005C2E52">
              <w:rPr>
                <w:rFonts w:ascii="Arial" w:eastAsia="SimSun" w:hAnsi="Arial" w:cs="Arial"/>
                <w:b/>
                <w:bCs/>
                <w:color w:val="FFFFFF" w:themeColor="background1"/>
                <w:kern w:val="3"/>
                <w:sz w:val="12"/>
                <w:szCs w:val="16"/>
                <w:lang w:eastAsia="zh-CN" w:bidi="hi-IN"/>
              </w:rPr>
              <w:t>¿CÓMO SE REALIZA EL MONITOREO?</w:t>
            </w:r>
          </w:p>
        </w:tc>
        <w:tc>
          <w:tcPr>
            <w:tcW w:w="288" w:type="pct"/>
            <w:shd w:val="clear" w:color="auto" w:fill="A6A6A6" w:themeFill="background1" w:themeFillShade="A6"/>
            <w:textDirection w:val="btLr"/>
            <w:vAlign w:val="center"/>
            <w:hideMark/>
          </w:tcPr>
          <w:p w14:paraId="2690AEAD" w14:textId="77777777" w:rsidR="005C2E52" w:rsidRPr="005C2E52" w:rsidRDefault="005C2E52" w:rsidP="005C2E52">
            <w:pPr>
              <w:spacing w:after="100" w:afterAutospacing="1" w:line="240" w:lineRule="auto"/>
              <w:ind w:left="113" w:right="113"/>
              <w:jc w:val="center"/>
              <w:rPr>
                <w:rFonts w:ascii="Arial" w:eastAsia="SimSun" w:hAnsi="Arial" w:cs="Arial"/>
                <w:b/>
                <w:bCs/>
                <w:color w:val="FFFFFF" w:themeColor="background1"/>
                <w:kern w:val="3"/>
                <w:sz w:val="12"/>
                <w:szCs w:val="16"/>
                <w:lang w:eastAsia="zh-CN" w:bidi="hi-IN"/>
              </w:rPr>
            </w:pPr>
            <w:r w:rsidRPr="005C2E52">
              <w:rPr>
                <w:rFonts w:ascii="Arial" w:eastAsia="SimSun" w:hAnsi="Arial" w:cs="Arial"/>
                <w:b/>
                <w:bCs/>
                <w:color w:val="FFFFFF" w:themeColor="background1"/>
                <w:kern w:val="3"/>
                <w:sz w:val="12"/>
                <w:szCs w:val="16"/>
                <w:lang w:eastAsia="zh-CN" w:bidi="hi-IN"/>
              </w:rPr>
              <w:t>PERIODICIDAD ¿CUÁNDO?</w:t>
            </w:r>
          </w:p>
        </w:tc>
      </w:tr>
      <w:tr w:rsidR="005C2E52" w:rsidRPr="00205749" w14:paraId="7B28E2B4" w14:textId="77777777" w:rsidTr="005C2E52">
        <w:trPr>
          <w:gridAfter w:val="1"/>
          <w:wAfter w:w="143" w:type="pct"/>
          <w:trHeight w:val="1968"/>
        </w:trPr>
        <w:tc>
          <w:tcPr>
            <w:tcW w:w="134" w:type="pct"/>
            <w:shd w:val="clear" w:color="auto" w:fill="auto"/>
            <w:noWrap/>
            <w:vAlign w:val="center"/>
            <w:hideMark/>
          </w:tcPr>
          <w:p w14:paraId="23849F8D"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3" w:type="pct"/>
            <w:shd w:val="clear" w:color="auto" w:fill="auto"/>
            <w:noWrap/>
            <w:textDirection w:val="btLr"/>
            <w:vAlign w:val="center"/>
            <w:hideMark/>
          </w:tcPr>
          <w:p w14:paraId="31E9AEB4"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General</w:t>
            </w:r>
          </w:p>
        </w:tc>
        <w:tc>
          <w:tcPr>
            <w:tcW w:w="143" w:type="pct"/>
            <w:shd w:val="clear" w:color="auto" w:fill="auto"/>
            <w:noWrap/>
            <w:textDirection w:val="btLr"/>
            <w:vAlign w:val="center"/>
            <w:hideMark/>
          </w:tcPr>
          <w:p w14:paraId="6CDFF7FE"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43" w:type="pct"/>
            <w:shd w:val="clear" w:color="auto" w:fill="auto"/>
            <w:noWrap/>
            <w:textDirection w:val="btLr"/>
            <w:vAlign w:val="center"/>
            <w:hideMark/>
          </w:tcPr>
          <w:p w14:paraId="6739CBD9"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3" w:type="pct"/>
            <w:shd w:val="clear" w:color="auto" w:fill="auto"/>
            <w:noWrap/>
            <w:textDirection w:val="btLr"/>
            <w:vAlign w:val="center"/>
            <w:hideMark/>
          </w:tcPr>
          <w:p w14:paraId="2F4E3859"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Regulatorio</w:t>
            </w:r>
          </w:p>
        </w:tc>
        <w:tc>
          <w:tcPr>
            <w:tcW w:w="379" w:type="pct"/>
            <w:shd w:val="clear" w:color="auto" w:fill="auto"/>
            <w:vAlign w:val="center"/>
            <w:hideMark/>
          </w:tcPr>
          <w:p w14:paraId="66D4731D"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Riesgo por cambios en el régimen de contratación</w:t>
            </w:r>
          </w:p>
        </w:tc>
        <w:tc>
          <w:tcPr>
            <w:tcW w:w="379" w:type="pct"/>
            <w:shd w:val="clear" w:color="auto" w:fill="auto"/>
            <w:vAlign w:val="center"/>
            <w:hideMark/>
          </w:tcPr>
          <w:p w14:paraId="7F5115FE"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Afectación de las condiciones pactadas en el contrato</w:t>
            </w:r>
          </w:p>
        </w:tc>
        <w:tc>
          <w:tcPr>
            <w:tcW w:w="134" w:type="pct"/>
            <w:shd w:val="clear" w:color="auto" w:fill="auto"/>
            <w:noWrap/>
            <w:vAlign w:val="center"/>
            <w:hideMark/>
          </w:tcPr>
          <w:p w14:paraId="64C5B824"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34" w:type="pct"/>
            <w:shd w:val="clear" w:color="auto" w:fill="auto"/>
            <w:noWrap/>
            <w:vAlign w:val="center"/>
            <w:hideMark/>
          </w:tcPr>
          <w:p w14:paraId="10363B7C"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34" w:type="pct"/>
            <w:shd w:val="clear" w:color="auto" w:fill="auto"/>
            <w:noWrap/>
            <w:vAlign w:val="center"/>
            <w:hideMark/>
          </w:tcPr>
          <w:p w14:paraId="0B94C7EF"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3</w:t>
            </w:r>
          </w:p>
        </w:tc>
        <w:tc>
          <w:tcPr>
            <w:tcW w:w="143" w:type="pct"/>
            <w:shd w:val="clear" w:color="auto" w:fill="auto"/>
            <w:noWrap/>
            <w:textDirection w:val="btLr"/>
            <w:vAlign w:val="center"/>
            <w:hideMark/>
          </w:tcPr>
          <w:p w14:paraId="65C6E507"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365" w:type="pct"/>
            <w:shd w:val="clear" w:color="auto" w:fill="auto"/>
            <w:vAlign w:val="center"/>
            <w:hideMark/>
          </w:tcPr>
          <w:p w14:paraId="1A4D2925"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Este riesgo y sus consecuencias serán asumidos en su totalidad por el contratista</w:t>
            </w:r>
          </w:p>
        </w:tc>
        <w:tc>
          <w:tcPr>
            <w:tcW w:w="395" w:type="pct"/>
            <w:shd w:val="clear" w:color="auto" w:fill="auto"/>
            <w:vAlign w:val="center"/>
            <w:hideMark/>
          </w:tcPr>
          <w:p w14:paraId="1D301DA0"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Toda norma de obligatorio cumplimiento para el municipio de Manizales que modifique las condiciones pactadas en el contrato, sobre todo en cuanto a las cláusulas que contienen obligaciones al contratista, serán introducidas al contrato, sin que medie negociación alguna con el contratista, toda vez que el municipio de Manizales no tiene la facultad de negociar apartes normativos de obligatorio cumplimiento.</w:t>
            </w:r>
          </w:p>
        </w:tc>
        <w:tc>
          <w:tcPr>
            <w:tcW w:w="141" w:type="pct"/>
            <w:shd w:val="clear" w:color="auto" w:fill="auto"/>
            <w:noWrap/>
            <w:vAlign w:val="center"/>
            <w:hideMark/>
          </w:tcPr>
          <w:p w14:paraId="59ED4AE8"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7F5F8091"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0DD43629"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3" w:type="pct"/>
            <w:shd w:val="clear" w:color="auto" w:fill="auto"/>
            <w:noWrap/>
            <w:textDirection w:val="btLr"/>
            <w:vAlign w:val="center"/>
            <w:hideMark/>
          </w:tcPr>
          <w:p w14:paraId="212E838F"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34" w:type="pct"/>
            <w:shd w:val="clear" w:color="auto" w:fill="auto"/>
            <w:vAlign w:val="center"/>
            <w:hideMark/>
          </w:tcPr>
          <w:p w14:paraId="1079D56D"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51" w:type="pct"/>
            <w:shd w:val="clear" w:color="auto" w:fill="auto"/>
            <w:textDirection w:val="btLr"/>
            <w:vAlign w:val="center"/>
            <w:hideMark/>
          </w:tcPr>
          <w:p w14:paraId="2CFD6D39"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 xml:space="preserve">Secretaría </w:t>
            </w:r>
            <w:r>
              <w:rPr>
                <w:rFonts w:ascii="Arial Narrow" w:hAnsi="Arial Narrow"/>
                <w:sz w:val="12"/>
                <w:szCs w:val="12"/>
                <w:lang w:eastAsia="es-CO"/>
              </w:rPr>
              <w:t>Infraestructura</w:t>
            </w:r>
            <w:r w:rsidRPr="00205749">
              <w:rPr>
                <w:rFonts w:ascii="Arial Narrow" w:hAnsi="Arial Narrow"/>
                <w:sz w:val="12"/>
                <w:szCs w:val="12"/>
                <w:lang w:eastAsia="es-CO"/>
              </w:rPr>
              <w:t>/  Supervi</w:t>
            </w:r>
            <w:r w:rsidRPr="00205749">
              <w:rPr>
                <w:rFonts w:ascii="Arial Narrow" w:hAnsi="Arial Narrow"/>
                <w:b/>
                <w:sz w:val="12"/>
                <w:szCs w:val="12"/>
                <w:lang w:eastAsia="es-CO"/>
              </w:rPr>
              <w:t xml:space="preserve">sión   </w:t>
            </w:r>
            <w:r w:rsidRPr="00205749">
              <w:rPr>
                <w:rFonts w:ascii="Arial Narrow" w:hAnsi="Arial Narrow"/>
                <w:sz w:val="12"/>
                <w:szCs w:val="12"/>
                <w:lang w:eastAsia="es-CO"/>
              </w:rPr>
              <w:t>o interventoría</w:t>
            </w:r>
          </w:p>
        </w:tc>
        <w:tc>
          <w:tcPr>
            <w:tcW w:w="367" w:type="pct"/>
            <w:shd w:val="clear" w:color="auto" w:fill="auto"/>
            <w:vAlign w:val="center"/>
            <w:hideMark/>
          </w:tcPr>
          <w:p w14:paraId="1153E725"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Hasta el momento de perfeccionar el cambio normativo en el contrato</w:t>
            </w:r>
          </w:p>
        </w:tc>
        <w:tc>
          <w:tcPr>
            <w:tcW w:w="379" w:type="pct"/>
            <w:shd w:val="clear" w:color="auto" w:fill="auto"/>
            <w:vAlign w:val="center"/>
            <w:hideMark/>
          </w:tcPr>
          <w:p w14:paraId="5AD73C33"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Revisión periódica de las normas de contratación</w:t>
            </w:r>
          </w:p>
        </w:tc>
        <w:tc>
          <w:tcPr>
            <w:tcW w:w="288" w:type="pct"/>
            <w:shd w:val="clear" w:color="auto" w:fill="auto"/>
            <w:textDirection w:val="btLr"/>
            <w:vAlign w:val="center"/>
            <w:hideMark/>
          </w:tcPr>
          <w:p w14:paraId="0E2D4E7E"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Mensual</w:t>
            </w:r>
          </w:p>
        </w:tc>
      </w:tr>
      <w:tr w:rsidR="005C2E52" w:rsidRPr="00205749" w14:paraId="36A2479F" w14:textId="77777777" w:rsidTr="005C2E52">
        <w:trPr>
          <w:gridAfter w:val="1"/>
          <w:wAfter w:w="143" w:type="pct"/>
          <w:trHeight w:val="1418"/>
        </w:trPr>
        <w:tc>
          <w:tcPr>
            <w:tcW w:w="134" w:type="pct"/>
            <w:shd w:val="clear" w:color="auto" w:fill="auto"/>
            <w:noWrap/>
            <w:vAlign w:val="center"/>
            <w:hideMark/>
          </w:tcPr>
          <w:p w14:paraId="6A8E16AA"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3" w:type="pct"/>
            <w:shd w:val="clear" w:color="auto" w:fill="auto"/>
            <w:noWrap/>
            <w:textDirection w:val="btLr"/>
            <w:vAlign w:val="center"/>
            <w:hideMark/>
          </w:tcPr>
          <w:p w14:paraId="68085A96"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General</w:t>
            </w:r>
          </w:p>
        </w:tc>
        <w:tc>
          <w:tcPr>
            <w:tcW w:w="143" w:type="pct"/>
            <w:shd w:val="clear" w:color="auto" w:fill="auto"/>
            <w:noWrap/>
            <w:textDirection w:val="btLr"/>
            <w:vAlign w:val="center"/>
            <w:hideMark/>
          </w:tcPr>
          <w:p w14:paraId="23881CBD"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43" w:type="pct"/>
            <w:shd w:val="clear" w:color="auto" w:fill="auto"/>
            <w:noWrap/>
            <w:textDirection w:val="btLr"/>
            <w:vAlign w:val="center"/>
            <w:hideMark/>
          </w:tcPr>
          <w:p w14:paraId="37C335E2"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3" w:type="pct"/>
            <w:shd w:val="clear" w:color="auto" w:fill="auto"/>
            <w:noWrap/>
            <w:textDirection w:val="btLr"/>
            <w:vAlign w:val="center"/>
            <w:hideMark/>
          </w:tcPr>
          <w:p w14:paraId="56F6F3EB"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Regulatorio</w:t>
            </w:r>
          </w:p>
        </w:tc>
        <w:tc>
          <w:tcPr>
            <w:tcW w:w="379" w:type="pct"/>
            <w:shd w:val="clear" w:color="auto" w:fill="auto"/>
            <w:vAlign w:val="center"/>
            <w:hideMark/>
          </w:tcPr>
          <w:p w14:paraId="5AF86FE3"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Riesgo por cambios en el régimen laboral colombiano</w:t>
            </w:r>
          </w:p>
        </w:tc>
        <w:tc>
          <w:tcPr>
            <w:tcW w:w="379" w:type="pct"/>
            <w:shd w:val="clear" w:color="auto" w:fill="auto"/>
            <w:vAlign w:val="center"/>
            <w:hideMark/>
          </w:tcPr>
          <w:p w14:paraId="07E9386D"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Afectación de las condiciones pactadas en el contrato</w:t>
            </w:r>
          </w:p>
        </w:tc>
        <w:tc>
          <w:tcPr>
            <w:tcW w:w="134" w:type="pct"/>
            <w:shd w:val="clear" w:color="auto" w:fill="auto"/>
            <w:noWrap/>
            <w:vAlign w:val="center"/>
            <w:hideMark/>
          </w:tcPr>
          <w:p w14:paraId="192662B9"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34" w:type="pct"/>
            <w:shd w:val="clear" w:color="auto" w:fill="auto"/>
            <w:noWrap/>
            <w:vAlign w:val="center"/>
            <w:hideMark/>
          </w:tcPr>
          <w:p w14:paraId="70A624BA"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34" w:type="pct"/>
            <w:shd w:val="clear" w:color="auto" w:fill="auto"/>
            <w:noWrap/>
            <w:vAlign w:val="center"/>
            <w:hideMark/>
          </w:tcPr>
          <w:p w14:paraId="30DBE563"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3</w:t>
            </w:r>
          </w:p>
        </w:tc>
        <w:tc>
          <w:tcPr>
            <w:tcW w:w="143" w:type="pct"/>
            <w:shd w:val="clear" w:color="auto" w:fill="auto"/>
            <w:noWrap/>
            <w:textDirection w:val="btLr"/>
            <w:vAlign w:val="center"/>
            <w:hideMark/>
          </w:tcPr>
          <w:p w14:paraId="7EFBDD81"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365" w:type="pct"/>
            <w:shd w:val="clear" w:color="auto" w:fill="auto"/>
            <w:vAlign w:val="center"/>
            <w:hideMark/>
          </w:tcPr>
          <w:p w14:paraId="1F6D9633"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Este riesgo y sus consecuencias serán asumidos en su totalidad por el contratista</w:t>
            </w:r>
          </w:p>
        </w:tc>
        <w:tc>
          <w:tcPr>
            <w:tcW w:w="395" w:type="pct"/>
            <w:shd w:val="clear" w:color="auto" w:fill="auto"/>
            <w:vAlign w:val="center"/>
            <w:hideMark/>
          </w:tcPr>
          <w:p w14:paraId="4A27F194"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 xml:space="preserve">Toda norma de obligatorio cumplimiento para el municipio de Manizales que modifique las condiciones pactadas en el contrato, y que afecte las condiciones laborales que el contratista proyectó en su oferta, serán introducidas al contrato, sin que medie negociación alguna con el contratista, toda vez que el municipio de Manizales no tiene la facultad de </w:t>
            </w:r>
            <w:r w:rsidRPr="00205749">
              <w:rPr>
                <w:rFonts w:ascii="Arial Narrow" w:hAnsi="Arial Narrow"/>
                <w:sz w:val="12"/>
                <w:szCs w:val="12"/>
                <w:lang w:eastAsia="es-CO"/>
              </w:rPr>
              <w:lastRenderedPageBreak/>
              <w:t>negociar apartes normativos de obligatorio cumplimiento.</w:t>
            </w:r>
          </w:p>
        </w:tc>
        <w:tc>
          <w:tcPr>
            <w:tcW w:w="141" w:type="pct"/>
            <w:shd w:val="clear" w:color="auto" w:fill="auto"/>
            <w:noWrap/>
            <w:vAlign w:val="center"/>
            <w:hideMark/>
          </w:tcPr>
          <w:p w14:paraId="796B8671"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lastRenderedPageBreak/>
              <w:t>1</w:t>
            </w:r>
          </w:p>
        </w:tc>
        <w:tc>
          <w:tcPr>
            <w:tcW w:w="141" w:type="pct"/>
            <w:shd w:val="clear" w:color="auto" w:fill="auto"/>
            <w:noWrap/>
            <w:vAlign w:val="center"/>
            <w:hideMark/>
          </w:tcPr>
          <w:p w14:paraId="2D11886D"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14AB7C51"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3" w:type="pct"/>
            <w:shd w:val="clear" w:color="auto" w:fill="auto"/>
            <w:noWrap/>
            <w:textDirection w:val="btLr"/>
            <w:vAlign w:val="center"/>
            <w:hideMark/>
          </w:tcPr>
          <w:p w14:paraId="11CCE42E"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34" w:type="pct"/>
            <w:shd w:val="clear" w:color="auto" w:fill="auto"/>
            <w:vAlign w:val="center"/>
            <w:hideMark/>
          </w:tcPr>
          <w:p w14:paraId="7C5A6763"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51" w:type="pct"/>
            <w:shd w:val="clear" w:color="auto" w:fill="auto"/>
            <w:textDirection w:val="btLr"/>
            <w:vAlign w:val="center"/>
            <w:hideMark/>
          </w:tcPr>
          <w:p w14:paraId="333D4763"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 xml:space="preserve">Secretaría </w:t>
            </w:r>
            <w:r>
              <w:rPr>
                <w:rFonts w:ascii="Arial Narrow" w:hAnsi="Arial Narrow"/>
                <w:sz w:val="12"/>
                <w:szCs w:val="12"/>
                <w:lang w:eastAsia="es-CO"/>
              </w:rPr>
              <w:t>Infraestructura</w:t>
            </w:r>
          </w:p>
          <w:p w14:paraId="50E875B5"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/Supervisión   o interventoría</w:t>
            </w:r>
          </w:p>
        </w:tc>
        <w:tc>
          <w:tcPr>
            <w:tcW w:w="367" w:type="pct"/>
            <w:shd w:val="clear" w:color="auto" w:fill="auto"/>
            <w:vAlign w:val="center"/>
            <w:hideMark/>
          </w:tcPr>
          <w:p w14:paraId="00F88B4E"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Hasta el momento de perfeccionar el cambio normativo en el contrato</w:t>
            </w:r>
          </w:p>
          <w:p w14:paraId="5A04EE0D" w14:textId="77777777" w:rsidR="005C2E52" w:rsidRPr="00205749" w:rsidRDefault="005C2E52" w:rsidP="005C2E52">
            <w:pPr>
              <w:rPr>
                <w:rFonts w:ascii="Arial Narrow" w:hAnsi="Arial Narrow"/>
                <w:sz w:val="12"/>
                <w:szCs w:val="12"/>
                <w:lang w:eastAsia="es-CO"/>
              </w:rPr>
            </w:pPr>
          </w:p>
          <w:p w14:paraId="0A2D43D7" w14:textId="77777777" w:rsidR="005C2E52" w:rsidRPr="00205749" w:rsidRDefault="005C2E52" w:rsidP="005C2E52">
            <w:pPr>
              <w:rPr>
                <w:rFonts w:ascii="Arial Narrow" w:hAnsi="Arial Narrow"/>
                <w:sz w:val="12"/>
                <w:szCs w:val="12"/>
                <w:lang w:eastAsia="es-CO"/>
              </w:rPr>
            </w:pPr>
          </w:p>
          <w:p w14:paraId="05904941" w14:textId="77777777" w:rsidR="005C2E52" w:rsidRPr="00205749" w:rsidRDefault="005C2E52" w:rsidP="005C2E52">
            <w:pPr>
              <w:rPr>
                <w:rFonts w:ascii="Arial Narrow" w:hAnsi="Arial Narrow"/>
                <w:sz w:val="12"/>
                <w:szCs w:val="12"/>
                <w:lang w:eastAsia="es-CO"/>
              </w:rPr>
            </w:pPr>
          </w:p>
          <w:p w14:paraId="0B56F44B" w14:textId="77777777" w:rsidR="005C2E52" w:rsidRPr="00205749" w:rsidRDefault="005C2E52" w:rsidP="005C2E52">
            <w:pPr>
              <w:rPr>
                <w:rFonts w:ascii="Arial Narrow" w:hAnsi="Arial Narrow"/>
                <w:sz w:val="12"/>
                <w:szCs w:val="12"/>
                <w:lang w:eastAsia="es-CO"/>
              </w:rPr>
            </w:pPr>
          </w:p>
          <w:p w14:paraId="21E6A522" w14:textId="77777777" w:rsidR="005C2E52" w:rsidRPr="00205749" w:rsidRDefault="005C2E52" w:rsidP="005C2E52">
            <w:pPr>
              <w:rPr>
                <w:rFonts w:ascii="Arial Narrow" w:hAnsi="Arial Narrow"/>
                <w:sz w:val="12"/>
                <w:szCs w:val="12"/>
                <w:lang w:eastAsia="es-CO"/>
              </w:rPr>
            </w:pPr>
          </w:p>
        </w:tc>
        <w:tc>
          <w:tcPr>
            <w:tcW w:w="379" w:type="pct"/>
            <w:shd w:val="clear" w:color="auto" w:fill="auto"/>
            <w:vAlign w:val="center"/>
            <w:hideMark/>
          </w:tcPr>
          <w:p w14:paraId="2859D28F"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Revisión periódica de las normas de laborales.</w:t>
            </w:r>
          </w:p>
        </w:tc>
        <w:tc>
          <w:tcPr>
            <w:tcW w:w="288" w:type="pct"/>
            <w:shd w:val="clear" w:color="auto" w:fill="auto"/>
            <w:textDirection w:val="btLr"/>
            <w:vAlign w:val="center"/>
            <w:hideMark/>
          </w:tcPr>
          <w:p w14:paraId="18EF7D30"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Mensual</w:t>
            </w:r>
          </w:p>
        </w:tc>
      </w:tr>
      <w:tr w:rsidR="005C2E52" w:rsidRPr="00205749" w14:paraId="275F3091" w14:textId="77777777" w:rsidTr="005C2E52">
        <w:trPr>
          <w:gridAfter w:val="1"/>
          <w:wAfter w:w="143" w:type="pct"/>
          <w:trHeight w:val="50"/>
        </w:trPr>
        <w:tc>
          <w:tcPr>
            <w:tcW w:w="134" w:type="pct"/>
            <w:shd w:val="clear" w:color="auto" w:fill="auto"/>
            <w:noWrap/>
            <w:vAlign w:val="center"/>
            <w:hideMark/>
          </w:tcPr>
          <w:p w14:paraId="0AA2668C"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3</w:t>
            </w:r>
          </w:p>
        </w:tc>
        <w:tc>
          <w:tcPr>
            <w:tcW w:w="143" w:type="pct"/>
            <w:shd w:val="clear" w:color="auto" w:fill="auto"/>
            <w:noWrap/>
            <w:textDirection w:val="btLr"/>
            <w:vAlign w:val="center"/>
            <w:hideMark/>
          </w:tcPr>
          <w:p w14:paraId="1344BCCA"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General</w:t>
            </w:r>
          </w:p>
        </w:tc>
        <w:tc>
          <w:tcPr>
            <w:tcW w:w="143" w:type="pct"/>
            <w:shd w:val="clear" w:color="auto" w:fill="auto"/>
            <w:noWrap/>
            <w:textDirection w:val="btLr"/>
            <w:vAlign w:val="center"/>
            <w:hideMark/>
          </w:tcPr>
          <w:p w14:paraId="4F0B4023"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43" w:type="pct"/>
            <w:shd w:val="clear" w:color="auto" w:fill="auto"/>
            <w:noWrap/>
            <w:textDirection w:val="btLr"/>
            <w:vAlign w:val="center"/>
            <w:hideMark/>
          </w:tcPr>
          <w:p w14:paraId="7DA865BD"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3" w:type="pct"/>
            <w:shd w:val="clear" w:color="auto" w:fill="auto"/>
            <w:noWrap/>
            <w:textDirection w:val="btLr"/>
            <w:vAlign w:val="center"/>
            <w:hideMark/>
          </w:tcPr>
          <w:p w14:paraId="4053FA7F"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Regulatorio</w:t>
            </w:r>
          </w:p>
        </w:tc>
        <w:tc>
          <w:tcPr>
            <w:tcW w:w="379" w:type="pct"/>
            <w:shd w:val="clear" w:color="auto" w:fill="auto"/>
            <w:vAlign w:val="center"/>
            <w:hideMark/>
          </w:tcPr>
          <w:p w14:paraId="70BDB745"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Riesgo por suspensión del contrato</w:t>
            </w:r>
          </w:p>
        </w:tc>
        <w:tc>
          <w:tcPr>
            <w:tcW w:w="379" w:type="pct"/>
            <w:shd w:val="clear" w:color="auto" w:fill="auto"/>
            <w:vAlign w:val="center"/>
            <w:hideMark/>
          </w:tcPr>
          <w:p w14:paraId="392CC9CD"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Retraso en la entrega de las obras a la entidad contratante.       mayor tiempo de ejecución del contrato</w:t>
            </w:r>
          </w:p>
        </w:tc>
        <w:tc>
          <w:tcPr>
            <w:tcW w:w="134" w:type="pct"/>
            <w:shd w:val="clear" w:color="auto" w:fill="auto"/>
            <w:noWrap/>
            <w:vAlign w:val="center"/>
            <w:hideMark/>
          </w:tcPr>
          <w:p w14:paraId="0646A181"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34" w:type="pct"/>
            <w:shd w:val="clear" w:color="auto" w:fill="auto"/>
            <w:noWrap/>
            <w:vAlign w:val="center"/>
            <w:hideMark/>
          </w:tcPr>
          <w:p w14:paraId="5EAE9825"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34" w:type="pct"/>
            <w:shd w:val="clear" w:color="auto" w:fill="auto"/>
            <w:noWrap/>
            <w:vAlign w:val="center"/>
            <w:hideMark/>
          </w:tcPr>
          <w:p w14:paraId="6B0FABD0"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3</w:t>
            </w:r>
          </w:p>
        </w:tc>
        <w:tc>
          <w:tcPr>
            <w:tcW w:w="143" w:type="pct"/>
            <w:shd w:val="clear" w:color="auto" w:fill="auto"/>
            <w:noWrap/>
            <w:textDirection w:val="btLr"/>
            <w:vAlign w:val="center"/>
            <w:hideMark/>
          </w:tcPr>
          <w:p w14:paraId="533F4BBD"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365" w:type="pct"/>
            <w:shd w:val="clear" w:color="auto" w:fill="auto"/>
            <w:vAlign w:val="center"/>
            <w:hideMark/>
          </w:tcPr>
          <w:p w14:paraId="3E497132"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Al municipio de Manizales cuando los motivos de la suspensión obedezcan a acciones u omisiones de la entidad.       al contratista cuando los motivos de la suspensión obedezcan a acciones del contratista</w:t>
            </w:r>
          </w:p>
        </w:tc>
        <w:tc>
          <w:tcPr>
            <w:tcW w:w="395" w:type="pct"/>
            <w:shd w:val="clear" w:color="auto" w:fill="auto"/>
            <w:vAlign w:val="center"/>
            <w:hideMark/>
          </w:tcPr>
          <w:p w14:paraId="22885558"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Cuando la suspensión sea originada por la entidad contratante se notificará al contratista y se procederá a la suscripción por las partes del respectivo documento.        Cuando la suspensión sea originada por el contratista se procederá a analizar los motivos de la misma sí como las medidas correctivas que deban tomarse y la valoración de los perjuicios que puedan ocasionarse con dicha suspensión.          Ambos casos debe analizar el tiempo durante el cual estará suspendido el contrato y las  condiciones de reinicio.</w:t>
            </w:r>
          </w:p>
        </w:tc>
        <w:tc>
          <w:tcPr>
            <w:tcW w:w="141" w:type="pct"/>
            <w:shd w:val="clear" w:color="auto" w:fill="auto"/>
            <w:noWrap/>
            <w:vAlign w:val="center"/>
            <w:hideMark/>
          </w:tcPr>
          <w:p w14:paraId="633EE410"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7EC02482"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2C45823E"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3" w:type="pct"/>
            <w:shd w:val="clear" w:color="auto" w:fill="auto"/>
            <w:noWrap/>
            <w:textDirection w:val="btLr"/>
            <w:vAlign w:val="center"/>
            <w:hideMark/>
          </w:tcPr>
          <w:p w14:paraId="01A25779"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34" w:type="pct"/>
            <w:shd w:val="clear" w:color="auto" w:fill="auto"/>
            <w:vAlign w:val="center"/>
            <w:hideMark/>
          </w:tcPr>
          <w:p w14:paraId="4C02735B"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51" w:type="pct"/>
            <w:shd w:val="clear" w:color="auto" w:fill="auto"/>
            <w:textDirection w:val="btLr"/>
            <w:vAlign w:val="center"/>
            <w:hideMark/>
          </w:tcPr>
          <w:p w14:paraId="15103EF5"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 xml:space="preserve">Secretaría </w:t>
            </w:r>
            <w:r>
              <w:rPr>
                <w:rFonts w:ascii="Arial Narrow" w:hAnsi="Arial Narrow"/>
                <w:sz w:val="12"/>
                <w:szCs w:val="12"/>
                <w:lang w:eastAsia="es-CO"/>
              </w:rPr>
              <w:t>Infraestructura</w:t>
            </w:r>
            <w:r w:rsidRPr="00205749">
              <w:rPr>
                <w:rFonts w:ascii="Arial Narrow" w:hAnsi="Arial Narrow"/>
                <w:sz w:val="12"/>
                <w:szCs w:val="12"/>
                <w:lang w:eastAsia="es-CO"/>
              </w:rPr>
              <w:t>/</w:t>
            </w:r>
          </w:p>
          <w:p w14:paraId="2B4BF43A"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Supervisión   o interventoría</w:t>
            </w:r>
          </w:p>
        </w:tc>
        <w:tc>
          <w:tcPr>
            <w:tcW w:w="367" w:type="pct"/>
            <w:shd w:val="clear" w:color="auto" w:fill="auto"/>
            <w:vAlign w:val="center"/>
            <w:hideMark/>
          </w:tcPr>
          <w:p w14:paraId="1BE529E4"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Hasta el momento de reinicio del contrato</w:t>
            </w:r>
          </w:p>
        </w:tc>
        <w:tc>
          <w:tcPr>
            <w:tcW w:w="379" w:type="pct"/>
            <w:shd w:val="clear" w:color="auto" w:fill="auto"/>
            <w:vAlign w:val="center"/>
            <w:hideMark/>
          </w:tcPr>
          <w:p w14:paraId="4184DAFB"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 xml:space="preserve">Información permanente de la ejecución del contrato por parte de la supervisión o Interventoría </w:t>
            </w:r>
          </w:p>
        </w:tc>
        <w:tc>
          <w:tcPr>
            <w:tcW w:w="288" w:type="pct"/>
            <w:shd w:val="clear" w:color="auto" w:fill="auto"/>
            <w:textDirection w:val="btLr"/>
            <w:vAlign w:val="center"/>
            <w:hideMark/>
          </w:tcPr>
          <w:p w14:paraId="20D1B025"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Quincenal</w:t>
            </w:r>
          </w:p>
        </w:tc>
      </w:tr>
      <w:tr w:rsidR="005C2E52" w:rsidRPr="00205749" w14:paraId="13D43EF8" w14:textId="77777777" w:rsidTr="005C2E52">
        <w:trPr>
          <w:gridAfter w:val="1"/>
          <w:wAfter w:w="143" w:type="pct"/>
          <w:trHeight w:val="3143"/>
        </w:trPr>
        <w:tc>
          <w:tcPr>
            <w:tcW w:w="134" w:type="pct"/>
            <w:shd w:val="clear" w:color="auto" w:fill="auto"/>
            <w:noWrap/>
            <w:vAlign w:val="center"/>
            <w:hideMark/>
          </w:tcPr>
          <w:p w14:paraId="09D6FC34"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4</w:t>
            </w:r>
          </w:p>
        </w:tc>
        <w:tc>
          <w:tcPr>
            <w:tcW w:w="143" w:type="pct"/>
            <w:shd w:val="clear" w:color="auto" w:fill="auto"/>
            <w:noWrap/>
            <w:textDirection w:val="btLr"/>
            <w:vAlign w:val="center"/>
            <w:hideMark/>
          </w:tcPr>
          <w:p w14:paraId="1795FBFC"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General</w:t>
            </w:r>
          </w:p>
        </w:tc>
        <w:tc>
          <w:tcPr>
            <w:tcW w:w="143" w:type="pct"/>
            <w:shd w:val="clear" w:color="auto" w:fill="auto"/>
            <w:noWrap/>
            <w:textDirection w:val="btLr"/>
            <w:vAlign w:val="center"/>
            <w:hideMark/>
          </w:tcPr>
          <w:p w14:paraId="6FF0A2A6"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43" w:type="pct"/>
            <w:shd w:val="clear" w:color="auto" w:fill="auto"/>
            <w:noWrap/>
            <w:textDirection w:val="btLr"/>
            <w:vAlign w:val="center"/>
            <w:hideMark/>
          </w:tcPr>
          <w:p w14:paraId="7D9CABAB"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3" w:type="pct"/>
            <w:shd w:val="clear" w:color="auto" w:fill="auto"/>
            <w:noWrap/>
            <w:textDirection w:val="btLr"/>
            <w:vAlign w:val="center"/>
            <w:hideMark/>
          </w:tcPr>
          <w:p w14:paraId="7E72B894"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Financiero</w:t>
            </w:r>
          </w:p>
        </w:tc>
        <w:tc>
          <w:tcPr>
            <w:tcW w:w="379" w:type="pct"/>
            <w:shd w:val="clear" w:color="auto" w:fill="auto"/>
            <w:vAlign w:val="center"/>
            <w:hideMark/>
          </w:tcPr>
          <w:p w14:paraId="121FF08B"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 xml:space="preserve">Riesgos por modificación del régimen de impuestos aplicables a terceros, cuando en el desarrollo del contrato, se modifican las tarifas de los impuestos o se crean nuevos impuestos o eliminan los ya existentes, no aplicables al contrato, pero si aplicables a las relaciones con terceros como aportes </w:t>
            </w:r>
            <w:r w:rsidRPr="00205749">
              <w:rPr>
                <w:rFonts w:ascii="Arial Narrow" w:hAnsi="Arial Narrow"/>
                <w:sz w:val="12"/>
                <w:szCs w:val="12"/>
                <w:lang w:eastAsia="es-CO"/>
              </w:rPr>
              <w:lastRenderedPageBreak/>
              <w:t>con el contratista</w:t>
            </w:r>
          </w:p>
        </w:tc>
        <w:tc>
          <w:tcPr>
            <w:tcW w:w="379" w:type="pct"/>
            <w:shd w:val="clear" w:color="auto" w:fill="auto"/>
            <w:vAlign w:val="center"/>
            <w:hideMark/>
          </w:tcPr>
          <w:p w14:paraId="6E5BB1D3"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lastRenderedPageBreak/>
              <w:t>Afectación en sus valores liquidados y pagados al contratista como consecuencia de los impuestos, tasas y tarifas aplicados</w:t>
            </w:r>
          </w:p>
        </w:tc>
        <w:tc>
          <w:tcPr>
            <w:tcW w:w="134" w:type="pct"/>
            <w:shd w:val="clear" w:color="auto" w:fill="auto"/>
            <w:noWrap/>
            <w:vAlign w:val="center"/>
            <w:hideMark/>
          </w:tcPr>
          <w:p w14:paraId="4EC1E7BC"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34" w:type="pct"/>
            <w:shd w:val="clear" w:color="auto" w:fill="auto"/>
            <w:noWrap/>
            <w:vAlign w:val="center"/>
            <w:hideMark/>
          </w:tcPr>
          <w:p w14:paraId="7FE3E957"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34" w:type="pct"/>
            <w:shd w:val="clear" w:color="auto" w:fill="auto"/>
            <w:noWrap/>
            <w:vAlign w:val="center"/>
            <w:hideMark/>
          </w:tcPr>
          <w:p w14:paraId="657BAAD6"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3" w:type="pct"/>
            <w:shd w:val="clear" w:color="auto" w:fill="auto"/>
            <w:noWrap/>
            <w:textDirection w:val="btLr"/>
            <w:vAlign w:val="center"/>
            <w:hideMark/>
          </w:tcPr>
          <w:p w14:paraId="5455B3E0"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365" w:type="pct"/>
            <w:shd w:val="clear" w:color="auto" w:fill="auto"/>
            <w:vAlign w:val="center"/>
            <w:hideMark/>
          </w:tcPr>
          <w:p w14:paraId="76E273EF"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 xml:space="preserve">Cuando en el desarrollo del contrato, se modifican las tarifas de los impuestos o se crean nuevos impuestos o eliminan los ya existentes, y esto aumenta el valor transaccional entre el contratista y sus proveedores, el municipio de Manizales no reconocerá </w:t>
            </w:r>
            <w:r w:rsidRPr="00205749">
              <w:rPr>
                <w:rFonts w:ascii="Arial Narrow" w:hAnsi="Arial Narrow"/>
                <w:sz w:val="12"/>
                <w:szCs w:val="12"/>
                <w:lang w:eastAsia="es-CO"/>
              </w:rPr>
              <w:lastRenderedPageBreak/>
              <w:t>reajuste en el valor inicial del contrato, toda vez que estas relaciones son responsabilidad total y absoluta del contratista.  Este riesgo y sus consecuencias serán asumidos en su totalidad por el contratista.</w:t>
            </w:r>
          </w:p>
        </w:tc>
        <w:tc>
          <w:tcPr>
            <w:tcW w:w="395" w:type="pct"/>
            <w:shd w:val="clear" w:color="auto" w:fill="auto"/>
            <w:vAlign w:val="center"/>
            <w:hideMark/>
          </w:tcPr>
          <w:p w14:paraId="688696AD"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lastRenderedPageBreak/>
              <w:t>Todo cambio o modificación en materia de impuestos aplicables al contrato será de obligatorio cumplimiento para el municipio de Manizales Caldas</w:t>
            </w:r>
          </w:p>
        </w:tc>
        <w:tc>
          <w:tcPr>
            <w:tcW w:w="141" w:type="pct"/>
            <w:shd w:val="clear" w:color="auto" w:fill="auto"/>
            <w:noWrap/>
            <w:vAlign w:val="center"/>
            <w:hideMark/>
          </w:tcPr>
          <w:p w14:paraId="0E4F589F"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15078336"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5C4171FA"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3" w:type="pct"/>
            <w:shd w:val="clear" w:color="auto" w:fill="auto"/>
            <w:noWrap/>
            <w:textDirection w:val="btLr"/>
            <w:vAlign w:val="center"/>
            <w:hideMark/>
          </w:tcPr>
          <w:p w14:paraId="55BE68F9"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34" w:type="pct"/>
            <w:shd w:val="clear" w:color="auto" w:fill="auto"/>
            <w:vAlign w:val="center"/>
            <w:hideMark/>
          </w:tcPr>
          <w:p w14:paraId="04CDFA8B"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51" w:type="pct"/>
            <w:shd w:val="clear" w:color="auto" w:fill="auto"/>
            <w:textDirection w:val="btLr"/>
            <w:vAlign w:val="center"/>
            <w:hideMark/>
          </w:tcPr>
          <w:p w14:paraId="6D11510E"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 xml:space="preserve">Secretaría </w:t>
            </w:r>
            <w:r>
              <w:rPr>
                <w:rFonts w:ascii="Arial Narrow" w:hAnsi="Arial Narrow"/>
                <w:sz w:val="12"/>
                <w:szCs w:val="12"/>
                <w:lang w:eastAsia="es-CO"/>
              </w:rPr>
              <w:t>Infraestructura</w:t>
            </w:r>
            <w:r w:rsidRPr="00205749">
              <w:rPr>
                <w:rFonts w:ascii="Arial Narrow" w:hAnsi="Arial Narrow"/>
                <w:sz w:val="12"/>
                <w:szCs w:val="12"/>
                <w:lang w:eastAsia="es-CO"/>
              </w:rPr>
              <w:t>/Supervisión o interventoría</w:t>
            </w:r>
          </w:p>
        </w:tc>
        <w:tc>
          <w:tcPr>
            <w:tcW w:w="367" w:type="pct"/>
            <w:shd w:val="clear" w:color="auto" w:fill="auto"/>
            <w:vAlign w:val="center"/>
            <w:hideMark/>
          </w:tcPr>
          <w:p w14:paraId="4C5F6685"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Hasta el momento de perfeccionar el cambio normativo en el contrato</w:t>
            </w:r>
          </w:p>
        </w:tc>
        <w:tc>
          <w:tcPr>
            <w:tcW w:w="379" w:type="pct"/>
            <w:shd w:val="clear" w:color="auto" w:fill="auto"/>
            <w:vAlign w:val="center"/>
            <w:hideMark/>
          </w:tcPr>
          <w:p w14:paraId="02ECCD78"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Revisión de las normas y leyes tributarias en forma periódica.</w:t>
            </w:r>
          </w:p>
        </w:tc>
        <w:tc>
          <w:tcPr>
            <w:tcW w:w="288" w:type="pct"/>
            <w:shd w:val="clear" w:color="auto" w:fill="auto"/>
            <w:textDirection w:val="btLr"/>
            <w:vAlign w:val="center"/>
            <w:hideMark/>
          </w:tcPr>
          <w:p w14:paraId="51931D34"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Mensual</w:t>
            </w:r>
          </w:p>
        </w:tc>
      </w:tr>
      <w:tr w:rsidR="005C2E52" w:rsidRPr="00205749" w14:paraId="2946F754" w14:textId="77777777" w:rsidTr="005C2E52">
        <w:trPr>
          <w:gridAfter w:val="1"/>
          <w:wAfter w:w="143" w:type="pct"/>
          <w:trHeight w:val="983"/>
        </w:trPr>
        <w:tc>
          <w:tcPr>
            <w:tcW w:w="134" w:type="pct"/>
            <w:shd w:val="clear" w:color="auto" w:fill="auto"/>
            <w:noWrap/>
            <w:vAlign w:val="center"/>
            <w:hideMark/>
          </w:tcPr>
          <w:p w14:paraId="508069DD"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5</w:t>
            </w:r>
          </w:p>
        </w:tc>
        <w:tc>
          <w:tcPr>
            <w:tcW w:w="143" w:type="pct"/>
            <w:shd w:val="clear" w:color="auto" w:fill="auto"/>
            <w:noWrap/>
            <w:textDirection w:val="btLr"/>
            <w:vAlign w:val="center"/>
            <w:hideMark/>
          </w:tcPr>
          <w:p w14:paraId="696A1ED8"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General</w:t>
            </w:r>
          </w:p>
        </w:tc>
        <w:tc>
          <w:tcPr>
            <w:tcW w:w="143" w:type="pct"/>
            <w:shd w:val="clear" w:color="auto" w:fill="auto"/>
            <w:noWrap/>
            <w:textDirection w:val="btLr"/>
            <w:vAlign w:val="center"/>
            <w:hideMark/>
          </w:tcPr>
          <w:p w14:paraId="272E4353"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43" w:type="pct"/>
            <w:shd w:val="clear" w:color="auto" w:fill="auto"/>
            <w:noWrap/>
            <w:textDirection w:val="btLr"/>
            <w:vAlign w:val="center"/>
            <w:hideMark/>
          </w:tcPr>
          <w:p w14:paraId="34D98E7C"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3" w:type="pct"/>
            <w:shd w:val="clear" w:color="auto" w:fill="auto"/>
            <w:noWrap/>
            <w:textDirection w:val="btLr"/>
            <w:vAlign w:val="center"/>
            <w:hideMark/>
          </w:tcPr>
          <w:p w14:paraId="193C01E4"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Financiero</w:t>
            </w:r>
          </w:p>
        </w:tc>
        <w:tc>
          <w:tcPr>
            <w:tcW w:w="379" w:type="pct"/>
            <w:shd w:val="clear" w:color="auto" w:fill="auto"/>
            <w:vAlign w:val="center"/>
            <w:hideMark/>
          </w:tcPr>
          <w:p w14:paraId="2E214F50"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Cambios en  la legislación tributaria municipal</w:t>
            </w:r>
          </w:p>
        </w:tc>
        <w:tc>
          <w:tcPr>
            <w:tcW w:w="379" w:type="pct"/>
            <w:shd w:val="clear" w:color="auto" w:fill="auto"/>
            <w:vAlign w:val="center"/>
            <w:hideMark/>
          </w:tcPr>
          <w:p w14:paraId="4EEC6E7A"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Afectación en los valores liquidados y pagados al contratista como consecuencia de los impuestos, tasas y tarifas aplicados.</w:t>
            </w:r>
          </w:p>
        </w:tc>
        <w:tc>
          <w:tcPr>
            <w:tcW w:w="134" w:type="pct"/>
            <w:shd w:val="clear" w:color="auto" w:fill="auto"/>
            <w:noWrap/>
            <w:vAlign w:val="center"/>
            <w:hideMark/>
          </w:tcPr>
          <w:p w14:paraId="5F5723EC"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34" w:type="pct"/>
            <w:shd w:val="clear" w:color="auto" w:fill="auto"/>
            <w:noWrap/>
            <w:vAlign w:val="center"/>
            <w:hideMark/>
          </w:tcPr>
          <w:p w14:paraId="2D09FA44"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34" w:type="pct"/>
            <w:shd w:val="clear" w:color="auto" w:fill="auto"/>
            <w:noWrap/>
            <w:vAlign w:val="center"/>
            <w:hideMark/>
          </w:tcPr>
          <w:p w14:paraId="72D2BAE6"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3" w:type="pct"/>
            <w:shd w:val="clear" w:color="auto" w:fill="auto"/>
            <w:noWrap/>
            <w:textDirection w:val="btLr"/>
            <w:vAlign w:val="center"/>
            <w:hideMark/>
          </w:tcPr>
          <w:p w14:paraId="1958EC3D"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365" w:type="pct"/>
            <w:shd w:val="clear" w:color="auto" w:fill="auto"/>
            <w:vAlign w:val="center"/>
            <w:hideMark/>
          </w:tcPr>
          <w:p w14:paraId="036B9C2F" w14:textId="77777777" w:rsidR="005C2E52" w:rsidRPr="00205749" w:rsidRDefault="005C2E52" w:rsidP="005C2E52">
            <w:pPr>
              <w:rPr>
                <w:rFonts w:ascii="Arial Narrow" w:hAnsi="Arial Narrow"/>
                <w:sz w:val="12"/>
                <w:szCs w:val="12"/>
                <w:lang w:eastAsia="es-CO"/>
              </w:rPr>
            </w:pPr>
            <w:r w:rsidRPr="00AD3332">
              <w:rPr>
                <w:rFonts w:ascii="Arial Narrow" w:hAnsi="Arial Narrow"/>
                <w:sz w:val="12"/>
                <w:szCs w:val="12"/>
                <w:lang w:eastAsia="es-CO"/>
              </w:rPr>
              <w:t>Este riesgo es asumido por el Municipio de Manizales.</w:t>
            </w:r>
          </w:p>
        </w:tc>
        <w:tc>
          <w:tcPr>
            <w:tcW w:w="395" w:type="pct"/>
            <w:shd w:val="clear" w:color="auto" w:fill="auto"/>
            <w:vAlign w:val="center"/>
            <w:hideMark/>
          </w:tcPr>
          <w:p w14:paraId="52535725"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Los efectos, favorables o desfavorables, de las variaciones en la legislación tributaria, de tal manera que la administración municipal asumirá los efectos derivados de la variación de las tarifas impositivas, la creación de nuevos impuestos, la supresión o modificación de los existentes, y en general cualquier evento que modifique las condiciones tributarias existentes al momento de la presentación de la propuesta.</w:t>
            </w:r>
          </w:p>
        </w:tc>
        <w:tc>
          <w:tcPr>
            <w:tcW w:w="141" w:type="pct"/>
            <w:shd w:val="clear" w:color="auto" w:fill="auto"/>
            <w:noWrap/>
            <w:vAlign w:val="center"/>
            <w:hideMark/>
          </w:tcPr>
          <w:p w14:paraId="6242F663"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3DF32CE6"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350E53D7"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3" w:type="pct"/>
            <w:shd w:val="clear" w:color="auto" w:fill="auto"/>
            <w:noWrap/>
            <w:textDirection w:val="btLr"/>
            <w:vAlign w:val="center"/>
            <w:hideMark/>
          </w:tcPr>
          <w:p w14:paraId="01B3223F"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34" w:type="pct"/>
            <w:shd w:val="clear" w:color="auto" w:fill="auto"/>
            <w:vAlign w:val="center"/>
            <w:hideMark/>
          </w:tcPr>
          <w:p w14:paraId="503574C5"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51" w:type="pct"/>
            <w:shd w:val="clear" w:color="auto" w:fill="auto"/>
            <w:textDirection w:val="btLr"/>
            <w:vAlign w:val="center"/>
            <w:hideMark/>
          </w:tcPr>
          <w:p w14:paraId="2DCD9804"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 xml:space="preserve">Secretaría </w:t>
            </w:r>
            <w:r>
              <w:rPr>
                <w:rFonts w:ascii="Arial Narrow" w:hAnsi="Arial Narrow"/>
                <w:sz w:val="12"/>
                <w:szCs w:val="12"/>
                <w:lang w:eastAsia="es-CO"/>
              </w:rPr>
              <w:t>Infraestructura</w:t>
            </w:r>
            <w:r w:rsidRPr="00205749">
              <w:rPr>
                <w:rFonts w:ascii="Arial Narrow" w:hAnsi="Arial Narrow"/>
                <w:sz w:val="12"/>
                <w:szCs w:val="12"/>
                <w:lang w:eastAsia="es-CO"/>
              </w:rPr>
              <w:t>/Supervisión o interventoría</w:t>
            </w:r>
          </w:p>
        </w:tc>
        <w:tc>
          <w:tcPr>
            <w:tcW w:w="367" w:type="pct"/>
            <w:shd w:val="clear" w:color="auto" w:fill="auto"/>
            <w:vAlign w:val="center"/>
            <w:hideMark/>
          </w:tcPr>
          <w:p w14:paraId="434D91E4"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Hasta el momento de perfeccionar el cambio normativo en el contrato</w:t>
            </w:r>
          </w:p>
        </w:tc>
        <w:tc>
          <w:tcPr>
            <w:tcW w:w="379" w:type="pct"/>
            <w:shd w:val="clear" w:color="auto" w:fill="auto"/>
            <w:vAlign w:val="center"/>
            <w:hideMark/>
          </w:tcPr>
          <w:p w14:paraId="11E2B9C3"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Revisión de las normas y leyes tributarias en forma periódica.</w:t>
            </w:r>
          </w:p>
        </w:tc>
        <w:tc>
          <w:tcPr>
            <w:tcW w:w="288" w:type="pct"/>
            <w:shd w:val="clear" w:color="auto" w:fill="auto"/>
            <w:textDirection w:val="btLr"/>
            <w:vAlign w:val="center"/>
            <w:hideMark/>
          </w:tcPr>
          <w:p w14:paraId="41FD30D3"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Mensual</w:t>
            </w:r>
          </w:p>
        </w:tc>
      </w:tr>
      <w:tr w:rsidR="005C2E52" w:rsidRPr="00205749" w14:paraId="6A1A7739" w14:textId="77777777" w:rsidTr="005C2E52">
        <w:trPr>
          <w:gridAfter w:val="1"/>
          <w:wAfter w:w="143" w:type="pct"/>
          <w:trHeight w:val="2604"/>
        </w:trPr>
        <w:tc>
          <w:tcPr>
            <w:tcW w:w="134" w:type="pct"/>
            <w:shd w:val="clear" w:color="auto" w:fill="auto"/>
            <w:noWrap/>
            <w:vAlign w:val="center"/>
            <w:hideMark/>
          </w:tcPr>
          <w:p w14:paraId="228B21D7"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6</w:t>
            </w:r>
          </w:p>
        </w:tc>
        <w:tc>
          <w:tcPr>
            <w:tcW w:w="143" w:type="pct"/>
            <w:shd w:val="clear" w:color="auto" w:fill="auto"/>
            <w:noWrap/>
            <w:textDirection w:val="btLr"/>
            <w:vAlign w:val="center"/>
            <w:hideMark/>
          </w:tcPr>
          <w:p w14:paraId="4E9E0427"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43" w:type="pct"/>
            <w:shd w:val="clear" w:color="auto" w:fill="auto"/>
            <w:noWrap/>
            <w:textDirection w:val="btLr"/>
            <w:vAlign w:val="center"/>
            <w:hideMark/>
          </w:tcPr>
          <w:p w14:paraId="1F123E36"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43" w:type="pct"/>
            <w:shd w:val="clear" w:color="auto" w:fill="auto"/>
            <w:noWrap/>
            <w:textDirection w:val="btLr"/>
            <w:vAlign w:val="center"/>
            <w:hideMark/>
          </w:tcPr>
          <w:p w14:paraId="19E962A1"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3" w:type="pct"/>
            <w:shd w:val="clear" w:color="auto" w:fill="auto"/>
            <w:noWrap/>
            <w:textDirection w:val="btLr"/>
            <w:vAlign w:val="center"/>
            <w:hideMark/>
          </w:tcPr>
          <w:p w14:paraId="29797921"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Financiero</w:t>
            </w:r>
          </w:p>
        </w:tc>
        <w:tc>
          <w:tcPr>
            <w:tcW w:w="379" w:type="pct"/>
            <w:shd w:val="clear" w:color="auto" w:fill="auto"/>
            <w:vAlign w:val="center"/>
            <w:hideMark/>
          </w:tcPr>
          <w:p w14:paraId="3428BB22"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Riesgo por incumplimiento de proveedores. Corresponde a los efectos económicos derivados del incumplimiento de los proveedores y subcontratistas</w:t>
            </w:r>
          </w:p>
        </w:tc>
        <w:tc>
          <w:tcPr>
            <w:tcW w:w="379" w:type="pct"/>
            <w:shd w:val="clear" w:color="auto" w:fill="auto"/>
            <w:vAlign w:val="center"/>
            <w:hideMark/>
          </w:tcPr>
          <w:p w14:paraId="199FE085"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Retrasos en la entrega de las obras a la entidad contratante.            mayor tiempo de ejecución del contrato</w:t>
            </w:r>
          </w:p>
        </w:tc>
        <w:tc>
          <w:tcPr>
            <w:tcW w:w="134" w:type="pct"/>
            <w:shd w:val="clear" w:color="auto" w:fill="auto"/>
            <w:noWrap/>
            <w:vAlign w:val="center"/>
            <w:hideMark/>
          </w:tcPr>
          <w:p w14:paraId="257507A3"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34" w:type="pct"/>
            <w:shd w:val="clear" w:color="auto" w:fill="auto"/>
            <w:noWrap/>
            <w:vAlign w:val="center"/>
            <w:hideMark/>
          </w:tcPr>
          <w:p w14:paraId="15B2D055"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34" w:type="pct"/>
            <w:shd w:val="clear" w:color="auto" w:fill="auto"/>
            <w:noWrap/>
            <w:vAlign w:val="center"/>
            <w:hideMark/>
          </w:tcPr>
          <w:p w14:paraId="07EF17BC"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3" w:type="pct"/>
            <w:shd w:val="clear" w:color="auto" w:fill="auto"/>
            <w:noWrap/>
            <w:textDirection w:val="btLr"/>
            <w:vAlign w:val="center"/>
            <w:hideMark/>
          </w:tcPr>
          <w:p w14:paraId="7A6E4C61"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365" w:type="pct"/>
            <w:shd w:val="clear" w:color="auto" w:fill="auto"/>
            <w:vAlign w:val="center"/>
            <w:hideMark/>
          </w:tcPr>
          <w:p w14:paraId="74751135"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Este riesgo es asumido en el 100% por el contratista</w:t>
            </w:r>
          </w:p>
        </w:tc>
        <w:tc>
          <w:tcPr>
            <w:tcW w:w="395" w:type="pct"/>
            <w:shd w:val="clear" w:color="auto" w:fill="auto"/>
            <w:vAlign w:val="center"/>
            <w:hideMark/>
          </w:tcPr>
          <w:p w14:paraId="4A2214B7"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 xml:space="preserve">Evaluar la necesidad o no de dar suspensión al contrato, de darse la suspensión originada por el contratista se procederá a analizar los motivos de la misma así como las medidas correctivas que deban tomarse y la valoración de los perjuicios que puedan </w:t>
            </w:r>
            <w:r w:rsidRPr="00205749">
              <w:rPr>
                <w:rFonts w:ascii="Arial Narrow" w:hAnsi="Arial Narrow"/>
                <w:sz w:val="12"/>
                <w:szCs w:val="12"/>
                <w:lang w:eastAsia="es-CO"/>
              </w:rPr>
              <w:lastRenderedPageBreak/>
              <w:t>ocasionarse con dicha suspensión.</w:t>
            </w:r>
          </w:p>
        </w:tc>
        <w:tc>
          <w:tcPr>
            <w:tcW w:w="141" w:type="pct"/>
            <w:shd w:val="clear" w:color="auto" w:fill="auto"/>
            <w:noWrap/>
            <w:vAlign w:val="center"/>
            <w:hideMark/>
          </w:tcPr>
          <w:p w14:paraId="18819111"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lastRenderedPageBreak/>
              <w:t>1</w:t>
            </w:r>
          </w:p>
        </w:tc>
        <w:tc>
          <w:tcPr>
            <w:tcW w:w="141" w:type="pct"/>
            <w:shd w:val="clear" w:color="auto" w:fill="auto"/>
            <w:noWrap/>
            <w:vAlign w:val="center"/>
            <w:hideMark/>
          </w:tcPr>
          <w:p w14:paraId="3DA6F1D2"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4897EB6B"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2</w:t>
            </w:r>
          </w:p>
        </w:tc>
        <w:tc>
          <w:tcPr>
            <w:tcW w:w="143" w:type="pct"/>
            <w:shd w:val="clear" w:color="auto" w:fill="auto"/>
            <w:noWrap/>
            <w:textDirection w:val="btLr"/>
            <w:vAlign w:val="center"/>
            <w:hideMark/>
          </w:tcPr>
          <w:p w14:paraId="072F3174"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34" w:type="pct"/>
            <w:shd w:val="clear" w:color="auto" w:fill="auto"/>
            <w:vAlign w:val="center"/>
            <w:hideMark/>
          </w:tcPr>
          <w:p w14:paraId="3888F0DB"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No</w:t>
            </w:r>
          </w:p>
        </w:tc>
        <w:tc>
          <w:tcPr>
            <w:tcW w:w="351" w:type="pct"/>
            <w:shd w:val="clear" w:color="auto" w:fill="auto"/>
            <w:textDirection w:val="btLr"/>
            <w:vAlign w:val="center"/>
            <w:hideMark/>
          </w:tcPr>
          <w:p w14:paraId="788CC07F"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 xml:space="preserve">Secretaría De </w:t>
            </w:r>
            <w:r>
              <w:rPr>
                <w:rFonts w:ascii="Arial Narrow" w:hAnsi="Arial Narrow"/>
                <w:sz w:val="12"/>
                <w:szCs w:val="12"/>
                <w:lang w:eastAsia="es-CO"/>
              </w:rPr>
              <w:t>Infraestructura</w:t>
            </w:r>
            <w:r w:rsidRPr="00205749">
              <w:rPr>
                <w:rFonts w:ascii="Arial Narrow" w:hAnsi="Arial Narrow"/>
                <w:sz w:val="12"/>
                <w:szCs w:val="12"/>
                <w:lang w:eastAsia="es-CO"/>
              </w:rPr>
              <w:t xml:space="preserve"> /</w:t>
            </w:r>
          </w:p>
          <w:p w14:paraId="4AC1B827"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Supervisión  o interventoría</w:t>
            </w:r>
          </w:p>
        </w:tc>
        <w:tc>
          <w:tcPr>
            <w:tcW w:w="367" w:type="pct"/>
            <w:shd w:val="clear" w:color="auto" w:fill="auto"/>
            <w:vAlign w:val="center"/>
            <w:hideMark/>
          </w:tcPr>
          <w:p w14:paraId="04C29F4A"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Hasta el momento de perfeccionar el cambio normativo en el contrato</w:t>
            </w:r>
          </w:p>
        </w:tc>
        <w:tc>
          <w:tcPr>
            <w:tcW w:w="379" w:type="pct"/>
            <w:shd w:val="clear" w:color="auto" w:fill="auto"/>
            <w:vAlign w:val="center"/>
            <w:hideMark/>
          </w:tcPr>
          <w:p w14:paraId="39659BAC"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Revisión de los materiales existentes en obra y avance de ella.</w:t>
            </w:r>
          </w:p>
        </w:tc>
        <w:tc>
          <w:tcPr>
            <w:tcW w:w="288" w:type="pct"/>
            <w:shd w:val="clear" w:color="auto" w:fill="auto"/>
            <w:textDirection w:val="btLr"/>
            <w:vAlign w:val="center"/>
            <w:hideMark/>
          </w:tcPr>
          <w:p w14:paraId="0A11DB65"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Mensual</w:t>
            </w:r>
          </w:p>
        </w:tc>
      </w:tr>
      <w:tr w:rsidR="005C2E52" w:rsidRPr="00205749" w14:paraId="08EFAD7E" w14:textId="77777777" w:rsidTr="005C2E52">
        <w:trPr>
          <w:gridAfter w:val="1"/>
          <w:wAfter w:w="143" w:type="pct"/>
          <w:trHeight w:val="561"/>
        </w:trPr>
        <w:tc>
          <w:tcPr>
            <w:tcW w:w="134" w:type="pct"/>
            <w:shd w:val="clear" w:color="auto" w:fill="auto"/>
            <w:noWrap/>
            <w:vAlign w:val="center"/>
            <w:hideMark/>
          </w:tcPr>
          <w:p w14:paraId="145CB521"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7</w:t>
            </w:r>
          </w:p>
        </w:tc>
        <w:tc>
          <w:tcPr>
            <w:tcW w:w="143" w:type="pct"/>
            <w:shd w:val="clear" w:color="auto" w:fill="auto"/>
            <w:noWrap/>
            <w:textDirection w:val="btLr"/>
            <w:vAlign w:val="center"/>
            <w:hideMark/>
          </w:tcPr>
          <w:p w14:paraId="439D6A49"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43" w:type="pct"/>
            <w:shd w:val="clear" w:color="auto" w:fill="auto"/>
            <w:noWrap/>
            <w:textDirection w:val="btLr"/>
            <w:vAlign w:val="center"/>
            <w:hideMark/>
          </w:tcPr>
          <w:p w14:paraId="09034E4F"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43" w:type="pct"/>
            <w:shd w:val="clear" w:color="auto" w:fill="auto"/>
            <w:noWrap/>
            <w:textDirection w:val="btLr"/>
            <w:vAlign w:val="center"/>
            <w:hideMark/>
          </w:tcPr>
          <w:p w14:paraId="5EDFF3BB"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3" w:type="pct"/>
            <w:shd w:val="clear" w:color="auto" w:fill="auto"/>
            <w:noWrap/>
            <w:textDirection w:val="btLr"/>
            <w:vAlign w:val="center"/>
            <w:hideMark/>
          </w:tcPr>
          <w:p w14:paraId="50962E44"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Financiero</w:t>
            </w:r>
          </w:p>
        </w:tc>
        <w:tc>
          <w:tcPr>
            <w:tcW w:w="379" w:type="pct"/>
            <w:shd w:val="clear" w:color="auto" w:fill="auto"/>
            <w:vAlign w:val="center"/>
            <w:hideMark/>
          </w:tcPr>
          <w:p w14:paraId="2C79BEAC"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Riesgo de insuficiente análisis económico. Corresponde  a los efectos económicos derivados de un insuficiente análisis de costo en el oferente, toda vez que es una obligación contractual del contratista visualizar todos los gastos en que pueda incurrir en la prestación del servicio, teniendo en cuenta la variable constante en el precio de los materiales y suministros del proyecto.</w:t>
            </w:r>
          </w:p>
        </w:tc>
        <w:tc>
          <w:tcPr>
            <w:tcW w:w="379" w:type="pct"/>
            <w:shd w:val="clear" w:color="auto" w:fill="auto"/>
            <w:vAlign w:val="center"/>
            <w:hideMark/>
          </w:tcPr>
          <w:p w14:paraId="55948966"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Variación del presupuesto inicial presentado, por parte del contratista</w:t>
            </w:r>
          </w:p>
        </w:tc>
        <w:tc>
          <w:tcPr>
            <w:tcW w:w="134" w:type="pct"/>
            <w:shd w:val="clear" w:color="auto" w:fill="auto"/>
            <w:noWrap/>
            <w:vAlign w:val="center"/>
            <w:hideMark/>
          </w:tcPr>
          <w:p w14:paraId="3E6801BF"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34" w:type="pct"/>
            <w:shd w:val="clear" w:color="auto" w:fill="auto"/>
            <w:noWrap/>
            <w:vAlign w:val="center"/>
            <w:hideMark/>
          </w:tcPr>
          <w:p w14:paraId="3717C13F"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34" w:type="pct"/>
            <w:shd w:val="clear" w:color="auto" w:fill="auto"/>
            <w:noWrap/>
            <w:vAlign w:val="center"/>
            <w:hideMark/>
          </w:tcPr>
          <w:p w14:paraId="255D64F5"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3" w:type="pct"/>
            <w:shd w:val="clear" w:color="auto" w:fill="auto"/>
            <w:noWrap/>
            <w:textDirection w:val="btLr"/>
            <w:vAlign w:val="center"/>
            <w:hideMark/>
          </w:tcPr>
          <w:p w14:paraId="0AF6C108"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365" w:type="pct"/>
            <w:shd w:val="clear" w:color="auto" w:fill="auto"/>
            <w:vAlign w:val="center"/>
            <w:hideMark/>
          </w:tcPr>
          <w:p w14:paraId="375801F6" w14:textId="77777777" w:rsidR="005C2E52" w:rsidRPr="00205749" w:rsidRDefault="005C2E52" w:rsidP="005C2E52">
            <w:pPr>
              <w:rPr>
                <w:rFonts w:ascii="Arial Narrow" w:hAnsi="Arial Narrow"/>
                <w:sz w:val="12"/>
                <w:szCs w:val="12"/>
                <w:lang w:eastAsia="es-CO"/>
              </w:rPr>
            </w:pPr>
            <w:r w:rsidRPr="00AD3332">
              <w:rPr>
                <w:rFonts w:ascii="Arial Narrow" w:hAnsi="Arial Narrow"/>
                <w:sz w:val="12"/>
                <w:szCs w:val="12"/>
                <w:lang w:eastAsia="es-CO"/>
              </w:rPr>
              <w:t>Este riesgo y sus consecuencias serán compartidas.</w:t>
            </w:r>
          </w:p>
        </w:tc>
        <w:tc>
          <w:tcPr>
            <w:tcW w:w="395" w:type="pct"/>
            <w:shd w:val="clear" w:color="auto" w:fill="auto"/>
            <w:vAlign w:val="center"/>
            <w:hideMark/>
          </w:tcPr>
          <w:p w14:paraId="464FFABB"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Revisión y evaluación del o las variaciones en los costos presentados por el contratista, que permitan la evaluación, perjuicios y posterior toma de decisiones</w:t>
            </w:r>
            <w:r>
              <w:rPr>
                <w:rFonts w:ascii="Arial Narrow" w:hAnsi="Arial Narrow"/>
                <w:sz w:val="12"/>
                <w:szCs w:val="12"/>
                <w:lang w:eastAsia="es-CO"/>
              </w:rPr>
              <w:t>. Actualizar y reajustar los precios, con el fin de mantener la ecuación contractual, tomando las medidas que indican los artículos 4,5 y 27 de la Ley 80 de 1993.</w:t>
            </w:r>
          </w:p>
        </w:tc>
        <w:tc>
          <w:tcPr>
            <w:tcW w:w="141" w:type="pct"/>
            <w:shd w:val="clear" w:color="auto" w:fill="auto"/>
            <w:noWrap/>
            <w:vAlign w:val="center"/>
            <w:hideMark/>
          </w:tcPr>
          <w:p w14:paraId="0552B2E7"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50A5E8A9"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07DB83B3"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3" w:type="pct"/>
            <w:shd w:val="clear" w:color="auto" w:fill="auto"/>
            <w:noWrap/>
            <w:textDirection w:val="btLr"/>
            <w:vAlign w:val="center"/>
            <w:hideMark/>
          </w:tcPr>
          <w:p w14:paraId="0B581783"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34" w:type="pct"/>
            <w:shd w:val="clear" w:color="auto" w:fill="auto"/>
            <w:vAlign w:val="center"/>
            <w:hideMark/>
          </w:tcPr>
          <w:p w14:paraId="4D8AB9E1"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51" w:type="pct"/>
            <w:shd w:val="clear" w:color="auto" w:fill="auto"/>
            <w:textDirection w:val="btLr"/>
            <w:vAlign w:val="center"/>
            <w:hideMark/>
          </w:tcPr>
          <w:p w14:paraId="5E09DCE8"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 xml:space="preserve">Secretaría De </w:t>
            </w:r>
            <w:r>
              <w:rPr>
                <w:rFonts w:ascii="Arial Narrow" w:hAnsi="Arial Narrow"/>
                <w:sz w:val="12"/>
                <w:szCs w:val="12"/>
                <w:lang w:eastAsia="es-CO"/>
              </w:rPr>
              <w:t>Infraestructura</w:t>
            </w:r>
            <w:r w:rsidRPr="00205749">
              <w:rPr>
                <w:rFonts w:ascii="Arial Narrow" w:hAnsi="Arial Narrow"/>
                <w:sz w:val="12"/>
                <w:szCs w:val="12"/>
                <w:lang w:eastAsia="es-CO"/>
              </w:rPr>
              <w:t>/ Supervisión o interventoría</w:t>
            </w:r>
          </w:p>
        </w:tc>
        <w:tc>
          <w:tcPr>
            <w:tcW w:w="367" w:type="pct"/>
            <w:shd w:val="clear" w:color="auto" w:fill="auto"/>
            <w:vAlign w:val="center"/>
            <w:hideMark/>
          </w:tcPr>
          <w:p w14:paraId="3B6C86E6"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Hasta el momento de perfeccionar el cambio normativo en el contrato</w:t>
            </w:r>
          </w:p>
        </w:tc>
        <w:tc>
          <w:tcPr>
            <w:tcW w:w="379" w:type="pct"/>
            <w:shd w:val="clear" w:color="auto" w:fill="auto"/>
            <w:vAlign w:val="center"/>
            <w:hideMark/>
          </w:tcPr>
          <w:p w14:paraId="4D7FFE7E"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Revisiones Periódicas y pago de actas de avance de obra.</w:t>
            </w:r>
          </w:p>
        </w:tc>
        <w:tc>
          <w:tcPr>
            <w:tcW w:w="288" w:type="pct"/>
            <w:shd w:val="clear" w:color="auto" w:fill="auto"/>
            <w:textDirection w:val="btLr"/>
            <w:vAlign w:val="center"/>
            <w:hideMark/>
          </w:tcPr>
          <w:p w14:paraId="425318EA"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Mensual</w:t>
            </w:r>
          </w:p>
        </w:tc>
      </w:tr>
      <w:tr w:rsidR="005C2E52" w:rsidRPr="00205749" w14:paraId="06C259A9" w14:textId="77777777" w:rsidTr="005C2E52">
        <w:trPr>
          <w:gridAfter w:val="1"/>
          <w:wAfter w:w="143" w:type="pct"/>
          <w:trHeight w:val="2689"/>
        </w:trPr>
        <w:tc>
          <w:tcPr>
            <w:tcW w:w="134" w:type="pct"/>
            <w:shd w:val="clear" w:color="auto" w:fill="auto"/>
            <w:noWrap/>
            <w:vAlign w:val="center"/>
            <w:hideMark/>
          </w:tcPr>
          <w:p w14:paraId="6DDF5E23"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8</w:t>
            </w:r>
          </w:p>
        </w:tc>
        <w:tc>
          <w:tcPr>
            <w:tcW w:w="143" w:type="pct"/>
            <w:shd w:val="clear" w:color="auto" w:fill="auto"/>
            <w:noWrap/>
            <w:textDirection w:val="btLr"/>
            <w:vAlign w:val="center"/>
            <w:hideMark/>
          </w:tcPr>
          <w:p w14:paraId="2D2B5ABA"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General</w:t>
            </w:r>
          </w:p>
        </w:tc>
        <w:tc>
          <w:tcPr>
            <w:tcW w:w="143" w:type="pct"/>
            <w:shd w:val="clear" w:color="auto" w:fill="auto"/>
            <w:noWrap/>
            <w:textDirection w:val="btLr"/>
            <w:vAlign w:val="center"/>
            <w:hideMark/>
          </w:tcPr>
          <w:p w14:paraId="73446EB4"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43" w:type="pct"/>
            <w:shd w:val="clear" w:color="auto" w:fill="auto"/>
            <w:noWrap/>
            <w:textDirection w:val="btLr"/>
            <w:vAlign w:val="center"/>
            <w:hideMark/>
          </w:tcPr>
          <w:p w14:paraId="2357E721"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3" w:type="pct"/>
            <w:shd w:val="clear" w:color="auto" w:fill="auto"/>
            <w:noWrap/>
            <w:textDirection w:val="btLr"/>
            <w:vAlign w:val="center"/>
            <w:hideMark/>
          </w:tcPr>
          <w:p w14:paraId="7E4A9AA7"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Financiero</w:t>
            </w:r>
          </w:p>
        </w:tc>
        <w:tc>
          <w:tcPr>
            <w:tcW w:w="379" w:type="pct"/>
            <w:shd w:val="clear" w:color="auto" w:fill="auto"/>
            <w:vAlign w:val="center"/>
            <w:hideMark/>
          </w:tcPr>
          <w:p w14:paraId="0F1BE551"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 xml:space="preserve">Riesgo de consecución de financiación o riesgo de iliquidez. Los efectos favorables y desfavorables de la alteración de las condiciones de financiación como consecuencia de la variación en el entorno del mercado y la obtención de recursos para adelantar el objeto contractual serán por </w:t>
            </w:r>
            <w:r w:rsidRPr="00205749">
              <w:rPr>
                <w:rFonts w:ascii="Arial Narrow" w:hAnsi="Arial Narrow"/>
                <w:sz w:val="12"/>
                <w:szCs w:val="12"/>
                <w:lang w:eastAsia="es-CO"/>
              </w:rPr>
              <w:lastRenderedPageBreak/>
              <w:t>cuenta y riesgo del oferente adjudicatario.</w:t>
            </w:r>
          </w:p>
        </w:tc>
        <w:tc>
          <w:tcPr>
            <w:tcW w:w="379" w:type="pct"/>
            <w:shd w:val="clear" w:color="auto" w:fill="auto"/>
            <w:vAlign w:val="center"/>
            <w:hideMark/>
          </w:tcPr>
          <w:p w14:paraId="3C391697"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lastRenderedPageBreak/>
              <w:t>Retraso en la entrega de las obras a la entidad contratante.    mayor tiempo de ejecución del contrato</w:t>
            </w:r>
          </w:p>
        </w:tc>
        <w:tc>
          <w:tcPr>
            <w:tcW w:w="134" w:type="pct"/>
            <w:shd w:val="clear" w:color="auto" w:fill="auto"/>
            <w:noWrap/>
            <w:vAlign w:val="center"/>
            <w:hideMark/>
          </w:tcPr>
          <w:p w14:paraId="7524613D"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34" w:type="pct"/>
            <w:shd w:val="clear" w:color="auto" w:fill="auto"/>
            <w:noWrap/>
            <w:vAlign w:val="center"/>
            <w:hideMark/>
          </w:tcPr>
          <w:p w14:paraId="0FB35ED1"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34" w:type="pct"/>
            <w:shd w:val="clear" w:color="auto" w:fill="auto"/>
            <w:noWrap/>
            <w:vAlign w:val="center"/>
            <w:hideMark/>
          </w:tcPr>
          <w:p w14:paraId="6F4942ED"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3" w:type="pct"/>
            <w:shd w:val="clear" w:color="auto" w:fill="auto"/>
            <w:noWrap/>
            <w:textDirection w:val="btLr"/>
            <w:vAlign w:val="center"/>
            <w:hideMark/>
          </w:tcPr>
          <w:p w14:paraId="6899777B"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365" w:type="pct"/>
            <w:shd w:val="clear" w:color="auto" w:fill="auto"/>
            <w:vAlign w:val="center"/>
            <w:hideMark/>
          </w:tcPr>
          <w:p w14:paraId="62898D69"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El contratista deberá cubrir y soportar el 100% de la alteración de las condiciones de financiación</w:t>
            </w:r>
            <w:r>
              <w:rPr>
                <w:rFonts w:ascii="Arial Narrow" w:hAnsi="Arial Narrow"/>
                <w:sz w:val="12"/>
                <w:szCs w:val="12"/>
                <w:lang w:eastAsia="es-CO"/>
              </w:rPr>
              <w:t>.</w:t>
            </w:r>
          </w:p>
        </w:tc>
        <w:tc>
          <w:tcPr>
            <w:tcW w:w="395" w:type="pct"/>
            <w:shd w:val="clear" w:color="auto" w:fill="auto"/>
            <w:vAlign w:val="center"/>
            <w:hideMark/>
          </w:tcPr>
          <w:p w14:paraId="5202EC48"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Evaluar la necesidad o no de dar suspensión al contrato. de darse la suspensión originada por el contratista se procederá a analizar los motivos de la misma así como las medidas correctivas que deban tomarse y la valoración de los perjuicios que puedan ocasionarse con dicha suspensión</w:t>
            </w:r>
          </w:p>
        </w:tc>
        <w:tc>
          <w:tcPr>
            <w:tcW w:w="141" w:type="pct"/>
            <w:shd w:val="clear" w:color="auto" w:fill="auto"/>
            <w:noWrap/>
            <w:vAlign w:val="center"/>
            <w:hideMark/>
          </w:tcPr>
          <w:p w14:paraId="552F58A7"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1468D7FC"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1532A5CE"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2</w:t>
            </w:r>
          </w:p>
        </w:tc>
        <w:tc>
          <w:tcPr>
            <w:tcW w:w="143" w:type="pct"/>
            <w:shd w:val="clear" w:color="auto" w:fill="auto"/>
            <w:noWrap/>
            <w:textDirection w:val="btLr"/>
            <w:vAlign w:val="center"/>
            <w:hideMark/>
          </w:tcPr>
          <w:p w14:paraId="530F9FB5"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34" w:type="pct"/>
            <w:shd w:val="clear" w:color="auto" w:fill="auto"/>
            <w:vAlign w:val="center"/>
            <w:hideMark/>
          </w:tcPr>
          <w:p w14:paraId="196ED4B9"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No</w:t>
            </w:r>
          </w:p>
        </w:tc>
        <w:tc>
          <w:tcPr>
            <w:tcW w:w="351" w:type="pct"/>
            <w:shd w:val="clear" w:color="auto" w:fill="auto"/>
            <w:textDirection w:val="btLr"/>
            <w:vAlign w:val="bottom"/>
            <w:hideMark/>
          </w:tcPr>
          <w:p w14:paraId="4BE37B3F" w14:textId="77777777" w:rsidR="005C2E52" w:rsidRPr="00205749" w:rsidRDefault="005C2E52" w:rsidP="005C2E52">
            <w:pPr>
              <w:jc w:val="center"/>
              <w:rPr>
                <w:rFonts w:ascii="Arial Narrow" w:hAnsi="Arial Narrow"/>
                <w:sz w:val="12"/>
                <w:szCs w:val="12"/>
                <w:lang w:eastAsia="es-CO"/>
              </w:rPr>
            </w:pPr>
          </w:p>
          <w:p w14:paraId="70FC0902" w14:textId="77777777" w:rsidR="005C2E52" w:rsidRPr="00205749" w:rsidRDefault="005C2E52" w:rsidP="005C2E52">
            <w:pPr>
              <w:jc w:val="center"/>
              <w:rPr>
                <w:rFonts w:ascii="Arial Narrow" w:hAnsi="Arial Narrow"/>
                <w:sz w:val="12"/>
                <w:szCs w:val="12"/>
                <w:lang w:eastAsia="es-CO"/>
              </w:rPr>
            </w:pPr>
          </w:p>
          <w:p w14:paraId="0FF28BDD" w14:textId="77777777" w:rsidR="005C2E52" w:rsidRPr="00205749" w:rsidRDefault="005C2E52" w:rsidP="005C2E52">
            <w:pPr>
              <w:jc w:val="center"/>
              <w:rPr>
                <w:rFonts w:ascii="Arial Narrow" w:hAnsi="Arial Narrow"/>
                <w:sz w:val="12"/>
                <w:szCs w:val="12"/>
                <w:lang w:eastAsia="es-CO"/>
              </w:rPr>
            </w:pPr>
          </w:p>
          <w:p w14:paraId="66EC53C2"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 xml:space="preserve">Secretaría De </w:t>
            </w:r>
            <w:r>
              <w:rPr>
                <w:rFonts w:ascii="Arial Narrow" w:hAnsi="Arial Narrow"/>
                <w:sz w:val="12"/>
                <w:szCs w:val="12"/>
                <w:lang w:eastAsia="es-CO"/>
              </w:rPr>
              <w:t>Infraestructura</w:t>
            </w:r>
            <w:r w:rsidRPr="00205749">
              <w:rPr>
                <w:rFonts w:ascii="Arial Narrow" w:hAnsi="Arial Narrow"/>
                <w:sz w:val="12"/>
                <w:szCs w:val="12"/>
                <w:lang w:eastAsia="es-CO"/>
              </w:rPr>
              <w:t>/ Supervisión  o interventoría</w:t>
            </w:r>
          </w:p>
        </w:tc>
        <w:tc>
          <w:tcPr>
            <w:tcW w:w="367" w:type="pct"/>
            <w:shd w:val="clear" w:color="auto" w:fill="auto"/>
            <w:vAlign w:val="center"/>
            <w:hideMark/>
          </w:tcPr>
          <w:p w14:paraId="13561557"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Hasta el momento de perfeccionar el cambio normativo en el contrato</w:t>
            </w:r>
          </w:p>
        </w:tc>
        <w:tc>
          <w:tcPr>
            <w:tcW w:w="379" w:type="pct"/>
            <w:shd w:val="clear" w:color="auto" w:fill="auto"/>
            <w:vAlign w:val="center"/>
            <w:hideMark/>
          </w:tcPr>
          <w:p w14:paraId="687D789B"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Revisión periódica y actas de avance de obra.</w:t>
            </w:r>
          </w:p>
        </w:tc>
        <w:tc>
          <w:tcPr>
            <w:tcW w:w="288" w:type="pct"/>
            <w:shd w:val="clear" w:color="auto" w:fill="auto"/>
            <w:textDirection w:val="btLr"/>
            <w:vAlign w:val="center"/>
            <w:hideMark/>
          </w:tcPr>
          <w:p w14:paraId="3088AF85"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Mensual</w:t>
            </w:r>
          </w:p>
        </w:tc>
      </w:tr>
      <w:tr w:rsidR="005C2E52" w:rsidRPr="00205749" w14:paraId="1273A7DA" w14:textId="77777777" w:rsidTr="005C2E52">
        <w:trPr>
          <w:gridAfter w:val="1"/>
          <w:wAfter w:w="143" w:type="pct"/>
          <w:trHeight w:val="2887"/>
        </w:trPr>
        <w:tc>
          <w:tcPr>
            <w:tcW w:w="134" w:type="pct"/>
            <w:shd w:val="clear" w:color="auto" w:fill="auto"/>
            <w:noWrap/>
            <w:vAlign w:val="center"/>
            <w:hideMark/>
          </w:tcPr>
          <w:p w14:paraId="68F661CA"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9</w:t>
            </w:r>
          </w:p>
        </w:tc>
        <w:tc>
          <w:tcPr>
            <w:tcW w:w="143" w:type="pct"/>
            <w:shd w:val="clear" w:color="auto" w:fill="auto"/>
            <w:noWrap/>
            <w:textDirection w:val="btLr"/>
            <w:vAlign w:val="center"/>
            <w:hideMark/>
          </w:tcPr>
          <w:p w14:paraId="4F126177"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43" w:type="pct"/>
            <w:shd w:val="clear" w:color="auto" w:fill="auto"/>
            <w:noWrap/>
            <w:textDirection w:val="btLr"/>
            <w:vAlign w:val="center"/>
            <w:hideMark/>
          </w:tcPr>
          <w:p w14:paraId="0F31FF54"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43" w:type="pct"/>
            <w:shd w:val="clear" w:color="auto" w:fill="auto"/>
            <w:noWrap/>
            <w:textDirection w:val="btLr"/>
            <w:vAlign w:val="center"/>
            <w:hideMark/>
          </w:tcPr>
          <w:p w14:paraId="0C1CFEFA"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3" w:type="pct"/>
            <w:shd w:val="clear" w:color="auto" w:fill="auto"/>
            <w:noWrap/>
            <w:textDirection w:val="btLr"/>
            <w:vAlign w:val="center"/>
            <w:hideMark/>
          </w:tcPr>
          <w:p w14:paraId="4F6E7EE8"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Financiero</w:t>
            </w:r>
          </w:p>
        </w:tc>
        <w:tc>
          <w:tcPr>
            <w:tcW w:w="379" w:type="pct"/>
            <w:shd w:val="clear" w:color="auto" w:fill="auto"/>
            <w:vAlign w:val="center"/>
            <w:hideMark/>
          </w:tcPr>
          <w:p w14:paraId="5D076C10"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Riesgos por variación en los precios de equipos, materiales e insumos. Este riesgo puede presentarse por la variación en los precios de mercado de los equipos, materiales, e insumos utilizados para la ejecución del proyecto.</w:t>
            </w:r>
          </w:p>
        </w:tc>
        <w:tc>
          <w:tcPr>
            <w:tcW w:w="379" w:type="pct"/>
            <w:shd w:val="clear" w:color="auto" w:fill="auto"/>
            <w:vAlign w:val="center"/>
            <w:hideMark/>
          </w:tcPr>
          <w:p w14:paraId="00C97D3B"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variación del presupuesto inicial presentado, por parte del contratista</w:t>
            </w:r>
          </w:p>
        </w:tc>
        <w:tc>
          <w:tcPr>
            <w:tcW w:w="134" w:type="pct"/>
            <w:shd w:val="clear" w:color="auto" w:fill="auto"/>
            <w:noWrap/>
            <w:vAlign w:val="center"/>
            <w:hideMark/>
          </w:tcPr>
          <w:p w14:paraId="4CD5E4A0"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34" w:type="pct"/>
            <w:shd w:val="clear" w:color="auto" w:fill="auto"/>
            <w:noWrap/>
            <w:vAlign w:val="center"/>
            <w:hideMark/>
          </w:tcPr>
          <w:p w14:paraId="44B09DB3"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34" w:type="pct"/>
            <w:shd w:val="clear" w:color="auto" w:fill="auto"/>
            <w:noWrap/>
            <w:vAlign w:val="center"/>
            <w:hideMark/>
          </w:tcPr>
          <w:p w14:paraId="469EBD95"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4</w:t>
            </w:r>
          </w:p>
        </w:tc>
        <w:tc>
          <w:tcPr>
            <w:tcW w:w="143" w:type="pct"/>
            <w:shd w:val="clear" w:color="auto" w:fill="auto"/>
            <w:noWrap/>
            <w:textDirection w:val="btLr"/>
            <w:vAlign w:val="center"/>
            <w:hideMark/>
          </w:tcPr>
          <w:p w14:paraId="52DBEA00"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365" w:type="pct"/>
            <w:shd w:val="clear" w:color="auto" w:fill="auto"/>
            <w:vAlign w:val="center"/>
            <w:hideMark/>
          </w:tcPr>
          <w:p w14:paraId="59ACD8EA" w14:textId="77777777" w:rsidR="005C2E52" w:rsidRPr="00205749" w:rsidRDefault="005C2E52" w:rsidP="005C2E52">
            <w:pPr>
              <w:rPr>
                <w:rFonts w:ascii="Arial Narrow" w:hAnsi="Arial Narrow"/>
                <w:sz w:val="12"/>
                <w:szCs w:val="12"/>
                <w:lang w:eastAsia="es-CO"/>
              </w:rPr>
            </w:pPr>
            <w:r w:rsidRPr="00AD3332">
              <w:rPr>
                <w:rFonts w:ascii="Arial Narrow" w:hAnsi="Arial Narrow"/>
                <w:sz w:val="12"/>
                <w:szCs w:val="12"/>
                <w:lang w:eastAsia="es-CO"/>
              </w:rPr>
              <w:t>Este riesgo y sus consecuencias serán compartidas.</w:t>
            </w:r>
          </w:p>
        </w:tc>
        <w:tc>
          <w:tcPr>
            <w:tcW w:w="395" w:type="pct"/>
            <w:shd w:val="clear" w:color="auto" w:fill="auto"/>
            <w:vAlign w:val="center"/>
            <w:hideMark/>
          </w:tcPr>
          <w:p w14:paraId="570A7DD2"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Revisión y evaluación del o las variaciones en los costos presentados por el contratista, que permitan la evaluación, perjuicios y posterior toma de decisiones como las medidas correctivas</w:t>
            </w:r>
            <w:r>
              <w:rPr>
                <w:rFonts w:ascii="Arial Narrow" w:hAnsi="Arial Narrow"/>
                <w:sz w:val="12"/>
                <w:szCs w:val="12"/>
                <w:lang w:eastAsia="es-CO"/>
              </w:rPr>
              <w:t>.  Actualizar y reajustar los precios, con el fin de mantener la ecuación contractual, tomando las medidas que indican los artículos 4,5 y 27 de la Ley 80 de 1993.</w:t>
            </w:r>
          </w:p>
        </w:tc>
        <w:tc>
          <w:tcPr>
            <w:tcW w:w="141" w:type="pct"/>
            <w:shd w:val="clear" w:color="auto" w:fill="auto"/>
            <w:noWrap/>
            <w:vAlign w:val="center"/>
            <w:hideMark/>
          </w:tcPr>
          <w:p w14:paraId="4889C1F2"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67E246E4"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6EC67AD5"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3" w:type="pct"/>
            <w:shd w:val="clear" w:color="auto" w:fill="auto"/>
            <w:noWrap/>
            <w:textDirection w:val="btLr"/>
            <w:vAlign w:val="center"/>
            <w:hideMark/>
          </w:tcPr>
          <w:p w14:paraId="4F632DB2"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34" w:type="pct"/>
            <w:shd w:val="clear" w:color="auto" w:fill="auto"/>
            <w:vAlign w:val="center"/>
            <w:hideMark/>
          </w:tcPr>
          <w:p w14:paraId="2ADCEA4B"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51" w:type="pct"/>
            <w:shd w:val="clear" w:color="auto" w:fill="auto"/>
            <w:textDirection w:val="btLr"/>
            <w:vAlign w:val="center"/>
            <w:hideMark/>
          </w:tcPr>
          <w:p w14:paraId="781516E9"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 xml:space="preserve">Secretaría De </w:t>
            </w:r>
            <w:r>
              <w:rPr>
                <w:rFonts w:ascii="Arial Narrow" w:hAnsi="Arial Narrow"/>
                <w:sz w:val="12"/>
                <w:szCs w:val="12"/>
                <w:lang w:eastAsia="es-CO"/>
              </w:rPr>
              <w:t>Infraestructura</w:t>
            </w:r>
            <w:r w:rsidRPr="00205749">
              <w:rPr>
                <w:rFonts w:ascii="Arial Narrow" w:hAnsi="Arial Narrow"/>
                <w:sz w:val="12"/>
                <w:szCs w:val="12"/>
                <w:lang w:eastAsia="es-CO"/>
              </w:rPr>
              <w:t>/ Supervisión  o interventoría</w:t>
            </w:r>
          </w:p>
        </w:tc>
        <w:tc>
          <w:tcPr>
            <w:tcW w:w="367" w:type="pct"/>
            <w:shd w:val="clear" w:color="auto" w:fill="auto"/>
            <w:vAlign w:val="center"/>
            <w:hideMark/>
          </w:tcPr>
          <w:p w14:paraId="5C1CD66A"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Hasta el momento de perfeccionar el cambio normativo en el contrato</w:t>
            </w:r>
          </w:p>
        </w:tc>
        <w:tc>
          <w:tcPr>
            <w:tcW w:w="379" w:type="pct"/>
            <w:shd w:val="clear" w:color="auto" w:fill="auto"/>
            <w:vAlign w:val="center"/>
            <w:hideMark/>
          </w:tcPr>
          <w:p w14:paraId="595A7E64"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Revisión Periódica</w:t>
            </w:r>
          </w:p>
        </w:tc>
        <w:tc>
          <w:tcPr>
            <w:tcW w:w="288" w:type="pct"/>
            <w:shd w:val="clear" w:color="auto" w:fill="auto"/>
            <w:textDirection w:val="btLr"/>
            <w:vAlign w:val="center"/>
            <w:hideMark/>
          </w:tcPr>
          <w:p w14:paraId="7FAFB304"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Mensual</w:t>
            </w:r>
          </w:p>
        </w:tc>
      </w:tr>
      <w:tr w:rsidR="005C2E52" w:rsidRPr="00205749" w14:paraId="3B766426" w14:textId="77777777" w:rsidTr="005C2E52">
        <w:trPr>
          <w:gridAfter w:val="1"/>
          <w:wAfter w:w="143" w:type="pct"/>
          <w:trHeight w:val="2687"/>
        </w:trPr>
        <w:tc>
          <w:tcPr>
            <w:tcW w:w="134" w:type="pct"/>
            <w:shd w:val="clear" w:color="auto" w:fill="auto"/>
            <w:noWrap/>
            <w:vAlign w:val="center"/>
            <w:hideMark/>
          </w:tcPr>
          <w:p w14:paraId="79FB125C"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10</w:t>
            </w:r>
          </w:p>
        </w:tc>
        <w:tc>
          <w:tcPr>
            <w:tcW w:w="143" w:type="pct"/>
            <w:shd w:val="clear" w:color="auto" w:fill="auto"/>
            <w:noWrap/>
            <w:textDirection w:val="btLr"/>
            <w:vAlign w:val="center"/>
            <w:hideMark/>
          </w:tcPr>
          <w:p w14:paraId="2FFC4E28"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43" w:type="pct"/>
            <w:shd w:val="clear" w:color="auto" w:fill="auto"/>
            <w:noWrap/>
            <w:textDirection w:val="btLr"/>
            <w:vAlign w:val="center"/>
            <w:hideMark/>
          </w:tcPr>
          <w:p w14:paraId="7D4F1C62"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43" w:type="pct"/>
            <w:shd w:val="clear" w:color="auto" w:fill="auto"/>
            <w:noWrap/>
            <w:textDirection w:val="btLr"/>
            <w:vAlign w:val="center"/>
            <w:hideMark/>
          </w:tcPr>
          <w:p w14:paraId="5F00E338"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3" w:type="pct"/>
            <w:shd w:val="clear" w:color="auto" w:fill="auto"/>
            <w:noWrap/>
            <w:textDirection w:val="btLr"/>
            <w:vAlign w:val="center"/>
            <w:hideMark/>
          </w:tcPr>
          <w:p w14:paraId="4019D2DB"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Operacional</w:t>
            </w:r>
          </w:p>
        </w:tc>
        <w:tc>
          <w:tcPr>
            <w:tcW w:w="379" w:type="pct"/>
            <w:shd w:val="clear" w:color="auto" w:fill="auto"/>
            <w:vAlign w:val="center"/>
            <w:hideMark/>
          </w:tcPr>
          <w:p w14:paraId="39BAEA89"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Riesgos por la variación de las cantidades de obra. Este riesgo se presenta durante la ejecución del proyecto. Puede generarse por variación en las condiciones del terreno, por cambios en las especificaciones técnicas durante la ejecución</w:t>
            </w:r>
          </w:p>
        </w:tc>
        <w:tc>
          <w:tcPr>
            <w:tcW w:w="379" w:type="pct"/>
            <w:shd w:val="clear" w:color="auto" w:fill="auto"/>
            <w:vAlign w:val="center"/>
            <w:hideMark/>
          </w:tcPr>
          <w:p w14:paraId="52C44E7A"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Al modificarse las cantidades de obra inicialmente proyectadas se puede afectar el plazo de entrega inicialmente pactado y a la vez se pueden generar sobre costos por ejecución de cantidades de obra no previstas inicialmente.</w:t>
            </w:r>
          </w:p>
        </w:tc>
        <w:tc>
          <w:tcPr>
            <w:tcW w:w="134" w:type="pct"/>
            <w:shd w:val="clear" w:color="auto" w:fill="auto"/>
            <w:noWrap/>
            <w:vAlign w:val="center"/>
            <w:hideMark/>
          </w:tcPr>
          <w:p w14:paraId="50038DD0"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2</w:t>
            </w:r>
          </w:p>
        </w:tc>
        <w:tc>
          <w:tcPr>
            <w:tcW w:w="134" w:type="pct"/>
            <w:shd w:val="clear" w:color="auto" w:fill="auto"/>
            <w:noWrap/>
            <w:vAlign w:val="center"/>
            <w:hideMark/>
          </w:tcPr>
          <w:p w14:paraId="33644931"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3</w:t>
            </w:r>
          </w:p>
        </w:tc>
        <w:tc>
          <w:tcPr>
            <w:tcW w:w="134" w:type="pct"/>
            <w:shd w:val="clear" w:color="auto" w:fill="auto"/>
            <w:noWrap/>
            <w:vAlign w:val="center"/>
            <w:hideMark/>
          </w:tcPr>
          <w:p w14:paraId="2958B478"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5</w:t>
            </w:r>
          </w:p>
        </w:tc>
        <w:tc>
          <w:tcPr>
            <w:tcW w:w="143" w:type="pct"/>
            <w:shd w:val="clear" w:color="auto" w:fill="auto"/>
            <w:noWrap/>
            <w:textDirection w:val="btLr"/>
            <w:vAlign w:val="center"/>
            <w:hideMark/>
          </w:tcPr>
          <w:p w14:paraId="4B102700"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Medio</w:t>
            </w:r>
          </w:p>
        </w:tc>
        <w:tc>
          <w:tcPr>
            <w:tcW w:w="365" w:type="pct"/>
            <w:shd w:val="clear" w:color="auto" w:fill="auto"/>
            <w:vAlign w:val="center"/>
            <w:hideMark/>
          </w:tcPr>
          <w:p w14:paraId="45B508CF" w14:textId="77777777" w:rsidR="005C2E52" w:rsidRPr="00205749" w:rsidRDefault="005C2E52" w:rsidP="005C2E52">
            <w:pPr>
              <w:rPr>
                <w:rFonts w:ascii="Arial Narrow" w:hAnsi="Arial Narrow"/>
                <w:sz w:val="12"/>
                <w:szCs w:val="12"/>
                <w:lang w:eastAsia="es-CO"/>
              </w:rPr>
            </w:pPr>
            <w:r w:rsidRPr="00AD3332">
              <w:rPr>
                <w:rFonts w:ascii="Arial Narrow" w:hAnsi="Arial Narrow"/>
                <w:sz w:val="12"/>
                <w:szCs w:val="12"/>
                <w:lang w:eastAsia="es-CO"/>
              </w:rPr>
              <w:t>En caso que las cantidades de obras se modifiquen por una situación que pudo ser prevista por el contratista, ante la omisión o deficiencias en la ejecución de la obra, éste deberá asumir la totalidad del riesgo. En caso contrario será evaluado por el Municipio.</w:t>
            </w:r>
          </w:p>
        </w:tc>
        <w:tc>
          <w:tcPr>
            <w:tcW w:w="395" w:type="pct"/>
            <w:shd w:val="clear" w:color="auto" w:fill="auto"/>
            <w:vAlign w:val="center"/>
            <w:hideMark/>
          </w:tcPr>
          <w:p w14:paraId="4D1FD6EC"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Evaluación de las actas parciales e informes periódicos de ejecución del contrato.</w:t>
            </w:r>
          </w:p>
        </w:tc>
        <w:tc>
          <w:tcPr>
            <w:tcW w:w="141" w:type="pct"/>
            <w:shd w:val="clear" w:color="auto" w:fill="auto"/>
            <w:noWrap/>
            <w:vAlign w:val="center"/>
            <w:hideMark/>
          </w:tcPr>
          <w:p w14:paraId="598500E3"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5E7FE68B"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6BBC59C8"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2</w:t>
            </w:r>
          </w:p>
        </w:tc>
        <w:tc>
          <w:tcPr>
            <w:tcW w:w="143" w:type="pct"/>
            <w:shd w:val="clear" w:color="auto" w:fill="auto"/>
            <w:noWrap/>
            <w:textDirection w:val="btLr"/>
            <w:vAlign w:val="center"/>
            <w:hideMark/>
          </w:tcPr>
          <w:p w14:paraId="33CD2E17"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34" w:type="pct"/>
            <w:shd w:val="clear" w:color="auto" w:fill="auto"/>
            <w:vAlign w:val="center"/>
            <w:hideMark/>
          </w:tcPr>
          <w:p w14:paraId="616DF980"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51" w:type="pct"/>
            <w:shd w:val="clear" w:color="auto" w:fill="auto"/>
            <w:textDirection w:val="btLr"/>
            <w:vAlign w:val="center"/>
            <w:hideMark/>
          </w:tcPr>
          <w:p w14:paraId="530998D6"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Secretaría De</w:t>
            </w:r>
            <w:r>
              <w:rPr>
                <w:rFonts w:ascii="Arial Narrow" w:hAnsi="Arial Narrow"/>
                <w:sz w:val="12"/>
                <w:szCs w:val="12"/>
                <w:lang w:eastAsia="es-CO"/>
              </w:rPr>
              <w:t>l</w:t>
            </w:r>
            <w:r w:rsidRPr="00205749">
              <w:rPr>
                <w:rFonts w:ascii="Arial Narrow" w:hAnsi="Arial Narrow"/>
                <w:sz w:val="12"/>
                <w:szCs w:val="12"/>
                <w:lang w:eastAsia="es-CO"/>
              </w:rPr>
              <w:t xml:space="preserve"> </w:t>
            </w:r>
            <w:r>
              <w:rPr>
                <w:rFonts w:ascii="Arial Narrow" w:hAnsi="Arial Narrow"/>
                <w:sz w:val="12"/>
                <w:szCs w:val="12"/>
                <w:lang w:eastAsia="es-CO"/>
              </w:rPr>
              <w:t xml:space="preserve">Deporte </w:t>
            </w:r>
            <w:r w:rsidRPr="00205749">
              <w:rPr>
                <w:rFonts w:ascii="Arial Narrow" w:hAnsi="Arial Narrow"/>
                <w:sz w:val="12"/>
                <w:szCs w:val="12"/>
                <w:lang w:eastAsia="es-CO"/>
              </w:rPr>
              <w:t>/ Supervisión  o interventoría</w:t>
            </w:r>
          </w:p>
        </w:tc>
        <w:tc>
          <w:tcPr>
            <w:tcW w:w="367" w:type="pct"/>
            <w:shd w:val="clear" w:color="auto" w:fill="auto"/>
            <w:vAlign w:val="center"/>
            <w:hideMark/>
          </w:tcPr>
          <w:p w14:paraId="323934D1"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Al finalizar la etapa de pre construcción</w:t>
            </w:r>
          </w:p>
        </w:tc>
        <w:tc>
          <w:tcPr>
            <w:tcW w:w="379" w:type="pct"/>
            <w:shd w:val="clear" w:color="auto" w:fill="auto"/>
            <w:vAlign w:val="center"/>
            <w:hideMark/>
          </w:tcPr>
          <w:p w14:paraId="57ABFF0E"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Verificación del avance físico y avance presupuestal del proyecto respecto de la planificación inicial</w:t>
            </w:r>
          </w:p>
        </w:tc>
        <w:tc>
          <w:tcPr>
            <w:tcW w:w="288" w:type="pct"/>
            <w:shd w:val="clear" w:color="auto" w:fill="auto"/>
            <w:textDirection w:val="btLr"/>
            <w:vAlign w:val="center"/>
            <w:hideMark/>
          </w:tcPr>
          <w:p w14:paraId="7C64A0B6"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una vez se cumpla la mitad del plazo contractual</w:t>
            </w:r>
          </w:p>
        </w:tc>
      </w:tr>
      <w:tr w:rsidR="005C2E52" w:rsidRPr="00205749" w14:paraId="64899653" w14:textId="77777777" w:rsidTr="005C2E52">
        <w:trPr>
          <w:gridAfter w:val="1"/>
          <w:wAfter w:w="143" w:type="pct"/>
          <w:trHeight w:val="2541"/>
        </w:trPr>
        <w:tc>
          <w:tcPr>
            <w:tcW w:w="134" w:type="pct"/>
            <w:shd w:val="clear" w:color="auto" w:fill="auto"/>
            <w:noWrap/>
            <w:vAlign w:val="center"/>
            <w:hideMark/>
          </w:tcPr>
          <w:p w14:paraId="47ECCD5C"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lastRenderedPageBreak/>
              <w:t>11</w:t>
            </w:r>
          </w:p>
        </w:tc>
        <w:tc>
          <w:tcPr>
            <w:tcW w:w="143" w:type="pct"/>
            <w:shd w:val="clear" w:color="auto" w:fill="auto"/>
            <w:noWrap/>
            <w:textDirection w:val="btLr"/>
            <w:vAlign w:val="center"/>
            <w:hideMark/>
          </w:tcPr>
          <w:p w14:paraId="628F2E2B"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43" w:type="pct"/>
            <w:shd w:val="clear" w:color="auto" w:fill="auto"/>
            <w:noWrap/>
            <w:textDirection w:val="btLr"/>
            <w:vAlign w:val="center"/>
            <w:hideMark/>
          </w:tcPr>
          <w:p w14:paraId="29EB091B"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Interna</w:t>
            </w:r>
          </w:p>
        </w:tc>
        <w:tc>
          <w:tcPr>
            <w:tcW w:w="143" w:type="pct"/>
            <w:shd w:val="clear" w:color="auto" w:fill="auto"/>
            <w:noWrap/>
            <w:textDirection w:val="btLr"/>
            <w:vAlign w:val="center"/>
            <w:hideMark/>
          </w:tcPr>
          <w:p w14:paraId="38C91059"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3" w:type="pct"/>
            <w:shd w:val="clear" w:color="auto" w:fill="auto"/>
            <w:noWrap/>
            <w:textDirection w:val="btLr"/>
            <w:vAlign w:val="center"/>
            <w:hideMark/>
          </w:tcPr>
          <w:p w14:paraId="1485015F"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Operacional</w:t>
            </w:r>
          </w:p>
        </w:tc>
        <w:tc>
          <w:tcPr>
            <w:tcW w:w="379" w:type="pct"/>
            <w:shd w:val="clear" w:color="auto" w:fill="auto"/>
            <w:vAlign w:val="center"/>
            <w:hideMark/>
          </w:tcPr>
          <w:p w14:paraId="4D926796"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Riesgos por la modificación de estudios, diseños y especificaciones técnicas.  este riesgo puede evidenciarse durante la ejecución del proyecto y se pueden presentar variaciones en el diseño planteado inicialmente</w:t>
            </w:r>
          </w:p>
        </w:tc>
        <w:tc>
          <w:tcPr>
            <w:tcW w:w="379" w:type="pct"/>
            <w:shd w:val="clear" w:color="auto" w:fill="auto"/>
            <w:vAlign w:val="center"/>
            <w:hideMark/>
          </w:tcPr>
          <w:p w14:paraId="049CC9AD"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La modificación de los diseños puede impactar el cronograma y el costo inicialmente planificado en el contrato</w:t>
            </w:r>
          </w:p>
        </w:tc>
        <w:tc>
          <w:tcPr>
            <w:tcW w:w="134" w:type="pct"/>
            <w:shd w:val="clear" w:color="auto" w:fill="auto"/>
            <w:noWrap/>
            <w:vAlign w:val="center"/>
            <w:hideMark/>
          </w:tcPr>
          <w:p w14:paraId="0DF19FB5"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3</w:t>
            </w:r>
          </w:p>
        </w:tc>
        <w:tc>
          <w:tcPr>
            <w:tcW w:w="134" w:type="pct"/>
            <w:shd w:val="clear" w:color="auto" w:fill="auto"/>
            <w:noWrap/>
            <w:vAlign w:val="center"/>
            <w:hideMark/>
          </w:tcPr>
          <w:p w14:paraId="09889C87"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34" w:type="pct"/>
            <w:shd w:val="clear" w:color="auto" w:fill="auto"/>
            <w:noWrap/>
            <w:vAlign w:val="center"/>
            <w:hideMark/>
          </w:tcPr>
          <w:p w14:paraId="58E99C3E"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5</w:t>
            </w:r>
          </w:p>
        </w:tc>
        <w:tc>
          <w:tcPr>
            <w:tcW w:w="143" w:type="pct"/>
            <w:shd w:val="clear" w:color="auto" w:fill="auto"/>
            <w:noWrap/>
            <w:textDirection w:val="btLr"/>
            <w:vAlign w:val="center"/>
            <w:hideMark/>
          </w:tcPr>
          <w:p w14:paraId="151BCF04"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Medio</w:t>
            </w:r>
          </w:p>
        </w:tc>
        <w:tc>
          <w:tcPr>
            <w:tcW w:w="365" w:type="pct"/>
            <w:shd w:val="clear" w:color="auto" w:fill="auto"/>
            <w:vAlign w:val="center"/>
            <w:hideMark/>
          </w:tcPr>
          <w:p w14:paraId="66E193C8"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Este riesgo es compartido por el municipio y el contratista</w:t>
            </w:r>
          </w:p>
        </w:tc>
        <w:tc>
          <w:tcPr>
            <w:tcW w:w="395" w:type="pct"/>
            <w:shd w:val="clear" w:color="auto" w:fill="auto"/>
            <w:vAlign w:val="center"/>
            <w:hideMark/>
          </w:tcPr>
          <w:p w14:paraId="76EF5CDC"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El contratista debe verificar en detalle la coherencia y vigencia de los estudios y diseños iniciales</w:t>
            </w:r>
          </w:p>
        </w:tc>
        <w:tc>
          <w:tcPr>
            <w:tcW w:w="141" w:type="pct"/>
            <w:shd w:val="clear" w:color="auto" w:fill="auto"/>
            <w:noWrap/>
            <w:vAlign w:val="center"/>
            <w:hideMark/>
          </w:tcPr>
          <w:p w14:paraId="57CA51C4"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07AFB123"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7A2B3286"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3" w:type="pct"/>
            <w:shd w:val="clear" w:color="auto" w:fill="auto"/>
            <w:noWrap/>
            <w:textDirection w:val="btLr"/>
            <w:vAlign w:val="center"/>
            <w:hideMark/>
          </w:tcPr>
          <w:p w14:paraId="663E4254"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34" w:type="pct"/>
            <w:shd w:val="clear" w:color="auto" w:fill="auto"/>
            <w:vAlign w:val="center"/>
            <w:hideMark/>
          </w:tcPr>
          <w:p w14:paraId="7D836FE5"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51" w:type="pct"/>
            <w:shd w:val="clear" w:color="auto" w:fill="auto"/>
            <w:textDirection w:val="btLr"/>
            <w:vAlign w:val="center"/>
            <w:hideMark/>
          </w:tcPr>
          <w:p w14:paraId="3668AD29"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Contratista  / Secretaría de</w:t>
            </w:r>
            <w:r>
              <w:rPr>
                <w:rFonts w:ascii="Arial Narrow" w:hAnsi="Arial Narrow"/>
                <w:sz w:val="12"/>
                <w:szCs w:val="12"/>
                <w:lang w:eastAsia="es-CO"/>
              </w:rPr>
              <w:t>l</w:t>
            </w:r>
            <w:r w:rsidRPr="00205749">
              <w:rPr>
                <w:rFonts w:ascii="Arial Narrow" w:hAnsi="Arial Narrow"/>
                <w:sz w:val="12"/>
                <w:szCs w:val="12"/>
                <w:lang w:eastAsia="es-CO"/>
              </w:rPr>
              <w:t xml:space="preserve"> </w:t>
            </w:r>
            <w:r>
              <w:rPr>
                <w:rFonts w:ascii="Arial Narrow" w:hAnsi="Arial Narrow"/>
                <w:sz w:val="12"/>
                <w:szCs w:val="12"/>
                <w:lang w:eastAsia="es-CO"/>
              </w:rPr>
              <w:t>Deporte,</w:t>
            </w:r>
            <w:r w:rsidRPr="00205749">
              <w:rPr>
                <w:rFonts w:ascii="Arial Narrow" w:hAnsi="Arial Narrow"/>
                <w:sz w:val="12"/>
                <w:szCs w:val="12"/>
                <w:lang w:eastAsia="es-CO"/>
              </w:rPr>
              <w:t xml:space="preserve">  Supervisión o interventoría   del contrato</w:t>
            </w:r>
          </w:p>
        </w:tc>
        <w:tc>
          <w:tcPr>
            <w:tcW w:w="367" w:type="pct"/>
            <w:shd w:val="clear" w:color="auto" w:fill="auto"/>
            <w:vAlign w:val="center"/>
            <w:hideMark/>
          </w:tcPr>
          <w:p w14:paraId="68C7D93B"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Al finalizar la etapa de preconstrucción</w:t>
            </w:r>
          </w:p>
        </w:tc>
        <w:tc>
          <w:tcPr>
            <w:tcW w:w="379" w:type="pct"/>
            <w:shd w:val="clear" w:color="auto" w:fill="auto"/>
            <w:vAlign w:val="center"/>
            <w:hideMark/>
          </w:tcPr>
          <w:p w14:paraId="55E59662"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Verificación de avance físico y avance presupuestal del proyecto respecto de la planificación inicial</w:t>
            </w:r>
          </w:p>
        </w:tc>
        <w:tc>
          <w:tcPr>
            <w:tcW w:w="288" w:type="pct"/>
            <w:shd w:val="clear" w:color="auto" w:fill="auto"/>
            <w:textDirection w:val="btLr"/>
            <w:vAlign w:val="center"/>
            <w:hideMark/>
          </w:tcPr>
          <w:p w14:paraId="63C7014B"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una vez , se cumpla la mitad del plazo contractual</w:t>
            </w:r>
          </w:p>
        </w:tc>
      </w:tr>
      <w:tr w:rsidR="005C2E52" w:rsidRPr="00205749" w14:paraId="703B55CB" w14:textId="77777777" w:rsidTr="005C2E52">
        <w:trPr>
          <w:gridAfter w:val="1"/>
          <w:wAfter w:w="143" w:type="pct"/>
          <w:trHeight w:val="2604"/>
        </w:trPr>
        <w:tc>
          <w:tcPr>
            <w:tcW w:w="134" w:type="pct"/>
            <w:shd w:val="clear" w:color="auto" w:fill="auto"/>
            <w:noWrap/>
            <w:vAlign w:val="center"/>
            <w:hideMark/>
          </w:tcPr>
          <w:p w14:paraId="0D58E691"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12</w:t>
            </w:r>
          </w:p>
        </w:tc>
        <w:tc>
          <w:tcPr>
            <w:tcW w:w="143" w:type="pct"/>
            <w:shd w:val="clear" w:color="auto" w:fill="auto"/>
            <w:noWrap/>
            <w:textDirection w:val="btLr"/>
            <w:vAlign w:val="center"/>
            <w:hideMark/>
          </w:tcPr>
          <w:p w14:paraId="2691F82F"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43" w:type="pct"/>
            <w:shd w:val="clear" w:color="auto" w:fill="auto"/>
            <w:noWrap/>
            <w:textDirection w:val="btLr"/>
            <w:vAlign w:val="center"/>
            <w:hideMark/>
          </w:tcPr>
          <w:p w14:paraId="48EADCB2"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interna</w:t>
            </w:r>
          </w:p>
        </w:tc>
        <w:tc>
          <w:tcPr>
            <w:tcW w:w="143" w:type="pct"/>
            <w:shd w:val="clear" w:color="auto" w:fill="auto"/>
            <w:noWrap/>
            <w:textDirection w:val="btLr"/>
            <w:vAlign w:val="center"/>
            <w:hideMark/>
          </w:tcPr>
          <w:p w14:paraId="75216649"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3" w:type="pct"/>
            <w:shd w:val="clear" w:color="auto" w:fill="auto"/>
            <w:noWrap/>
            <w:textDirection w:val="btLr"/>
            <w:vAlign w:val="center"/>
            <w:hideMark/>
          </w:tcPr>
          <w:p w14:paraId="1D5E059E"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operacional</w:t>
            </w:r>
          </w:p>
        </w:tc>
        <w:tc>
          <w:tcPr>
            <w:tcW w:w="379" w:type="pct"/>
            <w:shd w:val="clear" w:color="auto" w:fill="auto"/>
            <w:vAlign w:val="center"/>
            <w:hideMark/>
          </w:tcPr>
          <w:p w14:paraId="3B0A450E"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Riesgo por la falta de idoneidad de la mano de obra.  Este riesgo se presenta cuando el personal que labora en la ejecución del proyecto no es el idóneo para realizar las actividades propias del proyecto, y no cumplen con los aspectos técnicos solicitados por la administración municipal</w:t>
            </w:r>
          </w:p>
        </w:tc>
        <w:tc>
          <w:tcPr>
            <w:tcW w:w="379" w:type="pct"/>
            <w:shd w:val="clear" w:color="auto" w:fill="auto"/>
            <w:vAlign w:val="center"/>
            <w:hideMark/>
          </w:tcPr>
          <w:p w14:paraId="14080EF1"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Se puede ver afectada la calidad de los trabajos, no cumpliendo de esta manera las especificaciones técnicas del proyecto y la normatividad vigente que rige el desarrollo del tipo de obras a ejecutar en el contrato</w:t>
            </w:r>
          </w:p>
        </w:tc>
        <w:tc>
          <w:tcPr>
            <w:tcW w:w="134" w:type="pct"/>
            <w:shd w:val="clear" w:color="auto" w:fill="auto"/>
            <w:noWrap/>
            <w:vAlign w:val="center"/>
            <w:hideMark/>
          </w:tcPr>
          <w:p w14:paraId="1431F9C3"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34" w:type="pct"/>
            <w:shd w:val="clear" w:color="auto" w:fill="auto"/>
            <w:noWrap/>
            <w:vAlign w:val="center"/>
            <w:hideMark/>
          </w:tcPr>
          <w:p w14:paraId="5C4768E2"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34" w:type="pct"/>
            <w:shd w:val="clear" w:color="auto" w:fill="auto"/>
            <w:noWrap/>
            <w:vAlign w:val="center"/>
            <w:hideMark/>
          </w:tcPr>
          <w:p w14:paraId="3A8F8509"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3" w:type="pct"/>
            <w:shd w:val="clear" w:color="auto" w:fill="auto"/>
            <w:noWrap/>
            <w:textDirection w:val="btLr"/>
            <w:vAlign w:val="center"/>
            <w:hideMark/>
          </w:tcPr>
          <w:p w14:paraId="2EEF896E"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365" w:type="pct"/>
            <w:shd w:val="clear" w:color="auto" w:fill="auto"/>
            <w:vAlign w:val="center"/>
            <w:hideMark/>
          </w:tcPr>
          <w:p w14:paraId="36780EAA"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Este riesgo y sus consecuencias serán asumidos en su totalidad por el contratista</w:t>
            </w:r>
          </w:p>
        </w:tc>
        <w:tc>
          <w:tcPr>
            <w:tcW w:w="395" w:type="pct"/>
            <w:shd w:val="clear" w:color="auto" w:fill="auto"/>
            <w:vAlign w:val="center"/>
            <w:hideMark/>
          </w:tcPr>
          <w:p w14:paraId="36D75119"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La experiencia específica requerida por parte dela entidad para los proponentes debe garantizar la idoneidad de la mano de obra que  se asignará para la ejecución de las actividades del contrato</w:t>
            </w:r>
          </w:p>
        </w:tc>
        <w:tc>
          <w:tcPr>
            <w:tcW w:w="141" w:type="pct"/>
            <w:shd w:val="clear" w:color="auto" w:fill="auto"/>
            <w:noWrap/>
            <w:vAlign w:val="center"/>
            <w:hideMark/>
          </w:tcPr>
          <w:p w14:paraId="7D4EEE8A"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582228C1"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3182616F"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3" w:type="pct"/>
            <w:shd w:val="clear" w:color="auto" w:fill="auto"/>
            <w:noWrap/>
            <w:textDirection w:val="btLr"/>
            <w:vAlign w:val="center"/>
            <w:hideMark/>
          </w:tcPr>
          <w:p w14:paraId="71E0B9AF"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34" w:type="pct"/>
            <w:shd w:val="clear" w:color="auto" w:fill="auto"/>
            <w:vAlign w:val="center"/>
            <w:hideMark/>
          </w:tcPr>
          <w:p w14:paraId="55407106"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51" w:type="pct"/>
            <w:shd w:val="clear" w:color="auto" w:fill="auto"/>
            <w:textDirection w:val="btLr"/>
            <w:vAlign w:val="center"/>
            <w:hideMark/>
          </w:tcPr>
          <w:p w14:paraId="243CD629"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 xml:space="preserve">Contratista  / Secretaría de </w:t>
            </w:r>
            <w:r>
              <w:rPr>
                <w:rFonts w:ascii="Arial Narrow" w:hAnsi="Arial Narrow"/>
                <w:sz w:val="12"/>
                <w:szCs w:val="12"/>
                <w:lang w:eastAsia="es-CO"/>
              </w:rPr>
              <w:t>Infraestructura</w:t>
            </w:r>
            <w:r w:rsidRPr="00205749">
              <w:rPr>
                <w:rFonts w:ascii="Arial Narrow" w:hAnsi="Arial Narrow"/>
                <w:sz w:val="12"/>
                <w:szCs w:val="12"/>
                <w:lang w:eastAsia="es-CO"/>
              </w:rPr>
              <w:t xml:space="preserve"> Supervisión o interventoría   del contrato</w:t>
            </w:r>
          </w:p>
        </w:tc>
        <w:tc>
          <w:tcPr>
            <w:tcW w:w="367" w:type="pct"/>
            <w:shd w:val="clear" w:color="auto" w:fill="auto"/>
            <w:vAlign w:val="center"/>
            <w:hideMark/>
          </w:tcPr>
          <w:p w14:paraId="4CF0BAB6"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Hasta la adjudicación del contrato</w:t>
            </w:r>
          </w:p>
        </w:tc>
        <w:tc>
          <w:tcPr>
            <w:tcW w:w="379" w:type="pct"/>
            <w:shd w:val="clear" w:color="auto" w:fill="auto"/>
            <w:vAlign w:val="center"/>
            <w:hideMark/>
          </w:tcPr>
          <w:p w14:paraId="4A37AD76"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Verificación de cumplimiento de las especificaciones técnicas del contrato de acuerdo con los reportes de los informes de supervisión o Interventoría</w:t>
            </w:r>
          </w:p>
        </w:tc>
        <w:tc>
          <w:tcPr>
            <w:tcW w:w="288" w:type="pct"/>
            <w:shd w:val="clear" w:color="auto" w:fill="auto"/>
            <w:textDirection w:val="btLr"/>
            <w:vAlign w:val="center"/>
            <w:hideMark/>
          </w:tcPr>
          <w:p w14:paraId="55065D6F"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una vez, cuando se cumpla la mitad del plazo contractual</w:t>
            </w:r>
          </w:p>
        </w:tc>
      </w:tr>
      <w:tr w:rsidR="005C2E52" w:rsidRPr="00205749" w14:paraId="52F26B72" w14:textId="77777777" w:rsidTr="005C2E52">
        <w:trPr>
          <w:gridAfter w:val="1"/>
          <w:wAfter w:w="143" w:type="pct"/>
          <w:trHeight w:val="52"/>
        </w:trPr>
        <w:tc>
          <w:tcPr>
            <w:tcW w:w="134" w:type="pct"/>
            <w:shd w:val="clear" w:color="auto" w:fill="auto"/>
            <w:noWrap/>
            <w:vAlign w:val="center"/>
            <w:hideMark/>
          </w:tcPr>
          <w:p w14:paraId="2F575138"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13</w:t>
            </w:r>
          </w:p>
        </w:tc>
        <w:tc>
          <w:tcPr>
            <w:tcW w:w="143" w:type="pct"/>
            <w:shd w:val="clear" w:color="auto" w:fill="auto"/>
            <w:noWrap/>
            <w:textDirection w:val="btLr"/>
            <w:vAlign w:val="center"/>
            <w:hideMark/>
          </w:tcPr>
          <w:p w14:paraId="43D3B094"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43" w:type="pct"/>
            <w:shd w:val="clear" w:color="auto" w:fill="auto"/>
            <w:noWrap/>
            <w:textDirection w:val="btLr"/>
            <w:vAlign w:val="center"/>
            <w:hideMark/>
          </w:tcPr>
          <w:p w14:paraId="2B29F270"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43" w:type="pct"/>
            <w:shd w:val="clear" w:color="auto" w:fill="auto"/>
            <w:noWrap/>
            <w:textDirection w:val="btLr"/>
            <w:vAlign w:val="center"/>
            <w:hideMark/>
          </w:tcPr>
          <w:p w14:paraId="03466FE8"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3" w:type="pct"/>
            <w:shd w:val="clear" w:color="auto" w:fill="auto"/>
            <w:noWrap/>
            <w:textDirection w:val="btLr"/>
            <w:vAlign w:val="center"/>
            <w:hideMark/>
          </w:tcPr>
          <w:p w14:paraId="403FDA1E"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De la naturaleza</w:t>
            </w:r>
          </w:p>
        </w:tc>
        <w:tc>
          <w:tcPr>
            <w:tcW w:w="379" w:type="pct"/>
            <w:shd w:val="clear" w:color="auto" w:fill="auto"/>
            <w:vAlign w:val="center"/>
            <w:hideMark/>
          </w:tcPr>
          <w:p w14:paraId="6C9F8BA3"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Riesgo climatológico.  Cuando se produzcan cambios en el clima que afecten la ejecución de la obra.     Se consideran condiciones climáticas adversas, entre otras: periodos de lluvias con altas precipitaciones en un tiempo prolongado, inundaciones, vientos huracanados, incendios forestales, entre otros.</w:t>
            </w:r>
          </w:p>
        </w:tc>
        <w:tc>
          <w:tcPr>
            <w:tcW w:w="379" w:type="pct"/>
            <w:shd w:val="clear" w:color="auto" w:fill="auto"/>
            <w:vAlign w:val="center"/>
            <w:hideMark/>
          </w:tcPr>
          <w:p w14:paraId="3FBCDBC9"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Afectación del cronograma de obra y del plazo de finalización.  Reclamaciones por parte del contratista por sobre costos administrativos durante el periodo que no se puedan ejecutar obras.</w:t>
            </w:r>
          </w:p>
        </w:tc>
        <w:tc>
          <w:tcPr>
            <w:tcW w:w="134" w:type="pct"/>
            <w:shd w:val="clear" w:color="auto" w:fill="auto"/>
            <w:noWrap/>
            <w:vAlign w:val="center"/>
            <w:hideMark/>
          </w:tcPr>
          <w:p w14:paraId="4B487354"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34" w:type="pct"/>
            <w:shd w:val="clear" w:color="auto" w:fill="auto"/>
            <w:noWrap/>
            <w:vAlign w:val="center"/>
            <w:hideMark/>
          </w:tcPr>
          <w:p w14:paraId="357D3808"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34" w:type="pct"/>
            <w:shd w:val="clear" w:color="auto" w:fill="auto"/>
            <w:noWrap/>
            <w:vAlign w:val="center"/>
            <w:hideMark/>
          </w:tcPr>
          <w:p w14:paraId="1FDB4E92"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4</w:t>
            </w:r>
          </w:p>
        </w:tc>
        <w:tc>
          <w:tcPr>
            <w:tcW w:w="143" w:type="pct"/>
            <w:shd w:val="clear" w:color="auto" w:fill="auto"/>
            <w:noWrap/>
            <w:textDirection w:val="btLr"/>
            <w:vAlign w:val="center"/>
            <w:hideMark/>
          </w:tcPr>
          <w:p w14:paraId="3B61EB57"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365" w:type="pct"/>
            <w:shd w:val="clear" w:color="auto" w:fill="auto"/>
            <w:vAlign w:val="center"/>
            <w:hideMark/>
          </w:tcPr>
          <w:p w14:paraId="368E3A34"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Si se requiere, la ampliación del tiempo establecido para la ejecución del contrato, el riesgo y sus consecuencias serán evaluados por el Municipio y el contratista con el fin de verificar la proporción en que debe ser asumido el mismo.</w:t>
            </w:r>
          </w:p>
        </w:tc>
        <w:tc>
          <w:tcPr>
            <w:tcW w:w="395" w:type="pct"/>
            <w:shd w:val="clear" w:color="auto" w:fill="auto"/>
            <w:vAlign w:val="center"/>
            <w:hideMark/>
          </w:tcPr>
          <w:p w14:paraId="095BAF51" w14:textId="77777777" w:rsidR="005C2E52" w:rsidRPr="00205749" w:rsidRDefault="005C2E52" w:rsidP="005C2E52">
            <w:pPr>
              <w:rPr>
                <w:rFonts w:ascii="Arial Narrow" w:hAnsi="Arial Narrow"/>
                <w:sz w:val="12"/>
                <w:szCs w:val="12"/>
                <w:lang w:eastAsia="es-CO"/>
              </w:rPr>
            </w:pPr>
          </w:p>
          <w:p w14:paraId="1D616269"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 xml:space="preserve">Cuando esto se llegare a presentar será causal de ampliación de plazo o suspensión del mismo hasta que las condiciones climáticas sean óptimas para continuar con la ejecución del contrato previa aprobación de la Supervisión, pero no de reconocimiento de mayores costos o desequilibrio económico.  En los casos donde no se superen las condiciones climáticas </w:t>
            </w:r>
            <w:r w:rsidRPr="00205749">
              <w:rPr>
                <w:rFonts w:ascii="Arial Narrow" w:hAnsi="Arial Narrow"/>
                <w:sz w:val="12"/>
                <w:szCs w:val="12"/>
                <w:lang w:eastAsia="es-CO"/>
              </w:rPr>
              <w:lastRenderedPageBreak/>
              <w:t>adversas y ante la necesidad de ejecutar parcial o totalmente actividades previstas en el contrato, la entidad podrá, de común acuerdo con el contratista, bajo un marco previo de plena justificación técnica, pactar nuevas actividades que permitan llevar a cabo el desarrollo de los trabajos en estas condiciones.  Ésta condición generaría un acta de modificación al contrato celebrado firmado por las partes.</w:t>
            </w:r>
          </w:p>
          <w:p w14:paraId="3C092186" w14:textId="77777777" w:rsidR="005C2E52" w:rsidRPr="00205749" w:rsidRDefault="005C2E52" w:rsidP="005C2E52">
            <w:pPr>
              <w:rPr>
                <w:rFonts w:ascii="Arial Narrow" w:hAnsi="Arial Narrow"/>
                <w:sz w:val="12"/>
                <w:szCs w:val="12"/>
                <w:lang w:eastAsia="es-CO"/>
              </w:rPr>
            </w:pPr>
          </w:p>
        </w:tc>
        <w:tc>
          <w:tcPr>
            <w:tcW w:w="141" w:type="pct"/>
            <w:shd w:val="clear" w:color="auto" w:fill="auto"/>
            <w:noWrap/>
            <w:vAlign w:val="center"/>
            <w:hideMark/>
          </w:tcPr>
          <w:p w14:paraId="4557E12E"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lastRenderedPageBreak/>
              <w:t>1</w:t>
            </w:r>
          </w:p>
        </w:tc>
        <w:tc>
          <w:tcPr>
            <w:tcW w:w="141" w:type="pct"/>
            <w:shd w:val="clear" w:color="auto" w:fill="auto"/>
            <w:noWrap/>
            <w:vAlign w:val="center"/>
            <w:hideMark/>
          </w:tcPr>
          <w:p w14:paraId="576670D6"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10039464"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3" w:type="pct"/>
            <w:shd w:val="clear" w:color="auto" w:fill="auto"/>
            <w:noWrap/>
            <w:textDirection w:val="btLr"/>
            <w:vAlign w:val="center"/>
            <w:hideMark/>
          </w:tcPr>
          <w:p w14:paraId="74608137"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34" w:type="pct"/>
            <w:shd w:val="clear" w:color="auto" w:fill="auto"/>
            <w:vAlign w:val="center"/>
            <w:hideMark/>
          </w:tcPr>
          <w:p w14:paraId="354A005C"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Si</w:t>
            </w:r>
          </w:p>
        </w:tc>
        <w:tc>
          <w:tcPr>
            <w:tcW w:w="351" w:type="pct"/>
            <w:shd w:val="clear" w:color="auto" w:fill="auto"/>
            <w:textDirection w:val="btLr"/>
            <w:vAlign w:val="center"/>
            <w:hideMark/>
          </w:tcPr>
          <w:p w14:paraId="72FC9A1E"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 xml:space="preserve">Secretaria de </w:t>
            </w:r>
            <w:r>
              <w:rPr>
                <w:rFonts w:ascii="Arial Narrow" w:hAnsi="Arial Narrow"/>
                <w:sz w:val="12"/>
                <w:szCs w:val="12"/>
                <w:lang w:eastAsia="es-CO"/>
              </w:rPr>
              <w:t>Infraestructura</w:t>
            </w:r>
            <w:r w:rsidRPr="00205749">
              <w:rPr>
                <w:rFonts w:ascii="Arial Narrow" w:hAnsi="Arial Narrow"/>
                <w:sz w:val="12"/>
                <w:szCs w:val="12"/>
                <w:lang w:eastAsia="es-CO"/>
              </w:rPr>
              <w:t>, Secretaría de Hacienda,</w:t>
            </w:r>
          </w:p>
          <w:p w14:paraId="5FB162CA"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 xml:space="preserve"> Oficina jurídica, Supervisión </w:t>
            </w:r>
          </w:p>
        </w:tc>
        <w:tc>
          <w:tcPr>
            <w:tcW w:w="367" w:type="pct"/>
            <w:shd w:val="clear" w:color="auto" w:fill="auto"/>
            <w:vAlign w:val="center"/>
            <w:hideMark/>
          </w:tcPr>
          <w:p w14:paraId="3327BCD2"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Hasta la finalización del evento adverso</w:t>
            </w:r>
          </w:p>
        </w:tc>
        <w:tc>
          <w:tcPr>
            <w:tcW w:w="379" w:type="pct"/>
            <w:shd w:val="clear" w:color="auto" w:fill="auto"/>
            <w:vAlign w:val="center"/>
            <w:hideMark/>
          </w:tcPr>
          <w:p w14:paraId="16838B2D"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Verificación documentos contractuales del contrato</w:t>
            </w:r>
          </w:p>
        </w:tc>
        <w:tc>
          <w:tcPr>
            <w:tcW w:w="288" w:type="pct"/>
            <w:shd w:val="clear" w:color="auto" w:fill="auto"/>
            <w:textDirection w:val="btLr"/>
            <w:vAlign w:val="center"/>
            <w:hideMark/>
          </w:tcPr>
          <w:p w14:paraId="4F7EEA61"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una vez, cuando se cumpla la mitad del plazo contractual</w:t>
            </w:r>
          </w:p>
        </w:tc>
      </w:tr>
      <w:tr w:rsidR="005C2E52" w:rsidRPr="00205749" w14:paraId="39AC7A0A" w14:textId="77777777" w:rsidTr="005C2E52">
        <w:trPr>
          <w:gridAfter w:val="1"/>
          <w:wAfter w:w="143" w:type="pct"/>
          <w:trHeight w:val="2976"/>
        </w:trPr>
        <w:tc>
          <w:tcPr>
            <w:tcW w:w="134" w:type="pct"/>
            <w:shd w:val="clear" w:color="auto" w:fill="auto"/>
            <w:noWrap/>
            <w:vAlign w:val="center"/>
            <w:hideMark/>
          </w:tcPr>
          <w:p w14:paraId="3910D6F2"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14</w:t>
            </w:r>
          </w:p>
        </w:tc>
        <w:tc>
          <w:tcPr>
            <w:tcW w:w="143" w:type="pct"/>
            <w:shd w:val="clear" w:color="auto" w:fill="auto"/>
            <w:noWrap/>
            <w:textDirection w:val="btLr"/>
            <w:vAlign w:val="center"/>
            <w:hideMark/>
          </w:tcPr>
          <w:p w14:paraId="5612D648"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43" w:type="pct"/>
            <w:shd w:val="clear" w:color="auto" w:fill="auto"/>
            <w:noWrap/>
            <w:textDirection w:val="btLr"/>
            <w:vAlign w:val="center"/>
            <w:hideMark/>
          </w:tcPr>
          <w:p w14:paraId="2BB3763A"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Interna</w:t>
            </w:r>
          </w:p>
        </w:tc>
        <w:tc>
          <w:tcPr>
            <w:tcW w:w="143" w:type="pct"/>
            <w:shd w:val="clear" w:color="auto" w:fill="auto"/>
            <w:noWrap/>
            <w:textDirection w:val="btLr"/>
            <w:vAlign w:val="center"/>
            <w:hideMark/>
          </w:tcPr>
          <w:p w14:paraId="1ECB6265"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3" w:type="pct"/>
            <w:shd w:val="clear" w:color="auto" w:fill="auto"/>
            <w:noWrap/>
            <w:textDirection w:val="btLr"/>
            <w:vAlign w:val="center"/>
            <w:hideMark/>
          </w:tcPr>
          <w:p w14:paraId="7B8A6F90"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Operacional</w:t>
            </w:r>
          </w:p>
        </w:tc>
        <w:tc>
          <w:tcPr>
            <w:tcW w:w="379" w:type="pct"/>
            <w:shd w:val="clear" w:color="auto" w:fill="auto"/>
            <w:vAlign w:val="center"/>
            <w:hideMark/>
          </w:tcPr>
          <w:p w14:paraId="08E6F455"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Riesgo por mal funcionamiento de los equipos de construcción. El mal funcionamiento mecánico y eléctrico de los equipos de construcción, derivados de las labores propias del proyecto</w:t>
            </w:r>
          </w:p>
        </w:tc>
        <w:tc>
          <w:tcPr>
            <w:tcW w:w="379" w:type="pct"/>
            <w:shd w:val="clear" w:color="auto" w:fill="auto"/>
            <w:vAlign w:val="center"/>
            <w:hideMark/>
          </w:tcPr>
          <w:p w14:paraId="1F380EAA"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Se puede ver afectada la calidad de los trabajos, no cumpliendo de esta manera las especificaciones técnicas del proyecto y afectando el cronograma de obra por rendimiento inadecuado de los equipos</w:t>
            </w:r>
          </w:p>
        </w:tc>
        <w:tc>
          <w:tcPr>
            <w:tcW w:w="134" w:type="pct"/>
            <w:shd w:val="clear" w:color="auto" w:fill="auto"/>
            <w:noWrap/>
            <w:vAlign w:val="center"/>
            <w:hideMark/>
          </w:tcPr>
          <w:p w14:paraId="4497428F"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34" w:type="pct"/>
            <w:shd w:val="clear" w:color="auto" w:fill="auto"/>
            <w:noWrap/>
            <w:vAlign w:val="center"/>
            <w:hideMark/>
          </w:tcPr>
          <w:p w14:paraId="79E147A1"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34" w:type="pct"/>
            <w:shd w:val="clear" w:color="auto" w:fill="auto"/>
            <w:noWrap/>
            <w:vAlign w:val="center"/>
            <w:hideMark/>
          </w:tcPr>
          <w:p w14:paraId="5285E9F7"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3" w:type="pct"/>
            <w:shd w:val="clear" w:color="auto" w:fill="auto"/>
            <w:noWrap/>
            <w:textDirection w:val="btLr"/>
            <w:vAlign w:val="center"/>
            <w:hideMark/>
          </w:tcPr>
          <w:p w14:paraId="766D99F2"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365" w:type="pct"/>
            <w:shd w:val="clear" w:color="auto" w:fill="auto"/>
            <w:vAlign w:val="center"/>
            <w:hideMark/>
          </w:tcPr>
          <w:p w14:paraId="65B7C45C"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Este riesgo y sus consecuencias serán asumidos en su totalidad por el contratista</w:t>
            </w:r>
          </w:p>
        </w:tc>
        <w:tc>
          <w:tcPr>
            <w:tcW w:w="395" w:type="pct"/>
            <w:shd w:val="clear" w:color="auto" w:fill="auto"/>
            <w:vAlign w:val="center"/>
            <w:hideMark/>
          </w:tcPr>
          <w:p w14:paraId="55F4E98B"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Se incluirá dentro del contrato de obra una cláusula que especifique como obligación del contratista, el garantizar que los equipos que sean requeridos para el desarrollo de las actividades del contrato deben estar en óptimas condiciones técnico mecánicas y a la vez estos equipos deben de ser de última tecnología y de modelo reciente de acuerdo con el tipo de actividades o actividades a ejecutar en el contrato.</w:t>
            </w:r>
          </w:p>
        </w:tc>
        <w:tc>
          <w:tcPr>
            <w:tcW w:w="141" w:type="pct"/>
            <w:shd w:val="clear" w:color="auto" w:fill="auto"/>
            <w:noWrap/>
            <w:vAlign w:val="center"/>
            <w:hideMark/>
          </w:tcPr>
          <w:p w14:paraId="2FB05775"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1B17F4CE"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01173963"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3" w:type="pct"/>
            <w:shd w:val="clear" w:color="auto" w:fill="auto"/>
            <w:noWrap/>
            <w:textDirection w:val="btLr"/>
            <w:vAlign w:val="center"/>
            <w:hideMark/>
          </w:tcPr>
          <w:p w14:paraId="7301476E"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34" w:type="pct"/>
            <w:shd w:val="clear" w:color="auto" w:fill="auto"/>
            <w:vAlign w:val="center"/>
            <w:hideMark/>
          </w:tcPr>
          <w:p w14:paraId="131E3735"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51" w:type="pct"/>
            <w:shd w:val="clear" w:color="auto" w:fill="auto"/>
            <w:textDirection w:val="btLr"/>
            <w:vAlign w:val="center"/>
            <w:hideMark/>
          </w:tcPr>
          <w:p w14:paraId="0938AF05"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 xml:space="preserve">Secretaria de </w:t>
            </w:r>
            <w:r>
              <w:rPr>
                <w:rFonts w:ascii="Arial Narrow" w:hAnsi="Arial Narrow"/>
                <w:sz w:val="12"/>
                <w:szCs w:val="12"/>
                <w:lang w:eastAsia="es-CO"/>
              </w:rPr>
              <w:t>Infraestructura</w:t>
            </w:r>
            <w:r w:rsidRPr="00205749">
              <w:rPr>
                <w:rFonts w:ascii="Arial Narrow" w:hAnsi="Arial Narrow"/>
                <w:sz w:val="12"/>
                <w:szCs w:val="12"/>
                <w:lang w:eastAsia="es-CO"/>
              </w:rPr>
              <w:t xml:space="preserve">, </w:t>
            </w:r>
          </w:p>
          <w:p w14:paraId="5E9F0039"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Supervisión  o interventoría</w:t>
            </w:r>
          </w:p>
        </w:tc>
        <w:tc>
          <w:tcPr>
            <w:tcW w:w="367" w:type="pct"/>
            <w:shd w:val="clear" w:color="auto" w:fill="auto"/>
            <w:vAlign w:val="center"/>
            <w:hideMark/>
          </w:tcPr>
          <w:p w14:paraId="14D86765"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Hasta la adjudicación del contrato</w:t>
            </w:r>
          </w:p>
        </w:tc>
        <w:tc>
          <w:tcPr>
            <w:tcW w:w="379" w:type="pct"/>
            <w:shd w:val="clear" w:color="auto" w:fill="auto"/>
            <w:vAlign w:val="center"/>
            <w:hideMark/>
          </w:tcPr>
          <w:p w14:paraId="4D035B9E"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 xml:space="preserve">Verificación del cumplimiento de la obligación contractual de acuerdo con los reportes de los informes de supervisión. </w:t>
            </w:r>
          </w:p>
        </w:tc>
        <w:tc>
          <w:tcPr>
            <w:tcW w:w="288" w:type="pct"/>
            <w:shd w:val="clear" w:color="auto" w:fill="auto"/>
            <w:textDirection w:val="btLr"/>
            <w:vAlign w:val="center"/>
            <w:hideMark/>
          </w:tcPr>
          <w:p w14:paraId="14DE92A5"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Una vez, cuando se cumpla la mitad del plazo contractual</w:t>
            </w:r>
          </w:p>
        </w:tc>
      </w:tr>
      <w:tr w:rsidR="005C2E52" w:rsidRPr="00205749" w14:paraId="63EA1558" w14:textId="77777777" w:rsidTr="005C2E52">
        <w:trPr>
          <w:gridAfter w:val="1"/>
          <w:wAfter w:w="143" w:type="pct"/>
          <w:trHeight w:val="3258"/>
        </w:trPr>
        <w:tc>
          <w:tcPr>
            <w:tcW w:w="134" w:type="pct"/>
            <w:shd w:val="clear" w:color="auto" w:fill="auto"/>
            <w:noWrap/>
            <w:vAlign w:val="center"/>
            <w:hideMark/>
          </w:tcPr>
          <w:p w14:paraId="28D2B105"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lastRenderedPageBreak/>
              <w:t>15</w:t>
            </w:r>
          </w:p>
        </w:tc>
        <w:tc>
          <w:tcPr>
            <w:tcW w:w="143" w:type="pct"/>
            <w:shd w:val="clear" w:color="auto" w:fill="auto"/>
            <w:noWrap/>
            <w:textDirection w:val="btLr"/>
            <w:vAlign w:val="center"/>
            <w:hideMark/>
          </w:tcPr>
          <w:p w14:paraId="35DDC90F"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General</w:t>
            </w:r>
          </w:p>
        </w:tc>
        <w:tc>
          <w:tcPr>
            <w:tcW w:w="143" w:type="pct"/>
            <w:shd w:val="clear" w:color="auto" w:fill="auto"/>
            <w:noWrap/>
            <w:textDirection w:val="btLr"/>
            <w:vAlign w:val="center"/>
            <w:hideMark/>
          </w:tcPr>
          <w:p w14:paraId="18771FCA"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43" w:type="pct"/>
            <w:shd w:val="clear" w:color="auto" w:fill="auto"/>
            <w:noWrap/>
            <w:textDirection w:val="btLr"/>
            <w:vAlign w:val="center"/>
            <w:hideMark/>
          </w:tcPr>
          <w:p w14:paraId="2D0B4BF8"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3" w:type="pct"/>
            <w:shd w:val="clear" w:color="auto" w:fill="auto"/>
            <w:noWrap/>
            <w:textDirection w:val="btLr"/>
            <w:vAlign w:val="center"/>
            <w:hideMark/>
          </w:tcPr>
          <w:p w14:paraId="256E3CCA"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Social, de la naturaleza, política</w:t>
            </w:r>
          </w:p>
        </w:tc>
        <w:tc>
          <w:tcPr>
            <w:tcW w:w="379" w:type="pct"/>
            <w:shd w:val="clear" w:color="auto" w:fill="auto"/>
            <w:vAlign w:val="center"/>
            <w:hideMark/>
          </w:tcPr>
          <w:p w14:paraId="111EE71B"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Riesgo por intransitabilidad de las vías</w:t>
            </w:r>
          </w:p>
        </w:tc>
        <w:tc>
          <w:tcPr>
            <w:tcW w:w="379" w:type="pct"/>
            <w:shd w:val="clear" w:color="auto" w:fill="auto"/>
            <w:vAlign w:val="center"/>
            <w:hideMark/>
          </w:tcPr>
          <w:p w14:paraId="6994A27D"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Imposibilidad de ejecutar las actividades propias del proyecto</w:t>
            </w:r>
          </w:p>
        </w:tc>
        <w:tc>
          <w:tcPr>
            <w:tcW w:w="134" w:type="pct"/>
            <w:shd w:val="clear" w:color="auto" w:fill="auto"/>
            <w:noWrap/>
            <w:vAlign w:val="center"/>
            <w:hideMark/>
          </w:tcPr>
          <w:p w14:paraId="062A91A5"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34" w:type="pct"/>
            <w:shd w:val="clear" w:color="auto" w:fill="auto"/>
            <w:noWrap/>
            <w:vAlign w:val="center"/>
            <w:hideMark/>
          </w:tcPr>
          <w:p w14:paraId="2A222090"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34" w:type="pct"/>
            <w:shd w:val="clear" w:color="auto" w:fill="auto"/>
            <w:noWrap/>
            <w:vAlign w:val="center"/>
            <w:hideMark/>
          </w:tcPr>
          <w:p w14:paraId="7A4801EF"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3" w:type="pct"/>
            <w:shd w:val="clear" w:color="auto" w:fill="auto"/>
            <w:noWrap/>
            <w:textDirection w:val="btLr"/>
            <w:vAlign w:val="center"/>
            <w:hideMark/>
          </w:tcPr>
          <w:p w14:paraId="377F34EC"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365" w:type="pct"/>
            <w:shd w:val="clear" w:color="auto" w:fill="auto"/>
            <w:vAlign w:val="center"/>
            <w:hideMark/>
          </w:tcPr>
          <w:p w14:paraId="261E0865"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El riesgo es compartido por el contratista y el municipio de Manizales</w:t>
            </w:r>
          </w:p>
        </w:tc>
        <w:tc>
          <w:tcPr>
            <w:tcW w:w="395" w:type="pct"/>
            <w:shd w:val="clear" w:color="auto" w:fill="auto"/>
            <w:vAlign w:val="center"/>
            <w:hideMark/>
          </w:tcPr>
          <w:p w14:paraId="6934C92E" w14:textId="77777777" w:rsidR="005C2E52" w:rsidRPr="00AD3332" w:rsidRDefault="005C2E52" w:rsidP="005C2E52">
            <w:pPr>
              <w:rPr>
                <w:rFonts w:ascii="Arial Narrow" w:hAnsi="Arial Narrow"/>
                <w:sz w:val="12"/>
                <w:szCs w:val="12"/>
                <w:lang w:eastAsia="es-CO"/>
              </w:rPr>
            </w:pPr>
            <w:r w:rsidRPr="00AD3332">
              <w:rPr>
                <w:rFonts w:ascii="Arial Narrow" w:hAnsi="Arial Narrow"/>
                <w:sz w:val="12"/>
                <w:szCs w:val="12"/>
                <w:lang w:eastAsia="es-CO"/>
              </w:rPr>
              <w:t>Cuando esto se llegare a presentar será causal de ampliación de plazo o suspensión del mismo hasta que las condiciones sean óptimas para continuar con la ejecución del contrato previa aprobación de la supervisión. El reconocimiento de mayores costos o desequilibrio económico, será asumido por ambas partes, previa demostración del desequilibrio económico y de los mayores costos que se pudieron generar.</w:t>
            </w:r>
          </w:p>
        </w:tc>
        <w:tc>
          <w:tcPr>
            <w:tcW w:w="141" w:type="pct"/>
            <w:shd w:val="clear" w:color="auto" w:fill="auto"/>
            <w:noWrap/>
            <w:vAlign w:val="center"/>
            <w:hideMark/>
          </w:tcPr>
          <w:p w14:paraId="2916D649"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6C276990"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3F09983F"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3" w:type="pct"/>
            <w:shd w:val="clear" w:color="auto" w:fill="auto"/>
            <w:noWrap/>
            <w:textDirection w:val="btLr"/>
            <w:vAlign w:val="center"/>
            <w:hideMark/>
          </w:tcPr>
          <w:p w14:paraId="6E22881E"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34" w:type="pct"/>
            <w:shd w:val="clear" w:color="auto" w:fill="auto"/>
            <w:vAlign w:val="center"/>
            <w:hideMark/>
          </w:tcPr>
          <w:p w14:paraId="3DCCE1EE"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51" w:type="pct"/>
            <w:shd w:val="clear" w:color="auto" w:fill="auto"/>
            <w:textDirection w:val="btLr"/>
            <w:vAlign w:val="center"/>
            <w:hideMark/>
          </w:tcPr>
          <w:p w14:paraId="78044B30"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 xml:space="preserve">Secretaria de </w:t>
            </w:r>
            <w:r>
              <w:rPr>
                <w:rFonts w:ascii="Arial Narrow" w:hAnsi="Arial Narrow"/>
                <w:sz w:val="12"/>
                <w:szCs w:val="12"/>
                <w:lang w:eastAsia="es-CO"/>
              </w:rPr>
              <w:t>Infraestructura</w:t>
            </w:r>
            <w:r w:rsidRPr="00205749">
              <w:rPr>
                <w:rFonts w:ascii="Arial Narrow" w:hAnsi="Arial Narrow"/>
                <w:sz w:val="12"/>
                <w:szCs w:val="12"/>
                <w:lang w:eastAsia="es-CO"/>
              </w:rPr>
              <w:t xml:space="preserve">, </w:t>
            </w:r>
          </w:p>
          <w:p w14:paraId="57C56793"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 xml:space="preserve">supervisión  o interventoría </w:t>
            </w:r>
          </w:p>
        </w:tc>
        <w:tc>
          <w:tcPr>
            <w:tcW w:w="367" w:type="pct"/>
            <w:shd w:val="clear" w:color="auto" w:fill="auto"/>
            <w:vAlign w:val="center"/>
            <w:hideMark/>
          </w:tcPr>
          <w:p w14:paraId="4B23450C"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Hasta la finalización del evento adverso</w:t>
            </w:r>
          </w:p>
        </w:tc>
        <w:tc>
          <w:tcPr>
            <w:tcW w:w="379" w:type="pct"/>
            <w:shd w:val="clear" w:color="auto" w:fill="auto"/>
            <w:vAlign w:val="center"/>
            <w:hideMark/>
          </w:tcPr>
          <w:p w14:paraId="231CC49D"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Verificación documentos contractuales del contrato</w:t>
            </w:r>
          </w:p>
        </w:tc>
        <w:tc>
          <w:tcPr>
            <w:tcW w:w="288" w:type="pct"/>
            <w:shd w:val="clear" w:color="auto" w:fill="auto"/>
            <w:textDirection w:val="btLr"/>
            <w:vAlign w:val="center"/>
            <w:hideMark/>
          </w:tcPr>
          <w:p w14:paraId="21AF7A0D"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una vez, cuando se cumpla la mitad del plazo contractual</w:t>
            </w:r>
          </w:p>
        </w:tc>
      </w:tr>
      <w:tr w:rsidR="005C2E52" w:rsidRPr="00205749" w14:paraId="79E56F33" w14:textId="77777777" w:rsidTr="005C2E52">
        <w:trPr>
          <w:gridAfter w:val="1"/>
          <w:wAfter w:w="143" w:type="pct"/>
          <w:trHeight w:val="2607"/>
        </w:trPr>
        <w:tc>
          <w:tcPr>
            <w:tcW w:w="134" w:type="pct"/>
            <w:shd w:val="clear" w:color="auto" w:fill="auto"/>
            <w:noWrap/>
            <w:vAlign w:val="center"/>
            <w:hideMark/>
          </w:tcPr>
          <w:p w14:paraId="2641BBE5"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16</w:t>
            </w:r>
          </w:p>
        </w:tc>
        <w:tc>
          <w:tcPr>
            <w:tcW w:w="143" w:type="pct"/>
            <w:shd w:val="clear" w:color="auto" w:fill="auto"/>
            <w:noWrap/>
            <w:textDirection w:val="btLr"/>
            <w:vAlign w:val="center"/>
            <w:hideMark/>
          </w:tcPr>
          <w:p w14:paraId="42D1FB63"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43" w:type="pct"/>
            <w:shd w:val="clear" w:color="auto" w:fill="auto"/>
            <w:noWrap/>
            <w:textDirection w:val="btLr"/>
            <w:vAlign w:val="center"/>
            <w:hideMark/>
          </w:tcPr>
          <w:p w14:paraId="0CA5CB7A"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Interna</w:t>
            </w:r>
          </w:p>
        </w:tc>
        <w:tc>
          <w:tcPr>
            <w:tcW w:w="143" w:type="pct"/>
            <w:shd w:val="clear" w:color="auto" w:fill="auto"/>
            <w:noWrap/>
            <w:textDirection w:val="btLr"/>
            <w:vAlign w:val="center"/>
            <w:hideMark/>
          </w:tcPr>
          <w:p w14:paraId="4F7BB7E0"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3" w:type="pct"/>
            <w:shd w:val="clear" w:color="auto" w:fill="auto"/>
            <w:noWrap/>
            <w:textDirection w:val="btLr"/>
            <w:vAlign w:val="center"/>
            <w:hideMark/>
          </w:tcPr>
          <w:p w14:paraId="5849DAD3"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Operacional</w:t>
            </w:r>
          </w:p>
        </w:tc>
        <w:tc>
          <w:tcPr>
            <w:tcW w:w="379" w:type="pct"/>
            <w:shd w:val="clear" w:color="auto" w:fill="auto"/>
            <w:vAlign w:val="center"/>
            <w:hideMark/>
          </w:tcPr>
          <w:p w14:paraId="245CB150"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Riesgos logísticos para la ejecución del contrato</w:t>
            </w:r>
          </w:p>
        </w:tc>
        <w:tc>
          <w:tcPr>
            <w:tcW w:w="379" w:type="pct"/>
            <w:shd w:val="clear" w:color="auto" w:fill="auto"/>
            <w:vAlign w:val="center"/>
            <w:hideMark/>
          </w:tcPr>
          <w:p w14:paraId="130B09AE"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Afectación del cronograma de obra por no contar con los recursos al momento de ser requeridos de acuerdo con la programación de la obra</w:t>
            </w:r>
          </w:p>
        </w:tc>
        <w:tc>
          <w:tcPr>
            <w:tcW w:w="134" w:type="pct"/>
            <w:shd w:val="clear" w:color="auto" w:fill="auto"/>
            <w:noWrap/>
            <w:vAlign w:val="center"/>
            <w:hideMark/>
          </w:tcPr>
          <w:p w14:paraId="297F13DB"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34" w:type="pct"/>
            <w:shd w:val="clear" w:color="auto" w:fill="auto"/>
            <w:noWrap/>
            <w:vAlign w:val="center"/>
            <w:hideMark/>
          </w:tcPr>
          <w:p w14:paraId="0B298284"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34" w:type="pct"/>
            <w:shd w:val="clear" w:color="auto" w:fill="auto"/>
            <w:noWrap/>
            <w:vAlign w:val="center"/>
            <w:hideMark/>
          </w:tcPr>
          <w:p w14:paraId="5280C025"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3</w:t>
            </w:r>
          </w:p>
        </w:tc>
        <w:tc>
          <w:tcPr>
            <w:tcW w:w="143" w:type="pct"/>
            <w:shd w:val="clear" w:color="auto" w:fill="auto"/>
            <w:noWrap/>
            <w:textDirection w:val="btLr"/>
            <w:vAlign w:val="center"/>
            <w:hideMark/>
          </w:tcPr>
          <w:p w14:paraId="30581C24"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365" w:type="pct"/>
            <w:shd w:val="clear" w:color="auto" w:fill="auto"/>
            <w:vAlign w:val="center"/>
            <w:hideMark/>
          </w:tcPr>
          <w:p w14:paraId="3F3C5C9B"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El contratista correrá con el 100% de  los riesgos logísticos para la ejecución del contrato</w:t>
            </w:r>
          </w:p>
        </w:tc>
        <w:tc>
          <w:tcPr>
            <w:tcW w:w="395" w:type="pct"/>
            <w:shd w:val="clear" w:color="auto" w:fill="auto"/>
            <w:vAlign w:val="center"/>
            <w:hideMark/>
          </w:tcPr>
          <w:p w14:paraId="09B983BF"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Poner en marcha un plan de contingencia que puede representar  mayor disposición de personal, materiales y equipos.</w:t>
            </w:r>
          </w:p>
        </w:tc>
        <w:tc>
          <w:tcPr>
            <w:tcW w:w="141" w:type="pct"/>
            <w:shd w:val="clear" w:color="auto" w:fill="auto"/>
            <w:noWrap/>
            <w:vAlign w:val="center"/>
            <w:hideMark/>
          </w:tcPr>
          <w:p w14:paraId="2CFFFD45"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73A41375"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788B7612"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3" w:type="pct"/>
            <w:shd w:val="clear" w:color="auto" w:fill="auto"/>
            <w:noWrap/>
            <w:textDirection w:val="btLr"/>
            <w:vAlign w:val="center"/>
            <w:hideMark/>
          </w:tcPr>
          <w:p w14:paraId="193D9970"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34" w:type="pct"/>
            <w:shd w:val="clear" w:color="auto" w:fill="auto"/>
            <w:vAlign w:val="center"/>
            <w:hideMark/>
          </w:tcPr>
          <w:p w14:paraId="6B340BC4"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51" w:type="pct"/>
            <w:shd w:val="clear" w:color="auto" w:fill="auto"/>
            <w:textDirection w:val="btLr"/>
            <w:vAlign w:val="center"/>
            <w:hideMark/>
          </w:tcPr>
          <w:p w14:paraId="46B4533E"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 xml:space="preserve">Secretaria de </w:t>
            </w:r>
            <w:r>
              <w:rPr>
                <w:rFonts w:ascii="Arial Narrow" w:hAnsi="Arial Narrow"/>
                <w:sz w:val="12"/>
                <w:szCs w:val="12"/>
                <w:lang w:eastAsia="es-CO"/>
              </w:rPr>
              <w:t>Infraestructura</w:t>
            </w:r>
            <w:r w:rsidRPr="00205749">
              <w:rPr>
                <w:rFonts w:ascii="Arial Narrow" w:hAnsi="Arial Narrow"/>
                <w:sz w:val="12"/>
                <w:szCs w:val="12"/>
                <w:lang w:eastAsia="es-CO"/>
              </w:rPr>
              <w:t xml:space="preserve">, </w:t>
            </w:r>
          </w:p>
          <w:p w14:paraId="0EEA40E0"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supervisión  o interventoría y contratista</w:t>
            </w:r>
          </w:p>
        </w:tc>
        <w:tc>
          <w:tcPr>
            <w:tcW w:w="367" w:type="pct"/>
            <w:shd w:val="clear" w:color="auto" w:fill="auto"/>
            <w:vAlign w:val="center"/>
            <w:hideMark/>
          </w:tcPr>
          <w:p w14:paraId="4BC79290"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Al finalizar la etapa de construcción</w:t>
            </w:r>
          </w:p>
        </w:tc>
        <w:tc>
          <w:tcPr>
            <w:tcW w:w="379" w:type="pct"/>
            <w:shd w:val="clear" w:color="auto" w:fill="auto"/>
            <w:vAlign w:val="center"/>
            <w:hideMark/>
          </w:tcPr>
          <w:p w14:paraId="424E7933"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Verificación de la implementación del plan de contingencia frente al avance de ejecución de obra.</w:t>
            </w:r>
          </w:p>
        </w:tc>
        <w:tc>
          <w:tcPr>
            <w:tcW w:w="288" w:type="pct"/>
            <w:shd w:val="clear" w:color="auto" w:fill="auto"/>
            <w:textDirection w:val="btLr"/>
            <w:vAlign w:val="center"/>
            <w:hideMark/>
          </w:tcPr>
          <w:p w14:paraId="578C8007"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 xml:space="preserve">Una vez, cuando se cumpla la mitad del </w:t>
            </w:r>
          </w:p>
          <w:p w14:paraId="441878F7"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plazo contractual</w:t>
            </w:r>
          </w:p>
        </w:tc>
      </w:tr>
      <w:tr w:rsidR="005C2E52" w:rsidRPr="00205749" w14:paraId="4B19960C" w14:textId="77777777" w:rsidTr="005C2E52">
        <w:trPr>
          <w:gridAfter w:val="1"/>
          <w:wAfter w:w="143" w:type="pct"/>
          <w:trHeight w:val="2037"/>
        </w:trPr>
        <w:tc>
          <w:tcPr>
            <w:tcW w:w="134" w:type="pct"/>
            <w:shd w:val="clear" w:color="auto" w:fill="auto"/>
            <w:noWrap/>
            <w:vAlign w:val="center"/>
            <w:hideMark/>
          </w:tcPr>
          <w:p w14:paraId="71E7DEB3"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17</w:t>
            </w:r>
          </w:p>
        </w:tc>
        <w:tc>
          <w:tcPr>
            <w:tcW w:w="143" w:type="pct"/>
            <w:shd w:val="clear" w:color="auto" w:fill="auto"/>
            <w:noWrap/>
            <w:textDirection w:val="btLr"/>
            <w:vAlign w:val="center"/>
            <w:hideMark/>
          </w:tcPr>
          <w:p w14:paraId="67577DE0"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43" w:type="pct"/>
            <w:shd w:val="clear" w:color="auto" w:fill="auto"/>
            <w:noWrap/>
            <w:textDirection w:val="btLr"/>
            <w:vAlign w:val="center"/>
            <w:hideMark/>
          </w:tcPr>
          <w:p w14:paraId="2284D62A"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Interna</w:t>
            </w:r>
          </w:p>
        </w:tc>
        <w:tc>
          <w:tcPr>
            <w:tcW w:w="143" w:type="pct"/>
            <w:shd w:val="clear" w:color="auto" w:fill="auto"/>
            <w:noWrap/>
            <w:textDirection w:val="btLr"/>
            <w:vAlign w:val="center"/>
            <w:hideMark/>
          </w:tcPr>
          <w:p w14:paraId="5D18D04A"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3" w:type="pct"/>
            <w:shd w:val="clear" w:color="auto" w:fill="auto"/>
            <w:noWrap/>
            <w:textDirection w:val="btLr"/>
            <w:vAlign w:val="center"/>
            <w:hideMark/>
          </w:tcPr>
          <w:p w14:paraId="1BFB8838"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Operacional</w:t>
            </w:r>
          </w:p>
        </w:tc>
        <w:tc>
          <w:tcPr>
            <w:tcW w:w="379" w:type="pct"/>
            <w:shd w:val="clear" w:color="auto" w:fill="auto"/>
            <w:vAlign w:val="center"/>
            <w:hideMark/>
          </w:tcPr>
          <w:p w14:paraId="1BA57DF3"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Riesgos por la ejecución de actividades inherentes a la prestación de servicios que se presentan en la zona o área a intervenir</w:t>
            </w:r>
          </w:p>
        </w:tc>
        <w:tc>
          <w:tcPr>
            <w:tcW w:w="379" w:type="pct"/>
            <w:shd w:val="clear" w:color="auto" w:fill="auto"/>
            <w:vAlign w:val="center"/>
            <w:hideMark/>
          </w:tcPr>
          <w:p w14:paraId="36DD9032"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Afectación al cronograma de obra, por la no posibilidad de intervención de algunas áreas o en algunos horarios específicos de acuerdo a la programación de la prestación de los servicios existentes en el área a intervenir</w:t>
            </w:r>
          </w:p>
        </w:tc>
        <w:tc>
          <w:tcPr>
            <w:tcW w:w="134" w:type="pct"/>
            <w:shd w:val="clear" w:color="auto" w:fill="auto"/>
            <w:noWrap/>
            <w:vAlign w:val="center"/>
            <w:hideMark/>
          </w:tcPr>
          <w:p w14:paraId="6CF19B7D"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3</w:t>
            </w:r>
          </w:p>
        </w:tc>
        <w:tc>
          <w:tcPr>
            <w:tcW w:w="134" w:type="pct"/>
            <w:shd w:val="clear" w:color="auto" w:fill="auto"/>
            <w:noWrap/>
            <w:vAlign w:val="center"/>
            <w:hideMark/>
          </w:tcPr>
          <w:p w14:paraId="0BE6F5A3"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34" w:type="pct"/>
            <w:shd w:val="clear" w:color="auto" w:fill="auto"/>
            <w:noWrap/>
            <w:vAlign w:val="center"/>
            <w:hideMark/>
          </w:tcPr>
          <w:p w14:paraId="366A1EFE"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5</w:t>
            </w:r>
          </w:p>
        </w:tc>
        <w:tc>
          <w:tcPr>
            <w:tcW w:w="143" w:type="pct"/>
            <w:shd w:val="clear" w:color="auto" w:fill="auto"/>
            <w:noWrap/>
            <w:textDirection w:val="btLr"/>
            <w:vAlign w:val="center"/>
            <w:hideMark/>
          </w:tcPr>
          <w:p w14:paraId="2033D9A1"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medio</w:t>
            </w:r>
          </w:p>
        </w:tc>
        <w:tc>
          <w:tcPr>
            <w:tcW w:w="365" w:type="pct"/>
            <w:shd w:val="clear" w:color="auto" w:fill="auto"/>
            <w:vAlign w:val="center"/>
            <w:hideMark/>
          </w:tcPr>
          <w:p w14:paraId="0030C9C9"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El riesgo es compartido por el contratista y el municipio de Manizales</w:t>
            </w:r>
          </w:p>
        </w:tc>
        <w:tc>
          <w:tcPr>
            <w:tcW w:w="395" w:type="pct"/>
            <w:shd w:val="clear" w:color="auto" w:fill="auto"/>
            <w:vAlign w:val="center"/>
            <w:hideMark/>
          </w:tcPr>
          <w:p w14:paraId="6AB9E4C1"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 xml:space="preserve">Cuando esto se llegare a presentar será causal de ampliación del plazo o suspensión del mismo hasta que las condiciones sean óptimas para continuar con la ejecución del contrato previa aprobación de </w:t>
            </w:r>
            <w:r w:rsidRPr="00AD3332">
              <w:rPr>
                <w:rFonts w:ascii="Arial Narrow" w:hAnsi="Arial Narrow"/>
                <w:sz w:val="12"/>
                <w:szCs w:val="12"/>
                <w:lang w:eastAsia="es-CO"/>
              </w:rPr>
              <w:t xml:space="preserve">la supervisión.  El reconocimiento de mayores costos o desequilibrio económico, </w:t>
            </w:r>
            <w:r w:rsidRPr="00AD3332">
              <w:rPr>
                <w:rFonts w:ascii="Arial Narrow" w:hAnsi="Arial Narrow"/>
                <w:sz w:val="12"/>
                <w:szCs w:val="12"/>
                <w:lang w:eastAsia="es-CO"/>
              </w:rPr>
              <w:lastRenderedPageBreak/>
              <w:t>será asumido por ambas partes, previa demostración del desequilibrio económico y de los mayores costos que se pudieron generar.</w:t>
            </w:r>
          </w:p>
        </w:tc>
        <w:tc>
          <w:tcPr>
            <w:tcW w:w="141" w:type="pct"/>
            <w:shd w:val="clear" w:color="auto" w:fill="auto"/>
            <w:noWrap/>
            <w:vAlign w:val="center"/>
            <w:hideMark/>
          </w:tcPr>
          <w:p w14:paraId="7889BDEB"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lastRenderedPageBreak/>
              <w:t>1</w:t>
            </w:r>
          </w:p>
        </w:tc>
        <w:tc>
          <w:tcPr>
            <w:tcW w:w="141" w:type="pct"/>
            <w:shd w:val="clear" w:color="auto" w:fill="auto"/>
            <w:noWrap/>
            <w:vAlign w:val="center"/>
            <w:hideMark/>
          </w:tcPr>
          <w:p w14:paraId="5747C79F"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hideMark/>
          </w:tcPr>
          <w:p w14:paraId="77C20449"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3" w:type="pct"/>
            <w:shd w:val="clear" w:color="auto" w:fill="auto"/>
            <w:noWrap/>
            <w:textDirection w:val="btLr"/>
            <w:vAlign w:val="center"/>
            <w:hideMark/>
          </w:tcPr>
          <w:p w14:paraId="692B6971"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34" w:type="pct"/>
            <w:shd w:val="clear" w:color="auto" w:fill="auto"/>
            <w:vAlign w:val="center"/>
            <w:hideMark/>
          </w:tcPr>
          <w:p w14:paraId="4178F6E2"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Si</w:t>
            </w:r>
          </w:p>
        </w:tc>
        <w:tc>
          <w:tcPr>
            <w:tcW w:w="351" w:type="pct"/>
            <w:shd w:val="clear" w:color="auto" w:fill="auto"/>
            <w:textDirection w:val="btLr"/>
            <w:vAlign w:val="center"/>
            <w:hideMark/>
          </w:tcPr>
          <w:p w14:paraId="58A405FB"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Contratista ,   supervisión  del contrato</w:t>
            </w:r>
          </w:p>
        </w:tc>
        <w:tc>
          <w:tcPr>
            <w:tcW w:w="367" w:type="pct"/>
            <w:shd w:val="clear" w:color="auto" w:fill="auto"/>
            <w:vAlign w:val="center"/>
            <w:hideMark/>
          </w:tcPr>
          <w:p w14:paraId="27864BC5"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Hasta la finalización del evento adverso</w:t>
            </w:r>
          </w:p>
        </w:tc>
        <w:tc>
          <w:tcPr>
            <w:tcW w:w="379" w:type="pct"/>
            <w:shd w:val="clear" w:color="auto" w:fill="auto"/>
            <w:vAlign w:val="center"/>
            <w:hideMark/>
          </w:tcPr>
          <w:p w14:paraId="66159962"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verificación documentos contractuales del contrato</w:t>
            </w:r>
          </w:p>
        </w:tc>
        <w:tc>
          <w:tcPr>
            <w:tcW w:w="288" w:type="pct"/>
            <w:shd w:val="clear" w:color="auto" w:fill="auto"/>
            <w:textDirection w:val="btLr"/>
            <w:vAlign w:val="center"/>
            <w:hideMark/>
          </w:tcPr>
          <w:p w14:paraId="65AA361E"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 xml:space="preserve">una vez, cuando se cumpla la mitad del </w:t>
            </w:r>
          </w:p>
          <w:p w14:paraId="4DEAFDDB"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plazo contractual</w:t>
            </w:r>
          </w:p>
        </w:tc>
      </w:tr>
      <w:tr w:rsidR="005C2E52" w:rsidRPr="00205749" w14:paraId="168685A3" w14:textId="77777777" w:rsidTr="005C2E52">
        <w:trPr>
          <w:gridAfter w:val="1"/>
          <w:wAfter w:w="143" w:type="pct"/>
          <w:trHeight w:val="2037"/>
        </w:trPr>
        <w:tc>
          <w:tcPr>
            <w:tcW w:w="134" w:type="pct"/>
            <w:shd w:val="clear" w:color="auto" w:fill="auto"/>
            <w:noWrap/>
            <w:vAlign w:val="center"/>
          </w:tcPr>
          <w:p w14:paraId="2F9E1BE2"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18</w:t>
            </w:r>
          </w:p>
        </w:tc>
        <w:tc>
          <w:tcPr>
            <w:tcW w:w="143" w:type="pct"/>
            <w:shd w:val="clear" w:color="auto" w:fill="auto"/>
            <w:noWrap/>
            <w:textDirection w:val="btLr"/>
            <w:vAlign w:val="center"/>
          </w:tcPr>
          <w:p w14:paraId="5FA0788E"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Especifico</w:t>
            </w:r>
          </w:p>
        </w:tc>
        <w:tc>
          <w:tcPr>
            <w:tcW w:w="143" w:type="pct"/>
            <w:shd w:val="clear" w:color="auto" w:fill="auto"/>
            <w:noWrap/>
            <w:textDirection w:val="btLr"/>
            <w:vAlign w:val="center"/>
          </w:tcPr>
          <w:p w14:paraId="2A3DB60E"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43" w:type="pct"/>
            <w:shd w:val="clear" w:color="auto" w:fill="auto"/>
            <w:noWrap/>
            <w:textDirection w:val="btLr"/>
            <w:vAlign w:val="center"/>
          </w:tcPr>
          <w:p w14:paraId="1C7E0217"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3" w:type="pct"/>
            <w:shd w:val="clear" w:color="auto" w:fill="auto"/>
            <w:noWrap/>
            <w:textDirection w:val="btLr"/>
            <w:vAlign w:val="center"/>
          </w:tcPr>
          <w:p w14:paraId="2922FF61"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Operacional</w:t>
            </w:r>
          </w:p>
        </w:tc>
        <w:tc>
          <w:tcPr>
            <w:tcW w:w="379" w:type="pct"/>
            <w:shd w:val="clear" w:color="auto" w:fill="auto"/>
            <w:vAlign w:val="center"/>
          </w:tcPr>
          <w:p w14:paraId="3EABE99B"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Riesgo po</w:t>
            </w:r>
            <w:r>
              <w:rPr>
                <w:rFonts w:ascii="Arial Narrow" w:hAnsi="Arial Narrow"/>
                <w:sz w:val="12"/>
                <w:szCs w:val="12"/>
                <w:lang w:eastAsia="es-CO"/>
              </w:rPr>
              <w:t xml:space="preserve">r demora en la construcción de </w:t>
            </w:r>
            <w:r w:rsidRPr="00205749">
              <w:rPr>
                <w:rFonts w:ascii="Arial Narrow" w:hAnsi="Arial Narrow"/>
                <w:sz w:val="12"/>
                <w:szCs w:val="12"/>
                <w:lang w:eastAsia="es-CO"/>
              </w:rPr>
              <w:t>la</w:t>
            </w:r>
            <w:r>
              <w:rPr>
                <w:rFonts w:ascii="Arial Narrow" w:hAnsi="Arial Narrow"/>
                <w:sz w:val="12"/>
                <w:szCs w:val="12"/>
                <w:lang w:eastAsia="es-CO"/>
              </w:rPr>
              <w:t>s</w:t>
            </w:r>
            <w:r w:rsidRPr="00205749">
              <w:rPr>
                <w:rFonts w:ascii="Arial Narrow" w:hAnsi="Arial Narrow"/>
                <w:sz w:val="12"/>
                <w:szCs w:val="12"/>
                <w:lang w:eastAsia="es-CO"/>
              </w:rPr>
              <w:t xml:space="preserve"> </w:t>
            </w:r>
            <w:r>
              <w:rPr>
                <w:rFonts w:ascii="Arial Narrow" w:hAnsi="Arial Narrow"/>
                <w:sz w:val="12"/>
                <w:szCs w:val="12"/>
                <w:lang w:eastAsia="es-CO"/>
              </w:rPr>
              <w:t xml:space="preserve">actividades que son </w:t>
            </w:r>
            <w:r w:rsidRPr="00205749">
              <w:rPr>
                <w:rFonts w:ascii="Arial Narrow" w:hAnsi="Arial Narrow"/>
                <w:sz w:val="12"/>
                <w:szCs w:val="12"/>
                <w:lang w:eastAsia="es-CO"/>
              </w:rPr>
              <w:t xml:space="preserve">Ruta Crítica del </w:t>
            </w:r>
            <w:r>
              <w:rPr>
                <w:rFonts w:ascii="Arial Narrow" w:hAnsi="Arial Narrow"/>
                <w:sz w:val="12"/>
                <w:szCs w:val="12"/>
                <w:lang w:eastAsia="es-CO"/>
              </w:rPr>
              <w:t>proyect</w:t>
            </w:r>
            <w:r w:rsidRPr="00205749">
              <w:rPr>
                <w:rFonts w:ascii="Arial Narrow" w:hAnsi="Arial Narrow"/>
                <w:sz w:val="12"/>
                <w:szCs w:val="12"/>
                <w:lang w:eastAsia="es-CO"/>
              </w:rPr>
              <w:t xml:space="preserve">o. </w:t>
            </w:r>
          </w:p>
        </w:tc>
        <w:tc>
          <w:tcPr>
            <w:tcW w:w="379" w:type="pct"/>
            <w:shd w:val="clear" w:color="auto" w:fill="auto"/>
            <w:vAlign w:val="center"/>
          </w:tcPr>
          <w:p w14:paraId="642DB014"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Afectación del cronograma de obra por no cumplir c</w:t>
            </w:r>
            <w:r>
              <w:rPr>
                <w:rFonts w:ascii="Arial Narrow" w:hAnsi="Arial Narrow"/>
                <w:sz w:val="12"/>
                <w:szCs w:val="12"/>
                <w:lang w:eastAsia="es-CO"/>
              </w:rPr>
              <w:t>on la Ruta Crítica del proyecto</w:t>
            </w:r>
            <w:r w:rsidRPr="00205749">
              <w:rPr>
                <w:rFonts w:ascii="Arial Narrow" w:hAnsi="Arial Narrow"/>
                <w:sz w:val="12"/>
                <w:szCs w:val="12"/>
                <w:lang w:eastAsia="es-CO"/>
              </w:rPr>
              <w:t>.</w:t>
            </w:r>
          </w:p>
        </w:tc>
        <w:tc>
          <w:tcPr>
            <w:tcW w:w="134" w:type="pct"/>
            <w:shd w:val="clear" w:color="auto" w:fill="auto"/>
            <w:noWrap/>
            <w:vAlign w:val="center"/>
          </w:tcPr>
          <w:p w14:paraId="47C8E820"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3</w:t>
            </w:r>
          </w:p>
        </w:tc>
        <w:tc>
          <w:tcPr>
            <w:tcW w:w="134" w:type="pct"/>
            <w:shd w:val="clear" w:color="auto" w:fill="auto"/>
            <w:noWrap/>
            <w:vAlign w:val="center"/>
          </w:tcPr>
          <w:p w14:paraId="017DECF2"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3</w:t>
            </w:r>
          </w:p>
        </w:tc>
        <w:tc>
          <w:tcPr>
            <w:tcW w:w="134" w:type="pct"/>
            <w:shd w:val="clear" w:color="auto" w:fill="auto"/>
            <w:noWrap/>
            <w:vAlign w:val="center"/>
          </w:tcPr>
          <w:p w14:paraId="56F7A0CE"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5</w:t>
            </w:r>
          </w:p>
        </w:tc>
        <w:tc>
          <w:tcPr>
            <w:tcW w:w="143" w:type="pct"/>
            <w:shd w:val="clear" w:color="auto" w:fill="auto"/>
            <w:noWrap/>
            <w:textDirection w:val="btLr"/>
            <w:vAlign w:val="center"/>
          </w:tcPr>
          <w:p w14:paraId="74E0F512"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medio</w:t>
            </w:r>
          </w:p>
        </w:tc>
        <w:tc>
          <w:tcPr>
            <w:tcW w:w="365" w:type="pct"/>
            <w:shd w:val="clear" w:color="auto" w:fill="auto"/>
            <w:vAlign w:val="center"/>
          </w:tcPr>
          <w:p w14:paraId="7526B0F7" w14:textId="77777777" w:rsidR="005C2E52" w:rsidRPr="00205749" w:rsidRDefault="005C2E52" w:rsidP="005C2E52">
            <w:pPr>
              <w:rPr>
                <w:rFonts w:ascii="Arial Narrow" w:hAnsi="Arial Narrow"/>
                <w:sz w:val="12"/>
                <w:szCs w:val="12"/>
                <w:lang w:eastAsia="es-CO"/>
              </w:rPr>
            </w:pPr>
            <w:r w:rsidRPr="00AD3332">
              <w:rPr>
                <w:rFonts w:ascii="Arial Narrow" w:hAnsi="Arial Narrow"/>
                <w:sz w:val="12"/>
                <w:szCs w:val="12"/>
                <w:lang w:eastAsia="es-CO"/>
              </w:rPr>
              <w:t>Este riesgo es asumido en el 100% por el contratista, siempre y cuando el riesgo sea previsible.</w:t>
            </w:r>
          </w:p>
        </w:tc>
        <w:tc>
          <w:tcPr>
            <w:tcW w:w="395" w:type="pct"/>
            <w:shd w:val="clear" w:color="auto" w:fill="auto"/>
            <w:vAlign w:val="center"/>
          </w:tcPr>
          <w:p w14:paraId="685FF6A1"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 xml:space="preserve">El contratista debe dar inicio a las obras en el menor tiempo posible luego de la adjudicación del contrato y velar, luego del inicio, por el estricto cumplimiento de un cronograma y un plan de </w:t>
            </w:r>
            <w:r>
              <w:rPr>
                <w:rFonts w:ascii="Arial Narrow" w:hAnsi="Arial Narrow"/>
                <w:sz w:val="12"/>
                <w:szCs w:val="12"/>
                <w:lang w:eastAsia="es-CO"/>
              </w:rPr>
              <w:t>obras</w:t>
            </w:r>
            <w:r w:rsidRPr="00205749">
              <w:rPr>
                <w:rFonts w:ascii="Arial Narrow" w:hAnsi="Arial Narrow"/>
                <w:sz w:val="12"/>
                <w:szCs w:val="12"/>
                <w:lang w:eastAsia="es-CO"/>
              </w:rPr>
              <w:t xml:space="preserve"> tal que permita el normal y ágil desenvolvimiento del proyecto. Adicional a ello, debe tener diseñado un plan de contingencia para afrontar posibles retrasos en la ejecución del </w:t>
            </w:r>
            <w:r>
              <w:rPr>
                <w:rFonts w:ascii="Arial Narrow" w:hAnsi="Arial Narrow"/>
                <w:sz w:val="12"/>
                <w:szCs w:val="12"/>
                <w:lang w:eastAsia="es-CO"/>
              </w:rPr>
              <w:t>proyecto</w:t>
            </w:r>
            <w:r w:rsidRPr="00205749">
              <w:rPr>
                <w:rFonts w:ascii="Arial Narrow" w:hAnsi="Arial Narrow"/>
                <w:sz w:val="12"/>
                <w:szCs w:val="12"/>
                <w:lang w:eastAsia="es-CO"/>
              </w:rPr>
              <w:t xml:space="preserve">. </w:t>
            </w:r>
          </w:p>
        </w:tc>
        <w:tc>
          <w:tcPr>
            <w:tcW w:w="141" w:type="pct"/>
            <w:shd w:val="clear" w:color="auto" w:fill="auto"/>
            <w:noWrap/>
            <w:vAlign w:val="center"/>
          </w:tcPr>
          <w:p w14:paraId="448564EA"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tcPr>
          <w:p w14:paraId="4C7D4A76"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1" w:type="pct"/>
            <w:shd w:val="clear" w:color="auto" w:fill="auto"/>
            <w:noWrap/>
            <w:vAlign w:val="center"/>
          </w:tcPr>
          <w:p w14:paraId="7D9E6874"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3" w:type="pct"/>
            <w:shd w:val="clear" w:color="auto" w:fill="auto"/>
            <w:noWrap/>
            <w:textDirection w:val="btLr"/>
            <w:vAlign w:val="center"/>
          </w:tcPr>
          <w:p w14:paraId="411A374E"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34" w:type="pct"/>
            <w:shd w:val="clear" w:color="auto" w:fill="auto"/>
            <w:vAlign w:val="center"/>
          </w:tcPr>
          <w:p w14:paraId="25C88D45"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51" w:type="pct"/>
            <w:shd w:val="clear" w:color="auto" w:fill="auto"/>
            <w:textDirection w:val="btLr"/>
            <w:vAlign w:val="center"/>
          </w:tcPr>
          <w:p w14:paraId="19E0530E"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Supervisión  o interventoría</w:t>
            </w:r>
          </w:p>
        </w:tc>
        <w:tc>
          <w:tcPr>
            <w:tcW w:w="367" w:type="pct"/>
            <w:shd w:val="clear" w:color="auto" w:fill="auto"/>
            <w:vAlign w:val="center"/>
          </w:tcPr>
          <w:p w14:paraId="4DDF0266"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 xml:space="preserve">Al finalizar la etapa  de construcción del </w:t>
            </w:r>
            <w:r>
              <w:rPr>
                <w:rFonts w:ascii="Arial Narrow" w:hAnsi="Arial Narrow"/>
                <w:sz w:val="12"/>
                <w:szCs w:val="12"/>
                <w:lang w:eastAsia="es-CO"/>
              </w:rPr>
              <w:t>proyecto</w:t>
            </w:r>
            <w:r w:rsidRPr="00205749">
              <w:rPr>
                <w:rFonts w:ascii="Arial Narrow" w:hAnsi="Arial Narrow"/>
                <w:sz w:val="12"/>
                <w:szCs w:val="12"/>
                <w:lang w:eastAsia="es-CO"/>
              </w:rPr>
              <w:t>.</w:t>
            </w:r>
          </w:p>
        </w:tc>
        <w:tc>
          <w:tcPr>
            <w:tcW w:w="379" w:type="pct"/>
            <w:shd w:val="clear" w:color="auto" w:fill="auto"/>
            <w:vAlign w:val="center"/>
          </w:tcPr>
          <w:p w14:paraId="7F6BD360" w14:textId="77777777" w:rsidR="005C2E52" w:rsidRPr="00205749" w:rsidRDefault="005C2E52" w:rsidP="005C2E52">
            <w:pPr>
              <w:rPr>
                <w:rFonts w:ascii="Arial Narrow" w:hAnsi="Arial Narrow"/>
                <w:sz w:val="12"/>
                <w:szCs w:val="12"/>
                <w:lang w:eastAsia="es-CO"/>
              </w:rPr>
            </w:pPr>
            <w:r w:rsidRPr="00205749">
              <w:rPr>
                <w:rFonts w:ascii="Arial Narrow" w:hAnsi="Arial Narrow"/>
                <w:sz w:val="12"/>
                <w:szCs w:val="12"/>
                <w:lang w:eastAsia="es-CO"/>
              </w:rPr>
              <w:t>Verificación de avance físico.</w:t>
            </w:r>
          </w:p>
        </w:tc>
        <w:tc>
          <w:tcPr>
            <w:tcW w:w="288" w:type="pct"/>
            <w:shd w:val="clear" w:color="auto" w:fill="auto"/>
            <w:textDirection w:val="btLr"/>
            <w:vAlign w:val="center"/>
          </w:tcPr>
          <w:p w14:paraId="6698FF49" w14:textId="77777777" w:rsidR="005C2E52" w:rsidRPr="00205749" w:rsidRDefault="005C2E52" w:rsidP="005C2E52">
            <w:pPr>
              <w:jc w:val="center"/>
              <w:rPr>
                <w:rFonts w:ascii="Arial Narrow" w:hAnsi="Arial Narrow"/>
                <w:sz w:val="12"/>
                <w:szCs w:val="12"/>
                <w:lang w:eastAsia="es-CO"/>
              </w:rPr>
            </w:pPr>
            <w:r w:rsidRPr="00205749">
              <w:rPr>
                <w:rFonts w:ascii="Arial Narrow" w:hAnsi="Arial Narrow"/>
                <w:sz w:val="12"/>
                <w:szCs w:val="12"/>
                <w:lang w:eastAsia="es-CO"/>
              </w:rPr>
              <w:t>una vez , se cumpla la mitad del plazo contractual</w:t>
            </w:r>
          </w:p>
        </w:tc>
      </w:tr>
      <w:tr w:rsidR="005C2E52" w:rsidRPr="00205749" w14:paraId="58A0B0B0" w14:textId="77777777" w:rsidTr="005C2E52">
        <w:trPr>
          <w:trHeight w:val="2037"/>
        </w:trPr>
        <w:tc>
          <w:tcPr>
            <w:tcW w:w="134" w:type="pct"/>
            <w:shd w:val="clear" w:color="auto" w:fill="auto"/>
            <w:noWrap/>
            <w:vAlign w:val="center"/>
          </w:tcPr>
          <w:p w14:paraId="41C18A31" w14:textId="77777777" w:rsidR="005C2E52" w:rsidRPr="004C1BDC" w:rsidRDefault="005C2E52" w:rsidP="005C2E52">
            <w:pPr>
              <w:jc w:val="center"/>
              <w:rPr>
                <w:rFonts w:ascii="Arial Narrow" w:hAnsi="Arial Narrow"/>
                <w:sz w:val="12"/>
                <w:szCs w:val="12"/>
                <w:lang w:eastAsia="es-CO"/>
              </w:rPr>
            </w:pPr>
            <w:r>
              <w:rPr>
                <w:rFonts w:ascii="Arial Narrow" w:hAnsi="Arial Narrow"/>
                <w:sz w:val="12"/>
                <w:szCs w:val="12"/>
                <w:lang w:eastAsia="es-CO"/>
              </w:rPr>
              <w:t>19</w:t>
            </w:r>
          </w:p>
        </w:tc>
        <w:tc>
          <w:tcPr>
            <w:tcW w:w="143" w:type="pct"/>
            <w:shd w:val="clear" w:color="auto" w:fill="auto"/>
            <w:noWrap/>
            <w:textDirection w:val="btLr"/>
            <w:vAlign w:val="center"/>
          </w:tcPr>
          <w:p w14:paraId="38DF5AAF" w14:textId="77777777" w:rsidR="005C2E52" w:rsidRPr="004C1BDC" w:rsidRDefault="005C2E52" w:rsidP="005C2E52">
            <w:pPr>
              <w:jc w:val="center"/>
              <w:rPr>
                <w:rFonts w:ascii="Arial Narrow" w:hAnsi="Arial Narrow"/>
                <w:sz w:val="12"/>
                <w:szCs w:val="12"/>
                <w:lang w:eastAsia="es-CO"/>
              </w:rPr>
            </w:pPr>
            <w:r>
              <w:rPr>
                <w:rFonts w:ascii="Arial Narrow" w:hAnsi="Arial Narrow"/>
                <w:sz w:val="12"/>
                <w:szCs w:val="12"/>
                <w:lang w:eastAsia="es-CO"/>
              </w:rPr>
              <w:t>General</w:t>
            </w:r>
          </w:p>
        </w:tc>
        <w:tc>
          <w:tcPr>
            <w:tcW w:w="143" w:type="pct"/>
            <w:shd w:val="clear" w:color="auto" w:fill="auto"/>
            <w:noWrap/>
            <w:textDirection w:val="btLr"/>
            <w:vAlign w:val="center"/>
          </w:tcPr>
          <w:p w14:paraId="6BA6C017" w14:textId="77777777" w:rsidR="005C2E52" w:rsidRPr="004C1BDC" w:rsidRDefault="005C2E52" w:rsidP="005C2E52">
            <w:pPr>
              <w:jc w:val="center"/>
              <w:rPr>
                <w:rFonts w:ascii="Arial Narrow" w:hAnsi="Arial Narrow"/>
                <w:sz w:val="12"/>
                <w:szCs w:val="12"/>
                <w:lang w:eastAsia="es-CO"/>
              </w:rPr>
            </w:pPr>
            <w:r>
              <w:rPr>
                <w:rFonts w:ascii="Arial Narrow" w:hAnsi="Arial Narrow"/>
                <w:sz w:val="12"/>
                <w:szCs w:val="12"/>
                <w:lang w:eastAsia="es-CO"/>
              </w:rPr>
              <w:t>Externo</w:t>
            </w:r>
          </w:p>
        </w:tc>
        <w:tc>
          <w:tcPr>
            <w:tcW w:w="143" w:type="pct"/>
            <w:shd w:val="clear" w:color="auto" w:fill="auto"/>
            <w:noWrap/>
            <w:textDirection w:val="btLr"/>
            <w:vAlign w:val="center"/>
          </w:tcPr>
          <w:p w14:paraId="77242E5C" w14:textId="77777777" w:rsidR="005C2E52" w:rsidRPr="004C1BDC" w:rsidRDefault="005C2E52" w:rsidP="005C2E52">
            <w:pPr>
              <w:jc w:val="center"/>
              <w:rPr>
                <w:rFonts w:ascii="Arial Narrow" w:hAnsi="Arial Narrow"/>
                <w:sz w:val="12"/>
                <w:szCs w:val="12"/>
                <w:lang w:eastAsia="es-CO"/>
              </w:rPr>
            </w:pPr>
            <w:r>
              <w:rPr>
                <w:rFonts w:ascii="Arial Narrow" w:hAnsi="Arial Narrow"/>
                <w:sz w:val="12"/>
                <w:szCs w:val="12"/>
                <w:lang w:eastAsia="es-CO"/>
              </w:rPr>
              <w:t>Ejecución</w:t>
            </w:r>
          </w:p>
        </w:tc>
        <w:tc>
          <w:tcPr>
            <w:tcW w:w="143" w:type="pct"/>
            <w:shd w:val="clear" w:color="auto" w:fill="auto"/>
            <w:noWrap/>
            <w:textDirection w:val="btLr"/>
            <w:vAlign w:val="center"/>
          </w:tcPr>
          <w:p w14:paraId="421370F0" w14:textId="77777777" w:rsidR="005C2E52" w:rsidRPr="004C1BDC" w:rsidRDefault="005C2E52" w:rsidP="005C2E52">
            <w:pPr>
              <w:jc w:val="center"/>
              <w:rPr>
                <w:rFonts w:ascii="Arial Narrow" w:hAnsi="Arial Narrow"/>
                <w:sz w:val="12"/>
                <w:szCs w:val="12"/>
                <w:lang w:eastAsia="es-CO"/>
              </w:rPr>
            </w:pPr>
            <w:r>
              <w:rPr>
                <w:rFonts w:ascii="Arial Narrow" w:hAnsi="Arial Narrow"/>
                <w:sz w:val="12"/>
                <w:szCs w:val="12"/>
                <w:lang w:eastAsia="es-CO"/>
              </w:rPr>
              <w:t>Operacional</w:t>
            </w:r>
          </w:p>
        </w:tc>
        <w:tc>
          <w:tcPr>
            <w:tcW w:w="379" w:type="pct"/>
            <w:shd w:val="clear" w:color="auto" w:fill="auto"/>
            <w:vAlign w:val="center"/>
          </w:tcPr>
          <w:p w14:paraId="7EE08837" w14:textId="77777777" w:rsidR="005C2E52" w:rsidRPr="00864716" w:rsidRDefault="005C2E52" w:rsidP="005C2E52">
            <w:pPr>
              <w:rPr>
                <w:rFonts w:ascii="Arial Narrow" w:hAnsi="Arial Narrow"/>
                <w:sz w:val="12"/>
                <w:szCs w:val="12"/>
                <w:lang w:eastAsia="es-CO"/>
              </w:rPr>
            </w:pPr>
            <w:r w:rsidRPr="00864716">
              <w:rPr>
                <w:rFonts w:ascii="Arial Narrow" w:hAnsi="Arial Narrow"/>
                <w:sz w:val="12"/>
                <w:szCs w:val="12"/>
                <w:lang w:eastAsia="es-CO"/>
              </w:rPr>
              <w:t>Riesgo por la no implementación del protocolo COVID 19, según lo establecido en las circulares 003 de 2020, 0666 de 2020 y demás disposiciones del gobierno nacional, municipal o Departamental expedidos para impulsar la reactivación segura de la Construcción</w:t>
            </w:r>
          </w:p>
          <w:p w14:paraId="06D6AECE" w14:textId="77777777" w:rsidR="005C2E52" w:rsidRPr="004C1BDC" w:rsidRDefault="005C2E52" w:rsidP="005C2E52">
            <w:pPr>
              <w:rPr>
                <w:rFonts w:ascii="Arial Narrow" w:hAnsi="Arial Narrow"/>
                <w:sz w:val="12"/>
                <w:szCs w:val="12"/>
                <w:lang w:eastAsia="es-CO"/>
              </w:rPr>
            </w:pPr>
          </w:p>
        </w:tc>
        <w:tc>
          <w:tcPr>
            <w:tcW w:w="379" w:type="pct"/>
            <w:shd w:val="clear" w:color="auto" w:fill="auto"/>
            <w:vAlign w:val="center"/>
          </w:tcPr>
          <w:p w14:paraId="74FCBC05" w14:textId="77777777" w:rsidR="005C2E52" w:rsidRPr="004C1BDC" w:rsidRDefault="005C2E52" w:rsidP="005C2E52">
            <w:pPr>
              <w:rPr>
                <w:rFonts w:ascii="Arial Narrow" w:hAnsi="Arial Narrow"/>
                <w:sz w:val="12"/>
                <w:szCs w:val="12"/>
                <w:lang w:eastAsia="es-CO"/>
              </w:rPr>
            </w:pPr>
            <w:r w:rsidRPr="00864716">
              <w:rPr>
                <w:rFonts w:ascii="Arial Narrow" w:hAnsi="Arial Narrow"/>
                <w:sz w:val="12"/>
                <w:szCs w:val="12"/>
                <w:lang w:eastAsia="es-CO"/>
              </w:rPr>
              <w:t>Afectació</w:t>
            </w:r>
            <w:r>
              <w:rPr>
                <w:rFonts w:ascii="Arial Narrow" w:hAnsi="Arial Narrow"/>
                <w:sz w:val="12"/>
                <w:szCs w:val="12"/>
                <w:lang w:eastAsia="es-CO"/>
              </w:rPr>
              <w:t>n al cronograma de entrega de la</w:t>
            </w:r>
            <w:r w:rsidRPr="00864716">
              <w:rPr>
                <w:rFonts w:ascii="Arial Narrow" w:hAnsi="Arial Narrow"/>
                <w:sz w:val="12"/>
                <w:szCs w:val="12"/>
                <w:lang w:eastAsia="es-CO"/>
              </w:rPr>
              <w:t xml:space="preserve">s </w:t>
            </w:r>
            <w:r>
              <w:rPr>
                <w:rFonts w:ascii="Arial Narrow" w:hAnsi="Arial Narrow"/>
                <w:sz w:val="12"/>
                <w:szCs w:val="12"/>
                <w:lang w:eastAsia="es-CO"/>
              </w:rPr>
              <w:t>obra</w:t>
            </w:r>
            <w:r w:rsidRPr="00864716">
              <w:rPr>
                <w:rFonts w:ascii="Arial Narrow" w:hAnsi="Arial Narrow"/>
                <w:sz w:val="12"/>
                <w:szCs w:val="12"/>
                <w:lang w:eastAsia="es-CO"/>
              </w:rPr>
              <w:t>s, por la posibilidad de contagio del personal que tiene a cargo la ejecución del proyecto</w:t>
            </w:r>
          </w:p>
        </w:tc>
        <w:tc>
          <w:tcPr>
            <w:tcW w:w="134" w:type="pct"/>
            <w:shd w:val="clear" w:color="auto" w:fill="auto"/>
            <w:noWrap/>
            <w:vAlign w:val="center"/>
          </w:tcPr>
          <w:p w14:paraId="1EC60BF2" w14:textId="77777777" w:rsidR="005C2E52" w:rsidRPr="004C1BDC" w:rsidRDefault="005C2E52" w:rsidP="005C2E52">
            <w:pPr>
              <w:jc w:val="center"/>
              <w:rPr>
                <w:rFonts w:ascii="Arial Narrow" w:hAnsi="Arial Narrow"/>
                <w:sz w:val="12"/>
                <w:szCs w:val="12"/>
                <w:lang w:eastAsia="es-CO"/>
              </w:rPr>
            </w:pPr>
            <w:r>
              <w:rPr>
                <w:rFonts w:ascii="Arial Narrow" w:hAnsi="Arial Narrow"/>
                <w:sz w:val="12"/>
                <w:szCs w:val="12"/>
                <w:lang w:eastAsia="es-CO"/>
              </w:rPr>
              <w:t>1</w:t>
            </w:r>
          </w:p>
        </w:tc>
        <w:tc>
          <w:tcPr>
            <w:tcW w:w="134" w:type="pct"/>
            <w:shd w:val="clear" w:color="auto" w:fill="auto"/>
            <w:noWrap/>
            <w:vAlign w:val="center"/>
          </w:tcPr>
          <w:p w14:paraId="2EC50DC5" w14:textId="77777777" w:rsidR="005C2E52" w:rsidRPr="004C1BDC" w:rsidRDefault="005C2E52" w:rsidP="005C2E52">
            <w:pPr>
              <w:jc w:val="center"/>
              <w:rPr>
                <w:rFonts w:ascii="Arial Narrow" w:hAnsi="Arial Narrow"/>
                <w:sz w:val="12"/>
                <w:szCs w:val="12"/>
                <w:lang w:eastAsia="es-CO"/>
              </w:rPr>
            </w:pPr>
            <w:r>
              <w:rPr>
                <w:rFonts w:ascii="Arial Narrow" w:hAnsi="Arial Narrow"/>
                <w:sz w:val="12"/>
                <w:szCs w:val="12"/>
                <w:lang w:eastAsia="es-CO"/>
              </w:rPr>
              <w:t>3</w:t>
            </w:r>
          </w:p>
        </w:tc>
        <w:tc>
          <w:tcPr>
            <w:tcW w:w="134" w:type="pct"/>
            <w:shd w:val="clear" w:color="auto" w:fill="auto"/>
            <w:noWrap/>
            <w:vAlign w:val="center"/>
          </w:tcPr>
          <w:p w14:paraId="58AE03A6" w14:textId="77777777" w:rsidR="005C2E52" w:rsidRPr="004C1BDC" w:rsidRDefault="005C2E52" w:rsidP="005C2E52">
            <w:pPr>
              <w:jc w:val="center"/>
              <w:rPr>
                <w:rFonts w:ascii="Arial Narrow" w:hAnsi="Arial Narrow"/>
                <w:sz w:val="12"/>
                <w:szCs w:val="12"/>
                <w:lang w:eastAsia="es-CO"/>
              </w:rPr>
            </w:pPr>
            <w:r>
              <w:rPr>
                <w:rFonts w:ascii="Arial Narrow" w:hAnsi="Arial Narrow"/>
                <w:sz w:val="12"/>
                <w:szCs w:val="12"/>
                <w:lang w:eastAsia="es-CO"/>
              </w:rPr>
              <w:t>3</w:t>
            </w:r>
          </w:p>
        </w:tc>
        <w:tc>
          <w:tcPr>
            <w:tcW w:w="143" w:type="pct"/>
            <w:shd w:val="clear" w:color="auto" w:fill="auto"/>
            <w:noWrap/>
            <w:textDirection w:val="btLr"/>
            <w:vAlign w:val="center"/>
          </w:tcPr>
          <w:p w14:paraId="26CEE347" w14:textId="77777777" w:rsidR="005C2E52" w:rsidRPr="004C1BDC" w:rsidRDefault="005C2E52" w:rsidP="005C2E52">
            <w:pPr>
              <w:jc w:val="center"/>
              <w:rPr>
                <w:rFonts w:ascii="Arial Narrow" w:hAnsi="Arial Narrow"/>
                <w:sz w:val="12"/>
                <w:szCs w:val="12"/>
                <w:lang w:eastAsia="es-CO"/>
              </w:rPr>
            </w:pPr>
            <w:r>
              <w:rPr>
                <w:rFonts w:ascii="Arial Narrow" w:hAnsi="Arial Narrow"/>
                <w:sz w:val="12"/>
                <w:szCs w:val="12"/>
                <w:lang w:eastAsia="es-CO"/>
              </w:rPr>
              <w:t>medio</w:t>
            </w:r>
          </w:p>
        </w:tc>
        <w:tc>
          <w:tcPr>
            <w:tcW w:w="365" w:type="pct"/>
            <w:shd w:val="clear" w:color="auto" w:fill="auto"/>
            <w:vAlign w:val="center"/>
          </w:tcPr>
          <w:p w14:paraId="69F1EAD0" w14:textId="77777777" w:rsidR="005C2E52" w:rsidRPr="00864716" w:rsidRDefault="005C2E52" w:rsidP="005C2E52">
            <w:pPr>
              <w:jc w:val="center"/>
              <w:rPr>
                <w:rFonts w:ascii="Arial Narrow" w:hAnsi="Arial Narrow"/>
                <w:sz w:val="12"/>
                <w:szCs w:val="12"/>
                <w:lang w:eastAsia="es-CO"/>
              </w:rPr>
            </w:pPr>
            <w:r w:rsidRPr="00864716">
              <w:rPr>
                <w:rFonts w:ascii="Arial Narrow" w:hAnsi="Arial Narrow"/>
                <w:sz w:val="12"/>
                <w:szCs w:val="12"/>
                <w:lang w:eastAsia="es-CO"/>
              </w:rPr>
              <w:t>El contratista deberá dar estricto cumplimiento al protocolo enviado a Secretaría de salud y la ARL</w:t>
            </w:r>
          </w:p>
          <w:p w14:paraId="00CA2D78" w14:textId="77777777" w:rsidR="005C2E52" w:rsidRPr="004C1BDC" w:rsidRDefault="005C2E52" w:rsidP="005C2E52">
            <w:pPr>
              <w:rPr>
                <w:rFonts w:ascii="Arial Narrow" w:hAnsi="Arial Narrow"/>
                <w:sz w:val="12"/>
                <w:szCs w:val="12"/>
                <w:lang w:eastAsia="es-CO"/>
              </w:rPr>
            </w:pPr>
          </w:p>
        </w:tc>
        <w:tc>
          <w:tcPr>
            <w:tcW w:w="395" w:type="pct"/>
            <w:shd w:val="clear" w:color="auto" w:fill="auto"/>
            <w:vAlign w:val="center"/>
          </w:tcPr>
          <w:p w14:paraId="673F0A64" w14:textId="77777777" w:rsidR="005C2E52" w:rsidRPr="00864716" w:rsidRDefault="005C2E52" w:rsidP="005C2E52">
            <w:pPr>
              <w:rPr>
                <w:rFonts w:ascii="Arial Narrow" w:hAnsi="Arial Narrow"/>
                <w:sz w:val="12"/>
                <w:szCs w:val="12"/>
                <w:lang w:eastAsia="es-CO"/>
              </w:rPr>
            </w:pPr>
            <w:r w:rsidRPr="00864716">
              <w:rPr>
                <w:rFonts w:ascii="Arial Narrow" w:hAnsi="Arial Narrow"/>
                <w:sz w:val="12"/>
                <w:szCs w:val="12"/>
                <w:lang w:eastAsia="es-CO"/>
              </w:rPr>
              <w:t>Exigir al contratista la constancia de radicación del protocolo Covid 19 adecuado a la forma en que decida desarrollar los Estudios y Diseños, ya sea porqué concentra el personal de diseño en un lugar específico o que cada uno desarrolle la actividad desde un espacio individual</w:t>
            </w:r>
          </w:p>
          <w:p w14:paraId="787E8833" w14:textId="77777777" w:rsidR="005C2E52" w:rsidRPr="004C1BDC" w:rsidRDefault="005C2E52" w:rsidP="005C2E52">
            <w:pPr>
              <w:rPr>
                <w:rFonts w:ascii="Arial Narrow" w:hAnsi="Arial Narrow"/>
                <w:sz w:val="12"/>
                <w:szCs w:val="12"/>
                <w:lang w:eastAsia="es-CO"/>
              </w:rPr>
            </w:pPr>
          </w:p>
        </w:tc>
        <w:tc>
          <w:tcPr>
            <w:tcW w:w="141" w:type="pct"/>
            <w:shd w:val="clear" w:color="auto" w:fill="auto"/>
            <w:noWrap/>
            <w:vAlign w:val="center"/>
          </w:tcPr>
          <w:p w14:paraId="293C0B15" w14:textId="77777777" w:rsidR="005C2E52" w:rsidRPr="004C1BDC" w:rsidRDefault="005C2E52" w:rsidP="005C2E52">
            <w:pPr>
              <w:jc w:val="center"/>
              <w:rPr>
                <w:rFonts w:ascii="Arial Narrow" w:hAnsi="Arial Narrow"/>
                <w:sz w:val="12"/>
                <w:szCs w:val="12"/>
                <w:lang w:eastAsia="es-CO"/>
              </w:rPr>
            </w:pPr>
            <w:r>
              <w:rPr>
                <w:rFonts w:ascii="Arial Narrow" w:hAnsi="Arial Narrow"/>
                <w:sz w:val="12"/>
                <w:szCs w:val="12"/>
                <w:lang w:eastAsia="es-CO"/>
              </w:rPr>
              <w:t>1</w:t>
            </w:r>
          </w:p>
        </w:tc>
        <w:tc>
          <w:tcPr>
            <w:tcW w:w="141" w:type="pct"/>
            <w:shd w:val="clear" w:color="auto" w:fill="auto"/>
            <w:noWrap/>
            <w:vAlign w:val="center"/>
          </w:tcPr>
          <w:p w14:paraId="7F81F686" w14:textId="77777777" w:rsidR="005C2E52" w:rsidRPr="004C1BDC" w:rsidRDefault="005C2E52" w:rsidP="005C2E52">
            <w:pPr>
              <w:jc w:val="center"/>
              <w:rPr>
                <w:rFonts w:ascii="Arial Narrow" w:hAnsi="Arial Narrow"/>
                <w:sz w:val="12"/>
                <w:szCs w:val="12"/>
                <w:lang w:eastAsia="es-CO"/>
              </w:rPr>
            </w:pPr>
            <w:r>
              <w:rPr>
                <w:rFonts w:ascii="Arial Narrow" w:hAnsi="Arial Narrow"/>
                <w:sz w:val="12"/>
                <w:szCs w:val="12"/>
                <w:lang w:eastAsia="es-CO"/>
              </w:rPr>
              <w:t>3</w:t>
            </w:r>
          </w:p>
        </w:tc>
        <w:tc>
          <w:tcPr>
            <w:tcW w:w="141" w:type="pct"/>
            <w:shd w:val="clear" w:color="auto" w:fill="auto"/>
            <w:noWrap/>
            <w:vAlign w:val="center"/>
          </w:tcPr>
          <w:p w14:paraId="37DB60FA" w14:textId="77777777" w:rsidR="005C2E52" w:rsidRPr="004C1BDC" w:rsidRDefault="005C2E52" w:rsidP="005C2E52">
            <w:pPr>
              <w:jc w:val="center"/>
              <w:rPr>
                <w:rFonts w:ascii="Arial Narrow" w:hAnsi="Arial Narrow"/>
                <w:sz w:val="12"/>
                <w:szCs w:val="12"/>
                <w:lang w:eastAsia="es-CO"/>
              </w:rPr>
            </w:pPr>
            <w:r>
              <w:rPr>
                <w:rFonts w:ascii="Arial Narrow" w:hAnsi="Arial Narrow"/>
                <w:sz w:val="12"/>
                <w:szCs w:val="12"/>
                <w:lang w:eastAsia="es-CO"/>
              </w:rPr>
              <w:t>3</w:t>
            </w:r>
          </w:p>
        </w:tc>
        <w:tc>
          <w:tcPr>
            <w:tcW w:w="143" w:type="pct"/>
            <w:shd w:val="clear" w:color="auto" w:fill="auto"/>
            <w:noWrap/>
            <w:textDirection w:val="btLr"/>
            <w:vAlign w:val="center"/>
          </w:tcPr>
          <w:p w14:paraId="762418AE" w14:textId="77777777" w:rsidR="005C2E52" w:rsidRPr="004C1BDC" w:rsidRDefault="005C2E52" w:rsidP="005C2E52">
            <w:pPr>
              <w:jc w:val="center"/>
              <w:rPr>
                <w:rFonts w:ascii="Arial Narrow" w:hAnsi="Arial Narrow"/>
                <w:sz w:val="12"/>
                <w:szCs w:val="12"/>
                <w:lang w:eastAsia="es-CO"/>
              </w:rPr>
            </w:pPr>
            <w:r>
              <w:rPr>
                <w:rFonts w:ascii="Arial Narrow" w:hAnsi="Arial Narrow"/>
                <w:sz w:val="12"/>
                <w:szCs w:val="12"/>
                <w:lang w:eastAsia="es-CO"/>
              </w:rPr>
              <w:t>Medio</w:t>
            </w:r>
          </w:p>
        </w:tc>
        <w:tc>
          <w:tcPr>
            <w:tcW w:w="134" w:type="pct"/>
            <w:shd w:val="clear" w:color="auto" w:fill="auto"/>
            <w:vAlign w:val="center"/>
          </w:tcPr>
          <w:p w14:paraId="61D3BE73" w14:textId="77777777" w:rsidR="005C2E52" w:rsidRPr="004C1BDC" w:rsidRDefault="005C2E52" w:rsidP="005C2E52">
            <w:pPr>
              <w:jc w:val="center"/>
              <w:rPr>
                <w:rFonts w:ascii="Arial Narrow" w:hAnsi="Arial Narrow"/>
                <w:sz w:val="12"/>
                <w:szCs w:val="12"/>
                <w:lang w:eastAsia="es-CO"/>
              </w:rPr>
            </w:pPr>
            <w:r>
              <w:rPr>
                <w:rFonts w:ascii="Arial Narrow" w:hAnsi="Arial Narrow"/>
                <w:sz w:val="12"/>
                <w:szCs w:val="12"/>
                <w:lang w:eastAsia="es-CO"/>
              </w:rPr>
              <w:t>si</w:t>
            </w:r>
          </w:p>
        </w:tc>
        <w:tc>
          <w:tcPr>
            <w:tcW w:w="351" w:type="pct"/>
            <w:shd w:val="clear" w:color="auto" w:fill="auto"/>
            <w:textDirection w:val="btLr"/>
            <w:vAlign w:val="center"/>
          </w:tcPr>
          <w:p w14:paraId="133E29B5" w14:textId="77777777" w:rsidR="005C2E52" w:rsidRPr="004C1BDC" w:rsidRDefault="005C2E52" w:rsidP="005C2E52">
            <w:pPr>
              <w:jc w:val="center"/>
              <w:rPr>
                <w:rFonts w:ascii="Arial Narrow" w:hAnsi="Arial Narrow"/>
                <w:sz w:val="12"/>
                <w:szCs w:val="12"/>
                <w:lang w:eastAsia="es-CO"/>
              </w:rPr>
            </w:pPr>
            <w:r w:rsidRPr="004E69A6">
              <w:rPr>
                <w:rFonts w:ascii="Arial Narrow" w:hAnsi="Arial Narrow"/>
                <w:sz w:val="12"/>
                <w:szCs w:val="12"/>
                <w:lang w:eastAsia="es-CO"/>
              </w:rPr>
              <w:t>Entidad Estatal – Interventoría y Supervisión del contrato</w:t>
            </w:r>
          </w:p>
        </w:tc>
        <w:tc>
          <w:tcPr>
            <w:tcW w:w="367" w:type="pct"/>
            <w:shd w:val="clear" w:color="auto" w:fill="auto"/>
            <w:textDirection w:val="btLr"/>
            <w:vAlign w:val="center"/>
          </w:tcPr>
          <w:p w14:paraId="52D2B5C2" w14:textId="77777777" w:rsidR="005C2E52" w:rsidRPr="004C1BDC" w:rsidRDefault="005C2E52" w:rsidP="005C2E52">
            <w:pPr>
              <w:jc w:val="center"/>
              <w:rPr>
                <w:rFonts w:ascii="Arial Narrow" w:hAnsi="Arial Narrow"/>
                <w:sz w:val="12"/>
                <w:szCs w:val="12"/>
                <w:lang w:eastAsia="es-CO"/>
              </w:rPr>
            </w:pPr>
            <w:r>
              <w:rPr>
                <w:rFonts w:ascii="Arial Narrow" w:hAnsi="Arial Narrow"/>
                <w:sz w:val="12"/>
                <w:szCs w:val="12"/>
                <w:lang w:eastAsia="es-CO"/>
              </w:rPr>
              <w:t xml:space="preserve">Una vez se inicie el proceso </w:t>
            </w:r>
          </w:p>
        </w:tc>
        <w:tc>
          <w:tcPr>
            <w:tcW w:w="379" w:type="pct"/>
            <w:shd w:val="clear" w:color="auto" w:fill="auto"/>
            <w:vAlign w:val="center"/>
          </w:tcPr>
          <w:p w14:paraId="7893A55F" w14:textId="77777777" w:rsidR="005C2E52" w:rsidRPr="004C1BDC" w:rsidRDefault="005C2E52" w:rsidP="005C2E52">
            <w:pPr>
              <w:rPr>
                <w:rFonts w:ascii="Arial Narrow" w:hAnsi="Arial Narrow"/>
                <w:sz w:val="12"/>
                <w:szCs w:val="12"/>
                <w:lang w:eastAsia="es-CO"/>
              </w:rPr>
            </w:pPr>
            <w:r w:rsidRPr="004C1BDC">
              <w:rPr>
                <w:rFonts w:ascii="Arial Narrow" w:hAnsi="Arial Narrow"/>
                <w:sz w:val="12"/>
                <w:szCs w:val="12"/>
                <w:lang w:eastAsia="es-CO"/>
              </w:rPr>
              <w:t>Hasta la</w:t>
            </w:r>
            <w:r>
              <w:rPr>
                <w:rFonts w:ascii="Arial Narrow" w:hAnsi="Arial Narrow"/>
                <w:sz w:val="12"/>
                <w:szCs w:val="12"/>
                <w:lang w:eastAsia="es-CO"/>
              </w:rPr>
              <w:t xml:space="preserve"> finalización de la obra</w:t>
            </w:r>
          </w:p>
        </w:tc>
        <w:tc>
          <w:tcPr>
            <w:tcW w:w="288" w:type="pct"/>
            <w:shd w:val="clear" w:color="auto" w:fill="auto"/>
            <w:vAlign w:val="center"/>
          </w:tcPr>
          <w:p w14:paraId="533C1BCE" w14:textId="77777777" w:rsidR="005C2E52" w:rsidRPr="004C1BDC" w:rsidRDefault="005C2E52" w:rsidP="005C2E52">
            <w:pPr>
              <w:rPr>
                <w:rFonts w:ascii="Arial Narrow" w:hAnsi="Arial Narrow"/>
                <w:sz w:val="12"/>
                <w:szCs w:val="12"/>
                <w:lang w:eastAsia="es-CO"/>
              </w:rPr>
            </w:pPr>
            <w:r w:rsidRPr="004E69A6">
              <w:rPr>
                <w:rFonts w:ascii="Arial Narrow" w:hAnsi="Arial Narrow"/>
                <w:sz w:val="12"/>
                <w:szCs w:val="12"/>
                <w:lang w:eastAsia="es-CO"/>
              </w:rPr>
              <w:t>Verificación del protocolo propuesto y visita al sitio de trabajo</w:t>
            </w:r>
          </w:p>
        </w:tc>
        <w:tc>
          <w:tcPr>
            <w:tcW w:w="143" w:type="pct"/>
            <w:textDirection w:val="btLr"/>
            <w:vAlign w:val="center"/>
          </w:tcPr>
          <w:p w14:paraId="44039610" w14:textId="77777777" w:rsidR="005C2E52" w:rsidRPr="004C1BDC" w:rsidRDefault="005C2E52" w:rsidP="005C2E52">
            <w:pPr>
              <w:jc w:val="center"/>
              <w:rPr>
                <w:rFonts w:ascii="Arial Narrow" w:hAnsi="Arial Narrow"/>
                <w:sz w:val="12"/>
                <w:szCs w:val="12"/>
                <w:lang w:eastAsia="es-CO"/>
              </w:rPr>
            </w:pPr>
            <w:r>
              <w:rPr>
                <w:rFonts w:ascii="Arial Narrow" w:hAnsi="Arial Narrow"/>
                <w:sz w:val="12"/>
                <w:szCs w:val="12"/>
                <w:lang w:eastAsia="es-CO"/>
              </w:rPr>
              <w:t>Quincenal</w:t>
            </w:r>
          </w:p>
        </w:tc>
      </w:tr>
    </w:tbl>
    <w:p w14:paraId="168C9C57" w14:textId="1E93E6DC" w:rsidR="00D70D7B" w:rsidRPr="00DD4300" w:rsidRDefault="00241A33" w:rsidP="00241A33">
      <w:pPr>
        <w:tabs>
          <w:tab w:val="left" w:pos="6690"/>
        </w:tabs>
        <w:spacing w:after="100" w:afterAutospacing="1"/>
        <w:rPr>
          <w:rFonts w:ascii="Arial" w:eastAsia="SimSun" w:hAnsi="Arial" w:cs="Arial"/>
          <w:kern w:val="3"/>
          <w:sz w:val="20"/>
          <w:szCs w:val="20"/>
          <w:lang w:eastAsia="zh-CN" w:bidi="hi-IN"/>
        </w:rPr>
      </w:pPr>
      <w:r>
        <w:rPr>
          <w:rFonts w:ascii="Arial" w:eastAsia="SimSun" w:hAnsi="Arial" w:cs="Arial"/>
          <w:kern w:val="3"/>
          <w:sz w:val="20"/>
          <w:szCs w:val="20"/>
          <w:lang w:eastAsia="zh-CN" w:bidi="hi-IN"/>
        </w:rPr>
        <w:tab/>
      </w:r>
    </w:p>
    <w:sectPr w:rsidR="00D70D7B" w:rsidRPr="00DD4300" w:rsidSect="00091875">
      <w:headerReference w:type="default" r:id="rId12"/>
      <w:footerReference w:type="default" r:id="rId13"/>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CECE1E" w14:textId="77777777" w:rsidR="00FD34FD" w:rsidRDefault="00FD34FD" w:rsidP="00091875">
      <w:pPr>
        <w:spacing w:line="240" w:lineRule="auto"/>
      </w:pPr>
      <w:r>
        <w:separator/>
      </w:r>
    </w:p>
  </w:endnote>
  <w:endnote w:type="continuationSeparator" w:id="0">
    <w:p w14:paraId="0D5753AB" w14:textId="77777777" w:rsidR="00FD34FD" w:rsidRDefault="00FD34FD"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2671562"/>
      <w:docPartObj>
        <w:docPartGallery w:val="Page Numbers (Bottom of Page)"/>
        <w:docPartUnique/>
      </w:docPartObj>
    </w:sdtPr>
    <w:sdtEndPr/>
    <w:sdtContent>
      <w:p w14:paraId="5899CA35" w14:textId="77777777" w:rsidR="007A656B" w:rsidRDefault="007A656B">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52"/>
          <w:gridCol w:w="2132"/>
          <w:gridCol w:w="1099"/>
          <w:gridCol w:w="314"/>
        </w:tblGrid>
        <w:tr w:rsidR="00241A33" w:rsidRPr="00241A33" w14:paraId="436846A7" w14:textId="77777777" w:rsidTr="00E858D4">
          <w:trPr>
            <w:trHeight w:val="220"/>
          </w:trPr>
          <w:tc>
            <w:tcPr>
              <w:tcW w:w="969" w:type="pct"/>
              <w:shd w:val="clear" w:color="auto" w:fill="auto"/>
              <w:vAlign w:val="center"/>
            </w:tcPr>
            <w:p w14:paraId="1EEF47C5" w14:textId="77777777" w:rsidR="007A656B" w:rsidRPr="00241A33" w:rsidRDefault="007A656B" w:rsidP="007A656B">
              <w:pPr>
                <w:spacing w:after="4" w:line="249" w:lineRule="auto"/>
                <w:ind w:left="10" w:hanging="10"/>
                <w:rPr>
                  <w:rFonts w:eastAsia="Arial" w:cs="Arial"/>
                  <w:b/>
                  <w:sz w:val="16"/>
                  <w:szCs w:val="16"/>
                  <w:lang w:eastAsia="es-CO"/>
                </w:rPr>
              </w:pPr>
              <w:r w:rsidRPr="00241A33">
                <w:rPr>
                  <w:rFonts w:eastAsia="Arial" w:cs="Arial"/>
                  <w:b/>
                  <w:sz w:val="16"/>
                  <w:szCs w:val="16"/>
                  <w:lang w:eastAsia="es-CO"/>
                </w:rPr>
                <w:t>Código</w:t>
              </w:r>
            </w:p>
          </w:tc>
          <w:tc>
            <w:tcPr>
              <w:tcW w:w="2424" w:type="pct"/>
              <w:shd w:val="clear" w:color="auto" w:fill="auto"/>
              <w:vAlign w:val="center"/>
            </w:tcPr>
            <w:p w14:paraId="5CA11559" w14:textId="368C6373" w:rsidR="007A656B" w:rsidRPr="00241A33" w:rsidRDefault="007A656B" w:rsidP="007A656B">
              <w:pPr>
                <w:spacing w:after="4" w:line="249" w:lineRule="auto"/>
                <w:ind w:left="10" w:hanging="10"/>
                <w:rPr>
                  <w:rFonts w:eastAsia="Arial" w:cs="Arial"/>
                  <w:sz w:val="16"/>
                  <w:szCs w:val="16"/>
                  <w:lang w:eastAsia="es-CO"/>
                </w:rPr>
              </w:pPr>
              <w:r w:rsidRPr="00241A33">
                <w:rPr>
                  <w:rFonts w:eastAsia="Arial" w:cs="Arial"/>
                  <w:sz w:val="16"/>
                  <w:szCs w:val="16"/>
                  <w:lang w:eastAsia="es-CO"/>
                </w:rPr>
                <w:t>CCE-EICP-FM-13</w:t>
              </w:r>
            </w:p>
          </w:tc>
          <w:tc>
            <w:tcPr>
              <w:tcW w:w="1250" w:type="pct"/>
              <w:shd w:val="clear" w:color="auto" w:fill="auto"/>
              <w:vAlign w:val="center"/>
            </w:tcPr>
            <w:p w14:paraId="2ABCEDCC" w14:textId="77777777" w:rsidR="007A656B" w:rsidRPr="00241A33" w:rsidRDefault="007A656B" w:rsidP="007A656B">
              <w:pPr>
                <w:spacing w:after="4" w:line="249" w:lineRule="auto"/>
                <w:ind w:left="10" w:hanging="10"/>
                <w:jc w:val="center"/>
                <w:rPr>
                  <w:rFonts w:eastAsia="Arial" w:cs="Arial"/>
                  <w:b/>
                  <w:sz w:val="16"/>
                  <w:szCs w:val="16"/>
                  <w:lang w:eastAsia="es-CO"/>
                </w:rPr>
              </w:pPr>
              <w:r w:rsidRPr="00241A33">
                <w:rPr>
                  <w:rFonts w:eastAsia="Arial" w:cs="Arial"/>
                  <w:b/>
                  <w:sz w:val="16"/>
                  <w:szCs w:val="16"/>
                  <w:lang w:eastAsia="es-CO"/>
                </w:rPr>
                <w:t>Versión</w:t>
              </w:r>
            </w:p>
          </w:tc>
          <w:tc>
            <w:tcPr>
              <w:tcW w:w="357" w:type="pct"/>
              <w:shd w:val="clear" w:color="auto" w:fill="auto"/>
              <w:vAlign w:val="center"/>
            </w:tcPr>
            <w:p w14:paraId="2CFB6541" w14:textId="7CC14B5A" w:rsidR="007A656B" w:rsidRPr="00241A33" w:rsidRDefault="00241A33" w:rsidP="007A656B">
              <w:pPr>
                <w:spacing w:after="4" w:line="249" w:lineRule="auto"/>
                <w:ind w:left="10" w:hanging="10"/>
                <w:jc w:val="left"/>
                <w:rPr>
                  <w:rFonts w:eastAsia="Arial" w:cs="Arial"/>
                  <w:sz w:val="16"/>
                  <w:szCs w:val="16"/>
                  <w:lang w:eastAsia="es-CO"/>
                </w:rPr>
              </w:pPr>
              <w:r w:rsidRPr="00241A33">
                <w:rPr>
                  <w:rFonts w:eastAsia="Arial" w:cs="Arial"/>
                  <w:sz w:val="16"/>
                  <w:szCs w:val="16"/>
                  <w:lang w:eastAsia="es-CO"/>
                </w:rPr>
                <w:t>2</w:t>
              </w:r>
            </w:p>
          </w:tc>
        </w:tr>
      </w:tbl>
      <w:p w14:paraId="56B6126B" w14:textId="2F2FD20B" w:rsidR="00091875" w:rsidRDefault="00103B17">
        <w:pPr>
          <w:pStyle w:val="Piedepgina"/>
          <w:jc w:val="right"/>
        </w:pPr>
        <w:r>
          <w:fldChar w:fldCharType="begin"/>
        </w:r>
        <w:r w:rsidR="00091875">
          <w:instrText>PAGE   \* MERGEFORMAT</w:instrText>
        </w:r>
        <w:r>
          <w:fldChar w:fldCharType="separate"/>
        </w:r>
        <w:r w:rsidR="0051257F" w:rsidRPr="0051257F">
          <w:rPr>
            <w:noProof/>
            <w:lang w:val="es-ES"/>
          </w:rPr>
          <w:t>1</w:t>
        </w:r>
        <w:r>
          <w:fldChar w:fldCharType="end"/>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884FAB" w14:textId="77777777" w:rsidR="00FD34FD" w:rsidRDefault="00FD34FD" w:rsidP="00091875">
      <w:pPr>
        <w:spacing w:line="240" w:lineRule="auto"/>
      </w:pPr>
      <w:r>
        <w:separator/>
      </w:r>
    </w:p>
  </w:footnote>
  <w:footnote w:type="continuationSeparator" w:id="0">
    <w:p w14:paraId="2778A4B9" w14:textId="77777777" w:rsidR="00FD34FD" w:rsidRDefault="00FD34FD" w:rsidP="0009187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624AC2" w:rsidRPr="0002791E" w14:paraId="6EC2D68E" w14:textId="77777777" w:rsidTr="00406BBF">
      <w:trPr>
        <w:trHeight w:val="146"/>
        <w:jc w:val="center"/>
      </w:trPr>
      <w:tc>
        <w:tcPr>
          <w:tcW w:w="5000" w:type="pct"/>
          <w:gridSpan w:val="4"/>
          <w:shd w:val="clear" w:color="auto" w:fill="auto"/>
          <w:vAlign w:val="center"/>
        </w:tcPr>
        <w:p w14:paraId="718DE524" w14:textId="77777777" w:rsidR="00624AC2" w:rsidRPr="00663D2F" w:rsidRDefault="00624AC2" w:rsidP="00624AC2">
          <w:pPr>
            <w:pStyle w:val="Encabezado"/>
            <w:jc w:val="center"/>
            <w:rPr>
              <w:rFonts w:cs="Arial"/>
              <w:b/>
              <w:sz w:val="16"/>
              <w:szCs w:val="16"/>
            </w:rPr>
          </w:pPr>
          <w:r>
            <w:rPr>
              <w:rFonts w:cs="Arial"/>
              <w:b/>
              <w:sz w:val="16"/>
              <w:szCs w:val="16"/>
            </w:rPr>
            <w:t>MATRIZ 3 - RIESGOS</w:t>
          </w:r>
        </w:p>
        <w:p w14:paraId="6B9C85B8" w14:textId="5C5CE1F2" w:rsidR="00624AC2" w:rsidRPr="003D7EF4" w:rsidRDefault="00624AC2" w:rsidP="00624AC2">
          <w:pPr>
            <w:pStyle w:val="Encabezado"/>
            <w:jc w:val="center"/>
            <w:rPr>
              <w:rFonts w:cs="Arial"/>
              <w:b/>
              <w:sz w:val="16"/>
              <w:szCs w:val="16"/>
            </w:rPr>
          </w:pPr>
          <w:r>
            <w:rPr>
              <w:rFonts w:cs="Arial"/>
              <w:b/>
              <w:sz w:val="16"/>
              <w:szCs w:val="16"/>
            </w:rPr>
            <w:t>SELECCIÓN ABREVIADA</w:t>
          </w:r>
          <w:r w:rsidRPr="00663D2F">
            <w:rPr>
              <w:rFonts w:cs="Arial"/>
              <w:b/>
              <w:sz w:val="16"/>
              <w:szCs w:val="16"/>
            </w:rPr>
            <w:t xml:space="preserve"> DE OBRA PÚBLICA DE INFRAESTRUCTURA DE TRANSPORTE</w:t>
          </w:r>
          <w:r>
            <w:rPr>
              <w:rFonts w:cs="Arial"/>
              <w:b/>
              <w:sz w:val="16"/>
              <w:szCs w:val="16"/>
            </w:rPr>
            <w:t xml:space="preserve"> (VERSIÓN 2) </w:t>
          </w:r>
        </w:p>
      </w:tc>
    </w:tr>
    <w:tr w:rsidR="00624AC2" w:rsidRPr="0002791E" w14:paraId="35700087" w14:textId="77777777" w:rsidTr="00624AC2">
      <w:trPr>
        <w:trHeight w:val="234"/>
        <w:jc w:val="center"/>
      </w:trPr>
      <w:tc>
        <w:tcPr>
          <w:tcW w:w="674" w:type="pct"/>
          <w:shd w:val="clear" w:color="auto" w:fill="auto"/>
          <w:vAlign w:val="center"/>
        </w:tcPr>
        <w:p w14:paraId="43AE0963" w14:textId="77777777" w:rsidR="00624AC2" w:rsidRPr="008C223B" w:rsidRDefault="00624AC2"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Código</w:t>
          </w:r>
        </w:p>
      </w:tc>
      <w:tc>
        <w:tcPr>
          <w:tcW w:w="2636" w:type="pct"/>
          <w:shd w:val="clear" w:color="auto" w:fill="auto"/>
          <w:vAlign w:val="center"/>
        </w:tcPr>
        <w:p w14:paraId="06AAE1ED" w14:textId="6C027976" w:rsidR="00624AC2" w:rsidRPr="003D7EF4" w:rsidRDefault="00624AC2" w:rsidP="00624AC2">
          <w:pPr>
            <w:spacing w:after="4" w:line="249" w:lineRule="auto"/>
            <w:ind w:left="10" w:hanging="10"/>
            <w:rPr>
              <w:rFonts w:eastAsia="Arial" w:cs="Arial"/>
              <w:color w:val="595959"/>
              <w:sz w:val="16"/>
              <w:szCs w:val="16"/>
            </w:rPr>
          </w:pPr>
          <w:r w:rsidRPr="00624AC2">
            <w:rPr>
              <w:rFonts w:cs="Arial"/>
              <w:sz w:val="16"/>
              <w:szCs w:val="16"/>
            </w:rPr>
            <w:t>CCE-EICP-FM-13</w:t>
          </w:r>
        </w:p>
      </w:tc>
      <w:tc>
        <w:tcPr>
          <w:tcW w:w="539" w:type="pct"/>
          <w:shd w:val="clear" w:color="auto" w:fill="auto"/>
          <w:vAlign w:val="center"/>
        </w:tcPr>
        <w:p w14:paraId="64A9F519" w14:textId="77777777" w:rsidR="00624AC2" w:rsidRPr="003D7EF4" w:rsidRDefault="00624AC2" w:rsidP="00624AC2">
          <w:pPr>
            <w:spacing w:after="4" w:line="249" w:lineRule="auto"/>
            <w:ind w:left="10" w:hanging="10"/>
            <w:jc w:val="center"/>
            <w:rPr>
              <w:rFonts w:eastAsia="Arial" w:cs="Arial"/>
              <w:b/>
              <w:color w:val="595959"/>
              <w:sz w:val="16"/>
              <w:szCs w:val="16"/>
            </w:rPr>
          </w:pPr>
          <w:r w:rsidRPr="003D7EF4">
            <w:rPr>
              <w:rFonts w:eastAsia="Arial" w:cs="Arial"/>
              <w:b/>
              <w:color w:val="595959"/>
              <w:sz w:val="16"/>
              <w:szCs w:val="16"/>
            </w:rPr>
            <w:t>Página</w:t>
          </w:r>
        </w:p>
      </w:tc>
      <w:tc>
        <w:tcPr>
          <w:tcW w:w="1151" w:type="pct"/>
          <w:shd w:val="clear" w:color="auto" w:fill="auto"/>
          <w:vAlign w:val="center"/>
        </w:tcPr>
        <w:p w14:paraId="672C9C2B" w14:textId="77777777" w:rsidR="00624AC2" w:rsidRPr="003D7EF4" w:rsidRDefault="00624AC2" w:rsidP="00624AC2">
          <w:pPr>
            <w:spacing w:after="4" w:line="249" w:lineRule="auto"/>
            <w:ind w:left="10" w:hanging="10"/>
            <w:rPr>
              <w:rFonts w:eastAsia="Arial" w:cs="Arial"/>
              <w:color w:val="595959"/>
              <w:sz w:val="16"/>
              <w:szCs w:val="16"/>
            </w:rPr>
          </w:pPr>
          <w:r w:rsidRPr="003D7EF4">
            <w:rPr>
              <w:rFonts w:eastAsia="Arial" w:cs="Arial"/>
              <w:color w:val="595959"/>
              <w:sz w:val="16"/>
              <w:szCs w:val="16"/>
            </w:rPr>
            <w:fldChar w:fldCharType="begin"/>
          </w:r>
          <w:r w:rsidRPr="003D7EF4">
            <w:rPr>
              <w:rFonts w:eastAsia="Arial" w:cs="Arial"/>
              <w:color w:val="595959"/>
              <w:sz w:val="16"/>
              <w:szCs w:val="16"/>
            </w:rPr>
            <w:instrText xml:space="preserve"> PAGE </w:instrText>
          </w:r>
          <w:r w:rsidRPr="003D7EF4">
            <w:rPr>
              <w:rFonts w:eastAsia="Arial" w:cs="Arial"/>
              <w:color w:val="595959"/>
              <w:sz w:val="16"/>
              <w:szCs w:val="16"/>
            </w:rPr>
            <w:fldChar w:fldCharType="separate"/>
          </w:r>
          <w:r w:rsidR="0051257F">
            <w:rPr>
              <w:rFonts w:eastAsia="Arial" w:cs="Arial"/>
              <w:noProof/>
              <w:color w:val="595959"/>
              <w:sz w:val="16"/>
              <w:szCs w:val="16"/>
            </w:rPr>
            <w:t>1</w:t>
          </w:r>
          <w:r w:rsidRPr="003D7EF4">
            <w:rPr>
              <w:rFonts w:eastAsia="Arial" w:cs="Arial"/>
              <w:color w:val="595959"/>
              <w:sz w:val="16"/>
              <w:szCs w:val="16"/>
            </w:rPr>
            <w:fldChar w:fldCharType="end"/>
          </w:r>
          <w:r w:rsidRPr="003D7EF4">
            <w:rPr>
              <w:rFonts w:eastAsia="Arial" w:cs="Arial"/>
              <w:color w:val="595959"/>
              <w:sz w:val="16"/>
              <w:szCs w:val="16"/>
            </w:rPr>
            <w:t xml:space="preserve"> de </w:t>
          </w:r>
          <w:r w:rsidRPr="003D7EF4">
            <w:rPr>
              <w:rFonts w:eastAsia="Arial" w:cs="Arial"/>
              <w:color w:val="595959"/>
              <w:sz w:val="16"/>
              <w:szCs w:val="16"/>
            </w:rPr>
            <w:fldChar w:fldCharType="begin"/>
          </w:r>
          <w:r w:rsidRPr="003D7EF4">
            <w:rPr>
              <w:rFonts w:eastAsia="Arial" w:cs="Arial"/>
              <w:color w:val="595959"/>
              <w:sz w:val="16"/>
              <w:szCs w:val="16"/>
            </w:rPr>
            <w:instrText xml:space="preserve"> NUMPAGES </w:instrText>
          </w:r>
          <w:r w:rsidRPr="003D7EF4">
            <w:rPr>
              <w:rFonts w:eastAsia="Arial" w:cs="Arial"/>
              <w:color w:val="595959"/>
              <w:sz w:val="16"/>
              <w:szCs w:val="16"/>
            </w:rPr>
            <w:fldChar w:fldCharType="separate"/>
          </w:r>
          <w:r w:rsidR="0051257F">
            <w:rPr>
              <w:rFonts w:eastAsia="Arial" w:cs="Arial"/>
              <w:noProof/>
              <w:color w:val="595959"/>
              <w:sz w:val="16"/>
              <w:szCs w:val="16"/>
            </w:rPr>
            <w:t>10</w:t>
          </w:r>
          <w:r w:rsidRPr="003D7EF4">
            <w:rPr>
              <w:rFonts w:eastAsia="Arial" w:cs="Arial"/>
              <w:color w:val="595959"/>
              <w:sz w:val="16"/>
              <w:szCs w:val="16"/>
            </w:rPr>
            <w:fldChar w:fldCharType="end"/>
          </w:r>
        </w:p>
      </w:tc>
    </w:tr>
    <w:tr w:rsidR="00624AC2" w:rsidRPr="0002791E" w14:paraId="68052970" w14:textId="77777777" w:rsidTr="00624AC2">
      <w:trPr>
        <w:trHeight w:val="73"/>
        <w:jc w:val="center"/>
      </w:trPr>
      <w:tc>
        <w:tcPr>
          <w:tcW w:w="674" w:type="pct"/>
          <w:shd w:val="clear" w:color="auto" w:fill="auto"/>
          <w:vAlign w:val="center"/>
        </w:tcPr>
        <w:p w14:paraId="24D10BE5" w14:textId="77777777" w:rsidR="00624AC2" w:rsidRPr="008C223B" w:rsidRDefault="00624AC2"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Versión No.</w:t>
          </w:r>
        </w:p>
      </w:tc>
      <w:tc>
        <w:tcPr>
          <w:tcW w:w="4326" w:type="pct"/>
          <w:gridSpan w:val="3"/>
          <w:shd w:val="clear" w:color="auto" w:fill="auto"/>
          <w:vAlign w:val="center"/>
        </w:tcPr>
        <w:p w14:paraId="02C2034C" w14:textId="23569C4B" w:rsidR="00624AC2" w:rsidRPr="003D7EF4" w:rsidRDefault="00624AC2" w:rsidP="00624AC2">
          <w:pPr>
            <w:spacing w:after="4" w:line="249" w:lineRule="auto"/>
            <w:ind w:left="10" w:hanging="10"/>
            <w:rPr>
              <w:rFonts w:eastAsia="Arial" w:cs="Arial"/>
              <w:color w:val="595959"/>
              <w:sz w:val="16"/>
              <w:szCs w:val="16"/>
            </w:rPr>
          </w:pPr>
          <w:r>
            <w:rPr>
              <w:rFonts w:eastAsia="Arial" w:cs="Arial"/>
              <w:color w:val="595959"/>
              <w:sz w:val="16"/>
              <w:szCs w:val="16"/>
            </w:rPr>
            <w:t>2</w:t>
          </w:r>
        </w:p>
      </w:tc>
    </w:tr>
  </w:tbl>
  <w:p w14:paraId="5A1B4C24" w14:textId="0E9AD524" w:rsidR="749F36F0" w:rsidRDefault="749F36F0" w:rsidP="749F36F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10A03"/>
    <w:rsid w:val="000150D7"/>
    <w:rsid w:val="0008460C"/>
    <w:rsid w:val="00091875"/>
    <w:rsid w:val="000A2F3B"/>
    <w:rsid w:val="000C2AAE"/>
    <w:rsid w:val="000F7C80"/>
    <w:rsid w:val="00101037"/>
    <w:rsid w:val="00103B17"/>
    <w:rsid w:val="00106362"/>
    <w:rsid w:val="001246B3"/>
    <w:rsid w:val="00136C78"/>
    <w:rsid w:val="001477DE"/>
    <w:rsid w:val="0015719E"/>
    <w:rsid w:val="001D1F23"/>
    <w:rsid w:val="001E7630"/>
    <w:rsid w:val="00241A33"/>
    <w:rsid w:val="00277255"/>
    <w:rsid w:val="002D1AFB"/>
    <w:rsid w:val="003322F8"/>
    <w:rsid w:val="003558EC"/>
    <w:rsid w:val="00374B32"/>
    <w:rsid w:val="00375454"/>
    <w:rsid w:val="0039239D"/>
    <w:rsid w:val="003B7338"/>
    <w:rsid w:val="003E331F"/>
    <w:rsid w:val="003E4428"/>
    <w:rsid w:val="003F50E3"/>
    <w:rsid w:val="004338C5"/>
    <w:rsid w:val="004D7C35"/>
    <w:rsid w:val="00507FAA"/>
    <w:rsid w:val="00511F46"/>
    <w:rsid w:val="0051257F"/>
    <w:rsid w:val="00513343"/>
    <w:rsid w:val="00540CF2"/>
    <w:rsid w:val="00545461"/>
    <w:rsid w:val="005752CE"/>
    <w:rsid w:val="0058222E"/>
    <w:rsid w:val="005C2E52"/>
    <w:rsid w:val="005E5030"/>
    <w:rsid w:val="00602088"/>
    <w:rsid w:val="00624AC2"/>
    <w:rsid w:val="00683A4A"/>
    <w:rsid w:val="00686C25"/>
    <w:rsid w:val="00697703"/>
    <w:rsid w:val="006A3288"/>
    <w:rsid w:val="006B4FEE"/>
    <w:rsid w:val="006E6D9B"/>
    <w:rsid w:val="007115DA"/>
    <w:rsid w:val="00721886"/>
    <w:rsid w:val="00762556"/>
    <w:rsid w:val="0076567A"/>
    <w:rsid w:val="0077727E"/>
    <w:rsid w:val="007A656B"/>
    <w:rsid w:val="007B33E6"/>
    <w:rsid w:val="007C5B18"/>
    <w:rsid w:val="007C702A"/>
    <w:rsid w:val="007F427D"/>
    <w:rsid w:val="00805ECB"/>
    <w:rsid w:val="00815604"/>
    <w:rsid w:val="00833F3B"/>
    <w:rsid w:val="00841B5A"/>
    <w:rsid w:val="008537E3"/>
    <w:rsid w:val="0085653A"/>
    <w:rsid w:val="0085672F"/>
    <w:rsid w:val="00874392"/>
    <w:rsid w:val="00885039"/>
    <w:rsid w:val="008E39CA"/>
    <w:rsid w:val="009321E7"/>
    <w:rsid w:val="009771F1"/>
    <w:rsid w:val="009961A2"/>
    <w:rsid w:val="009E77AD"/>
    <w:rsid w:val="009F3A90"/>
    <w:rsid w:val="00A1437D"/>
    <w:rsid w:val="00A411F2"/>
    <w:rsid w:val="00A802EF"/>
    <w:rsid w:val="00A9107A"/>
    <w:rsid w:val="00AB5F8B"/>
    <w:rsid w:val="00AE2ECB"/>
    <w:rsid w:val="00B26E25"/>
    <w:rsid w:val="00B544AB"/>
    <w:rsid w:val="00B60C9E"/>
    <w:rsid w:val="00B76DAD"/>
    <w:rsid w:val="00B773A4"/>
    <w:rsid w:val="00B81B1F"/>
    <w:rsid w:val="00B83621"/>
    <w:rsid w:val="00B92158"/>
    <w:rsid w:val="00B94790"/>
    <w:rsid w:val="00BA3870"/>
    <w:rsid w:val="00BC48AE"/>
    <w:rsid w:val="00C53FEB"/>
    <w:rsid w:val="00C61BDB"/>
    <w:rsid w:val="00C71F76"/>
    <w:rsid w:val="00CB7D17"/>
    <w:rsid w:val="00D13765"/>
    <w:rsid w:val="00D2740F"/>
    <w:rsid w:val="00D61CBF"/>
    <w:rsid w:val="00D70D7B"/>
    <w:rsid w:val="00D86ECC"/>
    <w:rsid w:val="00DA2321"/>
    <w:rsid w:val="00DD4300"/>
    <w:rsid w:val="00DF421A"/>
    <w:rsid w:val="00E20BE5"/>
    <w:rsid w:val="00E56873"/>
    <w:rsid w:val="00F6022F"/>
    <w:rsid w:val="00F63350"/>
    <w:rsid w:val="00F77C04"/>
    <w:rsid w:val="00FD34FD"/>
    <w:rsid w:val="00FD3BD6"/>
    <w:rsid w:val="749F36F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Puesto">
    <w:name w:val="Title"/>
    <w:basedOn w:val="Normal"/>
    <w:next w:val="ParrafoNmerado"/>
    <w:link w:val="Puest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PuestoCar">
    <w:name w:val="Puesto Car"/>
    <w:basedOn w:val="Fuentedeprrafopredeter"/>
    <w:link w:val="Puest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de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Cuadrculadetab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DB30FAC-C0AD-41C3-9355-304897C3D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7DE6E6-5D75-4D79-9F85-A57ED56E6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3269</Words>
  <Characters>17983</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Ana Maria Martinez Gómez</cp:lastModifiedBy>
  <cp:revision>2</cp:revision>
  <cp:lastPrinted>2020-11-13T23:50:00Z</cp:lastPrinted>
  <dcterms:created xsi:type="dcterms:W3CDTF">2024-07-16T12:32:00Z</dcterms:created>
  <dcterms:modified xsi:type="dcterms:W3CDTF">2024-07-16T12:32:00Z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