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25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569"/>
        <w:gridCol w:w="2952"/>
        <w:gridCol w:w="2863"/>
      </w:tblGrid>
      <w:tr w:rsidR="00281DD3">
        <w:trPr>
          <w:trHeight w:val="288"/>
        </w:trPr>
        <w:tc>
          <w:tcPr>
            <w:tcW w:w="5000" w:type="pct"/>
            <w:gridSpan w:val="4"/>
            <w:shd w:val="clear" w:color="auto" w:fill="D9D9D9" w:themeFill="background1" w:themeFillShade="D9"/>
            <w:vAlign w:val="center"/>
          </w:tcPr>
          <w:p w:rsidR="00281DD3" w:rsidRDefault="00C23069">
            <w:pPr>
              <w:numPr>
                <w:ilvl w:val="0"/>
                <w:numId w:val="3"/>
              </w:numPr>
              <w:tabs>
                <w:tab w:val="left" w:pos="456"/>
              </w:tabs>
              <w:ind w:left="172" w:hanging="142"/>
              <w:contextualSpacing/>
              <w:jc w:val="both"/>
              <w:rPr>
                <w:rFonts w:ascii="Arial Narrow" w:hAnsi="Arial Narrow" w:cs="Arial"/>
                <w:b/>
                <w:color w:val="000000" w:themeColor="text1"/>
                <w:szCs w:val="24"/>
              </w:rPr>
            </w:pPr>
            <w:r>
              <w:rPr>
                <w:rFonts w:ascii="Arial Narrow" w:eastAsia="Calibri" w:hAnsi="Arial Narrow" w:cs="Arial"/>
                <w:b/>
                <w:color w:val="000000" w:themeColor="text1"/>
                <w:szCs w:val="24"/>
                <w:lang w:eastAsia="en-US"/>
              </w:rPr>
              <w:t>ANTECEDENTES</w:t>
            </w:r>
          </w:p>
        </w:tc>
      </w:tr>
      <w:tr w:rsidR="00281DD3">
        <w:trPr>
          <w:trHeight w:val="1112"/>
        </w:trPr>
        <w:tc>
          <w:tcPr>
            <w:tcW w:w="5000" w:type="pct"/>
            <w:gridSpan w:val="4"/>
            <w:tcBorders>
              <w:bottom w:val="single" w:sz="4" w:space="0" w:color="auto"/>
            </w:tcBorders>
            <w:shd w:val="clear" w:color="auto" w:fill="auto"/>
          </w:tcPr>
          <w:p w:rsidR="00281DD3" w:rsidRDefault="00281DD3">
            <w:pPr>
              <w:pStyle w:val="Listavistosa-nfasis11"/>
              <w:ind w:left="0"/>
              <w:jc w:val="both"/>
              <w:rPr>
                <w:rFonts w:ascii="Arial Narrow" w:eastAsia="Times New Roman" w:hAnsi="Arial Narrow" w:cs="Arial"/>
                <w:color w:val="000000" w:themeColor="text1"/>
                <w:sz w:val="24"/>
                <w:szCs w:val="24"/>
                <w:lang w:val="es-ES" w:eastAsia="es-ES"/>
              </w:rPr>
            </w:pPr>
          </w:p>
          <w:p w:rsidR="00281DD3" w:rsidRDefault="00C23069">
            <w:pPr>
              <w:pStyle w:val="Listavistosa-nfasis11"/>
              <w:ind w:left="0"/>
              <w:jc w:val="both"/>
              <w:rPr>
                <w:rFonts w:ascii="Arial Narrow" w:eastAsia="Times New Roman" w:hAnsi="Arial Narrow" w:cs="Arial"/>
                <w:color w:val="000000" w:themeColor="text1"/>
                <w:sz w:val="24"/>
                <w:szCs w:val="24"/>
                <w:lang w:val="es-ES" w:eastAsia="es-ES"/>
              </w:rPr>
            </w:pPr>
            <w:r>
              <w:rPr>
                <w:rFonts w:ascii="Arial Narrow" w:eastAsia="Times New Roman" w:hAnsi="Arial Narrow" w:cs="Arial"/>
                <w:color w:val="000000" w:themeColor="text1"/>
                <w:sz w:val="24"/>
                <w:szCs w:val="24"/>
                <w:lang w:val="es-ES" w:eastAsia="es-ES"/>
              </w:rPr>
              <w:t xml:space="preserve">La Subdirección de Tecnologías de la Información y las Comunicaciones, a través del Departamento de Gestión de Infraestructura y Redes garantiza la disposición de los elementos de hardware y software necesarios para el funcionamiento de las plataformas de tecnologías de la información de la Entidad. </w:t>
            </w:r>
            <w:r>
              <w:rPr>
                <w:rFonts w:ascii="Arial Narrow" w:eastAsia="Times New Roman" w:hAnsi="Arial Narrow" w:cs="Arial"/>
                <w:color w:val="000000" w:themeColor="text1"/>
                <w:sz w:val="24"/>
                <w:szCs w:val="24"/>
                <w:lang w:val="es-ES"/>
              </w:rPr>
              <w:t xml:space="preserve">De manera que, la Fiscalía General de la Nación en su gestión cotidiana </w:t>
            </w:r>
          </w:p>
          <w:p w:rsidR="00281DD3" w:rsidRDefault="00C23069">
            <w:pPr>
              <w:pStyle w:val="Sinespaciado"/>
              <w:jc w:val="both"/>
              <w:rPr>
                <w:rFonts w:ascii="Arial Narrow" w:hAnsi="Arial Narrow" w:cs="Arial"/>
                <w:color w:val="000000" w:themeColor="text1"/>
              </w:rPr>
            </w:pPr>
            <w:r>
              <w:rPr>
                <w:rFonts w:ascii="Arial Narrow" w:hAnsi="Arial Narrow" w:cs="Arial"/>
                <w:color w:val="000000" w:themeColor="text1"/>
              </w:rPr>
              <w:t>En el marco de lo anterior, teniendo en cuenta que la Fiscalía General de la Nación cuenta con elementos de hardware y software para el desarrollo de sus funciones, frente a los cuales, eventualmente se pueden presentar requerimientos, incidentes o solicitudes relacionadas con su operación y funcionamiento, por lo tanto, se requiere de soluciones de software con el fin de centralizar las solicitudes de los servidores en un punto único de contacto mediante la cual se registraren, escalen y resuelvan y/o canalicen todas las solicitudes, de una manera oportuna, eficiente y efectiva.</w:t>
            </w:r>
          </w:p>
          <w:p w:rsidR="00281DD3" w:rsidRDefault="00281DD3">
            <w:pPr>
              <w:pStyle w:val="Listavistosa-nfasis11"/>
              <w:ind w:left="0"/>
              <w:jc w:val="both"/>
              <w:rPr>
                <w:rFonts w:ascii="Arial Narrow" w:eastAsia="Times New Roman" w:hAnsi="Arial Narrow" w:cs="Arial"/>
                <w:color w:val="000000" w:themeColor="text1"/>
                <w:sz w:val="24"/>
                <w:szCs w:val="24"/>
                <w:lang w:val="es-ES" w:eastAsia="es-ES"/>
              </w:rPr>
            </w:pPr>
          </w:p>
          <w:p w:rsidR="00281DD3" w:rsidRDefault="00C23069">
            <w:pPr>
              <w:pStyle w:val="Listavistosa-nfasis11"/>
              <w:ind w:left="0"/>
              <w:jc w:val="both"/>
              <w:rPr>
                <w:rFonts w:ascii="Arial Narrow" w:eastAsia="Times New Roman" w:hAnsi="Arial Narrow" w:cs="Arial"/>
                <w:color w:val="000000" w:themeColor="text1"/>
                <w:sz w:val="24"/>
                <w:szCs w:val="24"/>
                <w:lang w:val="es-ES" w:eastAsia="es-ES"/>
              </w:rPr>
            </w:pPr>
            <w:r>
              <w:rPr>
                <w:rFonts w:ascii="Arial Narrow" w:eastAsia="Times New Roman" w:hAnsi="Arial Narrow" w:cs="Arial"/>
                <w:color w:val="000000" w:themeColor="text1"/>
                <w:sz w:val="24"/>
                <w:szCs w:val="24"/>
                <w:lang w:val="es-ES" w:eastAsia="es-ES"/>
              </w:rPr>
              <w:t>Por lo anterior, la Subdirección de Tecnologías de la Información y las Comunicaciones requiere atender de manera eficiente y oportuna las necesidades de las dependencias de la Fiscalía General de la Nación mediante el servicio de mesa de servicios en cada una de las sedes de la entidad a nivel nacional, a través delcual los funcionarios puedan registrar las solicitudes en la herramienta de gestión, lo cual,permitirá monitorear los tiempos de atención y solución, a través de un software de gestión de servicios.</w:t>
            </w:r>
          </w:p>
          <w:p w:rsidR="00281DD3" w:rsidRDefault="00C23069">
            <w:pPr>
              <w:pStyle w:val="Encabezado"/>
              <w:jc w:val="both"/>
              <w:rPr>
                <w:rFonts w:ascii="Arial Narrow" w:hAnsi="Arial Narrow" w:cs="Arial"/>
                <w:color w:val="000000" w:themeColor="text1"/>
                <w:szCs w:val="24"/>
              </w:rPr>
            </w:pPr>
            <w:r>
              <w:rPr>
                <w:rFonts w:ascii="Arial Narrow" w:hAnsi="Arial Narrow" w:cs="Arial"/>
                <w:color w:val="000000" w:themeColor="text1"/>
                <w:szCs w:val="24"/>
              </w:rPr>
              <w:t xml:space="preserve">En el anterior contexto, en el año 2005 </w:t>
            </w:r>
            <w:r>
              <w:rPr>
                <w:rFonts w:ascii="Arial Narrow" w:hAnsi="Arial Narrow" w:cs="Arial"/>
                <w:color w:val="000000" w:themeColor="text1"/>
                <w:szCs w:val="24"/>
                <w:shd w:val="clear" w:color="auto" w:fill="FFFFFF"/>
              </w:rPr>
              <w:t xml:space="preserve">mediante el </w:t>
            </w:r>
            <w:r>
              <w:rPr>
                <w:rFonts w:ascii="Arial Narrow" w:hAnsi="Arial Narrow" w:cs="Arial"/>
                <w:b/>
                <w:color w:val="000000" w:themeColor="text1"/>
                <w:szCs w:val="24"/>
                <w:shd w:val="clear" w:color="auto" w:fill="FFFFFF"/>
              </w:rPr>
              <w:t>CONTRATO N°. 0080 DE 2005</w:t>
            </w:r>
            <w:r>
              <w:rPr>
                <w:rFonts w:ascii="Arial Narrow" w:hAnsi="Arial Narrow" w:cs="Arial"/>
                <w:color w:val="000000" w:themeColor="text1"/>
                <w:szCs w:val="24"/>
              </w:rPr>
              <w:t xml:space="preserve"> la entidad adquirió por primera vez una herramienta de gestión denominada </w:t>
            </w:r>
            <w:r>
              <w:rPr>
                <w:rFonts w:ascii="Arial Narrow" w:hAnsi="Arial Narrow" w:cs="Arial"/>
                <w:b/>
                <w:color w:val="000000" w:themeColor="text1"/>
                <w:szCs w:val="24"/>
              </w:rPr>
              <w:t>DEXON</w:t>
            </w:r>
            <w:r>
              <w:rPr>
                <w:rFonts w:ascii="Arial Narrow" w:hAnsi="Arial Narrow" w:cs="Arial"/>
                <w:color w:val="000000" w:themeColor="text1"/>
                <w:szCs w:val="24"/>
              </w:rPr>
              <w:t xml:space="preserve"> software, con el fin de centralizar las solicitudes de los servidores en un punto único de contacto mediante la cual se registran, canalizan, gestionan y resuelven las mismas.</w:t>
            </w:r>
          </w:p>
          <w:p w:rsidR="00281DD3" w:rsidRDefault="00281DD3">
            <w:pPr>
              <w:pStyle w:val="Encabezado"/>
              <w:jc w:val="both"/>
              <w:rPr>
                <w:rFonts w:ascii="Arial Narrow" w:hAnsi="Arial Narrow" w:cs="Arial"/>
                <w:color w:val="000000" w:themeColor="text1"/>
                <w:szCs w:val="24"/>
              </w:rPr>
            </w:pPr>
          </w:p>
          <w:p w:rsidR="00281DD3" w:rsidRDefault="00C23069">
            <w:pPr>
              <w:pStyle w:val="Encabezado"/>
              <w:jc w:val="both"/>
              <w:rPr>
                <w:rFonts w:ascii="Arial Narrow" w:hAnsi="Arial Narrow" w:cs="Arial"/>
                <w:color w:val="000000" w:themeColor="text1"/>
                <w:szCs w:val="24"/>
              </w:rPr>
            </w:pPr>
            <w:r>
              <w:rPr>
                <w:rFonts w:ascii="Arial Narrow" w:hAnsi="Arial Narrow" w:cs="Arial"/>
                <w:color w:val="000000" w:themeColor="text1"/>
                <w:szCs w:val="24"/>
              </w:rPr>
              <w:t xml:space="preserve">Ahora bien, </w:t>
            </w:r>
            <w:r>
              <w:rPr>
                <w:rFonts w:ascii="Arial Narrow" w:hAnsi="Arial Narrow"/>
                <w:color w:val="000000" w:themeColor="text1"/>
                <w:szCs w:val="24"/>
              </w:rPr>
              <w:t>.</w:t>
            </w:r>
            <w:r>
              <w:rPr>
                <w:rFonts w:ascii="Arial Narrow" w:hAnsi="Arial Narrow" w:cs="Arial"/>
                <w:color w:val="000000" w:themeColor="text1"/>
                <w:szCs w:val="24"/>
              </w:rPr>
              <w:t xml:space="preserve">posteriormente mediante </w:t>
            </w:r>
            <w:r>
              <w:rPr>
                <w:rFonts w:ascii="Arial Narrow" w:hAnsi="Arial Narrow" w:cs="Arial"/>
                <w:b/>
                <w:color w:val="000000" w:themeColor="text1"/>
                <w:szCs w:val="24"/>
              </w:rPr>
              <w:t>CONTRATO NO. 078 DE 2011</w:t>
            </w:r>
            <w:r>
              <w:rPr>
                <w:rFonts w:ascii="Arial Narrow" w:hAnsi="Arial Narrow" w:cs="Arial"/>
                <w:color w:val="000000" w:themeColor="text1"/>
                <w:szCs w:val="24"/>
              </w:rPr>
              <w:t xml:space="preserve"> se renovó la actualización del licenciamiento adquirido y componentes, así:</w:t>
            </w:r>
          </w:p>
          <w:p w:rsidR="00281DD3" w:rsidRDefault="00281DD3">
            <w:pPr>
              <w:rPr>
                <w:rFonts w:ascii="Arial Narrow" w:hAnsi="Arial Narrow" w:cs="Arial"/>
                <w:color w:val="000000" w:themeColor="text1"/>
                <w:szCs w:val="24"/>
              </w:rPr>
            </w:pPr>
          </w:p>
          <w:p w:rsidR="00281DD3" w:rsidRDefault="00C23069">
            <w:pPr>
              <w:pStyle w:val="Prrafodelista"/>
              <w:numPr>
                <w:ilvl w:val="0"/>
                <w:numId w:val="4"/>
              </w:numPr>
              <w:spacing w:after="0" w:line="240" w:lineRule="auto"/>
              <w:contextualSpacing w:val="0"/>
              <w:rPr>
                <w:rFonts w:ascii="Arial Narrow" w:hAnsi="Arial Narrow" w:cs="Arial"/>
                <w:color w:val="000000" w:themeColor="text1"/>
                <w:sz w:val="24"/>
                <w:szCs w:val="24"/>
                <w:lang w:val="en-US"/>
              </w:rPr>
            </w:pPr>
            <w:r>
              <w:rPr>
                <w:rFonts w:ascii="Arial Narrow" w:hAnsi="Arial Narrow" w:cs="Arial"/>
                <w:color w:val="000000" w:themeColor="text1"/>
                <w:sz w:val="24"/>
                <w:szCs w:val="24"/>
                <w:lang w:val="en-US"/>
              </w:rPr>
              <w:t>IT Asset Remote Manager Standard (12.100 licencias) a perpetuidad.</w:t>
            </w:r>
          </w:p>
          <w:p w:rsidR="00281DD3" w:rsidRDefault="00C23069">
            <w:pPr>
              <w:pStyle w:val="Prrafodelista"/>
              <w:numPr>
                <w:ilvl w:val="0"/>
                <w:numId w:val="4"/>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Service Desk Basic Admin (1 licencia) a perpetuidad.</w:t>
            </w:r>
          </w:p>
          <w:p w:rsidR="00281DD3" w:rsidRDefault="00C23069">
            <w:pPr>
              <w:pStyle w:val="Prrafodelista"/>
              <w:numPr>
                <w:ilvl w:val="0"/>
                <w:numId w:val="4"/>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Service Desk Basic Técnicos (60 licencias) a perpetuidad.</w:t>
            </w:r>
          </w:p>
          <w:p w:rsidR="00281DD3" w:rsidRDefault="00C23069">
            <w:pPr>
              <w:pStyle w:val="Prrafodelista"/>
              <w:numPr>
                <w:ilvl w:val="0"/>
                <w:numId w:val="4"/>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Service Desk Reports Manager (1 licencia) a perpetuidad.</w:t>
            </w:r>
          </w:p>
          <w:p w:rsidR="00281DD3" w:rsidRDefault="00C23069">
            <w:pPr>
              <w:pStyle w:val="Prrafodelista"/>
              <w:numPr>
                <w:ilvl w:val="0"/>
                <w:numId w:val="4"/>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Service Desk Web Interface (1 licencia) a perpetuidad.</w:t>
            </w:r>
          </w:p>
          <w:p w:rsidR="00281DD3" w:rsidRDefault="00C23069">
            <w:pPr>
              <w:pStyle w:val="Prrafodelista"/>
              <w:numPr>
                <w:ilvl w:val="0"/>
                <w:numId w:val="4"/>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Servicios de soporte técnico en sitio.</w:t>
            </w:r>
          </w:p>
          <w:p w:rsidR="00281DD3" w:rsidRDefault="00C23069">
            <w:pPr>
              <w:pStyle w:val="Prrafodelista"/>
              <w:numPr>
                <w:ilvl w:val="0"/>
                <w:numId w:val="4"/>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Garantía y actualizaciones por tres (3) años.</w:t>
            </w:r>
          </w:p>
          <w:p w:rsidR="00281DD3" w:rsidRDefault="00C23069">
            <w:pPr>
              <w:spacing w:line="276" w:lineRule="auto"/>
              <w:contextualSpacing/>
              <w:rPr>
                <w:rFonts w:ascii="Arial Narrow" w:hAnsi="Arial Narrow" w:cs="Arial"/>
                <w:color w:val="000000" w:themeColor="text1"/>
                <w:szCs w:val="24"/>
              </w:rPr>
            </w:pPr>
            <w:r>
              <w:rPr>
                <w:rFonts w:ascii="Arial Narrow" w:hAnsi="Arial Narrow" w:cs="Arial"/>
                <w:color w:val="000000" w:themeColor="text1"/>
                <w:szCs w:val="24"/>
              </w:rPr>
              <w:t xml:space="preserve"> </w:t>
            </w: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Posteriormente, mediante </w:t>
            </w:r>
            <w:r>
              <w:rPr>
                <w:rFonts w:ascii="Arial Narrow" w:hAnsi="Arial Narrow" w:cs="Arial"/>
                <w:b/>
                <w:color w:val="000000" w:themeColor="text1"/>
                <w:szCs w:val="24"/>
              </w:rPr>
              <w:t>CONTRATO NO. 0046 DE 2020</w:t>
            </w:r>
            <w:r>
              <w:rPr>
                <w:rFonts w:ascii="Arial Narrow" w:hAnsi="Arial Narrow" w:cs="Arial"/>
                <w:color w:val="000000" w:themeColor="text1"/>
                <w:szCs w:val="24"/>
              </w:rPr>
              <w:t xml:space="preserve"> nuevamente se renovó el licenciamiento, soporte y actualización de software de Gestión por tres años, con los siguientes componentes:</w:t>
            </w:r>
          </w:p>
          <w:p w:rsidR="00281DD3" w:rsidRDefault="00281DD3">
            <w:pPr>
              <w:rPr>
                <w:rFonts w:ascii="Arial Narrow" w:hAnsi="Arial Narrow" w:cs="Arial"/>
                <w:color w:val="000000" w:themeColor="text1"/>
                <w:szCs w:val="24"/>
              </w:rPr>
            </w:pPr>
          </w:p>
          <w:p w:rsidR="00281DD3" w:rsidRDefault="00C23069">
            <w:pPr>
              <w:pStyle w:val="Prrafodelista"/>
              <w:numPr>
                <w:ilvl w:val="0"/>
                <w:numId w:val="5"/>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Actualización, licencias IT ASSEST REMOTE MANAGER STANDARD (12.100 licencias)</w:t>
            </w:r>
          </w:p>
          <w:p w:rsidR="00281DD3" w:rsidRDefault="00C23069">
            <w:pPr>
              <w:pStyle w:val="Prrafodelista"/>
              <w:numPr>
                <w:ilvl w:val="0"/>
                <w:numId w:val="5"/>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lastRenderedPageBreak/>
              <w:t>Actualización licencia Service Desk Reports Manager (1 licencia)</w:t>
            </w:r>
          </w:p>
          <w:p w:rsidR="00281DD3" w:rsidRDefault="00C23069">
            <w:pPr>
              <w:pStyle w:val="Prrafodelista"/>
              <w:numPr>
                <w:ilvl w:val="0"/>
                <w:numId w:val="5"/>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 xml:space="preserve">Actualización licencias Service Desk Basic Técnicos (60 licencias) </w:t>
            </w:r>
          </w:p>
          <w:p w:rsidR="00281DD3" w:rsidRDefault="00C23069">
            <w:pPr>
              <w:pStyle w:val="Prrafodelista"/>
              <w:numPr>
                <w:ilvl w:val="0"/>
                <w:numId w:val="5"/>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Actualización licencia Service Desk Web Interface (1 licencia)</w:t>
            </w:r>
          </w:p>
          <w:p w:rsidR="00281DD3" w:rsidRDefault="00C23069">
            <w:pPr>
              <w:pStyle w:val="Prrafodelista"/>
              <w:numPr>
                <w:ilvl w:val="0"/>
                <w:numId w:val="5"/>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Adquisición de licencias en modalidad de suscripción Service Desk Basic Técnicos (190 licencias)</w:t>
            </w:r>
          </w:p>
          <w:p w:rsidR="00281DD3" w:rsidRDefault="00C23069">
            <w:pPr>
              <w:pStyle w:val="Prrafodelista"/>
              <w:numPr>
                <w:ilvl w:val="0"/>
                <w:numId w:val="5"/>
              </w:numPr>
              <w:spacing w:after="0" w:line="240" w:lineRule="auto"/>
              <w:contextualSpacing w:val="0"/>
              <w:jc w:val="both"/>
              <w:rPr>
                <w:rFonts w:ascii="Arial Narrow" w:hAnsi="Arial Narrow" w:cs="Arial"/>
                <w:color w:val="000000" w:themeColor="text1"/>
                <w:sz w:val="24"/>
                <w:szCs w:val="24"/>
                <w:lang w:val="en-US"/>
              </w:rPr>
            </w:pPr>
            <w:r>
              <w:rPr>
                <w:rFonts w:ascii="Arial Narrow" w:hAnsi="Arial Narrow" w:cs="Arial"/>
                <w:color w:val="000000" w:themeColor="text1"/>
                <w:sz w:val="24"/>
                <w:szCs w:val="24"/>
                <w:lang w:val="en-US"/>
              </w:rPr>
              <w:t>Adquisición licencias IT ASSEST REMOTE MANAGER STANDARD (22.900 licencias)</w:t>
            </w:r>
          </w:p>
          <w:p w:rsidR="00281DD3" w:rsidRDefault="00C23069">
            <w:pPr>
              <w:pStyle w:val="Prrafodelista"/>
              <w:numPr>
                <w:ilvl w:val="0"/>
                <w:numId w:val="5"/>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Servicios de migración de la información y parametrización de la Herramienta de Gestión según lo requerido en las especificaciones técnicas (1 licencia)</w:t>
            </w:r>
          </w:p>
          <w:p w:rsidR="00281DD3" w:rsidRDefault="00281DD3">
            <w:pPr>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Producto de esta contratación, la entidad cuenta con una herramienta para la administración de servicios que se prestan a través de la mesa de servicios, cuya versión actualizada permite acceder tanto a los módulos adquiridos en contratos anteriores, como a los 16 módulos de los procesos de la biblioteca ITIL, que facilita la atención de las necesidades del modelo de servicios del proceso de gestión tecnológica, mediante el catálogo de servicios de TI, así como los catálogos de servicios ofrecidos por la Subdirección de Gestión Documental y el Departamento de Administración de Sedes y Construcciones.</w:t>
            </w: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Ahora bien, con la finalidad de contar con mayor capacidad de gestión de soporte en los diferentes catálogos de servicios expuestos en la herramienta de gestión DEXON, mediante </w:t>
            </w:r>
            <w:r>
              <w:rPr>
                <w:rFonts w:ascii="Arial Narrow" w:hAnsi="Arial Narrow" w:cs="Arial"/>
                <w:b/>
                <w:color w:val="000000" w:themeColor="text1"/>
                <w:szCs w:val="24"/>
              </w:rPr>
              <w:t>CONTRATO NO. 027 DE 2022</w:t>
            </w:r>
            <w:r>
              <w:rPr>
                <w:rFonts w:ascii="Arial Narrow" w:hAnsi="Arial Narrow" w:cs="Arial"/>
                <w:color w:val="000000" w:themeColor="text1"/>
                <w:szCs w:val="24"/>
              </w:rPr>
              <w:t xml:space="preserve"> se adquirieron 409 licencias en modalidad de suscripción Service Desk Basic Técnicos, las cuales permiten soportar el portafolio de servicios, de la Subdirección de Tecnologías de la Información y las Comunicaciones, el Grupo de Administración de Sedes adscrito al Departamento de Construcciones y la Subdirección de Gestión Documental.</w:t>
            </w: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Mediante </w:t>
            </w:r>
            <w:r>
              <w:rPr>
                <w:rFonts w:ascii="Arial Narrow" w:hAnsi="Arial Narrow" w:cs="Arial"/>
                <w:b/>
                <w:color w:val="000000" w:themeColor="text1"/>
                <w:szCs w:val="24"/>
              </w:rPr>
              <w:t>CONTRATO NO. 0056 DE 2023</w:t>
            </w:r>
            <w:r>
              <w:rPr>
                <w:rFonts w:ascii="Arial Narrow" w:hAnsi="Arial Narrow" w:cs="Arial"/>
                <w:color w:val="000000" w:themeColor="text1"/>
                <w:szCs w:val="24"/>
              </w:rPr>
              <w:t xml:space="preserve"> la entidad renovó el licenciamiento de 383 de soporte y garantía del software de gestión.</w:t>
            </w: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De esta manera, se registra el siguiente inventario actual de licencias DEXON para la Fiscalía General de la nación: </w:t>
            </w:r>
          </w:p>
          <w:tbl>
            <w:tblPr>
              <w:tblStyle w:val="Tablaconcuadrcula"/>
              <w:tblpPr w:leftFromText="141" w:rightFromText="141" w:vertAnchor="text" w:horzAnchor="page" w:tblpX="2398" w:tblpY="80"/>
              <w:tblOverlap w:val="never"/>
              <w:tblW w:w="6110" w:type="dxa"/>
              <w:tblLayout w:type="fixed"/>
              <w:tblLook w:val="04A0" w:firstRow="1" w:lastRow="0" w:firstColumn="1" w:lastColumn="0" w:noHBand="0" w:noVBand="1"/>
            </w:tblPr>
            <w:tblGrid>
              <w:gridCol w:w="1255"/>
              <w:gridCol w:w="1744"/>
              <w:gridCol w:w="1562"/>
              <w:gridCol w:w="1549"/>
            </w:tblGrid>
            <w:tr w:rsidR="00281DD3">
              <w:tc>
                <w:tcPr>
                  <w:tcW w:w="6110" w:type="dxa"/>
                  <w:gridSpan w:val="4"/>
                  <w:shd w:val="clear" w:color="auto" w:fill="D9D9D9" w:themeFill="background1" w:themeFillShade="D9"/>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Inventario actual licencias DEXON</w:t>
                  </w:r>
                </w:p>
              </w:tc>
            </w:tr>
            <w:tr w:rsidR="00281DD3">
              <w:tc>
                <w:tcPr>
                  <w:tcW w:w="1255" w:type="dxa"/>
                  <w:shd w:val="clear" w:color="auto" w:fill="D9D9D9" w:themeFill="background1" w:themeFillShade="D9"/>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TIPO LICENCIA</w:t>
                  </w:r>
                </w:p>
              </w:tc>
              <w:tc>
                <w:tcPr>
                  <w:tcW w:w="1744" w:type="dxa"/>
                  <w:shd w:val="clear" w:color="auto" w:fill="D9D9D9" w:themeFill="background1" w:themeFillShade="D9"/>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DESCRIPCION</w:t>
                  </w:r>
                </w:p>
              </w:tc>
              <w:tc>
                <w:tcPr>
                  <w:tcW w:w="1562" w:type="dxa"/>
                  <w:shd w:val="clear" w:color="auto" w:fill="D9D9D9" w:themeFill="background1" w:themeFillShade="D9"/>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CANTIDAD</w:t>
                  </w:r>
                </w:p>
              </w:tc>
              <w:tc>
                <w:tcPr>
                  <w:tcW w:w="1549" w:type="dxa"/>
                  <w:shd w:val="clear" w:color="auto" w:fill="D9D9D9" w:themeFill="background1" w:themeFillShade="D9"/>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VIGENCIA</w:t>
                  </w:r>
                </w:p>
              </w:tc>
            </w:tr>
            <w:tr w:rsidR="00281DD3">
              <w:tc>
                <w:tcPr>
                  <w:tcW w:w="1255" w:type="dxa"/>
                </w:tcPr>
                <w:p w:rsidR="00281DD3" w:rsidRDefault="00C23069">
                  <w:pPr>
                    <w:jc w:val="center"/>
                    <w:rPr>
                      <w:rFonts w:ascii="Arial Narrow" w:hAnsi="Arial Narrow" w:cs="Arial"/>
                      <w:color w:val="000000" w:themeColor="text1"/>
                      <w:szCs w:val="24"/>
                      <w:lang w:val="en-US"/>
                    </w:rPr>
                  </w:pPr>
                  <w:r>
                    <w:rPr>
                      <w:rFonts w:ascii="Arial Narrow" w:hAnsi="Arial Narrow" w:cs="Arial"/>
                      <w:color w:val="000000" w:themeColor="text1"/>
                      <w:szCs w:val="24"/>
                      <w:lang w:val="en-US"/>
                    </w:rPr>
                    <w:t>IT Asset remote manager standard</w:t>
                  </w:r>
                </w:p>
              </w:tc>
              <w:tc>
                <w:tcPr>
                  <w:tcW w:w="1744"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Agente inventario (aplicación inventario y control remoto)</w:t>
                  </w:r>
                </w:p>
              </w:tc>
              <w:tc>
                <w:tcPr>
                  <w:tcW w:w="1562"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12.100</w:t>
                  </w:r>
                </w:p>
              </w:tc>
              <w:tc>
                <w:tcPr>
                  <w:tcW w:w="1549"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Service Desk Basic Admin</w:t>
                  </w:r>
                </w:p>
              </w:tc>
              <w:tc>
                <w:tcPr>
                  <w:tcW w:w="1744"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Acceso Técnico administrador</w:t>
                  </w:r>
                </w:p>
              </w:tc>
              <w:tc>
                <w:tcPr>
                  <w:tcW w:w="1562"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1</w:t>
                  </w:r>
                </w:p>
              </w:tc>
              <w:tc>
                <w:tcPr>
                  <w:tcW w:w="1549"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Service Desk Basic Técnicos</w:t>
                  </w:r>
                </w:p>
              </w:tc>
              <w:tc>
                <w:tcPr>
                  <w:tcW w:w="1744"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Accesos técnicos y especialistas</w:t>
                  </w:r>
                </w:p>
              </w:tc>
              <w:tc>
                <w:tcPr>
                  <w:tcW w:w="1562"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190</w:t>
                  </w:r>
                </w:p>
              </w:tc>
              <w:tc>
                <w:tcPr>
                  <w:tcW w:w="1549"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Service Desk Basic Técnicos</w:t>
                  </w:r>
                </w:p>
              </w:tc>
              <w:tc>
                <w:tcPr>
                  <w:tcW w:w="1744"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Accesos técnicos y especialistas</w:t>
                  </w:r>
                </w:p>
              </w:tc>
              <w:tc>
                <w:tcPr>
                  <w:tcW w:w="1562"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60</w:t>
                  </w:r>
                </w:p>
              </w:tc>
              <w:tc>
                <w:tcPr>
                  <w:tcW w:w="1549"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Dexon Work Flow</w:t>
                  </w:r>
                </w:p>
              </w:tc>
              <w:tc>
                <w:tcPr>
                  <w:tcW w:w="1744"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flujo de trabajo técnicos</w:t>
                  </w:r>
                </w:p>
              </w:tc>
              <w:tc>
                <w:tcPr>
                  <w:tcW w:w="1562"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10</w:t>
                  </w:r>
                </w:p>
              </w:tc>
              <w:tc>
                <w:tcPr>
                  <w:tcW w:w="1549"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shd w:val="clear" w:color="auto" w:fill="auto"/>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Service Desk Web Interface</w:t>
                  </w:r>
                </w:p>
              </w:tc>
              <w:tc>
                <w:tcPr>
                  <w:tcW w:w="1744"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Acceso web usuarios</w:t>
                  </w:r>
                </w:p>
              </w:tc>
              <w:tc>
                <w:tcPr>
                  <w:tcW w:w="1562"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1</w:t>
                  </w:r>
                </w:p>
              </w:tc>
              <w:tc>
                <w:tcPr>
                  <w:tcW w:w="1549"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Service Desk Reports Manager</w:t>
                  </w:r>
                </w:p>
              </w:tc>
              <w:tc>
                <w:tcPr>
                  <w:tcW w:w="1744"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Permiso acceso a reportes</w:t>
                  </w:r>
                </w:p>
              </w:tc>
              <w:tc>
                <w:tcPr>
                  <w:tcW w:w="1562"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1</w:t>
                  </w:r>
                </w:p>
              </w:tc>
              <w:tc>
                <w:tcPr>
                  <w:tcW w:w="1549"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Service Desk Basic Técnicos</w:t>
                  </w:r>
                </w:p>
              </w:tc>
              <w:tc>
                <w:tcPr>
                  <w:tcW w:w="1744"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Accesos técnicos y especialistas</w:t>
                  </w:r>
                </w:p>
              </w:tc>
              <w:tc>
                <w:tcPr>
                  <w:tcW w:w="1562"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383</w:t>
                  </w:r>
                </w:p>
              </w:tc>
              <w:tc>
                <w:tcPr>
                  <w:tcW w:w="1549"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Modalidad SaaS desde el 17 de julio de 2023 al 17 de julio de 2024</w:t>
                  </w:r>
                </w:p>
              </w:tc>
            </w:tr>
          </w:tbl>
          <w:p w:rsidR="00281DD3" w:rsidRDefault="00281DD3">
            <w:pPr>
              <w:jc w:val="both"/>
              <w:rPr>
                <w:rFonts w:ascii="Arial Narrow" w:hAnsi="Arial Narrow" w:cs="Arial"/>
                <w:color w:val="000000" w:themeColor="text1"/>
                <w:szCs w:val="24"/>
              </w:rPr>
            </w:pPr>
          </w:p>
          <w:p w:rsidR="00281DD3" w:rsidRDefault="00281DD3">
            <w:pPr>
              <w:jc w:val="both"/>
              <w:rPr>
                <w:rFonts w:ascii="Arial Narrow" w:hAnsi="Arial Narrow" w:cs="Arial"/>
                <w:color w:val="000000" w:themeColor="text1"/>
                <w:szCs w:val="24"/>
              </w:rPr>
            </w:pPr>
          </w:p>
          <w:p w:rsidR="00281DD3" w:rsidRDefault="00281DD3">
            <w:pPr>
              <w:jc w:val="both"/>
              <w:rPr>
                <w:rFonts w:ascii="Arial Narrow" w:hAnsi="Arial Narrow" w:cs="Arial"/>
                <w:color w:val="000000" w:themeColor="text1"/>
                <w:szCs w:val="24"/>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C23069">
            <w:pPr>
              <w:jc w:val="both"/>
              <w:rPr>
                <w:rFonts w:ascii="Arial Narrow" w:hAnsi="Arial Narrow" w:cs="Arial"/>
                <w:color w:val="000000" w:themeColor="text1"/>
                <w:szCs w:val="24"/>
                <w:shd w:val="clear" w:color="auto" w:fill="FFFFFF"/>
              </w:rPr>
            </w:pPr>
            <w:r>
              <w:rPr>
                <w:rFonts w:ascii="Arial Narrow" w:hAnsi="Arial Narrow" w:cs="Arial"/>
                <w:color w:val="000000" w:themeColor="text1"/>
                <w:szCs w:val="24"/>
                <w:shd w:val="clear" w:color="auto" w:fill="FFFFFF"/>
              </w:rPr>
              <w:t xml:space="preserve">Como se puede evidenciar anteriormente, sí bien hay licencias a perpetuidad,  también se cuenta con licencias </w:t>
            </w:r>
            <w:r>
              <w:rPr>
                <w:rFonts w:ascii="Arial Narrow" w:hAnsi="Arial Narrow" w:cs="Arial"/>
                <w:color w:val="000000" w:themeColor="text1"/>
                <w:szCs w:val="24"/>
              </w:rPr>
              <w:t>Service Desk Basic Técnicos, en la modalidad Modalidad SaaS,</w:t>
            </w:r>
            <w:r>
              <w:rPr>
                <w:rFonts w:ascii="Arial Narrow" w:hAnsi="Arial Narrow" w:cs="Arial"/>
                <w:color w:val="000000" w:themeColor="text1"/>
                <w:szCs w:val="24"/>
                <w:shd w:val="clear" w:color="auto" w:fill="FFFFFF"/>
              </w:rPr>
              <w:t xml:space="preserve"> cuya vigencia se da por el término de un año a partir de su activación, las cuales deben ser renovadas anualmente.</w:t>
            </w:r>
          </w:p>
          <w:p w:rsidR="00281DD3" w:rsidRDefault="00281DD3">
            <w:pPr>
              <w:jc w:val="both"/>
              <w:rPr>
                <w:rFonts w:ascii="Arial Narrow" w:hAnsi="Arial Narrow" w:cs="Arial"/>
                <w:color w:val="000000" w:themeColor="text1"/>
                <w:szCs w:val="24"/>
              </w:rPr>
            </w:pPr>
          </w:p>
          <w:p w:rsidR="00281DD3" w:rsidRDefault="00C23069">
            <w:pPr>
              <w:ind w:firstLine="1"/>
              <w:jc w:val="both"/>
              <w:rPr>
                <w:rFonts w:ascii="Arial Narrow" w:hAnsi="Arial Narrow" w:cs="Arial"/>
                <w:color w:val="000000" w:themeColor="text1"/>
                <w:szCs w:val="24"/>
              </w:rPr>
            </w:pPr>
            <w:r>
              <w:rPr>
                <w:rFonts w:ascii="Arial Narrow" w:hAnsi="Arial Narrow" w:cs="Arial"/>
                <w:color w:val="000000" w:themeColor="text1"/>
                <w:szCs w:val="24"/>
              </w:rPr>
              <w:t>Aunado a lo anterior,  se requiere renovar el servicio de soporte técnico en sitio, el cual permitirá a la Fiscalía General de la Nación, la implementación de nuevos procesos y actualización de los procesos ya implementados, así como la creación de nuevos servicios en los catálogos existentes y la creación de nuevos catálogos para la Dirección de Planeación y Subdirección de Talento Humano con sus servicios y categorías.</w:t>
            </w:r>
          </w:p>
          <w:p w:rsidR="00281DD3" w:rsidRDefault="00281DD3">
            <w:pPr>
              <w:ind w:firstLine="1"/>
              <w:jc w:val="both"/>
              <w:rPr>
                <w:rFonts w:ascii="Arial Narrow" w:hAnsi="Arial Narrow" w:cs="Arial"/>
                <w:color w:val="000000" w:themeColor="text1"/>
                <w:szCs w:val="24"/>
              </w:rPr>
            </w:pPr>
          </w:p>
          <w:p w:rsidR="00281DD3" w:rsidRDefault="00C23069">
            <w:pPr>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La modalidad de selección aplicable para el presente proceso, es la de contratación directa por la causal del Artículo 2 Numeral 4 literal g) de</w:t>
            </w:r>
            <w:r>
              <w:rPr>
                <w:rFonts w:ascii="Arial Narrow" w:eastAsia="Calibri" w:hAnsi="Arial Narrow" w:cs="Arial"/>
                <w:strike/>
                <w:color w:val="000000" w:themeColor="text1"/>
                <w:szCs w:val="24"/>
                <w:lang w:eastAsia="en-US"/>
              </w:rPr>
              <w:t>l</w:t>
            </w:r>
            <w:r>
              <w:rPr>
                <w:rFonts w:ascii="Arial Narrow" w:eastAsia="Calibri" w:hAnsi="Arial Narrow" w:cs="Arial"/>
                <w:color w:val="000000" w:themeColor="text1"/>
                <w:szCs w:val="24"/>
                <w:lang w:eastAsia="en-US"/>
              </w:rPr>
              <w:t xml:space="preserve">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rsidR="00281DD3" w:rsidRDefault="00281DD3">
            <w:pPr>
              <w:jc w:val="both"/>
              <w:rPr>
                <w:rFonts w:ascii="Arial Narrow" w:hAnsi="Arial Narrow" w:cs="Arial"/>
                <w:b/>
                <w:color w:val="000000" w:themeColor="text1"/>
                <w:szCs w:val="24"/>
              </w:rPr>
            </w:pPr>
          </w:p>
          <w:p w:rsidR="00281DD3" w:rsidRDefault="00C23069">
            <w:pPr>
              <w:ind w:hanging="79"/>
              <w:jc w:val="both"/>
              <w:rPr>
                <w:rFonts w:ascii="Arial Narrow" w:hAnsi="Arial Narrow" w:cs="Arial"/>
                <w:color w:val="000000" w:themeColor="text1"/>
                <w:szCs w:val="24"/>
              </w:rPr>
            </w:pPr>
            <w:r>
              <w:rPr>
                <w:rFonts w:ascii="Arial Narrow" w:hAnsi="Arial Narrow" w:cs="Arial"/>
                <w:color w:val="000000" w:themeColor="text1"/>
                <w:szCs w:val="24"/>
              </w:rPr>
              <w:t xml:space="preserve"> De no renovarse las licencias requeridas, se afectaría la disponibilidad de la mesa de servicios soportada en el software DEXON para gestionar los requerimientos o incidentes relacionados con los catálogos: Servicios Tecnológicos, Gestión Documental y Administración de Sedes y Construcciones, así como atención de nuevos servicios creados para el sistema de Gestión Integral, Subdirección de Talento Humano y Subdirección de bienes a nivel nacional, afectando el desarrollo de las funciones de los servidores de la Entidad.</w:t>
            </w:r>
          </w:p>
          <w:p w:rsidR="00281DD3" w:rsidRDefault="00281DD3">
            <w:pPr>
              <w:ind w:hanging="79"/>
              <w:jc w:val="both"/>
              <w:rPr>
                <w:rFonts w:ascii="Arial Narrow" w:hAnsi="Arial Narrow" w:cs="Arial"/>
                <w:color w:val="000000" w:themeColor="text1"/>
                <w:szCs w:val="24"/>
              </w:rPr>
            </w:pPr>
          </w:p>
          <w:p w:rsidR="00281DD3" w:rsidRDefault="00C23069">
            <w:pPr>
              <w:ind w:hanging="79"/>
              <w:jc w:val="both"/>
              <w:rPr>
                <w:rFonts w:ascii="Arial Narrow" w:hAnsi="Arial Narrow" w:cs="Arial"/>
                <w:color w:val="000000" w:themeColor="text1"/>
                <w:szCs w:val="24"/>
              </w:rPr>
            </w:pPr>
            <w:r>
              <w:rPr>
                <w:rFonts w:ascii="Arial Narrow" w:hAnsi="Arial Narrow" w:cs="Arial"/>
                <w:color w:val="000000" w:themeColor="text1"/>
                <w:szCs w:val="24"/>
              </w:rPr>
              <w:t xml:space="preserve"> En dicho sentido, no se podría atender de manera eficiente y oportuna las necesidades de las dependencias de la Fiscalía General de la Nación mediante el servicio de mesa de servicios en cada una de las sedes de la entidad a nivel nacional, a través del cual los funcionarios puedan registrar las solicitudes en la herramienta de gestión.</w:t>
            </w:r>
          </w:p>
          <w:p w:rsidR="00281DD3" w:rsidRDefault="00281DD3">
            <w:pPr>
              <w:jc w:val="both"/>
              <w:rPr>
                <w:rFonts w:ascii="Arial Narrow" w:hAnsi="Arial Narrow" w:cs="Arial"/>
                <w:color w:val="000000" w:themeColor="text1"/>
                <w:szCs w:val="24"/>
              </w:rPr>
            </w:pPr>
          </w:p>
          <w:p w:rsidR="00281DD3" w:rsidRDefault="00C23069">
            <w:pPr>
              <w:tabs>
                <w:tab w:val="left" w:pos="2520"/>
              </w:tabs>
              <w:jc w:val="both"/>
              <w:rPr>
                <w:rFonts w:ascii="Arial Narrow" w:hAnsi="Arial Narrow" w:cs="Arial"/>
                <w:color w:val="000000" w:themeColor="text1"/>
                <w:szCs w:val="24"/>
              </w:rPr>
            </w:pPr>
            <w:r>
              <w:rPr>
                <w:rFonts w:ascii="Arial Narrow" w:hAnsi="Arial Narrow"/>
                <w:color w:val="000000" w:themeColor="text1"/>
                <w:szCs w:val="24"/>
              </w:rPr>
              <w:t xml:space="preserve">El </w:t>
            </w:r>
            <w:r>
              <w:rPr>
                <w:rFonts w:ascii="Arial Narrow" w:hAnsi="Arial Narrow" w:cs="Arial"/>
                <w:color w:val="000000" w:themeColor="text1"/>
                <w:szCs w:val="24"/>
              </w:rPr>
              <w:t xml:space="preserve">Jefe Departamento de Gestión de Infraestructura y Redes (E) </w:t>
            </w:r>
            <w:r>
              <w:rPr>
                <w:rFonts w:ascii="Arial Narrow" w:hAnsi="Arial Narrow"/>
                <w:color w:val="000000" w:themeColor="text1"/>
                <w:szCs w:val="24"/>
              </w:rPr>
              <w:t xml:space="preserve">radicó los Estudios Previos para </w:t>
            </w:r>
            <w:r>
              <w:rPr>
                <w:rFonts w:ascii="Arial Narrow" w:hAnsi="Arial Narrow"/>
                <w:b/>
                <w:i/>
                <w:color w:val="000000" w:themeColor="text1"/>
                <w:szCs w:val="24"/>
              </w:rPr>
              <w:t>“</w:t>
            </w:r>
            <w:r>
              <w:rPr>
                <w:rFonts w:ascii="Arial Narrow" w:hAnsi="Arial Narrow" w:cs="Arial"/>
                <w:b/>
                <w:i/>
                <w:color w:val="000000" w:themeColor="text1"/>
                <w:szCs w:val="24"/>
              </w:rPr>
              <w:t>ADQUISICIÒN Y RENOVACIÓN DE LICENCIAS CON SOPORTE Y GARANTÍA DEL SOFTWARE DE GESTIÓN DEXON PARA LA FISCALÍA GENERAL DE LA NACIÓN.</w:t>
            </w:r>
            <w:r>
              <w:rPr>
                <w:rFonts w:ascii="Arial Narrow" w:hAnsi="Arial Narrow"/>
                <w:b/>
                <w:bCs/>
                <w:i/>
                <w:color w:val="000000" w:themeColor="text1"/>
                <w:szCs w:val="24"/>
              </w:rPr>
              <w:t>”</w:t>
            </w:r>
          </w:p>
          <w:p w:rsidR="00281DD3" w:rsidRDefault="00281DD3">
            <w:pPr>
              <w:jc w:val="both"/>
              <w:rPr>
                <w:rFonts w:ascii="Arial Narrow" w:hAnsi="Arial Narrow" w:cs="Arial"/>
                <w:color w:val="000000" w:themeColor="text1"/>
                <w:szCs w:val="24"/>
              </w:rPr>
            </w:pPr>
          </w:p>
        </w:tc>
      </w:tr>
      <w:tr w:rsidR="00281DD3">
        <w:trPr>
          <w:trHeight w:val="264"/>
        </w:trPr>
        <w:tc>
          <w:tcPr>
            <w:tcW w:w="5000" w:type="pct"/>
            <w:gridSpan w:val="4"/>
            <w:tcBorders>
              <w:left w:val="nil"/>
              <w:right w:val="nil"/>
            </w:tcBorders>
            <w:shd w:val="clear" w:color="auto" w:fill="auto"/>
          </w:tcPr>
          <w:p w:rsidR="00281DD3" w:rsidRDefault="00281DD3">
            <w:pPr>
              <w:rPr>
                <w:rFonts w:ascii="Arial Narrow" w:hAnsi="Arial Narrow" w:cs="Arial"/>
                <w:color w:val="000000" w:themeColor="text1"/>
                <w:szCs w:val="24"/>
              </w:rPr>
            </w:pPr>
          </w:p>
        </w:tc>
      </w:tr>
      <w:tr w:rsidR="00281DD3">
        <w:trPr>
          <w:trHeight w:val="282"/>
        </w:trPr>
        <w:tc>
          <w:tcPr>
            <w:tcW w:w="5000" w:type="pct"/>
            <w:gridSpan w:val="4"/>
            <w:shd w:val="clear" w:color="auto" w:fill="D9D9D9" w:themeFill="background1" w:themeFillShade="D9"/>
            <w:vAlign w:val="center"/>
          </w:tcPr>
          <w:p w:rsidR="00281DD3" w:rsidRDefault="00C23069">
            <w:pPr>
              <w:numPr>
                <w:ilvl w:val="0"/>
                <w:numId w:val="3"/>
              </w:numPr>
              <w:tabs>
                <w:tab w:val="left" w:pos="456"/>
              </w:tabs>
              <w:ind w:left="172" w:hanging="142"/>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OBJETIVO DEL ESTUDIO</w:t>
            </w:r>
          </w:p>
        </w:tc>
      </w:tr>
      <w:tr w:rsidR="00281DD3">
        <w:trPr>
          <w:trHeight w:val="865"/>
        </w:trPr>
        <w:tc>
          <w:tcPr>
            <w:tcW w:w="5000" w:type="pct"/>
            <w:gridSpan w:val="4"/>
            <w:tcBorders>
              <w:bottom w:val="single" w:sz="4" w:space="0" w:color="auto"/>
            </w:tcBorders>
            <w:shd w:val="clear" w:color="auto" w:fill="FFFFFF" w:themeFill="background1"/>
          </w:tcPr>
          <w:p w:rsidR="00281DD3" w:rsidRDefault="00281DD3">
            <w:pPr>
              <w:jc w:val="both"/>
              <w:rPr>
                <w:rFonts w:ascii="Arial Narrow" w:hAnsi="Arial Narrow" w:cs="Arial"/>
                <w:b/>
                <w:bCs/>
                <w:color w:val="000000" w:themeColor="text1"/>
                <w:kern w:val="36"/>
                <w:szCs w:val="24"/>
              </w:rPr>
            </w:pPr>
          </w:p>
          <w:p w:rsidR="00281DD3" w:rsidRDefault="00C23069">
            <w:pPr>
              <w:jc w:val="both"/>
              <w:rPr>
                <w:rFonts w:ascii="Arial Narrow" w:hAnsi="Arial Narrow" w:cs="Arial"/>
                <w:b/>
                <w:bCs/>
                <w:color w:val="000000" w:themeColor="text1"/>
                <w:szCs w:val="24"/>
              </w:rPr>
            </w:pPr>
            <w:r>
              <w:rPr>
                <w:rFonts w:ascii="Arial Narrow" w:hAnsi="Arial Narrow"/>
                <w:color w:val="000000" w:themeColor="text1"/>
                <w:szCs w:val="24"/>
              </w:rPr>
              <w:t xml:space="preserve">El objetivo del estudio es realizar un análisis de la oferta y </w:t>
            </w:r>
            <w:r w:rsidR="005C6079">
              <w:rPr>
                <w:rFonts w:ascii="Arial Narrow" w:hAnsi="Arial Narrow"/>
                <w:color w:val="000000" w:themeColor="text1"/>
                <w:szCs w:val="24"/>
              </w:rPr>
              <w:t>la demanda del sector de bienes</w:t>
            </w:r>
            <w:r>
              <w:rPr>
                <w:rFonts w:ascii="Arial Narrow" w:hAnsi="Arial Narrow"/>
                <w:color w:val="000000" w:themeColor="text1"/>
                <w:szCs w:val="24"/>
              </w:rPr>
              <w:t xml:space="preserve">, el cual permitirá identificar aspectos técnicos, financieros y logísticos, entre otros; así mismo se definirá el presupuesto para </w:t>
            </w:r>
            <w:r>
              <w:rPr>
                <w:rFonts w:ascii="Arial Narrow" w:hAnsi="Arial Narrow"/>
                <w:b/>
                <w:i/>
                <w:color w:val="000000" w:themeColor="text1"/>
                <w:szCs w:val="24"/>
              </w:rPr>
              <w:t>“</w:t>
            </w:r>
            <w:bookmarkStart w:id="0" w:name="_Hlk129255137"/>
            <w:r>
              <w:rPr>
                <w:rFonts w:ascii="Arial Narrow" w:hAnsi="Arial Narrow" w:cs="Arial"/>
                <w:b/>
                <w:i/>
                <w:color w:val="000000" w:themeColor="text1"/>
                <w:szCs w:val="24"/>
              </w:rPr>
              <w:t>ADQUISICIÒN Y RENOVACIÓN DE LICENCIAS CON SOPORTE Y GARANTÍA DEL SOFTWARE DE GESTIÓN DEXON PARA LA FISCALÍA GENERAL DE LA NACIÓN.</w:t>
            </w:r>
            <w:bookmarkEnd w:id="0"/>
            <w:r>
              <w:rPr>
                <w:rFonts w:ascii="Arial Narrow" w:hAnsi="Arial Narrow" w:cs="Arial"/>
                <w:b/>
                <w:bCs/>
                <w:i/>
                <w:color w:val="000000" w:themeColor="text1"/>
                <w:szCs w:val="24"/>
              </w:rPr>
              <w:t xml:space="preserve"> “</w:t>
            </w:r>
            <w:r>
              <w:rPr>
                <w:rFonts w:ascii="Arial Narrow" w:hAnsi="Arial Narrow" w:cs="Arial"/>
                <w:b/>
                <w:bCs/>
                <w:color w:val="000000" w:themeColor="text1"/>
                <w:szCs w:val="24"/>
              </w:rPr>
              <w:t xml:space="preserve"> </w:t>
            </w:r>
            <w:r>
              <w:rPr>
                <w:rFonts w:ascii="Arial Narrow" w:hAnsi="Arial Narrow"/>
                <w:color w:val="000000" w:themeColor="text1"/>
                <w:szCs w:val="24"/>
              </w:rPr>
              <w:t xml:space="preserve">basado en la propuesta económica obtenida por parte de </w:t>
            </w:r>
            <w:r>
              <w:rPr>
                <w:rFonts w:ascii="Arial Narrow" w:hAnsi="Arial Narrow" w:cs="Arial"/>
                <w:b/>
                <w:color w:val="000000" w:themeColor="text1"/>
                <w:szCs w:val="24"/>
              </w:rPr>
              <w:t>DEXON SOFTWARE S.A.S. BIC.</w:t>
            </w:r>
          </w:p>
          <w:p w:rsidR="00281DD3" w:rsidRDefault="00281DD3">
            <w:pPr>
              <w:tabs>
                <w:tab w:val="left" w:pos="456"/>
              </w:tabs>
              <w:contextualSpacing/>
              <w:jc w:val="both"/>
              <w:rPr>
                <w:rFonts w:ascii="Arial Narrow" w:eastAsia="Calibri" w:hAnsi="Arial Narrow" w:cs="Arial"/>
                <w:color w:val="000000" w:themeColor="text1"/>
                <w:szCs w:val="24"/>
                <w:lang w:eastAsia="en-US"/>
              </w:rPr>
            </w:pPr>
          </w:p>
        </w:tc>
      </w:tr>
      <w:tr w:rsidR="00281DD3">
        <w:trPr>
          <w:trHeight w:val="271"/>
        </w:trPr>
        <w:tc>
          <w:tcPr>
            <w:tcW w:w="5000" w:type="pct"/>
            <w:gridSpan w:val="4"/>
            <w:tcBorders>
              <w:left w:val="nil"/>
              <w:right w:val="nil"/>
            </w:tcBorders>
            <w:shd w:val="clear" w:color="auto" w:fill="auto"/>
            <w:vAlign w:val="center"/>
          </w:tcPr>
          <w:p w:rsidR="00281DD3" w:rsidRDefault="00281DD3">
            <w:pPr>
              <w:tabs>
                <w:tab w:val="left" w:pos="456"/>
              </w:tabs>
              <w:ind w:left="172"/>
              <w:contextualSpacing/>
              <w:jc w:val="both"/>
              <w:rPr>
                <w:rFonts w:ascii="Arial Narrow" w:eastAsia="Calibri" w:hAnsi="Arial Narrow" w:cs="Arial"/>
                <w:b/>
                <w:color w:val="000000" w:themeColor="text1"/>
                <w:szCs w:val="24"/>
                <w:lang w:eastAsia="en-US"/>
              </w:rPr>
            </w:pPr>
          </w:p>
        </w:tc>
      </w:tr>
      <w:tr w:rsidR="00281DD3">
        <w:trPr>
          <w:trHeight w:val="391"/>
        </w:trPr>
        <w:tc>
          <w:tcPr>
            <w:tcW w:w="5000" w:type="pct"/>
            <w:gridSpan w:val="4"/>
            <w:shd w:val="clear" w:color="auto" w:fill="D9D9D9" w:themeFill="background1" w:themeFillShade="D9"/>
            <w:vAlign w:val="center"/>
          </w:tcPr>
          <w:p w:rsidR="00281DD3" w:rsidRDefault="00C23069">
            <w:pPr>
              <w:numPr>
                <w:ilvl w:val="0"/>
                <w:numId w:val="3"/>
              </w:numPr>
              <w:tabs>
                <w:tab w:val="left" w:pos="456"/>
              </w:tabs>
              <w:ind w:left="172" w:hanging="142"/>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FICHA RESUMEN</w:t>
            </w:r>
          </w:p>
        </w:tc>
      </w:tr>
      <w:tr w:rsidR="00281DD3">
        <w:trPr>
          <w:trHeight w:val="2400"/>
        </w:trPr>
        <w:tc>
          <w:tcPr>
            <w:tcW w:w="5000" w:type="pct"/>
            <w:gridSpan w:val="4"/>
            <w:tcBorders>
              <w:bottom w:val="single" w:sz="4" w:space="0" w:color="auto"/>
            </w:tcBorders>
            <w:shd w:val="clear" w:color="auto" w:fill="FFFFFF" w:themeFill="background1"/>
            <w:vAlign w:val="center"/>
          </w:tcPr>
          <w:tbl>
            <w:tblPr>
              <w:tblStyle w:val="Tablaconcuadrcula"/>
              <w:tblpPr w:leftFromText="141" w:rightFromText="141" w:vertAnchor="text" w:tblpXSpec="center" w:tblpY="393"/>
              <w:tblOverlap w:val="never"/>
              <w:tblW w:w="920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400"/>
              <w:gridCol w:w="709"/>
              <w:gridCol w:w="142"/>
              <w:gridCol w:w="283"/>
              <w:gridCol w:w="284"/>
              <w:gridCol w:w="850"/>
              <w:gridCol w:w="142"/>
              <w:gridCol w:w="2126"/>
              <w:gridCol w:w="182"/>
              <w:gridCol w:w="102"/>
              <w:gridCol w:w="425"/>
              <w:gridCol w:w="142"/>
              <w:gridCol w:w="567"/>
              <w:gridCol w:w="850"/>
            </w:tblGrid>
            <w:tr w:rsidR="00281DD3">
              <w:trPr>
                <w:trHeight w:val="365"/>
              </w:trPr>
              <w:tc>
                <w:tcPr>
                  <w:tcW w:w="7118" w:type="dxa"/>
                  <w:gridSpan w:val="9"/>
                  <w:tcBorders>
                    <w:bottom w:val="single" w:sz="4" w:space="0" w:color="auto"/>
                  </w:tcBorders>
                  <w:shd w:val="clear" w:color="auto" w:fill="F2F2F2" w:themeFill="background1" w:themeFillShade="F2"/>
                  <w:vAlign w:val="center"/>
                </w:tcPr>
                <w:p w:rsidR="00281DD3" w:rsidRDefault="00C23069">
                  <w:pPr>
                    <w:pStyle w:val="Standard"/>
                    <w:rPr>
                      <w:rFonts w:ascii="Arial Narrow" w:hAnsi="Arial Narrow" w:cs="Arial"/>
                      <w:color w:val="000000" w:themeColor="text1"/>
                      <w:sz w:val="24"/>
                      <w:szCs w:val="24"/>
                    </w:rPr>
                  </w:pPr>
                  <w:r>
                    <w:rPr>
                      <w:rFonts w:ascii="Arial Narrow" w:hAnsi="Arial Narrow" w:cs="Arial"/>
                      <w:b/>
                      <w:color w:val="000000" w:themeColor="text1"/>
                      <w:sz w:val="24"/>
                      <w:szCs w:val="24"/>
                    </w:rPr>
                    <w:t xml:space="preserve">  Número del Estudio del Sector</w:t>
                  </w:r>
                </w:p>
              </w:tc>
              <w:tc>
                <w:tcPr>
                  <w:tcW w:w="2086" w:type="dxa"/>
                  <w:gridSpan w:val="5"/>
                  <w:tcBorders>
                    <w:left w:val="single" w:sz="4" w:space="0" w:color="auto"/>
                    <w:bottom w:val="single" w:sz="4" w:space="0" w:color="auto"/>
                  </w:tcBorders>
                  <w:shd w:val="clear" w:color="auto" w:fill="D9D9D9" w:themeFill="background1" w:themeFillShade="D9"/>
                  <w:vAlign w:val="center"/>
                </w:tcPr>
                <w:p w:rsidR="00281DD3" w:rsidRDefault="00C23069">
                  <w:pPr>
                    <w:pStyle w:val="Standard"/>
                    <w:jc w:val="center"/>
                    <w:rPr>
                      <w:rFonts w:ascii="Arial Narrow" w:hAnsi="Arial Narrow" w:cs="Arial"/>
                      <w:color w:val="000000" w:themeColor="text1"/>
                      <w:sz w:val="24"/>
                      <w:szCs w:val="24"/>
                    </w:rPr>
                  </w:pPr>
                  <w:r>
                    <w:rPr>
                      <w:rFonts w:ascii="Arial Narrow" w:hAnsi="Arial Narrow" w:cs="Arial"/>
                      <w:color w:val="000000" w:themeColor="text1"/>
                      <w:sz w:val="24"/>
                      <w:szCs w:val="24"/>
                    </w:rPr>
                    <w:t>168</w:t>
                  </w:r>
                </w:p>
              </w:tc>
            </w:tr>
            <w:tr w:rsidR="00281DD3">
              <w:trPr>
                <w:trHeight w:val="448"/>
              </w:trPr>
              <w:tc>
                <w:tcPr>
                  <w:tcW w:w="3251" w:type="dxa"/>
                  <w:gridSpan w:val="3"/>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Dependencia Solicitante</w:t>
                  </w:r>
                </w:p>
              </w:tc>
              <w:tc>
                <w:tcPr>
                  <w:tcW w:w="5953" w:type="dxa"/>
                  <w:gridSpan w:val="11"/>
                  <w:tcBorders>
                    <w:top w:val="single" w:sz="4" w:space="0" w:color="auto"/>
                    <w:bottom w:val="single" w:sz="4" w:space="0" w:color="auto"/>
                  </w:tcBorders>
                  <w:shd w:val="clear" w:color="auto" w:fill="F2F2F2" w:themeFill="background1" w:themeFillShade="F2"/>
                  <w:vAlign w:val="center"/>
                </w:tcPr>
                <w:p w:rsidR="00281DD3" w:rsidRDefault="00281DD3">
                  <w:pPr>
                    <w:ind w:left="-142"/>
                    <w:jc w:val="center"/>
                    <w:rPr>
                      <w:rFonts w:ascii="Arial Narrow" w:hAnsi="Arial Narrow" w:cs="Arial"/>
                      <w:color w:val="000000" w:themeColor="text1"/>
                      <w:szCs w:val="24"/>
                    </w:rPr>
                  </w:pPr>
                </w:p>
                <w:p w:rsidR="00281DD3" w:rsidRDefault="00C23069">
                  <w:pPr>
                    <w:tabs>
                      <w:tab w:val="left" w:pos="2520"/>
                    </w:tabs>
                    <w:jc w:val="center"/>
                    <w:rPr>
                      <w:rFonts w:ascii="Arial Narrow" w:hAnsi="Arial Narrow" w:cs="Arial"/>
                      <w:color w:val="000000" w:themeColor="text1"/>
                      <w:szCs w:val="24"/>
                    </w:rPr>
                  </w:pPr>
                  <w:r>
                    <w:rPr>
                      <w:rFonts w:ascii="Arial Narrow" w:hAnsi="Arial Narrow" w:cs="Arial"/>
                      <w:color w:val="000000" w:themeColor="text1"/>
                      <w:szCs w:val="24"/>
                    </w:rPr>
                    <w:t>Departamento de Gestión de Infraestructura y Redes (E)- Subdirección de Tecnologías de la Información y las Comunicaciones</w:t>
                  </w:r>
                </w:p>
                <w:p w:rsidR="00281DD3" w:rsidRDefault="00281DD3">
                  <w:pPr>
                    <w:ind w:left="-142"/>
                    <w:jc w:val="center"/>
                    <w:rPr>
                      <w:rFonts w:ascii="Arial Narrow" w:hAnsi="Arial Narrow" w:cs="Arial"/>
                      <w:color w:val="000000" w:themeColor="text1"/>
                      <w:szCs w:val="24"/>
                    </w:rPr>
                  </w:pPr>
                </w:p>
              </w:tc>
            </w:tr>
            <w:tr w:rsidR="00281DD3">
              <w:trPr>
                <w:trHeight w:val="753"/>
              </w:trPr>
              <w:tc>
                <w:tcPr>
                  <w:tcW w:w="2400"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color w:val="000000" w:themeColor="text1"/>
                      <w:szCs w:val="24"/>
                    </w:rPr>
                  </w:pPr>
                  <w:r>
                    <w:rPr>
                      <w:rFonts w:ascii="Arial Narrow" w:hAnsi="Arial Narrow" w:cs="Arial"/>
                      <w:b/>
                      <w:color w:val="000000" w:themeColor="text1"/>
                      <w:szCs w:val="24"/>
                    </w:rPr>
                    <w:t>Fecha de Inicio del Estudio del Sector</w:t>
                  </w:r>
                </w:p>
              </w:tc>
              <w:tc>
                <w:tcPr>
                  <w:tcW w:w="709"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DD2623">
                  <w:pPr>
                    <w:jc w:val="center"/>
                    <w:rPr>
                      <w:rFonts w:ascii="Arial Narrow" w:hAnsi="Arial Narrow" w:cs="Arial"/>
                      <w:color w:val="000000" w:themeColor="text1"/>
                      <w:szCs w:val="24"/>
                    </w:rPr>
                  </w:pPr>
                  <w:r>
                    <w:rPr>
                      <w:rFonts w:ascii="Arial Narrow" w:hAnsi="Arial Narrow" w:cs="Arial"/>
                      <w:color w:val="000000" w:themeColor="text1"/>
                      <w:szCs w:val="24"/>
                    </w:rPr>
                    <w:t>18</w:t>
                  </w:r>
                </w:p>
              </w:tc>
              <w:tc>
                <w:tcPr>
                  <w:tcW w:w="709" w:type="dxa"/>
                  <w:gridSpan w:val="3"/>
                  <w:tcBorders>
                    <w:top w:val="single" w:sz="4" w:space="0" w:color="auto"/>
                    <w:left w:val="single" w:sz="4" w:space="0" w:color="auto"/>
                    <w:bottom w:val="single" w:sz="4" w:space="0" w:color="auto"/>
                    <w:right w:val="single" w:sz="4" w:space="0" w:color="auto"/>
                  </w:tcBorders>
                  <w:vAlign w:val="center"/>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06</w:t>
                  </w:r>
                </w:p>
              </w:tc>
              <w:tc>
                <w:tcPr>
                  <w:tcW w:w="850" w:type="dxa"/>
                  <w:tcBorders>
                    <w:top w:val="single" w:sz="4" w:space="0" w:color="auto"/>
                    <w:left w:val="single" w:sz="4" w:space="0" w:color="auto"/>
                    <w:bottom w:val="single" w:sz="4" w:space="0" w:color="auto"/>
                    <w:right w:val="single" w:sz="4" w:space="0" w:color="auto"/>
                  </w:tcBorders>
                  <w:vAlign w:val="center"/>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2024</w:t>
                  </w:r>
                </w:p>
              </w:tc>
              <w:tc>
                <w:tcPr>
                  <w:tcW w:w="255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both"/>
                    <w:rPr>
                      <w:rFonts w:ascii="Arial Narrow" w:hAnsi="Arial Narrow" w:cs="Arial"/>
                      <w:b/>
                      <w:color w:val="000000" w:themeColor="text1"/>
                      <w:szCs w:val="24"/>
                    </w:rPr>
                  </w:pPr>
                  <w:r>
                    <w:rPr>
                      <w:rFonts w:ascii="Arial Narrow" w:hAnsi="Arial Narrow" w:cs="Arial"/>
                      <w:b/>
                      <w:color w:val="000000" w:themeColor="text1"/>
                      <w:szCs w:val="24"/>
                    </w:rPr>
                    <w:t>Fecha de finalización del Análisis del Sector</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281DD3" w:rsidRDefault="00DD2623">
                  <w:pPr>
                    <w:rPr>
                      <w:rFonts w:ascii="Arial Narrow" w:hAnsi="Arial Narrow" w:cs="Arial"/>
                      <w:color w:val="000000" w:themeColor="text1"/>
                      <w:szCs w:val="24"/>
                    </w:rPr>
                  </w:pPr>
                  <w:r>
                    <w:rPr>
                      <w:rFonts w:ascii="Arial Narrow" w:hAnsi="Arial Narrow" w:cs="Arial"/>
                      <w:color w:val="000000" w:themeColor="text1"/>
                      <w:szCs w:val="24"/>
                    </w:rPr>
                    <w:t>20</w:t>
                  </w:r>
                </w:p>
              </w:tc>
              <w:tc>
                <w:tcPr>
                  <w:tcW w:w="567" w:type="dxa"/>
                  <w:tcBorders>
                    <w:top w:val="single" w:sz="4" w:space="0" w:color="auto"/>
                    <w:left w:val="single" w:sz="4" w:space="0" w:color="auto"/>
                    <w:bottom w:val="single" w:sz="4" w:space="0" w:color="auto"/>
                    <w:right w:val="single" w:sz="4" w:space="0" w:color="auto"/>
                  </w:tcBorders>
                  <w:vAlign w:val="center"/>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06</w:t>
                  </w:r>
                </w:p>
              </w:tc>
              <w:tc>
                <w:tcPr>
                  <w:tcW w:w="850" w:type="dxa"/>
                  <w:tcBorders>
                    <w:top w:val="single" w:sz="4" w:space="0" w:color="auto"/>
                    <w:left w:val="single" w:sz="4" w:space="0" w:color="auto"/>
                    <w:bottom w:val="single" w:sz="4" w:space="0" w:color="auto"/>
                  </w:tcBorders>
                  <w:vAlign w:val="center"/>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2024</w:t>
                  </w:r>
                </w:p>
              </w:tc>
            </w:tr>
            <w:tr w:rsidR="00281DD3">
              <w:trPr>
                <w:trHeight w:val="650"/>
              </w:trPr>
              <w:tc>
                <w:tcPr>
                  <w:tcW w:w="3534" w:type="dxa"/>
                  <w:gridSpan w:val="4"/>
                  <w:tcBorders>
                    <w:top w:val="single" w:sz="4" w:space="0" w:color="auto"/>
                    <w:bottom w:val="single" w:sz="4" w:space="0" w:color="auto"/>
                  </w:tcBorders>
                  <w:shd w:val="clear" w:color="auto" w:fill="F2F2F2" w:themeFill="background1" w:themeFillShade="F2"/>
                  <w:vAlign w:val="center"/>
                </w:tcPr>
                <w:p w:rsidR="00281DD3" w:rsidRDefault="00C23069">
                  <w:pPr>
                    <w:jc w:val="both"/>
                    <w:rPr>
                      <w:rFonts w:ascii="Arial Narrow" w:hAnsi="Arial Narrow" w:cs="Arial"/>
                      <w:color w:val="000000" w:themeColor="text1"/>
                      <w:szCs w:val="24"/>
                    </w:rPr>
                  </w:pPr>
                  <w:r>
                    <w:rPr>
                      <w:rFonts w:ascii="Arial Narrow" w:hAnsi="Arial Narrow" w:cs="Arial"/>
                      <w:b/>
                      <w:bCs/>
                      <w:color w:val="000000" w:themeColor="text1"/>
                      <w:szCs w:val="24"/>
                    </w:rPr>
                    <w:t xml:space="preserve">  Número de modificación</w:t>
                  </w:r>
                </w:p>
              </w:tc>
              <w:tc>
                <w:tcPr>
                  <w:tcW w:w="1276" w:type="dxa"/>
                  <w:gridSpan w:val="3"/>
                  <w:tcBorders>
                    <w:top w:val="single" w:sz="4" w:space="0" w:color="auto"/>
                    <w:left w:val="single" w:sz="4" w:space="0" w:color="auto"/>
                    <w:bottom w:val="single" w:sz="4" w:space="0" w:color="auto"/>
                  </w:tcBorders>
                  <w:shd w:val="clear" w:color="auto" w:fill="D9D9D9" w:themeFill="background1" w:themeFillShade="D9"/>
                  <w:vAlign w:val="center"/>
                </w:tcPr>
                <w:p w:rsidR="00281DD3" w:rsidRDefault="00616A2E">
                  <w:pPr>
                    <w:jc w:val="center"/>
                    <w:rPr>
                      <w:rFonts w:ascii="Arial Narrow" w:hAnsi="Arial Narrow" w:cs="Arial"/>
                      <w:color w:val="000000" w:themeColor="text1"/>
                      <w:szCs w:val="24"/>
                    </w:rPr>
                  </w:pPr>
                  <w:r>
                    <w:rPr>
                      <w:rFonts w:ascii="Arial Narrow" w:hAnsi="Arial Narrow" w:cs="Arial"/>
                      <w:color w:val="000000" w:themeColor="text1"/>
                      <w:szCs w:val="24"/>
                    </w:rPr>
                    <w:t>1</w:t>
                  </w:r>
                </w:p>
              </w:tc>
              <w:tc>
                <w:tcPr>
                  <w:tcW w:w="2126" w:type="dxa"/>
                  <w:tcBorders>
                    <w:top w:val="single" w:sz="4" w:space="0" w:color="auto"/>
                    <w:left w:val="single" w:sz="4" w:space="0" w:color="auto"/>
                    <w:bottom w:val="single" w:sz="4" w:space="0" w:color="auto"/>
                  </w:tcBorders>
                  <w:vAlign w:val="center"/>
                </w:tcPr>
                <w:p w:rsidR="00281DD3" w:rsidRDefault="00C23069">
                  <w:pPr>
                    <w:rPr>
                      <w:rFonts w:ascii="Arial Narrow" w:hAnsi="Arial Narrow" w:cs="Arial"/>
                      <w:b/>
                      <w:bCs/>
                      <w:color w:val="000000" w:themeColor="text1"/>
                      <w:szCs w:val="24"/>
                    </w:rPr>
                  </w:pPr>
                  <w:r>
                    <w:rPr>
                      <w:rFonts w:ascii="Arial Narrow" w:hAnsi="Arial Narrow" w:cs="Arial"/>
                      <w:b/>
                      <w:bCs/>
                      <w:color w:val="000000" w:themeColor="text1"/>
                      <w:szCs w:val="24"/>
                    </w:rPr>
                    <w:t>Fecha entrega de la modificación</w:t>
                  </w:r>
                </w:p>
              </w:tc>
              <w:tc>
                <w:tcPr>
                  <w:tcW w:w="709" w:type="dxa"/>
                  <w:gridSpan w:val="3"/>
                  <w:tcBorders>
                    <w:top w:val="single" w:sz="4" w:space="0" w:color="auto"/>
                    <w:left w:val="single" w:sz="4" w:space="0" w:color="auto"/>
                    <w:bottom w:val="single" w:sz="4" w:space="0" w:color="auto"/>
                  </w:tcBorders>
                  <w:vAlign w:val="center"/>
                </w:tcPr>
                <w:p w:rsidR="00281DD3" w:rsidRDefault="00616A2E">
                  <w:pPr>
                    <w:jc w:val="center"/>
                    <w:rPr>
                      <w:rFonts w:ascii="Arial Narrow" w:hAnsi="Arial Narrow" w:cs="Arial"/>
                      <w:b/>
                      <w:bCs/>
                      <w:color w:val="000000" w:themeColor="text1"/>
                      <w:szCs w:val="24"/>
                    </w:rPr>
                  </w:pPr>
                  <w:r>
                    <w:rPr>
                      <w:rFonts w:ascii="Arial Narrow" w:hAnsi="Arial Narrow" w:cs="Arial"/>
                      <w:color w:val="000000" w:themeColor="text1"/>
                      <w:szCs w:val="24"/>
                    </w:rPr>
                    <w:t>26</w:t>
                  </w:r>
                </w:p>
              </w:tc>
              <w:tc>
                <w:tcPr>
                  <w:tcW w:w="709" w:type="dxa"/>
                  <w:gridSpan w:val="2"/>
                  <w:tcBorders>
                    <w:top w:val="single" w:sz="4" w:space="0" w:color="auto"/>
                    <w:left w:val="single" w:sz="4" w:space="0" w:color="auto"/>
                    <w:bottom w:val="single" w:sz="4" w:space="0" w:color="auto"/>
                  </w:tcBorders>
                  <w:vAlign w:val="center"/>
                </w:tcPr>
                <w:p w:rsidR="00281DD3" w:rsidRDefault="00616A2E">
                  <w:pPr>
                    <w:jc w:val="center"/>
                    <w:rPr>
                      <w:rFonts w:ascii="Arial Narrow" w:hAnsi="Arial Narrow" w:cs="Arial"/>
                      <w:color w:val="000000" w:themeColor="text1"/>
                      <w:szCs w:val="24"/>
                    </w:rPr>
                  </w:pPr>
                  <w:r>
                    <w:rPr>
                      <w:rFonts w:ascii="Arial Narrow" w:hAnsi="Arial Narrow" w:cs="Arial"/>
                      <w:color w:val="000000" w:themeColor="text1"/>
                      <w:szCs w:val="24"/>
                    </w:rPr>
                    <w:t>06</w:t>
                  </w:r>
                </w:p>
              </w:tc>
              <w:tc>
                <w:tcPr>
                  <w:tcW w:w="850" w:type="dxa"/>
                  <w:tcBorders>
                    <w:top w:val="single" w:sz="4" w:space="0" w:color="auto"/>
                    <w:left w:val="single" w:sz="4" w:space="0" w:color="auto"/>
                    <w:bottom w:val="single" w:sz="4" w:space="0" w:color="auto"/>
                  </w:tcBorders>
                  <w:vAlign w:val="center"/>
                </w:tcPr>
                <w:p w:rsidR="00281DD3" w:rsidRDefault="00616A2E">
                  <w:pPr>
                    <w:jc w:val="center"/>
                    <w:rPr>
                      <w:rFonts w:ascii="Arial Narrow" w:hAnsi="Arial Narrow" w:cs="Arial"/>
                      <w:color w:val="000000" w:themeColor="text1"/>
                      <w:szCs w:val="24"/>
                    </w:rPr>
                  </w:pPr>
                  <w:r>
                    <w:rPr>
                      <w:rFonts w:ascii="Arial Narrow" w:hAnsi="Arial Narrow" w:cs="Arial"/>
                      <w:color w:val="000000" w:themeColor="text1"/>
                      <w:szCs w:val="24"/>
                    </w:rPr>
                    <w:t>2024</w:t>
                  </w:r>
                </w:p>
              </w:tc>
            </w:tr>
            <w:tr w:rsidR="00281DD3">
              <w:trPr>
                <w:trHeight w:val="869"/>
              </w:trPr>
              <w:tc>
                <w:tcPr>
                  <w:tcW w:w="3251" w:type="dxa"/>
                  <w:gridSpan w:val="3"/>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rPr>
                      <w:rFonts w:ascii="Arial Narrow" w:hAnsi="Arial Narrow" w:cs="Arial"/>
                      <w:b/>
                      <w:color w:val="000000" w:themeColor="text1"/>
                      <w:szCs w:val="24"/>
                    </w:rPr>
                  </w:pPr>
                  <w:r>
                    <w:rPr>
                      <w:rFonts w:ascii="Arial Narrow" w:hAnsi="Arial Narrow" w:cs="Arial"/>
                      <w:b/>
                      <w:color w:val="000000" w:themeColor="text1"/>
                      <w:szCs w:val="24"/>
                    </w:rPr>
                    <w:t>Valor del Presupuesto Asignado Según Estudio del Sector</w:t>
                  </w:r>
                </w:p>
              </w:tc>
              <w:tc>
                <w:tcPr>
                  <w:tcW w:w="5953" w:type="dxa"/>
                  <w:gridSpan w:val="11"/>
                  <w:tcBorders>
                    <w:top w:val="single" w:sz="4" w:space="0" w:color="auto"/>
                    <w:left w:val="single" w:sz="4" w:space="0" w:color="auto"/>
                    <w:bottom w:val="single" w:sz="4" w:space="0" w:color="auto"/>
                  </w:tcBorders>
                  <w:vAlign w:val="center"/>
                </w:tcPr>
                <w:p w:rsidR="00281DD3" w:rsidRDefault="00281DD3">
                  <w:pPr>
                    <w:jc w:val="both"/>
                    <w:rPr>
                      <w:rFonts w:ascii="Arial Narrow" w:hAnsi="Arial Narrow" w:cs="Arial"/>
                      <w:color w:val="000000" w:themeColor="text1"/>
                      <w:szCs w:val="24"/>
                    </w:rPr>
                  </w:pPr>
                </w:p>
                <w:p w:rsidR="00281DD3" w:rsidRDefault="00C23069">
                  <w:pPr>
                    <w:pStyle w:val="Ttulo2"/>
                    <w:jc w:val="both"/>
                    <w:outlineLvl w:val="1"/>
                    <w:rPr>
                      <w:rFonts w:ascii="Arial Narrow" w:hAnsi="Arial Narrow"/>
                      <w:b w:val="0"/>
                      <w:color w:val="000000" w:themeColor="text1"/>
                      <w:szCs w:val="24"/>
                      <w:lang w:eastAsia="es-CO"/>
                    </w:rPr>
                  </w:pPr>
                  <w:r>
                    <w:rPr>
                      <w:rFonts w:ascii="Arial Narrow" w:hAnsi="Arial Narrow"/>
                      <w:b w:val="0"/>
                      <w:color w:val="000000" w:themeColor="text1"/>
                      <w:szCs w:val="24"/>
                    </w:rPr>
                    <w:t xml:space="preserve">El presupuesto oficial para el presente proceso según lo establecido en los respectivos Estudios Previos es de </w:t>
                  </w:r>
                  <w:r>
                    <w:rPr>
                      <w:rFonts w:ascii="Arial Narrow" w:hAnsi="Arial Narrow" w:cstheme="minorBidi"/>
                      <w:b w:val="0"/>
                      <w:bCs/>
                      <w:color w:val="000000" w:themeColor="text1"/>
                      <w:szCs w:val="24"/>
                    </w:rPr>
                    <w:t>SEISIENTOS NOVENTA Y TRES MILLONES SETECIENTOS VEINTE MIL PESOS M/CTE (</w:t>
                  </w:r>
                  <w:r>
                    <w:rPr>
                      <w:rFonts w:ascii="Arial Narrow" w:hAnsi="Arial Narrow" w:cs="Arial"/>
                      <w:b w:val="0"/>
                      <w:color w:val="000000" w:themeColor="text1"/>
                      <w:szCs w:val="24"/>
                    </w:rPr>
                    <w:t>$693.720.000</w:t>
                  </w:r>
                  <w:r>
                    <w:rPr>
                      <w:rFonts w:ascii="Arial Narrow" w:hAnsi="Arial Narrow" w:cstheme="minorBidi"/>
                      <w:b w:val="0"/>
                      <w:bCs/>
                      <w:color w:val="000000" w:themeColor="text1"/>
                      <w:szCs w:val="24"/>
                    </w:rPr>
                    <w:t>),</w:t>
                  </w:r>
                  <w:r>
                    <w:rPr>
                      <w:rFonts w:ascii="Arial Narrow" w:hAnsi="Arial Narrow" w:cstheme="minorBidi"/>
                      <w:b w:val="0"/>
                      <w:color w:val="000000" w:themeColor="text1"/>
                      <w:szCs w:val="24"/>
                    </w:rPr>
                    <w:t xml:space="preserve"> </w:t>
                  </w:r>
                  <w:r>
                    <w:rPr>
                      <w:rFonts w:ascii="Arial Narrow" w:hAnsi="Arial Narrow"/>
                      <w:b w:val="0"/>
                      <w:color w:val="000000" w:themeColor="text1"/>
                      <w:szCs w:val="24"/>
                    </w:rPr>
                    <w:t xml:space="preserve"> incluido todos los costos directos e indirectos los impuestos nacionales a que haya lugar.</w:t>
                  </w:r>
                </w:p>
                <w:p w:rsidR="00281DD3" w:rsidRDefault="00281DD3">
                  <w:pPr>
                    <w:jc w:val="both"/>
                    <w:rPr>
                      <w:rFonts w:ascii="Arial Narrow" w:hAnsi="Arial Narrow"/>
                      <w:color w:val="000000" w:themeColor="text1"/>
                      <w:szCs w:val="24"/>
                      <w:lang w:eastAsia="es-CO"/>
                    </w:rPr>
                  </w:pPr>
                </w:p>
              </w:tc>
            </w:tr>
            <w:tr w:rsidR="00281DD3">
              <w:trPr>
                <w:trHeight w:val="562"/>
              </w:trPr>
              <w:tc>
                <w:tcPr>
                  <w:tcW w:w="3251" w:type="dxa"/>
                  <w:gridSpan w:val="3"/>
                  <w:tcBorders>
                    <w:top w:val="single" w:sz="4" w:space="0" w:color="auto"/>
                    <w:right w:val="single" w:sz="4" w:space="0" w:color="auto"/>
                  </w:tcBorders>
                  <w:shd w:val="clear" w:color="auto" w:fill="F2F2F2" w:themeFill="background1" w:themeFillShade="F2"/>
                  <w:vAlign w:val="center"/>
                </w:tcPr>
                <w:p w:rsidR="00281DD3" w:rsidRDefault="00C23069">
                  <w:pPr>
                    <w:rPr>
                      <w:rFonts w:ascii="Arial Narrow" w:hAnsi="Arial Narrow" w:cs="Arial"/>
                      <w:b/>
                      <w:i/>
                      <w:color w:val="000000" w:themeColor="text1"/>
                      <w:szCs w:val="24"/>
                    </w:rPr>
                  </w:pPr>
                  <w:r>
                    <w:rPr>
                      <w:rFonts w:ascii="Arial Narrow" w:hAnsi="Arial Narrow" w:cs="Arial"/>
                      <w:b/>
                      <w:color w:val="000000" w:themeColor="text1"/>
                      <w:szCs w:val="24"/>
                    </w:rPr>
                    <w:t>Plazo Estimado de la Ejecución</w:t>
                  </w:r>
                </w:p>
              </w:tc>
              <w:tc>
                <w:tcPr>
                  <w:tcW w:w="5953" w:type="dxa"/>
                  <w:gridSpan w:val="11"/>
                  <w:tcBorders>
                    <w:top w:val="single" w:sz="4" w:space="0" w:color="auto"/>
                    <w:left w:val="single" w:sz="4" w:space="0" w:color="auto"/>
                  </w:tcBorders>
                  <w:vAlign w:val="center"/>
                </w:tcPr>
                <w:p w:rsidR="00281DD3" w:rsidRDefault="00281DD3">
                  <w:pPr>
                    <w:tabs>
                      <w:tab w:val="left" w:pos="567"/>
                    </w:tabs>
                    <w:jc w:val="both"/>
                    <w:rPr>
                      <w:rFonts w:ascii="Arial Narrow" w:hAnsi="Arial Narrow" w:cs="Arial"/>
                      <w:b/>
                      <w:color w:val="000000" w:themeColor="text1"/>
                      <w:szCs w:val="24"/>
                      <w:u w:val="single"/>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El plazo de ejecución del contrato será hasta el día </w:t>
                  </w:r>
                  <w:r w:rsidR="00616A2E">
                    <w:rPr>
                      <w:rFonts w:ascii="Arial Narrow" w:hAnsi="Arial Narrow" w:cs="Arial"/>
                      <w:color w:val="000000" w:themeColor="text1"/>
                      <w:szCs w:val="24"/>
                    </w:rPr>
                    <w:t>18</w:t>
                  </w:r>
                  <w:r>
                    <w:rPr>
                      <w:rFonts w:ascii="Arial Narrow" w:hAnsi="Arial Narrow" w:cs="Arial"/>
                      <w:color w:val="000000" w:themeColor="text1"/>
                      <w:szCs w:val="24"/>
                    </w:rPr>
                    <w:t xml:space="preserve"> de julio de 2024 contados a partir de la suscripción del </w:t>
                  </w:r>
                  <w:r>
                    <w:rPr>
                      <w:rFonts w:ascii="Arial Narrow" w:hAnsi="Arial Narrow" w:cs="Arial"/>
                      <w:b/>
                      <w:color w:val="000000" w:themeColor="text1"/>
                      <w:szCs w:val="24"/>
                      <w:u w:val="single"/>
                    </w:rPr>
                    <w:t>acta de inicio</w:t>
                  </w:r>
                  <w:r>
                    <w:rPr>
                      <w:rFonts w:ascii="Arial Narrow" w:hAnsi="Arial Narrow" w:cs="Arial"/>
                      <w:color w:val="000000" w:themeColor="text1"/>
                      <w:szCs w:val="24"/>
                    </w:rPr>
                    <w:t>, previo cumplimiento de los requisitos de ejecución del contrato, esto es el registro presupuestal del compromiso y la aprobación de la garantía.</w:t>
                  </w: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eastAsia="Calibri" w:hAnsi="Arial Narrow" w:cs="Arial"/>
                      <w:b/>
                      <w:color w:val="000000" w:themeColor="text1"/>
                      <w:szCs w:val="24"/>
                      <w:lang w:eastAsia="en-US"/>
                    </w:rPr>
                    <w:t xml:space="preserve">PARÁGRAFO: </w:t>
                  </w:r>
                  <w:r>
                    <w:rPr>
                      <w:rFonts w:ascii="Arial Narrow" w:hAnsi="Arial Narrow" w:cs="Arial"/>
                      <w:color w:val="000000" w:themeColor="text1"/>
                      <w:szCs w:val="24"/>
                    </w:rPr>
                    <w:t xml:space="preserve">Si bien el plazo de ejecución es hasta el </w:t>
                  </w:r>
                  <w:r w:rsidR="00616A2E">
                    <w:rPr>
                      <w:rFonts w:ascii="Arial Narrow" w:hAnsi="Arial Narrow" w:cs="Arial"/>
                      <w:color w:val="000000" w:themeColor="text1"/>
                      <w:szCs w:val="24"/>
                    </w:rPr>
                    <w:t>18</w:t>
                  </w:r>
                  <w:r>
                    <w:rPr>
                      <w:rFonts w:ascii="Arial Narrow" w:hAnsi="Arial Narrow" w:cs="Arial"/>
                      <w:color w:val="000000" w:themeColor="text1"/>
                      <w:szCs w:val="24"/>
                    </w:rPr>
                    <w:t xml:space="preserve"> de julio de 2024, la vigencia de la renovación del licenciamiento y soporte técnico será por el término de 12 meses contados a partir de la activación del mismo. Lo anterior, de conformidad con la oferta económica presentada por el </w:t>
                  </w:r>
                  <w:r>
                    <w:rPr>
                      <w:rFonts w:ascii="Arial Narrow" w:hAnsi="Arial Narrow" w:cs="Arial"/>
                      <w:b/>
                      <w:color w:val="000000" w:themeColor="text1"/>
                      <w:szCs w:val="24"/>
                    </w:rPr>
                    <w:t>CONTRATISTA</w:t>
                  </w:r>
                  <w:r>
                    <w:rPr>
                      <w:rFonts w:ascii="Arial Narrow" w:hAnsi="Arial Narrow" w:cs="Arial"/>
                      <w:color w:val="000000" w:themeColor="text1"/>
                      <w:szCs w:val="24"/>
                    </w:rPr>
                    <w:t>.</w:t>
                  </w:r>
                </w:p>
                <w:p w:rsidR="00281DD3" w:rsidRDefault="00281DD3">
                  <w:pPr>
                    <w:jc w:val="both"/>
                    <w:rPr>
                      <w:rFonts w:ascii="Arial Narrow" w:eastAsia="Calibri" w:hAnsi="Arial Narrow" w:cs="Arial"/>
                      <w:color w:val="000000" w:themeColor="text1"/>
                      <w:szCs w:val="24"/>
                      <w:lang w:eastAsia="en-US"/>
                    </w:rPr>
                  </w:pPr>
                </w:p>
                <w:p w:rsidR="00281DD3" w:rsidRDefault="00C23069">
                  <w:pPr>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 xml:space="preserve">El contrato se ejecutará en la(s) ciudad(es) de: Bogotá, en la </w:t>
                  </w:r>
                  <w:bookmarkStart w:id="1" w:name="_Hlk166573509"/>
                  <w:r>
                    <w:rPr>
                      <w:rFonts w:ascii="Arial Narrow" w:eastAsia="Calibri" w:hAnsi="Arial Narrow" w:cs="Arial"/>
                      <w:color w:val="000000" w:themeColor="text1"/>
                      <w:szCs w:val="24"/>
                      <w:lang w:eastAsia="en-US"/>
                    </w:rPr>
                    <w:t>Subdirección de Tecnologías de la Información y las Comunicaciones</w:t>
                  </w:r>
                  <w:bookmarkEnd w:id="1"/>
                  <w:r>
                    <w:rPr>
                      <w:rFonts w:ascii="Arial Narrow" w:eastAsia="Calibri" w:hAnsi="Arial Narrow" w:cs="Arial"/>
                      <w:color w:val="000000" w:themeColor="text1"/>
                      <w:szCs w:val="24"/>
                      <w:lang w:eastAsia="en-US"/>
                    </w:rPr>
                    <w:t xml:space="preserve"> ubicada en la avenida calle 24 # 52-01 Edificio Gustavo de Greiff piso 1 de la Fiscalía General de la Nación. </w:t>
                  </w:r>
                </w:p>
                <w:p w:rsidR="00281DD3" w:rsidRDefault="00281DD3">
                  <w:pPr>
                    <w:rPr>
                      <w:rFonts w:ascii="Arial Narrow" w:eastAsia="Calibri" w:hAnsi="Arial Narrow" w:cs="Arial"/>
                      <w:color w:val="000000" w:themeColor="text1"/>
                      <w:szCs w:val="24"/>
                      <w:lang w:eastAsia="en-US"/>
                    </w:rPr>
                  </w:pPr>
                </w:p>
                <w:p w:rsidR="00281DD3" w:rsidRDefault="00C23069">
                  <w:pPr>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Y se entregará en la(s) ciudad(es): Bogotá, en la Subdirección de Tecnologías de la Información y las Comunicaciones ubicada en la avenida calle 24 # 52-01 Edificio Gustavo de Greiff piso 1 de la Fiscalía General de la Nación.</w:t>
                  </w:r>
                </w:p>
                <w:p w:rsidR="00281DD3" w:rsidRDefault="00281DD3">
                  <w:pPr>
                    <w:pBdr>
                      <w:bottom w:val="single" w:sz="12" w:space="1" w:color="auto"/>
                    </w:pBdr>
                    <w:ind w:left="708" w:hanging="708"/>
                    <w:jc w:val="both"/>
                    <w:rPr>
                      <w:rFonts w:ascii="Arial Narrow" w:eastAsia="Calibri" w:hAnsi="Arial Narrow" w:cs="Arial"/>
                      <w:color w:val="000000" w:themeColor="text1"/>
                      <w:szCs w:val="24"/>
                      <w:u w:val="single"/>
                      <w:lang w:eastAsia="en-US"/>
                    </w:rPr>
                  </w:pPr>
                </w:p>
              </w:tc>
            </w:tr>
          </w:tbl>
          <w:p w:rsidR="00281DD3" w:rsidRDefault="00281DD3">
            <w:pPr>
              <w:tabs>
                <w:tab w:val="left" w:pos="456"/>
              </w:tabs>
              <w:ind w:left="172"/>
              <w:contextualSpacing/>
              <w:jc w:val="center"/>
              <w:rPr>
                <w:rFonts w:ascii="Arial Narrow" w:eastAsia="Calibri" w:hAnsi="Arial Narrow" w:cs="Arial"/>
                <w:b/>
                <w:i/>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b/>
                <w:i/>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b/>
                <w:i/>
                <w:color w:val="000000" w:themeColor="text1"/>
                <w:szCs w:val="24"/>
                <w:lang w:eastAsia="en-US"/>
              </w:rPr>
            </w:pPr>
          </w:p>
        </w:tc>
      </w:tr>
      <w:tr w:rsidR="00281DD3">
        <w:trPr>
          <w:trHeight w:val="340"/>
        </w:trPr>
        <w:tc>
          <w:tcPr>
            <w:tcW w:w="5000" w:type="pct"/>
            <w:gridSpan w:val="4"/>
            <w:tcBorders>
              <w:left w:val="nil"/>
              <w:right w:val="nil"/>
            </w:tcBorders>
            <w:shd w:val="clear" w:color="auto" w:fill="auto"/>
            <w:vAlign w:val="center"/>
          </w:tcPr>
          <w:p w:rsidR="00281DD3" w:rsidRDefault="00281DD3">
            <w:pPr>
              <w:tabs>
                <w:tab w:val="left" w:pos="456"/>
              </w:tabs>
              <w:ind w:left="172"/>
              <w:contextualSpacing/>
              <w:jc w:val="both"/>
              <w:rPr>
                <w:rFonts w:ascii="Arial Narrow" w:eastAsia="Calibri" w:hAnsi="Arial Narrow" w:cs="Arial"/>
                <w:b/>
                <w:color w:val="000000" w:themeColor="text1"/>
                <w:szCs w:val="24"/>
                <w:lang w:eastAsia="en-US"/>
              </w:rPr>
            </w:pPr>
          </w:p>
        </w:tc>
      </w:tr>
      <w:tr w:rsidR="00281DD3">
        <w:trPr>
          <w:trHeight w:val="435"/>
        </w:trPr>
        <w:tc>
          <w:tcPr>
            <w:tcW w:w="5000" w:type="pct"/>
            <w:gridSpan w:val="4"/>
            <w:shd w:val="clear" w:color="auto" w:fill="D9D9D9" w:themeFill="background1" w:themeFillShade="D9"/>
            <w:vAlign w:val="center"/>
          </w:tcPr>
          <w:p w:rsidR="00281DD3" w:rsidRDefault="00C23069">
            <w:pPr>
              <w:numPr>
                <w:ilvl w:val="0"/>
                <w:numId w:val="3"/>
              </w:numPr>
              <w:tabs>
                <w:tab w:val="left" w:pos="456"/>
              </w:tabs>
              <w:ind w:left="172" w:hanging="142"/>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 xml:space="preserve">  RECURSOS UTILIZADOS</w:t>
            </w:r>
          </w:p>
        </w:tc>
      </w:tr>
      <w:tr w:rsidR="00281DD3">
        <w:trPr>
          <w:trHeight w:val="391"/>
        </w:trPr>
        <w:tc>
          <w:tcPr>
            <w:tcW w:w="5000" w:type="pct"/>
            <w:gridSpan w:val="4"/>
            <w:shd w:val="clear" w:color="auto" w:fill="D9D9D9" w:themeFill="background1" w:themeFillShade="D9"/>
            <w:vAlign w:val="center"/>
          </w:tcPr>
          <w:p w:rsidR="00281DD3" w:rsidRDefault="00C23069">
            <w:pPr>
              <w:tabs>
                <w:tab w:val="left" w:pos="456"/>
              </w:tabs>
              <w:contextualSpacing/>
              <w:jc w:val="both"/>
              <w:rPr>
                <w:rFonts w:ascii="Arial Narrow" w:eastAsia="Calibri" w:hAnsi="Arial Narrow" w:cs="Arial"/>
                <w:bCs/>
                <w:i/>
                <w:iCs/>
                <w:color w:val="000000" w:themeColor="text1"/>
                <w:szCs w:val="24"/>
                <w:lang w:eastAsia="en-US"/>
              </w:rPr>
            </w:pPr>
            <w:r>
              <w:rPr>
                <w:rFonts w:ascii="Arial Narrow" w:eastAsia="Calibri" w:hAnsi="Arial Narrow" w:cs="Arial"/>
                <w:b/>
                <w:color w:val="000000" w:themeColor="text1"/>
                <w:szCs w:val="24"/>
                <w:lang w:eastAsia="en-US"/>
              </w:rPr>
              <w:t xml:space="preserve"> 4.1 COTIZACIONES </w:t>
            </w:r>
            <w:r>
              <w:rPr>
                <w:rFonts w:ascii="Arial Narrow" w:eastAsia="Calibri" w:hAnsi="Arial Narrow" w:cs="Arial"/>
                <w:bCs/>
                <w:i/>
                <w:iCs/>
                <w:color w:val="000000" w:themeColor="text1"/>
                <w:szCs w:val="24"/>
                <w:lang w:eastAsia="en-US"/>
              </w:rPr>
              <w:t xml:space="preserve"> </w:t>
            </w:r>
          </w:p>
        </w:tc>
      </w:tr>
      <w:tr w:rsidR="00281DD3">
        <w:trPr>
          <w:trHeight w:val="1137"/>
        </w:trPr>
        <w:tc>
          <w:tcPr>
            <w:tcW w:w="5000" w:type="pct"/>
            <w:gridSpan w:val="4"/>
            <w:shd w:val="clear" w:color="auto" w:fill="FFFFFF" w:themeFill="background1"/>
          </w:tcPr>
          <w:p w:rsidR="00281DD3" w:rsidRDefault="00281DD3">
            <w:pPr>
              <w:tabs>
                <w:tab w:val="left" w:pos="456"/>
              </w:tabs>
              <w:ind w:left="172"/>
              <w:contextualSpacing/>
              <w:jc w:val="both"/>
              <w:rPr>
                <w:rFonts w:ascii="Arial Narrow" w:eastAsia="Calibri" w:hAnsi="Arial Narrow" w:cs="Arial"/>
                <w:color w:val="000000" w:themeColor="text1"/>
                <w:szCs w:val="24"/>
                <w:lang w:eastAsia="en-US"/>
              </w:rPr>
            </w:pPr>
          </w:p>
          <w:p w:rsidR="00281DD3" w:rsidRDefault="00C23069">
            <w:pPr>
              <w:tabs>
                <w:tab w:val="left" w:pos="2520"/>
              </w:tabs>
              <w:jc w:val="both"/>
              <w:rPr>
                <w:rFonts w:ascii="Arial Narrow" w:hAnsi="Arial Narrow" w:cs="Arial"/>
                <w:color w:val="000000" w:themeColor="text1"/>
                <w:szCs w:val="24"/>
              </w:rPr>
            </w:pPr>
            <w:r>
              <w:rPr>
                <w:rFonts w:ascii="Arial Narrow" w:hAnsi="Arial Narrow"/>
                <w:color w:val="000000" w:themeColor="text1"/>
                <w:szCs w:val="24"/>
              </w:rPr>
              <w:t xml:space="preserve">El </w:t>
            </w:r>
            <w:r>
              <w:rPr>
                <w:rFonts w:ascii="Arial Narrow" w:hAnsi="Arial Narrow" w:cs="Arial"/>
                <w:color w:val="000000" w:themeColor="text1"/>
                <w:szCs w:val="24"/>
              </w:rPr>
              <w:t xml:space="preserve">Jefe Departamento de Gestión de Infraestructura y Redes (E) </w:t>
            </w:r>
            <w:r>
              <w:rPr>
                <w:rFonts w:ascii="Arial Narrow" w:hAnsi="Arial Narrow"/>
                <w:color w:val="000000" w:themeColor="text1"/>
                <w:szCs w:val="24"/>
              </w:rPr>
              <w:t xml:space="preserve">presenta la oferta de </w:t>
            </w:r>
            <w:r>
              <w:rPr>
                <w:rFonts w:ascii="Arial Narrow" w:hAnsi="Arial Narrow" w:cs="Arial"/>
                <w:b/>
                <w:color w:val="000000" w:themeColor="text1"/>
                <w:szCs w:val="24"/>
              </w:rPr>
              <w:t>DEXON SOFTWARE S.A.S. BIC</w:t>
            </w:r>
            <w:r>
              <w:rPr>
                <w:rFonts w:ascii="Arial Narrow" w:hAnsi="Arial Narrow"/>
                <w:color w:val="000000" w:themeColor="text1"/>
                <w:szCs w:val="24"/>
              </w:rPr>
              <w:t xml:space="preserve">. Así las cosas, la oferta enviada el día 15 de Mayo de 2024, por valor de </w:t>
            </w:r>
            <w:r>
              <w:rPr>
                <w:rFonts w:ascii="Arial Narrow" w:hAnsi="Arial Narrow" w:cstheme="minorBidi"/>
                <w:bCs/>
                <w:color w:val="000000" w:themeColor="text1"/>
                <w:szCs w:val="24"/>
              </w:rPr>
              <w:t>SEISIENTOS NOVENTA Y TRES MILLONES SETECIENTOS VEINTE MIL PESOS M/CTE (</w:t>
            </w:r>
            <w:r>
              <w:rPr>
                <w:rFonts w:ascii="Arial Narrow" w:hAnsi="Arial Narrow" w:cs="Arial"/>
                <w:color w:val="000000" w:themeColor="text1"/>
                <w:szCs w:val="24"/>
              </w:rPr>
              <w:t>$693.720.000</w:t>
            </w:r>
            <w:r>
              <w:rPr>
                <w:rFonts w:ascii="Arial Narrow" w:hAnsi="Arial Narrow" w:cstheme="minorBidi"/>
                <w:bCs/>
                <w:color w:val="000000" w:themeColor="text1"/>
                <w:szCs w:val="24"/>
              </w:rPr>
              <w:t>),</w:t>
            </w:r>
            <w:r>
              <w:rPr>
                <w:rFonts w:ascii="Arial Narrow" w:hAnsi="Arial Narrow" w:cstheme="minorBidi"/>
                <w:color w:val="000000" w:themeColor="text1"/>
                <w:szCs w:val="24"/>
              </w:rPr>
              <w:t xml:space="preserve"> </w:t>
            </w:r>
            <w:r>
              <w:rPr>
                <w:rFonts w:ascii="Arial Narrow" w:hAnsi="Arial Narrow"/>
                <w:color w:val="000000" w:themeColor="text1"/>
                <w:szCs w:val="24"/>
              </w:rPr>
              <w:t xml:space="preserve">cumple con lo solicitado por el área técnica. </w:t>
            </w:r>
          </w:p>
          <w:p w:rsidR="00281DD3" w:rsidRDefault="00281DD3">
            <w:pPr>
              <w:pStyle w:val="Ttulo2"/>
              <w:jc w:val="both"/>
              <w:rPr>
                <w:rFonts w:ascii="Arial Narrow" w:hAnsi="Arial Narrow"/>
                <w:b w:val="0"/>
                <w:color w:val="000000" w:themeColor="text1"/>
                <w:szCs w:val="24"/>
              </w:rPr>
            </w:pPr>
          </w:p>
          <w:p w:rsidR="00281DD3" w:rsidRDefault="00C23069">
            <w:pPr>
              <w:pStyle w:val="Ttulo2"/>
              <w:jc w:val="both"/>
              <w:rPr>
                <w:rFonts w:ascii="Arial Narrow" w:hAnsi="Arial Narrow" w:cs="Arial"/>
                <w:b w:val="0"/>
                <w:color w:val="000000" w:themeColor="text1"/>
                <w:szCs w:val="24"/>
                <w:lang w:eastAsia="es-CO"/>
              </w:rPr>
            </w:pPr>
            <w:r>
              <w:rPr>
                <w:rFonts w:ascii="Arial Narrow" w:hAnsi="Arial Narrow"/>
                <w:b w:val="0"/>
                <w:color w:val="000000" w:themeColor="text1"/>
                <w:szCs w:val="24"/>
              </w:rPr>
              <w:t>A continuación se adjunta la respectiva oferta económica:</w:t>
            </w:r>
          </w:p>
          <w:p w:rsidR="00281DD3" w:rsidRDefault="00281DD3">
            <w:pPr>
              <w:tabs>
                <w:tab w:val="left" w:pos="456"/>
              </w:tabs>
              <w:ind w:left="172"/>
              <w:contextualSpacing/>
              <w:jc w:val="both"/>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C23069">
            <w:pPr>
              <w:tabs>
                <w:tab w:val="left" w:pos="456"/>
              </w:tabs>
              <w:contextualSpacing/>
              <w:jc w:val="center"/>
              <w:rPr>
                <w:rFonts w:ascii="Arial Narrow" w:eastAsia="Calibri" w:hAnsi="Arial Narrow" w:cs="Arial"/>
                <w:color w:val="000000" w:themeColor="text1"/>
                <w:szCs w:val="24"/>
                <w:lang w:eastAsia="en-US"/>
              </w:rPr>
            </w:pPr>
            <w:r>
              <w:rPr>
                <w:rFonts w:ascii="Arial Narrow" w:hAnsi="Arial Narrow"/>
                <w:noProof/>
                <w:color w:val="000000" w:themeColor="text1"/>
                <w:szCs w:val="24"/>
                <w:lang w:eastAsia="es-CO"/>
              </w:rPr>
              <w:drawing>
                <wp:inline distT="0" distB="0" distL="0" distR="0">
                  <wp:extent cx="3937000" cy="5144135"/>
                  <wp:effectExtent l="57150" t="57150" r="120650" b="11366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pic:cNvPicPr>
                        </pic:nvPicPr>
                        <pic:blipFill>
                          <a:blip r:embed="rId8"/>
                          <a:stretch>
                            <a:fillRect/>
                          </a:stretch>
                        </pic:blipFill>
                        <pic:spPr>
                          <a:xfrm>
                            <a:off x="0" y="0"/>
                            <a:ext cx="3940552" cy="5148651"/>
                          </a:xfrm>
                          <a:prstGeom prst="rect">
                            <a:avLst/>
                          </a:prstGeom>
                          <a:ln w="3175"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p w:rsidR="00281DD3" w:rsidRDefault="00281DD3">
            <w:pPr>
              <w:tabs>
                <w:tab w:val="left" w:pos="456"/>
              </w:tabs>
              <w:ind w:left="172"/>
              <w:contextualSpacing/>
              <w:jc w:val="both"/>
              <w:rPr>
                <w:rFonts w:ascii="Arial Narrow" w:eastAsia="Calibri" w:hAnsi="Arial Narrow" w:cs="Arial"/>
                <w:color w:val="000000" w:themeColor="text1"/>
                <w:szCs w:val="24"/>
                <w:lang w:eastAsia="en-US"/>
              </w:rPr>
            </w:pPr>
          </w:p>
          <w:p w:rsidR="00281DD3" w:rsidRDefault="00281DD3">
            <w:pPr>
              <w:tabs>
                <w:tab w:val="left" w:pos="456"/>
              </w:tabs>
              <w:ind w:left="172"/>
              <w:contextualSpacing/>
              <w:jc w:val="both"/>
              <w:rPr>
                <w:rFonts w:ascii="Arial Narrow" w:eastAsia="Calibri" w:hAnsi="Arial Narrow" w:cs="Arial"/>
                <w:color w:val="000000" w:themeColor="text1"/>
                <w:szCs w:val="24"/>
                <w:lang w:eastAsia="en-US"/>
              </w:rPr>
            </w:pPr>
          </w:p>
          <w:p w:rsidR="00281DD3" w:rsidRDefault="00C23069">
            <w:pPr>
              <w:tabs>
                <w:tab w:val="left" w:pos="456"/>
              </w:tabs>
              <w:ind w:left="172"/>
              <w:contextualSpacing/>
              <w:jc w:val="center"/>
              <w:rPr>
                <w:rFonts w:ascii="Arial Narrow" w:eastAsia="Calibri" w:hAnsi="Arial Narrow" w:cs="Arial"/>
                <w:color w:val="000000" w:themeColor="text1"/>
                <w:szCs w:val="24"/>
                <w:lang w:eastAsia="en-US"/>
              </w:rPr>
            </w:pPr>
            <w:r>
              <w:rPr>
                <w:rFonts w:ascii="Arial Narrow" w:hAnsi="Arial Narrow"/>
                <w:noProof/>
                <w:color w:val="000000" w:themeColor="text1"/>
                <w:szCs w:val="24"/>
                <w:lang w:eastAsia="es-CO"/>
              </w:rPr>
              <w:drawing>
                <wp:inline distT="0" distB="0" distL="0" distR="0">
                  <wp:extent cx="4699000" cy="5030470"/>
                  <wp:effectExtent l="57150" t="57150" r="120650" b="11303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a:picLocks noChangeAspect="1"/>
                          </pic:cNvPicPr>
                        </pic:nvPicPr>
                        <pic:blipFill>
                          <a:blip r:embed="rId9"/>
                          <a:stretch>
                            <a:fillRect/>
                          </a:stretch>
                        </pic:blipFill>
                        <pic:spPr>
                          <a:xfrm>
                            <a:off x="0" y="0"/>
                            <a:ext cx="4705902" cy="5037988"/>
                          </a:xfrm>
                          <a:prstGeom prst="rect">
                            <a:avLst/>
                          </a:prstGeom>
                          <a:ln w="3175"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p w:rsidR="00281DD3" w:rsidRDefault="00281DD3">
            <w:pPr>
              <w:tabs>
                <w:tab w:val="left" w:pos="456"/>
              </w:tabs>
              <w:ind w:left="172"/>
              <w:contextualSpacing/>
              <w:jc w:val="both"/>
              <w:rPr>
                <w:rFonts w:ascii="Arial Narrow" w:eastAsia="Calibri" w:hAnsi="Arial Narrow" w:cs="Arial"/>
                <w:color w:val="000000" w:themeColor="text1"/>
                <w:szCs w:val="24"/>
                <w:lang w:eastAsia="en-US"/>
              </w:rPr>
            </w:pPr>
          </w:p>
          <w:p w:rsidR="00281DD3" w:rsidRDefault="00281DD3">
            <w:pPr>
              <w:tabs>
                <w:tab w:val="left" w:pos="456"/>
              </w:tabs>
              <w:ind w:left="172"/>
              <w:contextualSpacing/>
              <w:jc w:val="both"/>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C23069">
            <w:pPr>
              <w:tabs>
                <w:tab w:val="left" w:pos="456"/>
              </w:tabs>
              <w:ind w:left="172"/>
              <w:contextualSpacing/>
              <w:jc w:val="center"/>
              <w:rPr>
                <w:rFonts w:ascii="Arial Narrow" w:eastAsia="Calibri" w:hAnsi="Arial Narrow" w:cs="Arial"/>
                <w:color w:val="000000" w:themeColor="text1"/>
                <w:szCs w:val="24"/>
                <w:lang w:eastAsia="en-US"/>
              </w:rPr>
            </w:pPr>
            <w:r>
              <w:rPr>
                <w:rFonts w:ascii="Arial Narrow" w:hAnsi="Arial Narrow"/>
                <w:noProof/>
                <w:color w:val="000000" w:themeColor="text1"/>
                <w:szCs w:val="24"/>
                <w:lang w:eastAsia="es-CO"/>
              </w:rPr>
              <w:drawing>
                <wp:inline distT="0" distB="0" distL="0" distR="0">
                  <wp:extent cx="4436745" cy="4451350"/>
                  <wp:effectExtent l="57150" t="57150" r="116205" b="12065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pic:cNvPicPr>
                        </pic:nvPicPr>
                        <pic:blipFill>
                          <a:blip r:embed="rId10"/>
                          <a:stretch>
                            <a:fillRect/>
                          </a:stretch>
                        </pic:blipFill>
                        <pic:spPr>
                          <a:xfrm>
                            <a:off x="0" y="0"/>
                            <a:ext cx="4444326" cy="4458685"/>
                          </a:xfrm>
                          <a:prstGeom prst="rect">
                            <a:avLst/>
                          </a:prstGeom>
                          <a:ln w="3175"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C23069">
            <w:pPr>
              <w:tabs>
                <w:tab w:val="left" w:pos="456"/>
              </w:tabs>
              <w:ind w:left="172"/>
              <w:contextualSpacing/>
              <w:jc w:val="center"/>
              <w:rPr>
                <w:rFonts w:ascii="Arial Narrow" w:eastAsia="Calibri" w:hAnsi="Arial Narrow" w:cs="Arial"/>
                <w:color w:val="000000" w:themeColor="text1"/>
                <w:szCs w:val="24"/>
                <w:lang w:eastAsia="en-US"/>
              </w:rPr>
            </w:pPr>
            <w:r>
              <w:rPr>
                <w:rFonts w:ascii="Arial Narrow" w:hAnsi="Arial Narrow"/>
                <w:noProof/>
                <w:color w:val="000000" w:themeColor="text1"/>
                <w:szCs w:val="24"/>
                <w:lang w:eastAsia="es-CO"/>
              </w:rPr>
              <w:drawing>
                <wp:inline distT="0" distB="0" distL="0" distR="0">
                  <wp:extent cx="4377055" cy="5226050"/>
                  <wp:effectExtent l="57150" t="57150" r="118745" b="1079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pic:cNvPicPr>
                        </pic:nvPicPr>
                        <pic:blipFill>
                          <a:blip r:embed="rId11"/>
                          <a:stretch>
                            <a:fillRect/>
                          </a:stretch>
                        </pic:blipFill>
                        <pic:spPr>
                          <a:xfrm>
                            <a:off x="0" y="0"/>
                            <a:ext cx="4382333" cy="5232114"/>
                          </a:xfrm>
                          <a:prstGeom prst="rect">
                            <a:avLst/>
                          </a:prstGeom>
                          <a:ln w="3175"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p w:rsidR="00281DD3" w:rsidRDefault="00281DD3">
            <w:pPr>
              <w:tabs>
                <w:tab w:val="left" w:pos="456"/>
              </w:tabs>
              <w:ind w:left="172"/>
              <w:contextualSpacing/>
              <w:jc w:val="both"/>
              <w:rPr>
                <w:rFonts w:ascii="Arial Narrow" w:eastAsia="Calibri" w:hAnsi="Arial Narrow" w:cs="Arial"/>
                <w:color w:val="000000" w:themeColor="text1"/>
                <w:szCs w:val="24"/>
                <w:lang w:eastAsia="en-US"/>
              </w:rPr>
            </w:pPr>
          </w:p>
          <w:p w:rsidR="00281DD3" w:rsidRDefault="00281DD3">
            <w:pPr>
              <w:tabs>
                <w:tab w:val="left" w:pos="456"/>
              </w:tabs>
              <w:ind w:left="172"/>
              <w:contextualSpacing/>
              <w:jc w:val="both"/>
              <w:rPr>
                <w:rFonts w:ascii="Arial Narrow" w:eastAsia="Calibri" w:hAnsi="Arial Narrow" w:cs="Arial"/>
                <w:color w:val="000000" w:themeColor="text1"/>
                <w:szCs w:val="24"/>
                <w:lang w:eastAsia="en-US"/>
              </w:rPr>
            </w:pPr>
          </w:p>
          <w:p w:rsidR="00281DD3" w:rsidRDefault="00C23069">
            <w:pPr>
              <w:tabs>
                <w:tab w:val="left" w:pos="456"/>
              </w:tabs>
              <w:ind w:left="172"/>
              <w:contextualSpacing/>
              <w:jc w:val="center"/>
              <w:rPr>
                <w:rFonts w:ascii="Arial Narrow" w:eastAsia="Calibri" w:hAnsi="Arial Narrow" w:cs="Arial"/>
                <w:color w:val="000000" w:themeColor="text1"/>
                <w:szCs w:val="24"/>
                <w:lang w:eastAsia="en-US"/>
              </w:rPr>
            </w:pPr>
            <w:r>
              <w:rPr>
                <w:rFonts w:ascii="Arial Narrow" w:hAnsi="Arial Narrow"/>
                <w:noProof/>
                <w:color w:val="000000" w:themeColor="text1"/>
                <w:szCs w:val="24"/>
                <w:lang w:eastAsia="es-CO"/>
              </w:rPr>
              <w:drawing>
                <wp:inline distT="0" distB="0" distL="0" distR="0">
                  <wp:extent cx="5202555" cy="5352415"/>
                  <wp:effectExtent l="57150" t="57150" r="112395" b="1149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pic:cNvPicPr>
                        </pic:nvPicPr>
                        <pic:blipFill>
                          <a:blip r:embed="rId12"/>
                          <a:stretch>
                            <a:fillRect/>
                          </a:stretch>
                        </pic:blipFill>
                        <pic:spPr>
                          <a:xfrm>
                            <a:off x="0" y="0"/>
                            <a:ext cx="5206337" cy="5356761"/>
                          </a:xfrm>
                          <a:prstGeom prst="rect">
                            <a:avLst/>
                          </a:prstGeom>
                          <a:ln w="3175"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p w:rsidR="00281DD3" w:rsidRDefault="00C23069">
            <w:pPr>
              <w:tabs>
                <w:tab w:val="left" w:pos="456"/>
              </w:tabs>
              <w:ind w:left="172"/>
              <w:contextualSpacing/>
              <w:jc w:val="center"/>
              <w:rPr>
                <w:rFonts w:ascii="Arial Narrow" w:eastAsia="Calibri" w:hAnsi="Arial Narrow" w:cs="Arial"/>
                <w:color w:val="000000" w:themeColor="text1"/>
                <w:szCs w:val="24"/>
                <w:lang w:eastAsia="en-US"/>
              </w:rPr>
            </w:pPr>
            <w:r>
              <w:rPr>
                <w:rFonts w:ascii="Arial Narrow" w:hAnsi="Arial Narrow"/>
                <w:noProof/>
                <w:color w:val="000000" w:themeColor="text1"/>
                <w:szCs w:val="24"/>
                <w:lang w:eastAsia="es-CO"/>
              </w:rPr>
              <w:drawing>
                <wp:inline distT="0" distB="0" distL="0" distR="0">
                  <wp:extent cx="4497705" cy="5266690"/>
                  <wp:effectExtent l="57150" t="57150" r="112395" b="10541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pic:cNvPicPr>
                        </pic:nvPicPr>
                        <pic:blipFill>
                          <a:blip r:embed="rId13"/>
                          <a:stretch>
                            <a:fillRect/>
                          </a:stretch>
                        </pic:blipFill>
                        <pic:spPr>
                          <a:xfrm>
                            <a:off x="0" y="0"/>
                            <a:ext cx="4502604" cy="5272404"/>
                          </a:xfrm>
                          <a:prstGeom prst="rect">
                            <a:avLst/>
                          </a:prstGeom>
                          <a:ln w="3175"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p w:rsidR="00281DD3" w:rsidRDefault="00C23069">
            <w:pPr>
              <w:tabs>
                <w:tab w:val="left" w:pos="456"/>
              </w:tabs>
              <w:ind w:left="172"/>
              <w:contextualSpacing/>
              <w:jc w:val="center"/>
              <w:rPr>
                <w:rFonts w:ascii="Arial Narrow" w:eastAsia="Calibri" w:hAnsi="Arial Narrow" w:cs="Arial"/>
                <w:color w:val="000000" w:themeColor="text1"/>
                <w:szCs w:val="24"/>
                <w:lang w:eastAsia="en-US"/>
              </w:rPr>
            </w:pPr>
            <w:r>
              <w:rPr>
                <w:rFonts w:ascii="Arial Narrow" w:hAnsi="Arial Narrow"/>
                <w:noProof/>
                <w:color w:val="000000" w:themeColor="text1"/>
                <w:szCs w:val="24"/>
                <w:lang w:eastAsia="es-CO"/>
              </w:rPr>
              <w:drawing>
                <wp:inline distT="0" distB="0" distL="0" distR="0">
                  <wp:extent cx="4333875" cy="4818380"/>
                  <wp:effectExtent l="57150" t="57150" r="123825" b="11557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pic:cNvPicPr>
                        </pic:nvPicPr>
                        <pic:blipFill>
                          <a:blip r:embed="rId14"/>
                          <a:stretch>
                            <a:fillRect/>
                          </a:stretch>
                        </pic:blipFill>
                        <pic:spPr>
                          <a:xfrm>
                            <a:off x="0" y="0"/>
                            <a:ext cx="4338825" cy="4823291"/>
                          </a:xfrm>
                          <a:prstGeom prst="rect">
                            <a:avLst/>
                          </a:prstGeom>
                          <a:ln w="3175"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C23069">
            <w:pPr>
              <w:tabs>
                <w:tab w:val="left" w:pos="456"/>
              </w:tabs>
              <w:ind w:left="172"/>
              <w:contextualSpacing/>
              <w:jc w:val="center"/>
              <w:rPr>
                <w:rFonts w:ascii="Arial Narrow" w:eastAsia="Calibri" w:hAnsi="Arial Narrow" w:cs="Arial"/>
                <w:color w:val="000000" w:themeColor="text1"/>
                <w:szCs w:val="24"/>
                <w:lang w:eastAsia="en-US"/>
              </w:rPr>
            </w:pPr>
            <w:r>
              <w:rPr>
                <w:rFonts w:ascii="Arial Narrow" w:hAnsi="Arial Narrow"/>
                <w:noProof/>
                <w:color w:val="000000" w:themeColor="text1"/>
                <w:szCs w:val="24"/>
                <w:lang w:eastAsia="es-CO"/>
              </w:rPr>
              <w:drawing>
                <wp:inline distT="0" distB="0" distL="0" distR="0">
                  <wp:extent cx="4548505" cy="4980305"/>
                  <wp:effectExtent l="19050" t="19050" r="23495" b="1079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15"/>
                          <a:stretch>
                            <a:fillRect/>
                          </a:stretch>
                        </pic:blipFill>
                        <pic:spPr>
                          <a:xfrm>
                            <a:off x="0" y="0"/>
                            <a:ext cx="4555748" cy="4987884"/>
                          </a:xfrm>
                          <a:prstGeom prst="rect">
                            <a:avLst/>
                          </a:prstGeom>
                          <a:ln w="3175">
                            <a:solidFill>
                              <a:schemeClr val="tx1"/>
                            </a:solidFill>
                          </a:ln>
                        </pic:spPr>
                      </pic:pic>
                    </a:graphicData>
                  </a:graphic>
                </wp:inline>
              </w:drawing>
            </w: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281DD3">
            <w:pPr>
              <w:tabs>
                <w:tab w:val="left" w:pos="456"/>
              </w:tabs>
              <w:ind w:left="172"/>
              <w:contextualSpacing/>
              <w:jc w:val="center"/>
              <w:rPr>
                <w:rFonts w:ascii="Arial Narrow" w:eastAsia="Calibri" w:hAnsi="Arial Narrow" w:cs="Arial"/>
                <w:color w:val="000000" w:themeColor="text1"/>
                <w:szCs w:val="24"/>
                <w:lang w:eastAsia="en-US"/>
              </w:rPr>
            </w:pPr>
          </w:p>
          <w:p w:rsidR="00281DD3" w:rsidRDefault="00C23069">
            <w:pPr>
              <w:tabs>
                <w:tab w:val="left" w:pos="456"/>
              </w:tabs>
              <w:ind w:left="172"/>
              <w:contextualSpacing/>
              <w:jc w:val="center"/>
              <w:rPr>
                <w:rFonts w:ascii="Arial Narrow" w:hAnsi="Arial Narrow"/>
                <w:color w:val="000000" w:themeColor="text1"/>
                <w:szCs w:val="24"/>
                <w:lang w:eastAsia="es-CO"/>
              </w:rPr>
            </w:pPr>
            <w:r>
              <w:rPr>
                <w:rFonts w:ascii="Arial Narrow" w:hAnsi="Arial Narrow"/>
                <w:noProof/>
                <w:color w:val="000000" w:themeColor="text1"/>
                <w:szCs w:val="24"/>
                <w:lang w:eastAsia="es-CO"/>
              </w:rPr>
              <w:drawing>
                <wp:inline distT="0" distB="0" distL="0" distR="0">
                  <wp:extent cx="4521835" cy="4996180"/>
                  <wp:effectExtent l="57150" t="57150" r="107315" b="10922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pic:cNvPicPr>
                            <a:picLocks noChangeAspect="1"/>
                          </pic:cNvPicPr>
                        </pic:nvPicPr>
                        <pic:blipFill>
                          <a:blip r:embed="rId16"/>
                          <a:stretch>
                            <a:fillRect/>
                          </a:stretch>
                        </pic:blipFill>
                        <pic:spPr>
                          <a:xfrm>
                            <a:off x="0" y="0"/>
                            <a:ext cx="4523687" cy="4998303"/>
                          </a:xfrm>
                          <a:prstGeom prst="rect">
                            <a:avLst/>
                          </a:prstGeom>
                          <a:ln w="3175"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r>
              <w:rPr>
                <w:rFonts w:ascii="Arial Narrow" w:hAnsi="Arial Narrow"/>
                <w:color w:val="000000" w:themeColor="text1"/>
                <w:szCs w:val="24"/>
                <w:lang w:eastAsia="es-CO"/>
              </w:rPr>
              <w:t xml:space="preserve"> </w:t>
            </w:r>
            <w:r>
              <w:rPr>
                <w:rFonts w:ascii="Arial Narrow" w:hAnsi="Arial Narrow"/>
                <w:noProof/>
                <w:color w:val="000000" w:themeColor="text1"/>
                <w:szCs w:val="24"/>
                <w:lang w:eastAsia="es-CO"/>
              </w:rPr>
              <w:drawing>
                <wp:inline distT="0" distB="0" distL="0" distR="0">
                  <wp:extent cx="4483100" cy="4869180"/>
                  <wp:effectExtent l="57150" t="57150" r="107950" b="1219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a:blip r:embed="rId17"/>
                          <a:stretch>
                            <a:fillRect/>
                          </a:stretch>
                        </pic:blipFill>
                        <pic:spPr>
                          <a:xfrm>
                            <a:off x="0" y="0"/>
                            <a:ext cx="4486471" cy="4872482"/>
                          </a:xfrm>
                          <a:prstGeom prst="rect">
                            <a:avLst/>
                          </a:prstGeom>
                          <a:ln w="3175"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p w:rsidR="00281DD3" w:rsidRDefault="00281DD3">
            <w:pPr>
              <w:tabs>
                <w:tab w:val="left" w:pos="456"/>
              </w:tabs>
              <w:ind w:left="172"/>
              <w:contextualSpacing/>
              <w:jc w:val="center"/>
              <w:rPr>
                <w:rFonts w:ascii="Arial Narrow" w:hAnsi="Arial Narrow"/>
                <w:color w:val="000000" w:themeColor="text1"/>
                <w:szCs w:val="24"/>
                <w:lang w:eastAsia="es-CO"/>
              </w:rPr>
            </w:pPr>
          </w:p>
          <w:p w:rsidR="00281DD3" w:rsidRDefault="00281DD3">
            <w:pPr>
              <w:tabs>
                <w:tab w:val="left" w:pos="456"/>
              </w:tabs>
              <w:ind w:left="172"/>
              <w:contextualSpacing/>
              <w:jc w:val="center"/>
              <w:rPr>
                <w:rFonts w:ascii="Arial Narrow" w:hAnsi="Arial Narrow"/>
                <w:color w:val="000000" w:themeColor="text1"/>
                <w:szCs w:val="24"/>
                <w:lang w:eastAsia="es-CO"/>
              </w:rPr>
            </w:pPr>
          </w:p>
          <w:p w:rsidR="00281DD3" w:rsidRDefault="00C23069">
            <w:pPr>
              <w:tabs>
                <w:tab w:val="left" w:pos="456"/>
              </w:tabs>
              <w:ind w:left="172"/>
              <w:contextualSpacing/>
              <w:jc w:val="center"/>
              <w:rPr>
                <w:rFonts w:ascii="Arial Narrow" w:eastAsia="Calibri" w:hAnsi="Arial Narrow" w:cs="Arial"/>
                <w:color w:val="000000" w:themeColor="text1"/>
                <w:szCs w:val="24"/>
                <w:lang w:eastAsia="en-US"/>
              </w:rPr>
            </w:pPr>
            <w:r>
              <w:rPr>
                <w:rFonts w:ascii="Arial Narrow" w:hAnsi="Arial Narrow"/>
                <w:noProof/>
                <w:color w:val="000000" w:themeColor="text1"/>
                <w:szCs w:val="24"/>
                <w:lang w:eastAsia="es-CO"/>
              </w:rPr>
              <w:drawing>
                <wp:inline distT="0" distB="0" distL="0" distR="0">
                  <wp:extent cx="4243070" cy="4585335"/>
                  <wp:effectExtent l="57150" t="57150" r="119380" b="12001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a:blip r:embed="rId18"/>
                          <a:stretch>
                            <a:fillRect/>
                          </a:stretch>
                        </pic:blipFill>
                        <pic:spPr>
                          <a:xfrm>
                            <a:off x="0" y="0"/>
                            <a:ext cx="4246590" cy="4589057"/>
                          </a:xfrm>
                          <a:prstGeom prst="rect">
                            <a:avLst/>
                          </a:prstGeom>
                          <a:ln w="3175" cap="sq">
                            <a:solidFill>
                              <a:srgbClr val="000000"/>
                            </a:solidFill>
                            <a:miter lim="800000"/>
                            <a:headEnd/>
                            <a:tailEnd/>
                          </a:ln>
                          <a:effectLst>
                            <a:outerShdw blurRad="57150" dist="50800" dir="2700000" algn="tl" rotWithShape="0">
                              <a:srgbClr val="000000">
                                <a:alpha val="40000"/>
                              </a:srgbClr>
                            </a:outerShdw>
                          </a:effectLst>
                        </pic:spPr>
                      </pic:pic>
                    </a:graphicData>
                  </a:graphic>
                </wp:inline>
              </w:drawing>
            </w:r>
          </w:p>
          <w:p w:rsidR="00281DD3" w:rsidRDefault="00281DD3">
            <w:pPr>
              <w:tabs>
                <w:tab w:val="left" w:pos="456"/>
              </w:tabs>
              <w:contextualSpacing/>
              <w:jc w:val="both"/>
              <w:rPr>
                <w:rFonts w:ascii="Arial Narrow" w:eastAsia="Calibri" w:hAnsi="Arial Narrow" w:cs="Arial"/>
                <w:color w:val="000000" w:themeColor="text1"/>
                <w:szCs w:val="24"/>
                <w:lang w:eastAsia="en-US"/>
              </w:rPr>
            </w:pPr>
          </w:p>
        </w:tc>
      </w:tr>
      <w:tr w:rsidR="00281DD3">
        <w:trPr>
          <w:trHeight w:val="391"/>
        </w:trPr>
        <w:tc>
          <w:tcPr>
            <w:tcW w:w="5000" w:type="pct"/>
            <w:gridSpan w:val="4"/>
            <w:shd w:val="clear" w:color="auto" w:fill="D9D9D9" w:themeFill="background1" w:themeFillShade="D9"/>
            <w:vAlign w:val="center"/>
          </w:tcPr>
          <w:p w:rsidR="00281DD3" w:rsidRDefault="00C23069">
            <w:pPr>
              <w:tabs>
                <w:tab w:val="left" w:pos="456"/>
              </w:tabs>
              <w:contextualSpacing/>
              <w:jc w:val="both"/>
              <w:rPr>
                <w:rFonts w:ascii="Arial Narrow" w:eastAsia="Calibri" w:hAnsi="Arial Narrow" w:cs="Arial"/>
                <w:bCs/>
                <w:i/>
                <w:iCs/>
                <w:color w:val="000000" w:themeColor="text1"/>
                <w:szCs w:val="24"/>
                <w:lang w:eastAsia="en-US"/>
              </w:rPr>
            </w:pPr>
            <w:r>
              <w:rPr>
                <w:rFonts w:ascii="Arial Narrow" w:eastAsia="Calibri" w:hAnsi="Arial Narrow" w:cs="Arial"/>
                <w:b/>
                <w:color w:val="000000" w:themeColor="text1"/>
                <w:szCs w:val="24"/>
                <w:lang w:eastAsia="en-US"/>
              </w:rPr>
              <w:t xml:space="preserve">4.2 HISTÓRICOS DE LA FISCALÍA GENERAL DE LA NACIÓN </w:t>
            </w:r>
          </w:p>
        </w:tc>
      </w:tr>
      <w:tr w:rsidR="00281DD3">
        <w:trPr>
          <w:trHeight w:val="1011"/>
        </w:trPr>
        <w:tc>
          <w:tcPr>
            <w:tcW w:w="1689" w:type="pct"/>
            <w:shd w:val="clear" w:color="auto" w:fill="FFFFFF" w:themeFill="background1"/>
            <w:vAlign w:val="center"/>
          </w:tcPr>
          <w:p w:rsidR="00281DD3" w:rsidRDefault="00C23069">
            <w:pPr>
              <w:tabs>
                <w:tab w:val="left" w:pos="456"/>
              </w:tabs>
              <w:ind w:left="172"/>
              <w:contextualSpacing/>
              <w:jc w:val="both"/>
              <w:rPr>
                <w:rFonts w:ascii="Arial Narrow" w:eastAsia="Calibri" w:hAnsi="Arial Narrow" w:cs="Arial"/>
                <w:bCs/>
                <w:color w:val="000000" w:themeColor="text1"/>
                <w:szCs w:val="24"/>
                <w:lang w:eastAsia="en-US"/>
              </w:rPr>
            </w:pPr>
            <w:r>
              <w:rPr>
                <w:rFonts w:ascii="Arial Narrow" w:eastAsia="Calibri" w:hAnsi="Arial Narrow" w:cs="Arial"/>
                <w:bCs/>
                <w:color w:val="000000" w:themeColor="text1"/>
                <w:szCs w:val="24"/>
                <w:lang w:eastAsia="en-US"/>
              </w:rPr>
              <w:t>Existen históricos, pero no serán tenidos en cuenta.</w:t>
            </w:r>
          </w:p>
        </w:tc>
        <w:tc>
          <w:tcPr>
            <w:tcW w:w="295" w:type="pct"/>
            <w:shd w:val="clear" w:color="auto" w:fill="D9D9D9" w:themeFill="background1" w:themeFillShade="D9"/>
            <w:vAlign w:val="center"/>
          </w:tcPr>
          <w:p w:rsidR="00281DD3" w:rsidRDefault="00C23069">
            <w:pPr>
              <w:tabs>
                <w:tab w:val="left" w:pos="456"/>
              </w:tabs>
              <w:ind w:left="172"/>
              <w:contextualSpacing/>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X</w:t>
            </w:r>
          </w:p>
        </w:tc>
        <w:tc>
          <w:tcPr>
            <w:tcW w:w="3016" w:type="pct"/>
            <w:gridSpan w:val="2"/>
            <w:shd w:val="clear" w:color="auto" w:fill="FFFFFF" w:themeFill="background1"/>
          </w:tcPr>
          <w:p w:rsidR="00DD2623" w:rsidRPr="00DD2623" w:rsidRDefault="00DD2623" w:rsidP="00DD2623">
            <w:pPr>
              <w:jc w:val="both"/>
              <w:rPr>
                <w:rFonts w:ascii="Arial Narrow" w:hAnsi="Arial Narrow" w:cs="Arial"/>
                <w:color w:val="000000" w:themeColor="text1"/>
                <w:szCs w:val="24"/>
              </w:rPr>
            </w:pPr>
            <w:r>
              <w:rPr>
                <w:rFonts w:ascii="Arial Narrow" w:hAnsi="Arial Narrow" w:cs="Arial"/>
                <w:color w:val="000000" w:themeColor="text1"/>
                <w:szCs w:val="24"/>
                <w:lang w:val="es-ES"/>
              </w:rPr>
              <w:t xml:space="preserve">Es </w:t>
            </w:r>
            <w:r w:rsidRPr="00DD2623">
              <w:rPr>
                <w:rFonts w:ascii="Arial Narrow" w:hAnsi="Arial Narrow" w:cs="Arial"/>
                <w:color w:val="000000" w:themeColor="text1"/>
                <w:szCs w:val="24"/>
                <w:lang w:val="es-ES"/>
              </w:rPr>
              <w:t xml:space="preserve">importante precisar que la adquisición unitaria de las licencias tendrá el mismo valor de la renovación y se resalta que el incremento para la </w:t>
            </w:r>
            <w:r>
              <w:rPr>
                <w:rFonts w:ascii="Arial Narrow" w:hAnsi="Arial Narrow" w:cs="Arial"/>
                <w:color w:val="000000" w:themeColor="text1"/>
                <w:szCs w:val="24"/>
                <w:lang w:val="es-ES"/>
              </w:rPr>
              <w:t xml:space="preserve">presente vigencia con respecto </w:t>
            </w:r>
            <w:r w:rsidRPr="00DD2623">
              <w:rPr>
                <w:rFonts w:ascii="Arial Narrow" w:hAnsi="Arial Narrow"/>
                <w:color w:val="000000" w:themeColor="text1"/>
                <w:szCs w:val="24"/>
                <w:lang w:val="es-ES"/>
              </w:rPr>
              <w:t>a</w:t>
            </w:r>
            <w:r w:rsidRPr="00DD2623">
              <w:rPr>
                <w:rFonts w:ascii="Arial Narrow" w:hAnsi="Arial Narrow"/>
                <w:color w:val="000000" w:themeColor="text1"/>
                <w:szCs w:val="24"/>
              </w:rPr>
              <w:t>l proceso No</w:t>
            </w:r>
            <w:r w:rsidRPr="00DD2623">
              <w:rPr>
                <w:rFonts w:ascii="Arial Narrow" w:hAnsi="Arial Narrow"/>
                <w:b/>
                <w:color w:val="000000" w:themeColor="text1"/>
                <w:szCs w:val="24"/>
              </w:rPr>
              <w:t>.</w:t>
            </w:r>
            <w:r w:rsidRPr="00DD2623">
              <w:rPr>
                <w:rFonts w:ascii="Arial Narrow" w:hAnsi="Arial Narrow"/>
                <w:b/>
                <w:color w:val="000000" w:themeColor="text1"/>
                <w:szCs w:val="24"/>
                <w:lang w:val="es-ES"/>
              </w:rPr>
              <w:t xml:space="preserve"> </w:t>
            </w:r>
            <w:r w:rsidRPr="00DD2623">
              <w:rPr>
                <w:rFonts w:ascii="Arial Narrow" w:hAnsi="Arial Narrow" w:cs="Arial"/>
                <w:bCs/>
                <w:color w:val="000000" w:themeColor="text1"/>
                <w:szCs w:val="24"/>
                <w:shd w:val="clear" w:color="auto" w:fill="FFFFFF"/>
              </w:rPr>
              <w:t>FGN-NC-CD-0056-2023</w:t>
            </w:r>
            <w:r w:rsidRPr="00DD2623">
              <w:rPr>
                <w:rFonts w:ascii="Arial Narrow" w:hAnsi="Arial Narrow" w:cs="Arial"/>
                <w:bCs/>
                <w:color w:val="000000" w:themeColor="text1"/>
                <w:szCs w:val="24"/>
                <w:shd w:val="clear" w:color="auto" w:fill="FFFFFF"/>
                <w:lang w:val="es-ES"/>
              </w:rPr>
              <w:t>, es del 9,28%, correspondiente al ajuste del IPC de la vigencia 2023.</w:t>
            </w:r>
            <w:r w:rsidRPr="00DD2623">
              <w:rPr>
                <w:rFonts w:ascii="Arial Narrow" w:hAnsi="Arial Narrow" w:cs="Arial"/>
                <w:b/>
                <w:color w:val="000000" w:themeColor="text1"/>
                <w:szCs w:val="24"/>
                <w:shd w:val="clear" w:color="auto" w:fill="FFFFFF"/>
              </w:rPr>
              <w:t xml:space="preserve">  </w:t>
            </w:r>
          </w:p>
          <w:p w:rsidR="00281DD3" w:rsidRDefault="00281DD3">
            <w:pPr>
              <w:tabs>
                <w:tab w:val="left" w:pos="456"/>
              </w:tabs>
              <w:contextualSpacing/>
              <w:jc w:val="both"/>
              <w:rPr>
                <w:rFonts w:ascii="Arial Narrow" w:eastAsia="Calibri" w:hAnsi="Arial Narrow" w:cs="Arial"/>
                <w:b/>
                <w:i/>
                <w:iCs/>
                <w:color w:val="000000" w:themeColor="text1"/>
                <w:szCs w:val="24"/>
                <w:lang w:eastAsia="en-US"/>
              </w:rPr>
            </w:pPr>
          </w:p>
        </w:tc>
      </w:tr>
      <w:tr w:rsidR="00281DD3">
        <w:trPr>
          <w:trHeight w:val="705"/>
        </w:trPr>
        <w:tc>
          <w:tcPr>
            <w:tcW w:w="1689" w:type="pct"/>
            <w:shd w:val="clear" w:color="auto" w:fill="FFFFFF" w:themeFill="background1"/>
            <w:vAlign w:val="center"/>
          </w:tcPr>
          <w:p w:rsidR="00281DD3" w:rsidRDefault="00C23069">
            <w:pPr>
              <w:tabs>
                <w:tab w:val="left" w:pos="456"/>
              </w:tabs>
              <w:ind w:left="172"/>
              <w:contextualSpacing/>
              <w:jc w:val="both"/>
              <w:rPr>
                <w:rFonts w:ascii="Arial Narrow" w:eastAsia="Calibri" w:hAnsi="Arial Narrow" w:cs="Arial"/>
                <w:bCs/>
                <w:color w:val="000000" w:themeColor="text1"/>
                <w:szCs w:val="24"/>
                <w:lang w:eastAsia="en-US"/>
              </w:rPr>
            </w:pPr>
            <w:r>
              <w:rPr>
                <w:rFonts w:ascii="Arial Narrow" w:eastAsia="Calibri" w:hAnsi="Arial Narrow" w:cs="Arial"/>
                <w:bCs/>
                <w:color w:val="000000" w:themeColor="text1"/>
                <w:szCs w:val="24"/>
                <w:lang w:eastAsia="en-US"/>
              </w:rPr>
              <w:t>Existen históricos, y serán tenidos en cuenta.</w:t>
            </w:r>
          </w:p>
        </w:tc>
        <w:tc>
          <w:tcPr>
            <w:tcW w:w="295" w:type="pct"/>
            <w:shd w:val="clear" w:color="auto" w:fill="D9D9D9" w:themeFill="background1" w:themeFillShade="D9"/>
            <w:vAlign w:val="center"/>
          </w:tcPr>
          <w:p w:rsidR="00281DD3" w:rsidRDefault="00281DD3">
            <w:pPr>
              <w:tabs>
                <w:tab w:val="left" w:pos="456"/>
              </w:tabs>
              <w:ind w:left="172"/>
              <w:contextualSpacing/>
              <w:jc w:val="center"/>
              <w:rPr>
                <w:rFonts w:ascii="Arial Narrow" w:eastAsia="Calibri" w:hAnsi="Arial Narrow" w:cs="Arial"/>
                <w:b/>
                <w:color w:val="000000" w:themeColor="text1"/>
                <w:szCs w:val="24"/>
                <w:lang w:eastAsia="en-US"/>
              </w:rPr>
            </w:pPr>
          </w:p>
        </w:tc>
        <w:tc>
          <w:tcPr>
            <w:tcW w:w="3016" w:type="pct"/>
            <w:gridSpan w:val="2"/>
            <w:shd w:val="clear" w:color="auto" w:fill="FFFFFF" w:themeFill="background1"/>
          </w:tcPr>
          <w:p w:rsidR="00281DD3" w:rsidRDefault="00C23069">
            <w:pPr>
              <w:tabs>
                <w:tab w:val="left" w:pos="456"/>
              </w:tabs>
              <w:contextualSpacing/>
              <w:rPr>
                <w:rFonts w:ascii="Arial Narrow" w:eastAsia="Calibri" w:hAnsi="Arial Narrow" w:cs="Arial"/>
                <w:i/>
                <w:iCs/>
                <w:color w:val="000000" w:themeColor="text1"/>
                <w:szCs w:val="24"/>
                <w:lang w:eastAsia="en-US"/>
              </w:rPr>
            </w:pPr>
            <w:r>
              <w:rPr>
                <w:rFonts w:ascii="Arial Narrow" w:eastAsia="Calibri" w:hAnsi="Arial Narrow" w:cs="Arial"/>
                <w:i/>
                <w:iCs/>
                <w:color w:val="000000" w:themeColor="text1"/>
                <w:szCs w:val="24"/>
                <w:lang w:eastAsia="en-US"/>
              </w:rPr>
              <w:t xml:space="preserve"> N/A                            </w:t>
            </w:r>
          </w:p>
        </w:tc>
      </w:tr>
      <w:tr w:rsidR="00281DD3">
        <w:trPr>
          <w:trHeight w:val="304"/>
        </w:trPr>
        <w:tc>
          <w:tcPr>
            <w:tcW w:w="1689" w:type="pct"/>
            <w:tcBorders>
              <w:bottom w:val="single" w:sz="4" w:space="0" w:color="auto"/>
            </w:tcBorders>
            <w:shd w:val="clear" w:color="auto" w:fill="FFFFFF" w:themeFill="background1"/>
            <w:vAlign w:val="center"/>
          </w:tcPr>
          <w:p w:rsidR="00281DD3" w:rsidRDefault="00C23069">
            <w:pPr>
              <w:tabs>
                <w:tab w:val="left" w:pos="456"/>
              </w:tabs>
              <w:ind w:left="172"/>
              <w:contextualSpacing/>
              <w:jc w:val="both"/>
              <w:rPr>
                <w:rFonts w:ascii="Arial Narrow" w:eastAsia="Calibri" w:hAnsi="Arial Narrow" w:cs="Arial"/>
                <w:b/>
                <w:color w:val="000000" w:themeColor="text1"/>
                <w:szCs w:val="24"/>
                <w:lang w:eastAsia="en-US"/>
              </w:rPr>
            </w:pPr>
            <w:r>
              <w:rPr>
                <w:rFonts w:ascii="Arial Narrow" w:eastAsia="Calibri" w:hAnsi="Arial Narrow" w:cs="Arial"/>
                <w:bCs/>
                <w:color w:val="000000" w:themeColor="text1"/>
                <w:szCs w:val="24"/>
                <w:lang w:eastAsia="en-US"/>
              </w:rPr>
              <w:t>No existen históricos.</w:t>
            </w:r>
          </w:p>
        </w:tc>
        <w:tc>
          <w:tcPr>
            <w:tcW w:w="295" w:type="pct"/>
            <w:tcBorders>
              <w:bottom w:val="single" w:sz="4" w:space="0" w:color="auto"/>
            </w:tcBorders>
            <w:shd w:val="clear" w:color="auto" w:fill="D9D9D9" w:themeFill="background1" w:themeFillShade="D9"/>
            <w:vAlign w:val="center"/>
          </w:tcPr>
          <w:p w:rsidR="00281DD3" w:rsidRDefault="00281DD3">
            <w:pPr>
              <w:tabs>
                <w:tab w:val="left" w:pos="456"/>
              </w:tabs>
              <w:ind w:left="172"/>
              <w:contextualSpacing/>
              <w:jc w:val="center"/>
              <w:rPr>
                <w:rFonts w:ascii="Arial Narrow" w:eastAsia="Calibri" w:hAnsi="Arial Narrow" w:cs="Arial"/>
                <w:b/>
                <w:color w:val="000000" w:themeColor="text1"/>
                <w:szCs w:val="24"/>
                <w:lang w:eastAsia="en-US"/>
              </w:rPr>
            </w:pPr>
          </w:p>
        </w:tc>
        <w:tc>
          <w:tcPr>
            <w:tcW w:w="3016" w:type="pct"/>
            <w:gridSpan w:val="2"/>
            <w:tcBorders>
              <w:bottom w:val="single" w:sz="4" w:space="0" w:color="auto"/>
            </w:tcBorders>
            <w:shd w:val="clear" w:color="auto" w:fill="FFFFFF" w:themeFill="background1"/>
          </w:tcPr>
          <w:p w:rsidR="00281DD3" w:rsidRDefault="00C23069">
            <w:pPr>
              <w:tabs>
                <w:tab w:val="left" w:pos="456"/>
              </w:tabs>
              <w:ind w:left="38"/>
              <w:contextualSpacing/>
              <w:rPr>
                <w:rFonts w:ascii="Arial Narrow" w:eastAsia="Calibri" w:hAnsi="Arial Narrow" w:cs="Arial"/>
                <w:i/>
                <w:iCs/>
                <w:color w:val="000000" w:themeColor="text1"/>
                <w:szCs w:val="24"/>
                <w:lang w:eastAsia="en-US"/>
              </w:rPr>
            </w:pPr>
            <w:r>
              <w:rPr>
                <w:rFonts w:ascii="Arial Narrow" w:eastAsia="Calibri" w:hAnsi="Arial Narrow" w:cs="Arial"/>
                <w:i/>
                <w:iCs/>
                <w:color w:val="000000" w:themeColor="text1"/>
                <w:szCs w:val="24"/>
                <w:lang w:eastAsia="en-US"/>
              </w:rPr>
              <w:t xml:space="preserve">N/A                    </w:t>
            </w:r>
          </w:p>
        </w:tc>
      </w:tr>
      <w:tr w:rsidR="00281DD3">
        <w:trPr>
          <w:trHeight w:val="1259"/>
        </w:trPr>
        <w:tc>
          <w:tcPr>
            <w:tcW w:w="5000" w:type="pct"/>
            <w:gridSpan w:val="4"/>
            <w:shd w:val="clear" w:color="auto" w:fill="FFFFFF" w:themeFill="background1"/>
            <w:vAlign w:val="center"/>
          </w:tcPr>
          <w:p w:rsidR="00281DD3" w:rsidRDefault="00281DD3">
            <w:pPr>
              <w:tabs>
                <w:tab w:val="left" w:pos="456"/>
              </w:tabs>
              <w:ind w:left="172"/>
              <w:contextualSpacing/>
              <w:jc w:val="both"/>
              <w:rPr>
                <w:rFonts w:ascii="Arial Narrow" w:eastAsia="Calibri" w:hAnsi="Arial Narrow" w:cs="Arial"/>
                <w:bCs/>
                <w:i/>
                <w:iCs/>
                <w:color w:val="000000" w:themeColor="text1"/>
                <w:szCs w:val="24"/>
                <w:lang w:eastAsia="en-US"/>
              </w:rPr>
            </w:pPr>
          </w:p>
          <w:tbl>
            <w:tblPr>
              <w:tblStyle w:val="Tablaconcuadrcula"/>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371"/>
              <w:gridCol w:w="6934"/>
            </w:tblGrid>
            <w:tr w:rsidR="00281DD3">
              <w:trPr>
                <w:trHeight w:val="315"/>
                <w:jc w:val="center"/>
              </w:trPr>
              <w:tc>
                <w:tcPr>
                  <w:tcW w:w="23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Número de Proceso</w:t>
                  </w:r>
                </w:p>
              </w:tc>
              <w:tc>
                <w:tcPr>
                  <w:tcW w:w="69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shd w:val="clear" w:color="auto" w:fill="FFFFFF"/>
                    </w:rPr>
                    <w:t>FGN-NC-CD-0056-2023 </w:t>
                  </w:r>
                </w:p>
              </w:tc>
            </w:tr>
            <w:tr w:rsidR="00281DD3">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i/>
                      <w:color w:val="000000" w:themeColor="text1"/>
                      <w:szCs w:val="24"/>
                    </w:rPr>
                  </w:pPr>
                  <w:r>
                    <w:rPr>
                      <w:rFonts w:ascii="Arial Narrow" w:hAnsi="Arial Narrow" w:cs="Arial"/>
                      <w:b/>
                      <w:color w:val="000000" w:themeColor="text1"/>
                      <w:szCs w:val="24"/>
                    </w:rPr>
                    <w:t>Fecha de Inicio del Proceso</w:t>
                  </w:r>
                </w:p>
              </w:tc>
              <w:tc>
                <w:tcPr>
                  <w:tcW w:w="6934" w:type="dxa"/>
                  <w:tcBorders>
                    <w:top w:val="single" w:sz="4" w:space="0" w:color="auto"/>
                    <w:left w:val="single" w:sz="4" w:space="0" w:color="auto"/>
                    <w:bottom w:val="single" w:sz="4" w:space="0" w:color="auto"/>
                  </w:tcBorders>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24/04/2023</w:t>
                  </w:r>
                </w:p>
              </w:tc>
            </w:tr>
            <w:tr w:rsidR="00281DD3">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Modalidad de Selección</w:t>
                  </w:r>
                </w:p>
              </w:tc>
              <w:tc>
                <w:tcPr>
                  <w:tcW w:w="6934" w:type="dxa"/>
                  <w:tcBorders>
                    <w:top w:val="single" w:sz="4" w:space="0" w:color="auto"/>
                    <w:left w:val="single" w:sz="4" w:space="0" w:color="auto"/>
                    <w:bottom w:val="single" w:sz="4" w:space="0" w:color="auto"/>
                  </w:tcBorders>
                  <w:vAlign w:val="center"/>
                </w:tcPr>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shd w:val="clear" w:color="auto" w:fill="FFFFFF"/>
                    </w:rPr>
                    <w:t>Contratación directa.</w:t>
                  </w:r>
                </w:p>
              </w:tc>
            </w:tr>
            <w:tr w:rsidR="00281DD3">
              <w:trPr>
                <w:trHeight w:val="406"/>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Objeto Contratado</w:t>
                  </w:r>
                </w:p>
              </w:tc>
              <w:tc>
                <w:tcPr>
                  <w:tcW w:w="6934" w:type="dxa"/>
                  <w:tcBorders>
                    <w:top w:val="single" w:sz="4" w:space="0" w:color="auto"/>
                    <w:left w:val="single" w:sz="4" w:space="0" w:color="auto"/>
                    <w:bottom w:val="single" w:sz="4" w:space="0" w:color="auto"/>
                  </w:tcBorders>
                  <w:vAlign w:val="center"/>
                </w:tcPr>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shd w:val="clear" w:color="auto" w:fill="FFFFFF"/>
                    </w:rPr>
                    <w:t>RENOVACIÓN DE LICENCIAS CON SOPORTE Y GARANTÍA DEL SOFTWARE DE GESTIÓN DEXON PARA LA FISCALÍA GENERAL DE LA NACIÓN.</w:t>
                  </w:r>
                </w:p>
              </w:tc>
            </w:tr>
            <w:tr w:rsidR="00281DD3">
              <w:trPr>
                <w:trHeight w:val="427"/>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Cuantía del Contrato</w:t>
                  </w:r>
                </w:p>
              </w:tc>
              <w:tc>
                <w:tcPr>
                  <w:tcW w:w="6934" w:type="dxa"/>
                  <w:tcBorders>
                    <w:top w:val="single" w:sz="4" w:space="0" w:color="auto"/>
                    <w:left w:val="single" w:sz="4" w:space="0" w:color="auto"/>
                    <w:bottom w:val="single" w:sz="4" w:space="0" w:color="auto"/>
                  </w:tcBorders>
                  <w:vAlign w:val="center"/>
                </w:tcPr>
                <w:p w:rsidR="00281DD3" w:rsidRDefault="00C23069">
                  <w:pPr>
                    <w:jc w:val="both"/>
                    <w:rPr>
                      <w:rStyle w:val="a9"/>
                      <w:rFonts w:ascii="Arial Narrow" w:hAnsi="Arial Narrow"/>
                      <w:color w:val="000000" w:themeColor="text1"/>
                      <w:szCs w:val="24"/>
                    </w:rPr>
                  </w:pPr>
                  <w:r>
                    <w:rPr>
                      <w:rFonts w:ascii="Arial Narrow" w:hAnsi="Arial Narrow" w:cs="Arial"/>
                      <w:color w:val="000000" w:themeColor="text1"/>
                      <w:szCs w:val="24"/>
                      <w:shd w:val="clear" w:color="auto" w:fill="F5F5F5"/>
                    </w:rPr>
                    <w:t>495.999.937 COP</w:t>
                  </w:r>
                </w:p>
              </w:tc>
            </w:tr>
            <w:tr w:rsidR="00281DD3">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Nombre o Razón Social del Contratista</w:t>
                  </w:r>
                </w:p>
              </w:tc>
              <w:tc>
                <w:tcPr>
                  <w:tcW w:w="6934" w:type="dxa"/>
                  <w:tcBorders>
                    <w:top w:val="single" w:sz="4" w:space="0" w:color="auto"/>
                    <w:left w:val="single" w:sz="4" w:space="0" w:color="auto"/>
                    <w:bottom w:val="single" w:sz="4" w:space="0" w:color="auto"/>
                  </w:tcBorders>
                  <w:vAlign w:val="center"/>
                </w:tcPr>
                <w:p w:rsidR="00281DD3" w:rsidRDefault="00C23069">
                  <w:pPr>
                    <w:jc w:val="both"/>
                    <w:rPr>
                      <w:rStyle w:val="a9"/>
                      <w:rFonts w:ascii="Arial Narrow" w:hAnsi="Arial Narrow"/>
                      <w:color w:val="000000" w:themeColor="text1"/>
                      <w:szCs w:val="24"/>
                    </w:rPr>
                  </w:pPr>
                  <w:r>
                    <w:rPr>
                      <w:rFonts w:ascii="Arial Narrow" w:hAnsi="Arial Narrow" w:cs="Arial"/>
                      <w:color w:val="000000" w:themeColor="text1"/>
                      <w:szCs w:val="24"/>
                      <w:shd w:val="clear" w:color="auto" w:fill="F5F5F5"/>
                    </w:rPr>
                    <w:t>DEXON SOFTWARE SAS BIC</w:t>
                  </w:r>
                </w:p>
              </w:tc>
            </w:tr>
            <w:tr w:rsidR="00281DD3">
              <w:trPr>
                <w:trHeight w:val="412"/>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Plazo de Ejecución</w:t>
                  </w:r>
                </w:p>
              </w:tc>
              <w:tc>
                <w:tcPr>
                  <w:tcW w:w="6934" w:type="dxa"/>
                  <w:tcBorders>
                    <w:top w:val="single" w:sz="4" w:space="0" w:color="auto"/>
                    <w:left w:val="single" w:sz="4" w:space="0" w:color="auto"/>
                    <w:bottom w:val="single" w:sz="4" w:space="0" w:color="auto"/>
                  </w:tcBorders>
                  <w:vAlign w:val="center"/>
                </w:tcPr>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18/07/2023</w:t>
                  </w:r>
                </w:p>
              </w:tc>
            </w:tr>
            <w:tr w:rsidR="00281DD3">
              <w:trPr>
                <w:trHeight w:val="558"/>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Plataforma de Publicación</w:t>
                  </w:r>
                </w:p>
              </w:tc>
              <w:tc>
                <w:tcPr>
                  <w:tcW w:w="6934" w:type="dxa"/>
                  <w:tcBorders>
                    <w:top w:val="single" w:sz="4" w:space="0" w:color="auto"/>
                    <w:left w:val="single" w:sz="4" w:space="0" w:color="auto"/>
                    <w:bottom w:val="single" w:sz="4" w:space="0" w:color="auto"/>
                  </w:tcBorders>
                  <w:vAlign w:val="center"/>
                </w:tcPr>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Secop II</w:t>
                  </w:r>
                </w:p>
              </w:tc>
            </w:tr>
            <w:tr w:rsidR="00281DD3">
              <w:trPr>
                <w:trHeight w:val="412"/>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Link de Publicación</w:t>
                  </w:r>
                </w:p>
              </w:tc>
              <w:tc>
                <w:tcPr>
                  <w:tcW w:w="6934" w:type="dxa"/>
                  <w:tcBorders>
                    <w:top w:val="single" w:sz="4" w:space="0" w:color="auto"/>
                    <w:left w:val="single" w:sz="4" w:space="0" w:color="auto"/>
                    <w:bottom w:val="single" w:sz="4" w:space="0" w:color="auto"/>
                  </w:tcBorders>
                  <w:vAlign w:val="center"/>
                </w:tcPr>
                <w:p w:rsidR="00281DD3" w:rsidRDefault="008C429B">
                  <w:pPr>
                    <w:jc w:val="both"/>
                    <w:rPr>
                      <w:rFonts w:ascii="Arial Narrow" w:hAnsi="Arial Narrow" w:cs="Arial"/>
                      <w:color w:val="000000" w:themeColor="text1"/>
                      <w:szCs w:val="24"/>
                    </w:rPr>
                  </w:pPr>
                  <w:hyperlink r:id="rId19" w:history="1">
                    <w:r w:rsidR="00C23069">
                      <w:rPr>
                        <w:rStyle w:val="Hipervnculo"/>
                        <w:rFonts w:ascii="Arial Narrow" w:hAnsi="Arial Narrow"/>
                        <w:color w:val="000000" w:themeColor="text1"/>
                        <w:szCs w:val="24"/>
                      </w:rPr>
                      <w:t>community.secop.gov.co/Public/Tendering/OpportunityDetail/Index?noticeUID=CO1.NTC.4331381&amp;isFromPublicArea=True&amp;isModal=False</w:t>
                    </w:r>
                  </w:hyperlink>
                </w:p>
              </w:tc>
            </w:tr>
            <w:tr w:rsidR="00281DD3">
              <w:trPr>
                <w:trHeight w:val="419"/>
                <w:jc w:val="center"/>
              </w:trPr>
              <w:tc>
                <w:tcPr>
                  <w:tcW w:w="2371"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Estado del Contrato</w:t>
                  </w:r>
                </w:p>
              </w:tc>
              <w:tc>
                <w:tcPr>
                  <w:tcW w:w="6934" w:type="dxa"/>
                  <w:tcBorders>
                    <w:top w:val="single" w:sz="4" w:space="0" w:color="auto"/>
                    <w:left w:val="single" w:sz="4" w:space="0" w:color="auto"/>
                    <w:bottom w:val="single" w:sz="4" w:space="0" w:color="auto"/>
                  </w:tcBorders>
                  <w:vAlign w:val="center"/>
                </w:tcPr>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shd w:val="clear" w:color="auto" w:fill="FFFFFF"/>
                    </w:rPr>
                    <w:t>Proceso adjudicado y celebrado</w:t>
                  </w:r>
                </w:p>
              </w:tc>
            </w:tr>
          </w:tbl>
          <w:p w:rsidR="00281DD3" w:rsidRDefault="00281DD3">
            <w:pPr>
              <w:pStyle w:val="Prrafodelista"/>
              <w:tabs>
                <w:tab w:val="left" w:pos="456"/>
              </w:tabs>
              <w:ind w:left="172"/>
              <w:jc w:val="center"/>
              <w:rPr>
                <w:rFonts w:ascii="Arial Narrow" w:hAnsi="Arial Narrow" w:cs="Arial"/>
                <w:b/>
                <w:color w:val="000000" w:themeColor="text1"/>
                <w:sz w:val="24"/>
                <w:szCs w:val="24"/>
              </w:rPr>
            </w:pPr>
          </w:p>
        </w:tc>
      </w:tr>
      <w:tr w:rsidR="00281DD3">
        <w:trPr>
          <w:trHeight w:val="391"/>
        </w:trPr>
        <w:tc>
          <w:tcPr>
            <w:tcW w:w="5000" w:type="pct"/>
            <w:gridSpan w:val="4"/>
            <w:shd w:val="clear" w:color="auto" w:fill="D9D9D9" w:themeFill="background1" w:themeFillShade="D9"/>
            <w:vAlign w:val="center"/>
          </w:tcPr>
          <w:p w:rsidR="00281DD3" w:rsidRDefault="00C23069">
            <w:pPr>
              <w:tabs>
                <w:tab w:val="left" w:pos="456"/>
              </w:tabs>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 xml:space="preserve">4.3 HISTÓRICOS DE OTRAS ENTIDADES DEL ESTADO </w:t>
            </w:r>
          </w:p>
        </w:tc>
      </w:tr>
      <w:tr w:rsidR="00281DD3">
        <w:trPr>
          <w:trHeight w:val="760"/>
        </w:trPr>
        <w:tc>
          <w:tcPr>
            <w:tcW w:w="1689" w:type="pct"/>
            <w:shd w:val="clear" w:color="auto" w:fill="FFFFFF" w:themeFill="background1"/>
            <w:vAlign w:val="center"/>
          </w:tcPr>
          <w:p w:rsidR="00281DD3" w:rsidRDefault="00C23069">
            <w:pPr>
              <w:tabs>
                <w:tab w:val="left" w:pos="456"/>
              </w:tabs>
              <w:ind w:left="172"/>
              <w:contextualSpacing/>
              <w:jc w:val="both"/>
              <w:rPr>
                <w:rFonts w:ascii="Arial Narrow" w:eastAsia="Calibri" w:hAnsi="Arial Narrow" w:cs="Arial"/>
                <w:b/>
                <w:color w:val="000000" w:themeColor="text1"/>
                <w:szCs w:val="24"/>
                <w:lang w:eastAsia="en-US"/>
              </w:rPr>
            </w:pPr>
            <w:r>
              <w:rPr>
                <w:rFonts w:ascii="Arial Narrow" w:eastAsia="Calibri" w:hAnsi="Arial Narrow" w:cs="Arial"/>
                <w:bCs/>
                <w:color w:val="000000" w:themeColor="text1"/>
                <w:szCs w:val="24"/>
                <w:lang w:eastAsia="en-US"/>
              </w:rPr>
              <w:t>Existen históricos, pero no serán tenidos en cuenta.</w:t>
            </w:r>
          </w:p>
        </w:tc>
        <w:tc>
          <w:tcPr>
            <w:tcW w:w="295" w:type="pct"/>
            <w:shd w:val="clear" w:color="auto" w:fill="D9D9D9" w:themeFill="background1" w:themeFillShade="D9"/>
            <w:vAlign w:val="center"/>
          </w:tcPr>
          <w:p w:rsidR="00281DD3" w:rsidRDefault="00281DD3">
            <w:pPr>
              <w:tabs>
                <w:tab w:val="left" w:pos="456"/>
              </w:tabs>
              <w:ind w:left="172"/>
              <w:contextualSpacing/>
              <w:jc w:val="center"/>
              <w:rPr>
                <w:rFonts w:ascii="Arial Narrow" w:eastAsia="Calibri" w:hAnsi="Arial Narrow" w:cs="Arial"/>
                <w:b/>
                <w:color w:val="000000" w:themeColor="text1"/>
                <w:szCs w:val="24"/>
                <w:lang w:eastAsia="en-US"/>
              </w:rPr>
            </w:pPr>
          </w:p>
        </w:tc>
        <w:tc>
          <w:tcPr>
            <w:tcW w:w="3016" w:type="pct"/>
            <w:gridSpan w:val="2"/>
            <w:shd w:val="clear" w:color="auto" w:fill="FFFFFF" w:themeFill="background1"/>
          </w:tcPr>
          <w:p w:rsidR="00281DD3" w:rsidRDefault="00C23069">
            <w:pPr>
              <w:tabs>
                <w:tab w:val="left" w:pos="456"/>
              </w:tabs>
              <w:ind w:left="172"/>
              <w:contextualSpacing/>
              <w:rPr>
                <w:rFonts w:ascii="Arial Narrow" w:eastAsia="Calibri" w:hAnsi="Arial Narrow" w:cs="Arial"/>
                <w:b/>
                <w:color w:val="000000" w:themeColor="text1"/>
                <w:szCs w:val="24"/>
                <w:lang w:eastAsia="en-US"/>
              </w:rPr>
            </w:pPr>
            <w:r>
              <w:rPr>
                <w:rFonts w:ascii="Arial Narrow" w:eastAsia="Calibri" w:hAnsi="Arial Narrow" w:cs="Arial"/>
                <w:bCs/>
                <w:i/>
                <w:iCs/>
                <w:color w:val="000000" w:themeColor="text1"/>
                <w:szCs w:val="24"/>
                <w:lang w:eastAsia="en-US"/>
              </w:rPr>
              <w:t>N/A</w:t>
            </w:r>
          </w:p>
        </w:tc>
      </w:tr>
      <w:tr w:rsidR="00281DD3">
        <w:trPr>
          <w:trHeight w:val="391"/>
        </w:trPr>
        <w:tc>
          <w:tcPr>
            <w:tcW w:w="1689" w:type="pct"/>
            <w:shd w:val="clear" w:color="auto" w:fill="FFFFFF" w:themeFill="background1"/>
            <w:vAlign w:val="center"/>
          </w:tcPr>
          <w:p w:rsidR="00281DD3" w:rsidRDefault="00C23069">
            <w:pPr>
              <w:tabs>
                <w:tab w:val="left" w:pos="456"/>
              </w:tabs>
              <w:ind w:left="172"/>
              <w:contextualSpacing/>
              <w:jc w:val="both"/>
              <w:rPr>
                <w:rFonts w:ascii="Arial Narrow" w:eastAsia="Calibri" w:hAnsi="Arial Narrow" w:cs="Arial"/>
                <w:b/>
                <w:color w:val="000000" w:themeColor="text1"/>
                <w:szCs w:val="24"/>
                <w:lang w:eastAsia="en-US"/>
              </w:rPr>
            </w:pPr>
            <w:r>
              <w:rPr>
                <w:rFonts w:ascii="Arial Narrow" w:eastAsia="Calibri" w:hAnsi="Arial Narrow" w:cs="Arial"/>
                <w:bCs/>
                <w:color w:val="000000" w:themeColor="text1"/>
                <w:szCs w:val="24"/>
                <w:lang w:eastAsia="en-US"/>
              </w:rPr>
              <w:t>Existen históricos, y serán tenidos en cuenta</w:t>
            </w:r>
          </w:p>
        </w:tc>
        <w:tc>
          <w:tcPr>
            <w:tcW w:w="295" w:type="pct"/>
            <w:shd w:val="clear" w:color="auto" w:fill="D9D9D9" w:themeFill="background1" w:themeFillShade="D9"/>
            <w:vAlign w:val="center"/>
          </w:tcPr>
          <w:p w:rsidR="00281DD3" w:rsidRDefault="00281DD3">
            <w:pPr>
              <w:tabs>
                <w:tab w:val="left" w:pos="456"/>
              </w:tabs>
              <w:ind w:left="172"/>
              <w:contextualSpacing/>
              <w:jc w:val="center"/>
              <w:rPr>
                <w:rFonts w:ascii="Arial Narrow" w:eastAsia="Calibri" w:hAnsi="Arial Narrow" w:cs="Arial"/>
                <w:b/>
                <w:color w:val="000000" w:themeColor="text1"/>
                <w:szCs w:val="24"/>
                <w:lang w:eastAsia="en-US"/>
              </w:rPr>
            </w:pPr>
          </w:p>
        </w:tc>
        <w:tc>
          <w:tcPr>
            <w:tcW w:w="3016" w:type="pct"/>
            <w:gridSpan w:val="2"/>
            <w:shd w:val="clear" w:color="auto" w:fill="FFFFFF" w:themeFill="background1"/>
          </w:tcPr>
          <w:p w:rsidR="00281DD3" w:rsidRDefault="00C23069">
            <w:pPr>
              <w:tabs>
                <w:tab w:val="left" w:pos="456"/>
              </w:tabs>
              <w:ind w:left="172"/>
              <w:contextualSpacing/>
              <w:rPr>
                <w:rFonts w:ascii="Arial Narrow" w:eastAsia="Calibri" w:hAnsi="Arial Narrow" w:cs="Arial"/>
                <w:b/>
                <w:color w:val="000000" w:themeColor="text1"/>
                <w:szCs w:val="24"/>
                <w:lang w:eastAsia="en-US"/>
              </w:rPr>
            </w:pPr>
            <w:r>
              <w:rPr>
                <w:rFonts w:ascii="Arial Narrow" w:eastAsia="Calibri" w:hAnsi="Arial Narrow" w:cs="Arial"/>
                <w:bCs/>
                <w:i/>
                <w:iCs/>
                <w:color w:val="000000" w:themeColor="text1"/>
                <w:szCs w:val="24"/>
                <w:lang w:eastAsia="en-US"/>
              </w:rPr>
              <w:t>N/A</w:t>
            </w:r>
          </w:p>
        </w:tc>
      </w:tr>
      <w:tr w:rsidR="00281DD3">
        <w:trPr>
          <w:trHeight w:val="391"/>
        </w:trPr>
        <w:tc>
          <w:tcPr>
            <w:tcW w:w="1689" w:type="pct"/>
            <w:shd w:val="clear" w:color="auto" w:fill="FFFFFF" w:themeFill="background1"/>
            <w:vAlign w:val="center"/>
          </w:tcPr>
          <w:p w:rsidR="00281DD3" w:rsidRDefault="00C23069">
            <w:pPr>
              <w:tabs>
                <w:tab w:val="left" w:pos="456"/>
              </w:tabs>
              <w:ind w:left="172"/>
              <w:contextualSpacing/>
              <w:jc w:val="both"/>
              <w:rPr>
                <w:rFonts w:ascii="Arial Narrow" w:eastAsia="Calibri" w:hAnsi="Arial Narrow" w:cs="Arial"/>
                <w:b/>
                <w:color w:val="000000" w:themeColor="text1"/>
                <w:szCs w:val="24"/>
                <w:lang w:eastAsia="en-US"/>
              </w:rPr>
            </w:pPr>
            <w:r>
              <w:rPr>
                <w:rFonts w:ascii="Arial Narrow" w:eastAsia="Calibri" w:hAnsi="Arial Narrow" w:cs="Arial"/>
                <w:bCs/>
                <w:color w:val="000000" w:themeColor="text1"/>
                <w:szCs w:val="24"/>
                <w:lang w:eastAsia="en-US"/>
              </w:rPr>
              <w:t>No existen históricos</w:t>
            </w:r>
          </w:p>
        </w:tc>
        <w:tc>
          <w:tcPr>
            <w:tcW w:w="295" w:type="pct"/>
            <w:shd w:val="clear" w:color="auto" w:fill="D9D9D9" w:themeFill="background1" w:themeFillShade="D9"/>
            <w:vAlign w:val="center"/>
          </w:tcPr>
          <w:p w:rsidR="00281DD3" w:rsidRDefault="00C23069">
            <w:pPr>
              <w:tabs>
                <w:tab w:val="left" w:pos="456"/>
              </w:tabs>
              <w:ind w:left="172"/>
              <w:contextualSpacing/>
              <w:jc w:val="center"/>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X</w:t>
            </w:r>
          </w:p>
        </w:tc>
        <w:tc>
          <w:tcPr>
            <w:tcW w:w="3016" w:type="pct"/>
            <w:gridSpan w:val="2"/>
            <w:shd w:val="clear" w:color="auto" w:fill="FFFFFF" w:themeFill="background1"/>
          </w:tcPr>
          <w:p w:rsidR="00281DD3" w:rsidRDefault="00C23069">
            <w:pPr>
              <w:tabs>
                <w:tab w:val="left" w:pos="456"/>
              </w:tabs>
              <w:ind w:left="172"/>
              <w:contextualSpacing/>
              <w:jc w:val="both"/>
              <w:rPr>
                <w:rFonts w:ascii="Arial Narrow" w:eastAsia="Calibri" w:hAnsi="Arial Narrow" w:cs="Arial"/>
                <w:i/>
                <w:color w:val="000000" w:themeColor="text1"/>
                <w:szCs w:val="24"/>
                <w:lang w:eastAsia="en-US"/>
              </w:rPr>
            </w:pPr>
            <w:r>
              <w:rPr>
                <w:rFonts w:ascii="Arial Narrow" w:hAnsi="Arial Narrow"/>
                <w:i/>
                <w:color w:val="000000" w:themeColor="text1"/>
                <w:szCs w:val="24"/>
              </w:rPr>
              <w:t>Se realizó búsqueda de información en cuanto a contrataciones similares con otras entidades para tratar de establecer un comparativo con el objeto del presente proceso, sin embargo, no se encontraron antecedentes.</w:t>
            </w:r>
          </w:p>
        </w:tc>
      </w:tr>
      <w:tr w:rsidR="00281DD3">
        <w:trPr>
          <w:trHeight w:val="841"/>
        </w:trPr>
        <w:tc>
          <w:tcPr>
            <w:tcW w:w="5000" w:type="pct"/>
            <w:gridSpan w:val="4"/>
            <w:shd w:val="clear" w:color="auto" w:fill="FFFFFF" w:themeFill="background1"/>
            <w:vAlign w:val="center"/>
          </w:tcPr>
          <w:p w:rsidR="00281DD3" w:rsidRDefault="00281DD3">
            <w:pPr>
              <w:tabs>
                <w:tab w:val="left" w:pos="456"/>
              </w:tabs>
              <w:contextualSpacing/>
              <w:jc w:val="both"/>
              <w:rPr>
                <w:rFonts w:ascii="Arial Narrow" w:eastAsia="Calibri" w:hAnsi="Arial Narrow" w:cs="Arial"/>
                <w:bCs/>
                <w:i/>
                <w:iCs/>
                <w:color w:val="000000" w:themeColor="text1"/>
                <w:szCs w:val="24"/>
                <w:lang w:eastAsia="en-US"/>
              </w:rPr>
            </w:pPr>
          </w:p>
          <w:tbl>
            <w:tblPr>
              <w:tblStyle w:val="Tablaconcuadrcula"/>
              <w:tblpPr w:leftFromText="141" w:rightFromText="141" w:vertAnchor="page" w:horzAnchor="margin" w:tblpXSpec="center" w:tblpY="1036"/>
              <w:tblOverlap w:val="neve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113"/>
              <w:gridCol w:w="6397"/>
            </w:tblGrid>
            <w:tr w:rsidR="00281DD3">
              <w:trPr>
                <w:trHeight w:val="435"/>
              </w:trPr>
              <w:tc>
                <w:tcPr>
                  <w:tcW w:w="2113" w:type="dxa"/>
                  <w:tcBorders>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Entidad Contratante</w:t>
                  </w:r>
                </w:p>
              </w:tc>
              <w:tc>
                <w:tcPr>
                  <w:tcW w:w="6397" w:type="dxa"/>
                  <w:tcBorders>
                    <w:left w:val="single" w:sz="4" w:space="0" w:color="auto"/>
                    <w:bottom w:val="single" w:sz="4" w:space="0" w:color="auto"/>
                  </w:tcBorders>
                  <w:shd w:val="clear" w:color="auto" w:fill="FFFFFF" w:themeFill="background1"/>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UGPP</w:t>
                  </w:r>
                </w:p>
              </w:tc>
            </w:tr>
            <w:tr w:rsidR="00281DD3">
              <w:trPr>
                <w:trHeight w:val="435"/>
              </w:trPr>
              <w:tc>
                <w:tcPr>
                  <w:tcW w:w="2113" w:type="dxa"/>
                  <w:tcBorders>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Número de Proceso</w:t>
                  </w:r>
                </w:p>
              </w:tc>
              <w:tc>
                <w:tcPr>
                  <w:tcW w:w="6397" w:type="dxa"/>
                  <w:tcBorders>
                    <w:left w:val="single" w:sz="4" w:space="0" w:color="auto"/>
                    <w:bottom w:val="single" w:sz="4" w:space="0" w:color="auto"/>
                  </w:tcBorders>
                  <w:shd w:val="clear" w:color="auto" w:fill="FFFFFF" w:themeFill="background1"/>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CD-CV-002-2021</w:t>
                  </w:r>
                </w:p>
              </w:tc>
            </w:tr>
            <w:tr w:rsidR="00281DD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i/>
                      <w:color w:val="000000" w:themeColor="text1"/>
                      <w:szCs w:val="24"/>
                    </w:rPr>
                  </w:pPr>
                  <w:r>
                    <w:rPr>
                      <w:rFonts w:ascii="Arial Narrow" w:hAnsi="Arial Narrow" w:cs="Arial"/>
                      <w:b/>
                      <w:color w:val="000000" w:themeColor="text1"/>
                      <w:szCs w:val="24"/>
                    </w:rPr>
                    <w:t>Fecha de Inicio del Proceso</w:t>
                  </w:r>
                </w:p>
              </w:tc>
              <w:tc>
                <w:tcPr>
                  <w:tcW w:w="6397" w:type="dxa"/>
                  <w:tcBorders>
                    <w:top w:val="single" w:sz="4" w:space="0" w:color="auto"/>
                    <w:left w:val="single" w:sz="4" w:space="0" w:color="auto"/>
                    <w:bottom w:val="single" w:sz="4" w:space="0" w:color="auto"/>
                  </w:tcBorders>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23/02/2021</w:t>
                  </w:r>
                </w:p>
              </w:tc>
            </w:tr>
            <w:tr w:rsidR="00281DD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Modalidad de Selección</w:t>
                  </w:r>
                </w:p>
              </w:tc>
              <w:tc>
                <w:tcPr>
                  <w:tcW w:w="6397" w:type="dxa"/>
                  <w:tcBorders>
                    <w:top w:val="single" w:sz="4" w:space="0" w:color="auto"/>
                    <w:left w:val="single" w:sz="4" w:space="0" w:color="auto"/>
                    <w:bottom w:val="single" w:sz="4" w:space="0" w:color="auto"/>
                  </w:tcBorders>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Contratación directa (con ofertas)</w:t>
                  </w:r>
                </w:p>
              </w:tc>
            </w:tr>
            <w:tr w:rsidR="00281DD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Objeto Contratado</w:t>
                  </w:r>
                </w:p>
              </w:tc>
              <w:tc>
                <w:tcPr>
                  <w:tcW w:w="6397" w:type="dxa"/>
                  <w:tcBorders>
                    <w:top w:val="single" w:sz="4" w:space="0" w:color="auto"/>
                    <w:left w:val="single" w:sz="4" w:space="0" w:color="auto"/>
                    <w:bottom w:val="single" w:sz="4" w:space="0" w:color="auto"/>
                  </w:tcBorders>
                  <w:vAlign w:val="center"/>
                </w:tcPr>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ADQUIRIR LA ACTUALIZACIÓN DEL LICENCIAMIENTO DEXON SOFTWARE, PROPIEDAD DE LA UGPP Y EL SOPORTE TÉCNICO DE FÁBRICA DEL MISMO</w:t>
                  </w:r>
                </w:p>
              </w:tc>
            </w:tr>
            <w:tr w:rsidR="00281DD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Cuantía del Contrato</w:t>
                  </w:r>
                </w:p>
              </w:tc>
              <w:tc>
                <w:tcPr>
                  <w:tcW w:w="6397" w:type="dxa"/>
                  <w:tcBorders>
                    <w:top w:val="single" w:sz="4" w:space="0" w:color="auto"/>
                    <w:left w:val="single" w:sz="4" w:space="0" w:color="auto"/>
                    <w:bottom w:val="single" w:sz="4" w:space="0" w:color="auto"/>
                  </w:tcBorders>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w:t>
                  </w:r>
                  <w:r>
                    <w:rPr>
                      <w:rFonts w:ascii="Arial Narrow" w:hAnsi="Arial Narrow"/>
                      <w:color w:val="000000" w:themeColor="text1"/>
                      <w:szCs w:val="24"/>
                    </w:rPr>
                    <w:t xml:space="preserve"> </w:t>
                  </w:r>
                  <w:r>
                    <w:rPr>
                      <w:rFonts w:ascii="Arial Narrow" w:hAnsi="Arial Narrow" w:cs="Arial"/>
                      <w:color w:val="000000" w:themeColor="text1"/>
                      <w:szCs w:val="24"/>
                    </w:rPr>
                    <w:t>188.956.662</w:t>
                  </w:r>
                </w:p>
              </w:tc>
            </w:tr>
            <w:tr w:rsidR="00281DD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Nombre o Razón Social del Contratista</w:t>
                  </w:r>
                </w:p>
              </w:tc>
              <w:tc>
                <w:tcPr>
                  <w:tcW w:w="6397" w:type="dxa"/>
                  <w:tcBorders>
                    <w:top w:val="single" w:sz="4" w:space="0" w:color="auto"/>
                    <w:left w:val="single" w:sz="4" w:space="0" w:color="auto"/>
                    <w:bottom w:val="single" w:sz="4" w:space="0" w:color="auto"/>
                  </w:tcBorders>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DEXON SOFTWARE SAS</w:t>
                  </w:r>
                </w:p>
              </w:tc>
            </w:tr>
            <w:tr w:rsidR="00281DD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Plazo de Ejecución</w:t>
                  </w:r>
                </w:p>
              </w:tc>
              <w:tc>
                <w:tcPr>
                  <w:tcW w:w="6397" w:type="dxa"/>
                  <w:tcBorders>
                    <w:top w:val="single" w:sz="4" w:space="0" w:color="auto"/>
                    <w:left w:val="single" w:sz="4" w:space="0" w:color="auto"/>
                    <w:bottom w:val="single" w:sz="4" w:space="0" w:color="auto"/>
                  </w:tcBorders>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5/03/2021</w:t>
                  </w:r>
                </w:p>
              </w:tc>
            </w:tr>
            <w:tr w:rsidR="00281DD3">
              <w:trPr>
                <w:trHeight w:val="457"/>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Link de Publicación</w:t>
                  </w:r>
                </w:p>
              </w:tc>
              <w:tc>
                <w:tcPr>
                  <w:tcW w:w="6397" w:type="dxa"/>
                  <w:tcBorders>
                    <w:top w:val="single" w:sz="4" w:space="0" w:color="auto"/>
                    <w:left w:val="single" w:sz="4" w:space="0" w:color="auto"/>
                    <w:bottom w:val="single" w:sz="4" w:space="0" w:color="auto"/>
                  </w:tcBorders>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https://community.secop.gov.co/Public/Tendering/OpportunityDetail/Index?noticeUID=CO1.NTC.1778782&amp;isFromPublicArea=True&amp;isModal=true&amp;asPopupView=true</w:t>
                  </w:r>
                </w:p>
              </w:tc>
            </w:tr>
            <w:tr w:rsidR="00281DD3">
              <w:trPr>
                <w:trHeight w:val="478"/>
              </w:trPr>
              <w:tc>
                <w:tcPr>
                  <w:tcW w:w="2113" w:type="dxa"/>
                  <w:tcBorders>
                    <w:top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Estado del Contrato</w:t>
                  </w:r>
                </w:p>
              </w:tc>
              <w:tc>
                <w:tcPr>
                  <w:tcW w:w="6397" w:type="dxa"/>
                  <w:tcBorders>
                    <w:top w:val="single" w:sz="4" w:space="0" w:color="auto"/>
                    <w:left w:val="single" w:sz="4" w:space="0" w:color="auto"/>
                    <w:bottom w:val="single" w:sz="4" w:space="0" w:color="auto"/>
                  </w:tcBorders>
                  <w:vAlign w:val="center"/>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Celebrado</w:t>
                  </w:r>
                </w:p>
              </w:tc>
            </w:tr>
          </w:tbl>
          <w:p w:rsidR="00281DD3" w:rsidRDefault="00281DD3">
            <w:pPr>
              <w:tabs>
                <w:tab w:val="left" w:pos="456"/>
              </w:tabs>
              <w:ind w:left="172"/>
              <w:contextualSpacing/>
              <w:jc w:val="both"/>
              <w:rPr>
                <w:rFonts w:ascii="Arial Narrow" w:eastAsia="Calibri" w:hAnsi="Arial Narrow" w:cs="Arial"/>
                <w:bCs/>
                <w:i/>
                <w:iCs/>
                <w:color w:val="000000" w:themeColor="text1"/>
                <w:szCs w:val="24"/>
                <w:lang w:eastAsia="en-US"/>
              </w:rPr>
            </w:pPr>
          </w:p>
          <w:p w:rsidR="00281DD3" w:rsidRDefault="00C23069">
            <w:pPr>
              <w:tabs>
                <w:tab w:val="left" w:pos="456"/>
              </w:tabs>
              <w:rPr>
                <w:rFonts w:ascii="Arial Narrow" w:hAnsi="Arial Narrow" w:cs="Arial"/>
                <w:b/>
                <w:color w:val="000000" w:themeColor="text1"/>
                <w:szCs w:val="24"/>
              </w:rPr>
            </w:pPr>
            <w:r>
              <w:rPr>
                <w:rFonts w:ascii="Arial Narrow" w:hAnsi="Arial Narrow" w:cs="Arial"/>
                <w:b/>
                <w:color w:val="000000" w:themeColor="text1"/>
                <w:szCs w:val="24"/>
              </w:rPr>
              <w:t xml:space="preserve"> </w:t>
            </w:r>
          </w:p>
        </w:tc>
      </w:tr>
      <w:tr w:rsidR="00281DD3">
        <w:trPr>
          <w:trHeight w:val="476"/>
        </w:trPr>
        <w:tc>
          <w:tcPr>
            <w:tcW w:w="5000" w:type="pct"/>
            <w:gridSpan w:val="4"/>
            <w:shd w:val="clear" w:color="auto" w:fill="D9D9D9" w:themeFill="background1" w:themeFillShade="D9"/>
            <w:vAlign w:val="center"/>
          </w:tcPr>
          <w:p w:rsidR="00281DD3" w:rsidRDefault="00C23069">
            <w:pPr>
              <w:tabs>
                <w:tab w:val="left" w:pos="456"/>
              </w:tabs>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4.4 PROCESO PRESENTE EN TIENDA VIRTUAL DEL ESTADO COLOMBIANO</w:t>
            </w:r>
          </w:p>
        </w:tc>
      </w:tr>
      <w:tr w:rsidR="00281DD3">
        <w:trPr>
          <w:trHeight w:val="1972"/>
        </w:trPr>
        <w:tc>
          <w:tcPr>
            <w:tcW w:w="5000" w:type="pct"/>
            <w:gridSpan w:val="4"/>
            <w:tcBorders>
              <w:bottom w:val="single" w:sz="4" w:space="0" w:color="auto"/>
            </w:tcBorders>
            <w:shd w:val="clear" w:color="auto" w:fill="FFFFFF" w:themeFill="background1"/>
            <w:vAlign w:val="center"/>
          </w:tcPr>
          <w:p w:rsidR="00281DD3" w:rsidRDefault="00C23069">
            <w:pPr>
              <w:tabs>
                <w:tab w:val="left" w:pos="456"/>
              </w:tabs>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 xml:space="preserve">    </w:t>
            </w:r>
          </w:p>
          <w:tbl>
            <w:tblPr>
              <w:tblStyle w:val="Tablaconcuadrcula"/>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3250"/>
              <w:gridCol w:w="3250"/>
              <w:gridCol w:w="567"/>
              <w:gridCol w:w="709"/>
              <w:gridCol w:w="709"/>
              <w:gridCol w:w="820"/>
            </w:tblGrid>
            <w:tr w:rsidR="00281DD3">
              <w:trPr>
                <w:trHeight w:val="648"/>
                <w:jc w:val="center"/>
              </w:trPr>
              <w:tc>
                <w:tcPr>
                  <w:tcW w:w="650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Existe Acuerdo Marco de Precios o Instrumento de Agregación de Demanda para este producto o servicio?</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NO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X</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SI</w:t>
                  </w:r>
                </w:p>
              </w:tc>
              <w:tc>
                <w:tcPr>
                  <w:tcW w:w="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81DD3" w:rsidRDefault="00281DD3">
                  <w:pPr>
                    <w:jc w:val="center"/>
                    <w:rPr>
                      <w:rFonts w:ascii="Arial Narrow" w:hAnsi="Arial Narrow" w:cs="Arial"/>
                      <w:b/>
                      <w:color w:val="000000" w:themeColor="text1"/>
                      <w:szCs w:val="24"/>
                    </w:rPr>
                  </w:pPr>
                </w:p>
              </w:tc>
            </w:tr>
            <w:tr w:rsidR="00281DD3">
              <w:trPr>
                <w:trHeight w:val="746"/>
                <w:jc w:val="center"/>
              </w:trPr>
              <w:tc>
                <w:tcPr>
                  <w:tcW w:w="3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 xml:space="preserve">Si su respuesta </w:t>
                  </w:r>
                  <w:r>
                    <w:rPr>
                      <w:rFonts w:ascii="Arial Narrow" w:hAnsi="Arial Narrow" w:cs="Arial"/>
                      <w:b/>
                      <w:color w:val="000000" w:themeColor="text1"/>
                      <w:szCs w:val="24"/>
                      <w:u w:val="single"/>
                    </w:rPr>
                    <w:t>es afirmativa</w:t>
                  </w:r>
                  <w:r>
                    <w:rPr>
                      <w:rFonts w:ascii="Arial Narrow" w:hAnsi="Arial Narrow" w:cs="Arial"/>
                      <w:b/>
                      <w:color w:val="000000" w:themeColor="text1"/>
                      <w:szCs w:val="24"/>
                    </w:rPr>
                    <w:t xml:space="preserve"> y  no se va a usar, explique la razón</w:t>
                  </w:r>
                </w:p>
              </w:tc>
              <w:tc>
                <w:tcPr>
                  <w:tcW w:w="6055"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N/A</w:t>
                  </w:r>
                </w:p>
              </w:tc>
            </w:tr>
          </w:tbl>
          <w:p w:rsidR="00281DD3" w:rsidRDefault="00C23069">
            <w:pPr>
              <w:pStyle w:val="Prrafodelista"/>
              <w:tabs>
                <w:tab w:val="left" w:pos="456"/>
              </w:tabs>
              <w:ind w:left="172"/>
              <w:jc w:val="center"/>
              <w:rPr>
                <w:rFonts w:ascii="Arial Narrow" w:hAnsi="Arial Narrow" w:cs="Arial"/>
                <w:b/>
                <w:color w:val="000000" w:themeColor="text1"/>
                <w:sz w:val="24"/>
                <w:szCs w:val="24"/>
              </w:rPr>
            </w:pPr>
            <w:r>
              <w:rPr>
                <w:rFonts w:ascii="Arial Narrow" w:hAnsi="Arial Narrow" w:cs="Arial"/>
                <w:b/>
                <w:color w:val="000000" w:themeColor="text1"/>
                <w:sz w:val="24"/>
                <w:szCs w:val="24"/>
              </w:rPr>
              <w:t xml:space="preserve"> </w:t>
            </w:r>
          </w:p>
        </w:tc>
      </w:tr>
      <w:tr w:rsidR="00281DD3">
        <w:trPr>
          <w:trHeight w:val="391"/>
        </w:trPr>
        <w:tc>
          <w:tcPr>
            <w:tcW w:w="5000" w:type="pct"/>
            <w:gridSpan w:val="4"/>
            <w:tcBorders>
              <w:left w:val="nil"/>
              <w:bottom w:val="single" w:sz="4" w:space="0" w:color="auto"/>
              <w:right w:val="nil"/>
            </w:tcBorders>
            <w:shd w:val="clear" w:color="auto" w:fill="auto"/>
            <w:vAlign w:val="center"/>
          </w:tcPr>
          <w:p w:rsidR="00281DD3" w:rsidRDefault="00281DD3">
            <w:pPr>
              <w:tabs>
                <w:tab w:val="left" w:pos="456"/>
              </w:tabs>
              <w:ind w:left="172"/>
              <w:contextualSpacing/>
              <w:jc w:val="both"/>
              <w:rPr>
                <w:rFonts w:ascii="Arial Narrow" w:eastAsia="Calibri" w:hAnsi="Arial Narrow" w:cs="Arial"/>
                <w:b/>
                <w:color w:val="000000" w:themeColor="text1"/>
                <w:szCs w:val="24"/>
                <w:lang w:eastAsia="en-US"/>
              </w:rPr>
            </w:pPr>
          </w:p>
        </w:tc>
      </w:tr>
      <w:tr w:rsidR="00281DD3">
        <w:trPr>
          <w:trHeight w:val="391"/>
        </w:trPr>
        <w:tc>
          <w:tcPr>
            <w:tcW w:w="5000" w:type="pct"/>
            <w:gridSpan w:val="4"/>
            <w:tcBorders>
              <w:bottom w:val="single" w:sz="4" w:space="0" w:color="auto"/>
            </w:tcBorders>
            <w:shd w:val="clear" w:color="auto" w:fill="D9D9D9" w:themeFill="background1" w:themeFillShade="D9"/>
            <w:vAlign w:val="center"/>
          </w:tcPr>
          <w:p w:rsidR="00281DD3" w:rsidRDefault="00C23069">
            <w:pPr>
              <w:numPr>
                <w:ilvl w:val="0"/>
                <w:numId w:val="3"/>
              </w:numPr>
              <w:tabs>
                <w:tab w:val="left" w:pos="456"/>
              </w:tabs>
              <w:ind w:left="172" w:hanging="142"/>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 xml:space="preserve">  ANÁLISIS DEL SECTOR</w:t>
            </w:r>
          </w:p>
        </w:tc>
      </w:tr>
      <w:tr w:rsidR="00281DD3">
        <w:trPr>
          <w:trHeight w:val="570"/>
        </w:trPr>
        <w:tc>
          <w:tcPr>
            <w:tcW w:w="5000" w:type="pct"/>
            <w:gridSpan w:val="4"/>
            <w:shd w:val="clear" w:color="auto" w:fill="D9D9D9" w:themeFill="background1" w:themeFillShade="D9"/>
            <w:vAlign w:val="center"/>
          </w:tcPr>
          <w:p w:rsidR="00281DD3" w:rsidRDefault="00C23069">
            <w:pPr>
              <w:tabs>
                <w:tab w:val="left" w:pos="456"/>
              </w:tabs>
              <w:ind w:left="596" w:hanging="596"/>
              <w:contextualSpacing/>
              <w:jc w:val="both"/>
              <w:rPr>
                <w:rFonts w:ascii="Arial Narrow" w:eastAsia="Calibri" w:hAnsi="Arial Narrow" w:cs="Arial"/>
                <w:bCs/>
                <w:i/>
                <w:iCs/>
                <w:color w:val="000000" w:themeColor="text1"/>
                <w:szCs w:val="24"/>
                <w:lang w:eastAsia="en-US"/>
              </w:rPr>
            </w:pPr>
            <w:r>
              <w:rPr>
                <w:rFonts w:ascii="Arial Narrow" w:eastAsia="Calibri" w:hAnsi="Arial Narrow" w:cs="Arial"/>
                <w:b/>
                <w:color w:val="000000" w:themeColor="text1"/>
                <w:szCs w:val="24"/>
                <w:lang w:eastAsia="en-US"/>
              </w:rPr>
              <w:t xml:space="preserve">5.1   ASPECTOS GENERALES </w:t>
            </w:r>
          </w:p>
        </w:tc>
      </w:tr>
      <w:tr w:rsidR="00281DD3">
        <w:trPr>
          <w:trHeight w:val="441"/>
        </w:trPr>
        <w:tc>
          <w:tcPr>
            <w:tcW w:w="5000" w:type="pct"/>
            <w:gridSpan w:val="4"/>
            <w:shd w:val="clear" w:color="auto" w:fill="D9D9D9" w:themeFill="background1" w:themeFillShade="D9"/>
            <w:vAlign w:val="center"/>
          </w:tcPr>
          <w:p w:rsidR="00281DD3" w:rsidRDefault="00C23069">
            <w:pPr>
              <w:tabs>
                <w:tab w:val="left" w:pos="456"/>
              </w:tabs>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5.1.1 Técnicos</w:t>
            </w:r>
          </w:p>
        </w:tc>
      </w:tr>
      <w:tr w:rsidR="00281DD3">
        <w:trPr>
          <w:trHeight w:val="798"/>
        </w:trPr>
        <w:tc>
          <w:tcPr>
            <w:tcW w:w="5000" w:type="pct"/>
            <w:gridSpan w:val="4"/>
            <w:shd w:val="clear" w:color="auto" w:fill="FFFFFF" w:themeFill="background1"/>
          </w:tcPr>
          <w:p w:rsidR="00281DD3" w:rsidRDefault="00281DD3">
            <w:pPr>
              <w:tabs>
                <w:tab w:val="left" w:pos="456"/>
              </w:tabs>
              <w:contextualSpacing/>
              <w:jc w:val="both"/>
              <w:rPr>
                <w:rFonts w:ascii="Arial Narrow" w:eastAsia="Calibri" w:hAnsi="Arial Narrow" w:cs="Arial"/>
                <w:color w:val="000000" w:themeColor="text1"/>
                <w:szCs w:val="24"/>
                <w:lang w:eastAsia="en-US"/>
              </w:rPr>
            </w:pPr>
          </w:p>
          <w:p w:rsidR="00281DD3" w:rsidRDefault="00281DD3">
            <w:pPr>
              <w:tabs>
                <w:tab w:val="left" w:pos="567"/>
              </w:tabs>
              <w:jc w:val="both"/>
              <w:rPr>
                <w:rFonts w:ascii="Arial Narrow" w:hAnsi="Arial Narrow" w:cs="Arial"/>
                <w:b/>
                <w:i/>
                <w:color w:val="000000" w:themeColor="text1"/>
                <w:szCs w:val="24"/>
              </w:rPr>
            </w:pPr>
          </w:p>
          <w:tbl>
            <w:tblPr>
              <w:tblStyle w:val="Tablaconcuadrcula"/>
              <w:tblW w:w="0" w:type="auto"/>
              <w:tblLayout w:type="fixed"/>
              <w:tblLook w:val="04A0" w:firstRow="1" w:lastRow="0" w:firstColumn="1" w:lastColumn="0" w:noHBand="0" w:noVBand="1"/>
            </w:tblPr>
            <w:tblGrid>
              <w:gridCol w:w="4667"/>
              <w:gridCol w:w="4667"/>
            </w:tblGrid>
            <w:tr w:rsidR="00281DD3">
              <w:tc>
                <w:tcPr>
                  <w:tcW w:w="9334" w:type="dxa"/>
                  <w:gridSpan w:val="2"/>
                </w:tcPr>
                <w:p w:rsidR="00281DD3" w:rsidRDefault="00C23069">
                  <w:pPr>
                    <w:jc w:val="center"/>
                    <w:rPr>
                      <w:rFonts w:ascii="Arial Narrow" w:hAnsi="Arial Narrow" w:cs="Arial"/>
                      <w:b/>
                      <w:color w:val="000000" w:themeColor="text1"/>
                      <w:szCs w:val="24"/>
                    </w:rPr>
                  </w:pPr>
                  <w:r>
                    <w:rPr>
                      <w:rFonts w:ascii="Arial Narrow" w:eastAsia="Arial" w:hAnsi="Arial Narrow" w:cs="Arial"/>
                      <w:b/>
                      <w:color w:val="000000" w:themeColor="text1"/>
                      <w:szCs w:val="24"/>
                    </w:rPr>
                    <w:t>Tabla 3. Ficha Técnica</w:t>
                  </w:r>
                </w:p>
              </w:tc>
            </w:tr>
            <w:tr w:rsidR="00281DD3">
              <w:tc>
                <w:tcPr>
                  <w:tcW w:w="4667" w:type="dxa"/>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ESPECIFICACIÓN</w:t>
                  </w:r>
                </w:p>
              </w:tc>
              <w:tc>
                <w:tcPr>
                  <w:tcW w:w="4667" w:type="dxa"/>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DESCRIPCIÓN</w:t>
                  </w:r>
                </w:p>
              </w:tc>
            </w:tr>
            <w:tr w:rsidR="00281DD3">
              <w:tc>
                <w:tcPr>
                  <w:tcW w:w="4667" w:type="dxa"/>
                </w:tcPr>
                <w:p w:rsidR="00281DD3" w:rsidRDefault="00C23069">
                  <w:pPr>
                    <w:rPr>
                      <w:rFonts w:ascii="Arial Narrow" w:hAnsi="Arial Narrow" w:cs="Arial"/>
                      <w:b/>
                      <w:color w:val="000000" w:themeColor="text1"/>
                      <w:szCs w:val="24"/>
                    </w:rPr>
                  </w:pPr>
                  <w:r>
                    <w:rPr>
                      <w:rFonts w:ascii="Arial Narrow" w:hAnsi="Arial Narrow" w:cs="Arial"/>
                      <w:b/>
                      <w:color w:val="000000" w:themeColor="text1"/>
                      <w:szCs w:val="24"/>
                    </w:rPr>
                    <w:t>Descripción general del licenciamiento a contratar</w:t>
                  </w:r>
                </w:p>
              </w:tc>
              <w:tc>
                <w:tcPr>
                  <w:tcW w:w="4667" w:type="dxa"/>
                </w:tcPr>
                <w:p w:rsidR="00281DD3" w:rsidRDefault="00C23069">
                  <w:pPr>
                    <w:pStyle w:val="Prrafodelista"/>
                    <w:numPr>
                      <w:ilvl w:val="0"/>
                      <w:numId w:val="6"/>
                    </w:numPr>
                    <w:spacing w:after="0" w:line="240" w:lineRule="auto"/>
                    <w:contextualSpacing w:val="0"/>
                    <w:rPr>
                      <w:rFonts w:ascii="Arial Narrow" w:hAnsi="Arial Narrow" w:cs="Arial"/>
                      <w:bCs/>
                      <w:color w:val="000000" w:themeColor="text1"/>
                      <w:sz w:val="24"/>
                      <w:szCs w:val="24"/>
                    </w:rPr>
                  </w:pPr>
                  <w:r>
                    <w:rPr>
                      <w:rFonts w:ascii="Arial Narrow" w:hAnsi="Arial Narrow" w:cs="Arial"/>
                      <w:bCs/>
                      <w:color w:val="000000" w:themeColor="text1"/>
                      <w:sz w:val="24"/>
                      <w:szCs w:val="24"/>
                    </w:rPr>
                    <w:t xml:space="preserve">Renovación de 383 licencias de Service Desk Basic Técnicos en modalidad de suscripción SAAS, en la nube privada de la Fiscalía General de la Nación. </w:t>
                  </w:r>
                </w:p>
                <w:p w:rsidR="00281DD3" w:rsidRDefault="00C23069">
                  <w:pPr>
                    <w:pStyle w:val="Prrafodelista"/>
                    <w:numPr>
                      <w:ilvl w:val="0"/>
                      <w:numId w:val="6"/>
                    </w:numPr>
                    <w:spacing w:after="0" w:line="240" w:lineRule="auto"/>
                    <w:contextualSpacing w:val="0"/>
                    <w:rPr>
                      <w:rFonts w:ascii="Arial Narrow" w:hAnsi="Arial Narrow" w:cs="Arial"/>
                      <w:bCs/>
                      <w:color w:val="000000" w:themeColor="text1"/>
                      <w:sz w:val="24"/>
                      <w:szCs w:val="24"/>
                    </w:rPr>
                  </w:pPr>
                  <w:r>
                    <w:rPr>
                      <w:rFonts w:ascii="Arial Narrow" w:hAnsi="Arial Narrow" w:cs="Arial"/>
                      <w:bCs/>
                      <w:color w:val="000000" w:themeColor="text1"/>
                      <w:sz w:val="24"/>
                      <w:szCs w:val="24"/>
                    </w:rPr>
                    <w:t>Asquisición de 109 licencias de Service Desk Basic Técnicos en modalidad de suscripción SAAS, en la nube privada de la Fiscalía General de la Nación.</w:t>
                  </w:r>
                </w:p>
                <w:p w:rsidR="00281DD3" w:rsidRDefault="00281DD3">
                  <w:pPr>
                    <w:jc w:val="center"/>
                    <w:rPr>
                      <w:rFonts w:ascii="Arial Narrow" w:hAnsi="Arial Narrow" w:cs="Arial"/>
                      <w:bCs/>
                      <w:color w:val="000000" w:themeColor="text1"/>
                      <w:szCs w:val="24"/>
                    </w:rPr>
                  </w:pPr>
                </w:p>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 xml:space="preserve">Incluido soporte técnico y garantía por doce (12) meses. </w:t>
                  </w:r>
                </w:p>
              </w:tc>
            </w:tr>
            <w:tr w:rsidR="00281DD3">
              <w:tc>
                <w:tcPr>
                  <w:tcW w:w="4667" w:type="dxa"/>
                </w:tcPr>
                <w:p w:rsidR="00281DD3" w:rsidRDefault="00C23069">
                  <w:pPr>
                    <w:rPr>
                      <w:rFonts w:ascii="Arial Narrow" w:hAnsi="Arial Narrow" w:cs="Arial"/>
                      <w:b/>
                      <w:color w:val="000000" w:themeColor="text1"/>
                      <w:szCs w:val="24"/>
                    </w:rPr>
                  </w:pPr>
                  <w:r>
                    <w:rPr>
                      <w:rFonts w:ascii="Arial Narrow" w:hAnsi="Arial Narrow" w:cs="Arial"/>
                      <w:b/>
                      <w:color w:val="000000" w:themeColor="text1"/>
                      <w:szCs w:val="24"/>
                    </w:rPr>
                    <w:t>Requisitos generales</w:t>
                  </w:r>
                </w:p>
              </w:tc>
              <w:tc>
                <w:tcPr>
                  <w:tcW w:w="4667" w:type="dxa"/>
                </w:tcPr>
                <w:p w:rsidR="00281DD3" w:rsidRDefault="00C23069">
                  <w:pPr>
                    <w:rPr>
                      <w:rFonts w:ascii="Arial Narrow" w:hAnsi="Arial Narrow" w:cs="Arial"/>
                      <w:b/>
                      <w:color w:val="000000" w:themeColor="text1"/>
                      <w:szCs w:val="24"/>
                    </w:rPr>
                  </w:pPr>
                  <w:r>
                    <w:rPr>
                      <w:rFonts w:ascii="Arial Narrow" w:hAnsi="Arial Narrow" w:cs="Arial"/>
                      <w:bCs/>
                      <w:color w:val="000000" w:themeColor="text1"/>
                      <w:szCs w:val="24"/>
                    </w:rPr>
                    <w:t xml:space="preserve">Usuario nombrado (Dexon Workflow), en la nube privada de la Fiscalia General de la Nación de </w:t>
                  </w:r>
                  <w:r>
                    <w:rPr>
                      <w:rFonts w:ascii="Arial Narrow" w:hAnsi="Arial Narrow" w:cs="Arial"/>
                      <w:color w:val="000000" w:themeColor="text1"/>
                      <w:szCs w:val="24"/>
                    </w:rPr>
                    <w:t>Service Desk Basic Técnicos</w:t>
                  </w:r>
                </w:p>
              </w:tc>
            </w:tr>
            <w:tr w:rsidR="00281DD3">
              <w:tc>
                <w:tcPr>
                  <w:tcW w:w="4667" w:type="dxa"/>
                </w:tcPr>
                <w:p w:rsidR="00281DD3" w:rsidRDefault="00C23069">
                  <w:pPr>
                    <w:rPr>
                      <w:rFonts w:ascii="Arial Narrow" w:hAnsi="Arial Narrow" w:cs="Arial"/>
                      <w:b/>
                      <w:color w:val="000000" w:themeColor="text1"/>
                      <w:szCs w:val="24"/>
                    </w:rPr>
                  </w:pPr>
                  <w:r>
                    <w:rPr>
                      <w:rFonts w:ascii="Arial Narrow" w:hAnsi="Arial Narrow" w:cs="Arial"/>
                      <w:b/>
                      <w:color w:val="000000" w:themeColor="text1"/>
                      <w:szCs w:val="24"/>
                    </w:rPr>
                    <w:t>Requisitos específicos</w:t>
                  </w:r>
                </w:p>
              </w:tc>
              <w:tc>
                <w:tcPr>
                  <w:tcW w:w="4667" w:type="dxa"/>
                </w:tcPr>
                <w:p w:rsidR="00281DD3" w:rsidRDefault="00C23069">
                  <w:pPr>
                    <w:pStyle w:val="Prrafodelista"/>
                    <w:numPr>
                      <w:ilvl w:val="0"/>
                      <w:numId w:val="7"/>
                    </w:numPr>
                    <w:spacing w:after="0" w:line="240" w:lineRule="auto"/>
                    <w:contextualSpacing w:val="0"/>
                    <w:jc w:val="both"/>
                    <w:rPr>
                      <w:rFonts w:ascii="Arial Narrow" w:hAnsi="Arial Narrow" w:cs="Arial"/>
                      <w:bCs/>
                      <w:color w:val="000000" w:themeColor="text1"/>
                      <w:sz w:val="24"/>
                      <w:szCs w:val="24"/>
                    </w:rPr>
                  </w:pPr>
                  <w:r>
                    <w:rPr>
                      <w:rFonts w:ascii="Arial Narrow" w:hAnsi="Arial Narrow" w:cs="Arial"/>
                      <w:b/>
                      <w:color w:val="000000" w:themeColor="text1"/>
                      <w:sz w:val="24"/>
                      <w:szCs w:val="24"/>
                    </w:rPr>
                    <w:t>Soporte telefónico:</w:t>
                  </w:r>
                  <w:r>
                    <w:rPr>
                      <w:rFonts w:ascii="Arial Narrow" w:hAnsi="Arial Narrow" w:cs="Arial"/>
                      <w:bCs/>
                      <w:color w:val="000000" w:themeColor="text1"/>
                      <w:sz w:val="24"/>
                      <w:szCs w:val="24"/>
                    </w:rPr>
                    <w:t xml:space="preserve"> Servicio de asistencia telefónica para solución de fallas en el software licenciado por Dexon, notificación de problemas sobre cualquier aspecto del software.</w:t>
                  </w:r>
                </w:p>
                <w:p w:rsidR="00281DD3" w:rsidRDefault="00C23069">
                  <w:pPr>
                    <w:pStyle w:val="Prrafodelista"/>
                    <w:numPr>
                      <w:ilvl w:val="0"/>
                      <w:numId w:val="7"/>
                    </w:numPr>
                    <w:spacing w:after="0" w:line="240" w:lineRule="auto"/>
                    <w:contextualSpacing w:val="0"/>
                    <w:jc w:val="both"/>
                    <w:rPr>
                      <w:rFonts w:ascii="Arial Narrow" w:hAnsi="Arial Narrow" w:cs="Arial"/>
                      <w:bCs/>
                      <w:color w:val="000000" w:themeColor="text1"/>
                      <w:sz w:val="24"/>
                      <w:szCs w:val="24"/>
                    </w:rPr>
                  </w:pPr>
                  <w:r>
                    <w:rPr>
                      <w:rFonts w:ascii="Arial Narrow" w:hAnsi="Arial Narrow" w:cs="Arial"/>
                      <w:b/>
                      <w:color w:val="000000" w:themeColor="text1"/>
                      <w:sz w:val="24"/>
                      <w:szCs w:val="24"/>
                    </w:rPr>
                    <w:t>Soporte on-line:</w:t>
                  </w:r>
                  <w:r>
                    <w:rPr>
                      <w:rFonts w:ascii="Arial Narrow" w:hAnsi="Arial Narrow" w:cs="Arial"/>
                      <w:bCs/>
                      <w:color w:val="000000" w:themeColor="text1"/>
                      <w:sz w:val="24"/>
                      <w:szCs w:val="24"/>
                    </w:rPr>
                    <w:t xml:space="preserve"> servicio de asistencia a través del correo electrónico.</w:t>
                  </w:r>
                </w:p>
                <w:p w:rsidR="00281DD3" w:rsidRDefault="00C23069">
                  <w:pPr>
                    <w:pStyle w:val="Prrafodelista"/>
                    <w:numPr>
                      <w:ilvl w:val="0"/>
                      <w:numId w:val="7"/>
                    </w:numPr>
                    <w:spacing w:after="0" w:line="240" w:lineRule="auto"/>
                    <w:contextualSpacing w:val="0"/>
                    <w:jc w:val="both"/>
                    <w:rPr>
                      <w:rFonts w:ascii="Arial Narrow" w:hAnsi="Arial Narrow" w:cs="Arial"/>
                      <w:bCs/>
                      <w:color w:val="000000" w:themeColor="text1"/>
                      <w:sz w:val="24"/>
                      <w:szCs w:val="24"/>
                    </w:rPr>
                  </w:pPr>
                  <w:r>
                    <w:rPr>
                      <w:rFonts w:ascii="Arial Narrow" w:hAnsi="Arial Narrow" w:cs="Arial"/>
                      <w:b/>
                      <w:color w:val="000000" w:themeColor="text1"/>
                      <w:sz w:val="24"/>
                      <w:szCs w:val="24"/>
                    </w:rPr>
                    <w:t>Soporte en sitio:</w:t>
                  </w:r>
                  <w:r>
                    <w:rPr>
                      <w:rFonts w:ascii="Arial Narrow" w:hAnsi="Arial Narrow" w:cs="Arial"/>
                      <w:bCs/>
                      <w:color w:val="000000" w:themeColor="text1"/>
                      <w:sz w:val="24"/>
                      <w:szCs w:val="24"/>
                    </w:rPr>
                    <w:t xml:space="preserve"> asistencia personal en sitio en caso de requerirse, para la resolución y/o notificación de problemas relacionados con el software o con el funcionamiento de este durante el periodo de ejecución y garantía según previo acuerdo entre las partes.</w:t>
                  </w:r>
                </w:p>
                <w:p w:rsidR="00281DD3" w:rsidRDefault="00C23069">
                  <w:pPr>
                    <w:pStyle w:val="Prrafodelista"/>
                    <w:numPr>
                      <w:ilvl w:val="0"/>
                      <w:numId w:val="7"/>
                    </w:numPr>
                    <w:spacing w:after="0" w:line="240" w:lineRule="auto"/>
                    <w:contextualSpacing w:val="0"/>
                    <w:jc w:val="both"/>
                    <w:rPr>
                      <w:rFonts w:ascii="Arial Narrow" w:hAnsi="Arial Narrow" w:cs="Arial"/>
                      <w:bCs/>
                      <w:color w:val="000000" w:themeColor="text1"/>
                      <w:sz w:val="24"/>
                      <w:szCs w:val="24"/>
                    </w:rPr>
                  </w:pPr>
                  <w:r>
                    <w:rPr>
                      <w:rFonts w:ascii="Arial Narrow" w:hAnsi="Arial Narrow" w:cs="Arial"/>
                      <w:bCs/>
                      <w:color w:val="000000" w:themeColor="text1"/>
                      <w:sz w:val="24"/>
                      <w:szCs w:val="24"/>
                    </w:rPr>
                    <w:t>A través del sitio web, ingresando el caso en la plataforma de Dexon Service Desk para solución o notificación de problemas sobre cualquier aspecto del software.</w:t>
                  </w:r>
                </w:p>
                <w:p w:rsidR="00281DD3" w:rsidRDefault="00C23069">
                  <w:pPr>
                    <w:pStyle w:val="Prrafodelista"/>
                    <w:numPr>
                      <w:ilvl w:val="0"/>
                      <w:numId w:val="7"/>
                    </w:numPr>
                    <w:spacing w:after="0" w:line="240" w:lineRule="auto"/>
                    <w:contextualSpacing w:val="0"/>
                    <w:jc w:val="both"/>
                    <w:rPr>
                      <w:rFonts w:ascii="Arial Narrow" w:hAnsi="Arial Narrow" w:cs="Arial"/>
                      <w:bCs/>
                      <w:color w:val="000000" w:themeColor="text1"/>
                      <w:sz w:val="24"/>
                      <w:szCs w:val="24"/>
                    </w:rPr>
                  </w:pPr>
                  <w:r>
                    <w:rPr>
                      <w:rFonts w:ascii="Arial Narrow" w:hAnsi="Arial Narrow" w:cs="Arial"/>
                      <w:b/>
                      <w:color w:val="000000" w:themeColor="text1"/>
                      <w:sz w:val="24"/>
                      <w:szCs w:val="24"/>
                    </w:rPr>
                    <w:t>Actualizaciones:</w:t>
                  </w:r>
                  <w:r>
                    <w:rPr>
                      <w:rFonts w:ascii="Arial Narrow" w:hAnsi="Arial Narrow" w:cs="Arial"/>
                      <w:bCs/>
                      <w:color w:val="000000" w:themeColor="text1"/>
                      <w:sz w:val="24"/>
                      <w:szCs w:val="24"/>
                    </w:rPr>
                    <w:t xml:space="preserve"> Disponer de las nuevas versiones y/o actualizaciones del software, de forma que las aplicaciones estén siempre al día y con las máximas prestaciones. El acceso a las actualizaciones del licenciamiento está dentro del soporte técnico durante el plazo de ejecución del contrato y el periodo de garantía.</w:t>
                  </w:r>
                </w:p>
                <w:p w:rsidR="00281DD3" w:rsidRDefault="00C23069">
                  <w:pPr>
                    <w:pStyle w:val="Prrafodelista"/>
                    <w:numPr>
                      <w:ilvl w:val="0"/>
                      <w:numId w:val="7"/>
                    </w:numPr>
                    <w:spacing w:after="0" w:line="240" w:lineRule="auto"/>
                    <w:contextualSpacing w:val="0"/>
                    <w:jc w:val="both"/>
                    <w:rPr>
                      <w:rFonts w:ascii="Arial Narrow" w:hAnsi="Arial Narrow" w:cs="Arial"/>
                      <w:bCs/>
                      <w:color w:val="000000" w:themeColor="text1"/>
                      <w:sz w:val="24"/>
                      <w:szCs w:val="24"/>
                    </w:rPr>
                  </w:pPr>
                  <w:r>
                    <w:rPr>
                      <w:rFonts w:ascii="Arial Narrow" w:hAnsi="Arial Narrow" w:cs="Arial"/>
                      <w:bCs/>
                      <w:color w:val="000000" w:themeColor="text1"/>
                      <w:sz w:val="24"/>
                      <w:szCs w:val="24"/>
                    </w:rPr>
                    <w:t>Prestar el soporte necesario para realizar los ajustes o modificaciones que haya lugar a las licencias durante el término de ejecución del contrato y el tiempo de garantía.</w:t>
                  </w:r>
                </w:p>
                <w:p w:rsidR="00281DD3" w:rsidRDefault="00C23069">
                  <w:pPr>
                    <w:pStyle w:val="Prrafodelista"/>
                    <w:numPr>
                      <w:ilvl w:val="0"/>
                      <w:numId w:val="7"/>
                    </w:numPr>
                    <w:spacing w:after="0" w:line="240" w:lineRule="auto"/>
                    <w:contextualSpacing w:val="0"/>
                    <w:jc w:val="both"/>
                    <w:rPr>
                      <w:rFonts w:ascii="Arial Narrow" w:hAnsi="Arial Narrow" w:cs="Arial"/>
                      <w:bCs/>
                      <w:color w:val="000000" w:themeColor="text1"/>
                      <w:sz w:val="24"/>
                      <w:szCs w:val="24"/>
                    </w:rPr>
                  </w:pPr>
                  <w:r>
                    <w:rPr>
                      <w:rFonts w:ascii="Arial Narrow" w:hAnsi="Arial Narrow" w:cs="Arial"/>
                      <w:bCs/>
                      <w:color w:val="000000" w:themeColor="text1"/>
                      <w:sz w:val="24"/>
                      <w:szCs w:val="24"/>
                    </w:rPr>
                    <w:t>Brindar los servicios de soporte, mantenimiento, actualización, administración y parametrización de la Herramienta de Gestión durante el plazo de ejecución y garantía del contrato.</w:t>
                  </w:r>
                </w:p>
                <w:p w:rsidR="00281DD3" w:rsidRDefault="00C23069">
                  <w:pPr>
                    <w:pStyle w:val="Prrafodelista"/>
                    <w:numPr>
                      <w:ilvl w:val="0"/>
                      <w:numId w:val="7"/>
                    </w:numPr>
                    <w:spacing w:after="0" w:line="240" w:lineRule="auto"/>
                    <w:contextualSpacing w:val="0"/>
                    <w:jc w:val="both"/>
                    <w:rPr>
                      <w:rFonts w:ascii="Arial Narrow" w:hAnsi="Arial Narrow" w:cs="Arial"/>
                      <w:bCs/>
                      <w:color w:val="000000" w:themeColor="text1"/>
                      <w:sz w:val="24"/>
                      <w:szCs w:val="24"/>
                    </w:rPr>
                  </w:pPr>
                  <w:r>
                    <w:rPr>
                      <w:rFonts w:ascii="Arial Narrow" w:hAnsi="Arial Narrow" w:cs="Arial"/>
                      <w:bCs/>
                      <w:color w:val="000000" w:themeColor="text1"/>
                      <w:sz w:val="24"/>
                      <w:szCs w:val="24"/>
                    </w:rPr>
                    <w:t>Actualizar los desarrollos que conforman la solución de software durante el periodo de garantía, sin costo adicional para la FGN.</w:t>
                  </w:r>
                </w:p>
                <w:p w:rsidR="00281DD3" w:rsidRDefault="00C23069">
                  <w:pPr>
                    <w:pStyle w:val="Prrafodelista"/>
                    <w:numPr>
                      <w:ilvl w:val="0"/>
                      <w:numId w:val="7"/>
                    </w:numPr>
                    <w:spacing w:after="0" w:line="240" w:lineRule="auto"/>
                    <w:contextualSpacing w:val="0"/>
                    <w:jc w:val="both"/>
                    <w:rPr>
                      <w:rFonts w:ascii="Arial Narrow" w:hAnsi="Arial Narrow" w:cs="Arial"/>
                      <w:bCs/>
                      <w:color w:val="000000" w:themeColor="text1"/>
                      <w:sz w:val="24"/>
                      <w:szCs w:val="24"/>
                    </w:rPr>
                  </w:pPr>
                  <w:r>
                    <w:rPr>
                      <w:rFonts w:ascii="Arial Narrow" w:hAnsi="Arial Narrow" w:cs="Arial"/>
                      <w:bCs/>
                      <w:color w:val="000000" w:themeColor="text1"/>
                      <w:sz w:val="24"/>
                      <w:szCs w:val="24"/>
                    </w:rPr>
                    <w:t>Atender los incidentes, requerimientos o soporte del software de conformidad con lo señalado en las especificaciones técnicas.</w:t>
                  </w:r>
                </w:p>
                <w:p w:rsidR="00281DD3" w:rsidRDefault="00C23069">
                  <w:pPr>
                    <w:pStyle w:val="Prrafodelista"/>
                    <w:numPr>
                      <w:ilvl w:val="0"/>
                      <w:numId w:val="7"/>
                    </w:numPr>
                    <w:spacing w:after="0" w:line="240" w:lineRule="auto"/>
                    <w:contextualSpacing w:val="0"/>
                    <w:jc w:val="both"/>
                    <w:rPr>
                      <w:rFonts w:ascii="Arial Narrow" w:hAnsi="Arial Narrow" w:cs="Arial"/>
                      <w:b/>
                      <w:color w:val="000000" w:themeColor="text1"/>
                      <w:sz w:val="24"/>
                      <w:szCs w:val="24"/>
                    </w:rPr>
                  </w:pPr>
                  <w:r>
                    <w:rPr>
                      <w:rFonts w:ascii="Arial Narrow" w:hAnsi="Arial Narrow" w:cs="Arial"/>
                      <w:bCs/>
                      <w:color w:val="000000" w:themeColor="text1"/>
                      <w:sz w:val="24"/>
                      <w:szCs w:val="24"/>
                    </w:rPr>
                    <w:t>Generar e implementar una nueva versión del software o actualización de este, en caso de que se deba corregir un error de este en un tiempo menor a treinta (30) días hábiles. Sin embargo, dada la naturaleza del proceso de desarrollo de software, es posible que en casos excepcionales este tiempo puede ser mayor para lo cual el contratista deberá justificar formalmente a la supervisión del contrato, el tiempo de solución</w:t>
                  </w:r>
                  <w:r>
                    <w:rPr>
                      <w:rFonts w:ascii="Arial Narrow" w:hAnsi="Arial Narrow" w:cs="Arial"/>
                      <w:b/>
                      <w:color w:val="000000" w:themeColor="text1"/>
                      <w:sz w:val="24"/>
                      <w:szCs w:val="24"/>
                    </w:rPr>
                    <w:t xml:space="preserve">. </w:t>
                  </w:r>
                </w:p>
                <w:p w:rsidR="00281DD3" w:rsidRDefault="00C23069">
                  <w:pPr>
                    <w:pStyle w:val="Prrafodelista"/>
                    <w:numPr>
                      <w:ilvl w:val="0"/>
                      <w:numId w:val="7"/>
                    </w:numPr>
                    <w:spacing w:after="0" w:line="240" w:lineRule="auto"/>
                    <w:contextualSpacing w:val="0"/>
                    <w:jc w:val="both"/>
                    <w:rPr>
                      <w:rFonts w:ascii="Arial Narrow" w:hAnsi="Arial Narrow" w:cs="Arial"/>
                      <w:b/>
                      <w:color w:val="000000" w:themeColor="text1"/>
                      <w:sz w:val="24"/>
                      <w:szCs w:val="24"/>
                    </w:rPr>
                  </w:pPr>
                  <w:r>
                    <w:rPr>
                      <w:rFonts w:ascii="Arial Narrow" w:hAnsi="Arial Narrow" w:cs="Arial"/>
                      <w:bCs/>
                      <w:color w:val="000000" w:themeColor="text1"/>
                      <w:sz w:val="24"/>
                      <w:szCs w:val="24"/>
                    </w:rPr>
                    <w:t xml:space="preserve">El </w:t>
                  </w:r>
                  <w:r>
                    <w:rPr>
                      <w:rFonts w:ascii="Arial Narrow" w:hAnsi="Arial Narrow" w:cs="Arial"/>
                      <w:b/>
                      <w:color w:val="000000" w:themeColor="text1"/>
                      <w:sz w:val="24"/>
                      <w:szCs w:val="24"/>
                    </w:rPr>
                    <w:t>CONTRATISTA</w:t>
                  </w:r>
                  <w:r>
                    <w:rPr>
                      <w:rFonts w:ascii="Arial Narrow" w:hAnsi="Arial Narrow" w:cs="Arial"/>
                      <w:bCs/>
                      <w:color w:val="000000" w:themeColor="text1"/>
                      <w:sz w:val="24"/>
                      <w:szCs w:val="24"/>
                    </w:rPr>
                    <w:t xml:space="preserve"> deberá disponer del recurso humano necesario e idóneo para el desarrollo de las actividades que permitan la ejecución del contrato.</w:t>
                  </w:r>
                </w:p>
                <w:p w:rsidR="00281DD3" w:rsidRDefault="00C23069">
                  <w:pPr>
                    <w:pStyle w:val="Prrafodelista"/>
                    <w:numPr>
                      <w:ilvl w:val="0"/>
                      <w:numId w:val="7"/>
                    </w:numPr>
                    <w:spacing w:after="0" w:line="240" w:lineRule="auto"/>
                    <w:contextualSpacing w:val="0"/>
                    <w:jc w:val="both"/>
                    <w:rPr>
                      <w:rFonts w:ascii="Arial Narrow" w:hAnsi="Arial Narrow" w:cs="Arial"/>
                      <w:b/>
                      <w:color w:val="000000" w:themeColor="text1"/>
                      <w:sz w:val="24"/>
                      <w:szCs w:val="24"/>
                    </w:rPr>
                  </w:pPr>
                  <w:r>
                    <w:rPr>
                      <w:rFonts w:ascii="Arial Narrow" w:hAnsi="Arial Narrow" w:cs="Arial"/>
                      <w:bCs/>
                      <w:color w:val="000000" w:themeColor="text1"/>
                      <w:sz w:val="24"/>
                      <w:szCs w:val="24"/>
                    </w:rPr>
                    <w:t xml:space="preserve">Por parte de </w:t>
                  </w:r>
                  <w:r>
                    <w:rPr>
                      <w:rFonts w:ascii="Arial Narrow" w:hAnsi="Arial Narrow" w:cs="Arial"/>
                      <w:b/>
                      <w:bCs/>
                      <w:color w:val="000000" w:themeColor="text1"/>
                      <w:sz w:val="24"/>
                      <w:szCs w:val="24"/>
                    </w:rPr>
                    <w:t>DEXON</w:t>
                  </w:r>
                  <w:r>
                    <w:rPr>
                      <w:rFonts w:ascii="Arial Narrow" w:hAnsi="Arial Narrow"/>
                      <w:color w:val="000000" w:themeColor="text1"/>
                      <w:sz w:val="24"/>
                      <w:szCs w:val="24"/>
                    </w:rPr>
                    <w:t>, se asignará una persona con dedicación parcial, en sitio, más, el acompañamiento adicional de una persona con la experiencia y conocimiento adecuados, para apoyar la implementación de los nuevos procesos, según los planes de trabajo que se acuerden de mutuo acuerdo con la FGN.</w:t>
                  </w:r>
                </w:p>
                <w:p w:rsidR="00281DD3" w:rsidRDefault="00281DD3">
                  <w:pPr>
                    <w:pStyle w:val="Prrafodelista"/>
                    <w:jc w:val="both"/>
                    <w:rPr>
                      <w:rFonts w:ascii="Arial Narrow" w:hAnsi="Arial Narrow" w:cs="Arial"/>
                      <w:b/>
                      <w:color w:val="000000" w:themeColor="text1"/>
                      <w:sz w:val="24"/>
                      <w:szCs w:val="24"/>
                    </w:rPr>
                  </w:pPr>
                </w:p>
                <w:p w:rsidR="00281DD3" w:rsidRDefault="00281DD3">
                  <w:pPr>
                    <w:jc w:val="center"/>
                    <w:rPr>
                      <w:rFonts w:ascii="Arial Narrow" w:hAnsi="Arial Narrow" w:cs="Arial"/>
                      <w:b/>
                      <w:color w:val="000000" w:themeColor="text1"/>
                      <w:szCs w:val="24"/>
                    </w:rPr>
                  </w:pPr>
                </w:p>
              </w:tc>
            </w:tr>
          </w:tbl>
          <w:p w:rsidR="00281DD3" w:rsidRDefault="00281DD3">
            <w:pPr>
              <w:tabs>
                <w:tab w:val="left" w:pos="456"/>
              </w:tabs>
              <w:contextualSpacing/>
              <w:jc w:val="both"/>
              <w:rPr>
                <w:rFonts w:ascii="Arial Narrow" w:eastAsia="Calibri" w:hAnsi="Arial Narrow" w:cs="Arial"/>
                <w:color w:val="000000" w:themeColor="text1"/>
                <w:szCs w:val="24"/>
                <w:lang w:eastAsia="en-US"/>
              </w:rPr>
            </w:pPr>
          </w:p>
          <w:p w:rsidR="00281DD3" w:rsidRDefault="00281DD3">
            <w:pPr>
              <w:tabs>
                <w:tab w:val="left" w:pos="456"/>
              </w:tabs>
              <w:contextualSpacing/>
              <w:jc w:val="both"/>
              <w:rPr>
                <w:rFonts w:ascii="Arial Narrow" w:eastAsia="Calibri" w:hAnsi="Arial Narrow" w:cs="Arial"/>
                <w:color w:val="000000" w:themeColor="text1"/>
                <w:szCs w:val="24"/>
                <w:lang w:eastAsia="en-US"/>
              </w:rPr>
            </w:pPr>
          </w:p>
        </w:tc>
      </w:tr>
      <w:tr w:rsidR="00281DD3">
        <w:trPr>
          <w:trHeight w:val="527"/>
        </w:trPr>
        <w:tc>
          <w:tcPr>
            <w:tcW w:w="5000" w:type="pct"/>
            <w:gridSpan w:val="4"/>
            <w:shd w:val="clear" w:color="auto" w:fill="D9D9D9" w:themeFill="background1" w:themeFillShade="D9"/>
            <w:vAlign w:val="center"/>
          </w:tcPr>
          <w:p w:rsidR="00281DD3" w:rsidRDefault="00C23069">
            <w:pPr>
              <w:tabs>
                <w:tab w:val="left" w:pos="456"/>
              </w:tabs>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5.1.2 Económicos</w:t>
            </w:r>
          </w:p>
        </w:tc>
      </w:tr>
      <w:tr w:rsidR="00281DD3">
        <w:trPr>
          <w:trHeight w:val="861"/>
        </w:trPr>
        <w:tc>
          <w:tcPr>
            <w:tcW w:w="5000" w:type="pct"/>
            <w:gridSpan w:val="4"/>
            <w:shd w:val="clear" w:color="auto" w:fill="FFFFFF" w:themeFill="background1"/>
          </w:tcPr>
          <w:p w:rsidR="00281DD3" w:rsidRDefault="00C23069">
            <w:pPr>
              <w:tabs>
                <w:tab w:val="left" w:pos="456"/>
              </w:tabs>
              <w:contextualSpacing/>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N/A</w:t>
            </w:r>
          </w:p>
        </w:tc>
      </w:tr>
      <w:tr w:rsidR="00281DD3">
        <w:trPr>
          <w:trHeight w:val="405"/>
        </w:trPr>
        <w:tc>
          <w:tcPr>
            <w:tcW w:w="5000" w:type="pct"/>
            <w:gridSpan w:val="4"/>
            <w:shd w:val="clear" w:color="auto" w:fill="D9D9D9" w:themeFill="background1" w:themeFillShade="D9"/>
            <w:vAlign w:val="center"/>
          </w:tcPr>
          <w:p w:rsidR="00281DD3" w:rsidRDefault="00C23069">
            <w:pPr>
              <w:tabs>
                <w:tab w:val="left" w:pos="456"/>
              </w:tabs>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5.1.3 Regulatorios</w:t>
            </w:r>
          </w:p>
        </w:tc>
      </w:tr>
      <w:tr w:rsidR="00281DD3">
        <w:trPr>
          <w:trHeight w:val="983"/>
        </w:trPr>
        <w:tc>
          <w:tcPr>
            <w:tcW w:w="5000" w:type="pct"/>
            <w:gridSpan w:val="4"/>
            <w:shd w:val="clear" w:color="auto" w:fill="FFFFFF" w:themeFill="background1"/>
          </w:tcPr>
          <w:p w:rsidR="00281DD3" w:rsidRDefault="00281DD3">
            <w:pPr>
              <w:tabs>
                <w:tab w:val="left" w:pos="456"/>
              </w:tabs>
              <w:contextualSpacing/>
              <w:jc w:val="both"/>
              <w:rPr>
                <w:rFonts w:ascii="Arial Narrow" w:eastAsia="Calibri" w:hAnsi="Arial Narrow" w:cs="Arial"/>
                <w:color w:val="000000" w:themeColor="text1"/>
                <w:szCs w:val="24"/>
                <w:lang w:eastAsia="en-US"/>
              </w:rPr>
            </w:pPr>
          </w:p>
          <w:p w:rsidR="00281DD3" w:rsidRDefault="00C23069">
            <w:pPr>
              <w:tabs>
                <w:tab w:val="left" w:pos="456"/>
              </w:tabs>
              <w:contextualSpacing/>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N/A</w:t>
            </w:r>
          </w:p>
        </w:tc>
      </w:tr>
      <w:tr w:rsidR="00281DD3">
        <w:trPr>
          <w:trHeight w:val="429"/>
        </w:trPr>
        <w:tc>
          <w:tcPr>
            <w:tcW w:w="5000" w:type="pct"/>
            <w:gridSpan w:val="4"/>
            <w:shd w:val="clear" w:color="auto" w:fill="D9D9D9" w:themeFill="background1" w:themeFillShade="D9"/>
            <w:vAlign w:val="center"/>
          </w:tcPr>
          <w:p w:rsidR="00281DD3" w:rsidRDefault="00C23069">
            <w:pPr>
              <w:tabs>
                <w:tab w:val="left" w:pos="456"/>
              </w:tabs>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5.1.4 Otros</w:t>
            </w:r>
          </w:p>
        </w:tc>
      </w:tr>
      <w:tr w:rsidR="00281DD3">
        <w:trPr>
          <w:trHeight w:val="846"/>
        </w:trPr>
        <w:tc>
          <w:tcPr>
            <w:tcW w:w="5000" w:type="pct"/>
            <w:gridSpan w:val="4"/>
            <w:shd w:val="clear" w:color="auto" w:fill="FFFFFF" w:themeFill="background1"/>
          </w:tcPr>
          <w:p w:rsidR="00281DD3" w:rsidRDefault="00281DD3">
            <w:pPr>
              <w:jc w:val="both"/>
              <w:rPr>
                <w:rFonts w:ascii="Arial Narrow" w:hAnsi="Arial Narrow" w:cs="Arial"/>
                <w:color w:val="000000" w:themeColor="text1"/>
                <w:szCs w:val="24"/>
              </w:rPr>
            </w:pPr>
          </w:p>
          <w:p w:rsidR="00281DD3" w:rsidRDefault="00C23069">
            <w:pPr>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El presente contrato se rige por la Ley 80 de 1993, la Ley 1150 de 2007, la Ley 1882 de 2019, el Decreto 1082 de 2015 y demás normas que las modifiquen, adicionen o reglamenten.</w:t>
            </w:r>
          </w:p>
          <w:p w:rsidR="00281DD3" w:rsidRDefault="00281DD3">
            <w:pPr>
              <w:jc w:val="both"/>
              <w:rPr>
                <w:rFonts w:ascii="Arial Narrow" w:eastAsia="Calibri" w:hAnsi="Arial Narrow" w:cs="Arial"/>
                <w:color w:val="000000" w:themeColor="text1"/>
                <w:szCs w:val="24"/>
                <w:lang w:eastAsia="en-US"/>
              </w:rPr>
            </w:pPr>
          </w:p>
          <w:p w:rsidR="00281DD3" w:rsidRDefault="00C23069">
            <w:pPr>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La modalidad de selección aplicable para el presente proceso, es la de contratación directa por la causal del Artículo 2 Numeral 4 literal g) de</w:t>
            </w:r>
            <w:r>
              <w:rPr>
                <w:rFonts w:ascii="Arial Narrow" w:eastAsia="Calibri" w:hAnsi="Arial Narrow" w:cs="Arial"/>
                <w:strike/>
                <w:color w:val="000000" w:themeColor="text1"/>
                <w:szCs w:val="24"/>
                <w:lang w:eastAsia="en-US"/>
              </w:rPr>
              <w:t>l</w:t>
            </w:r>
            <w:r>
              <w:rPr>
                <w:rFonts w:ascii="Arial Narrow" w:eastAsia="Calibri" w:hAnsi="Arial Narrow" w:cs="Arial"/>
                <w:color w:val="000000" w:themeColor="text1"/>
                <w:szCs w:val="24"/>
                <w:lang w:eastAsia="en-US"/>
              </w:rPr>
              <w:t xml:space="preserve">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rsidR="00281DD3" w:rsidRDefault="00281DD3">
            <w:pPr>
              <w:jc w:val="both"/>
              <w:rPr>
                <w:rFonts w:ascii="Arial Narrow" w:eastAsia="Calibri" w:hAnsi="Arial Narrow" w:cs="Arial"/>
                <w:color w:val="000000" w:themeColor="text1"/>
                <w:szCs w:val="24"/>
                <w:lang w:eastAsia="en-US"/>
              </w:rPr>
            </w:pPr>
          </w:p>
          <w:p w:rsidR="00281DD3" w:rsidRDefault="00C23069">
            <w:pPr>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Su causal se soporta en que DEXON SOFTWARE S.A.S. BIC, es distribuidor autorizado y exclusivo de los productos DEXON SOFTWARE INC para toda Latinoamérica, según contrato de distribución inscrito en la Cámara de Comercio y de acuerdo con la certificación de proveedor exclusivo emitida por la sociedad DEXON SOFTWARE INC, la cual se encuentra vigente hasta el 10 de junio de 2031.</w:t>
            </w:r>
          </w:p>
          <w:p w:rsidR="00281DD3" w:rsidRDefault="00281DD3">
            <w:pPr>
              <w:jc w:val="both"/>
              <w:rPr>
                <w:rFonts w:ascii="Arial Narrow" w:eastAsia="Calibri" w:hAnsi="Arial Narrow" w:cs="Arial"/>
                <w:color w:val="000000" w:themeColor="text1"/>
                <w:szCs w:val="24"/>
                <w:lang w:eastAsia="en-US"/>
              </w:rPr>
            </w:pPr>
          </w:p>
        </w:tc>
      </w:tr>
      <w:tr w:rsidR="00281DD3">
        <w:trPr>
          <w:trHeight w:val="391"/>
        </w:trPr>
        <w:tc>
          <w:tcPr>
            <w:tcW w:w="5000" w:type="pct"/>
            <w:gridSpan w:val="4"/>
            <w:shd w:val="clear" w:color="auto" w:fill="D9D9D9" w:themeFill="background1" w:themeFillShade="D9"/>
            <w:vAlign w:val="center"/>
          </w:tcPr>
          <w:p w:rsidR="00281DD3" w:rsidRDefault="00C23069">
            <w:pPr>
              <w:tabs>
                <w:tab w:val="left" w:pos="456"/>
              </w:tabs>
              <w:ind w:left="454" w:hanging="454"/>
              <w:contextualSpacing/>
              <w:jc w:val="both"/>
              <w:rPr>
                <w:rFonts w:ascii="Arial Narrow" w:eastAsia="Calibri" w:hAnsi="Arial Narrow" w:cs="Arial"/>
                <w:bCs/>
                <w:i/>
                <w:iCs/>
                <w:color w:val="000000" w:themeColor="text1"/>
                <w:szCs w:val="24"/>
                <w:lang w:eastAsia="en-US"/>
              </w:rPr>
            </w:pPr>
            <w:r>
              <w:rPr>
                <w:rFonts w:ascii="Arial Narrow" w:eastAsia="Calibri" w:hAnsi="Arial Narrow" w:cs="Arial"/>
                <w:b/>
                <w:color w:val="000000" w:themeColor="text1"/>
                <w:szCs w:val="24"/>
                <w:lang w:eastAsia="en-US"/>
              </w:rPr>
              <w:t>5.2   ESTUDIO DE LA OFERTA</w:t>
            </w:r>
            <w:r>
              <w:rPr>
                <w:rFonts w:ascii="Arial Narrow" w:eastAsia="Calibri" w:hAnsi="Arial Narrow" w:cs="Arial"/>
                <w:bCs/>
                <w:i/>
                <w:iCs/>
                <w:color w:val="000000" w:themeColor="text1"/>
                <w:szCs w:val="24"/>
                <w:lang w:eastAsia="en-US"/>
              </w:rPr>
              <w:tab/>
            </w:r>
          </w:p>
        </w:tc>
      </w:tr>
      <w:tr w:rsidR="00281DD3">
        <w:trPr>
          <w:trHeight w:val="1017"/>
        </w:trPr>
        <w:tc>
          <w:tcPr>
            <w:tcW w:w="5000" w:type="pct"/>
            <w:gridSpan w:val="4"/>
            <w:tcBorders>
              <w:bottom w:val="single" w:sz="4" w:space="0" w:color="auto"/>
            </w:tcBorders>
            <w:shd w:val="clear" w:color="auto" w:fill="FFFFFF" w:themeFill="background1"/>
          </w:tcPr>
          <w:p w:rsidR="00281DD3" w:rsidRDefault="00281DD3">
            <w:pPr>
              <w:jc w:val="both"/>
              <w:rPr>
                <w:rFonts w:ascii="Arial Narrow" w:hAnsi="Arial Narrow" w:cs="Arial"/>
                <w:color w:val="000000" w:themeColor="text1"/>
                <w:szCs w:val="24"/>
              </w:rPr>
            </w:pPr>
          </w:p>
          <w:p w:rsidR="00281DD3" w:rsidRDefault="00C23069">
            <w:pPr>
              <w:pStyle w:val="Sinespaciado"/>
              <w:jc w:val="both"/>
              <w:rPr>
                <w:rFonts w:ascii="Arial Narrow" w:hAnsi="Arial Narrow" w:cs="Arial"/>
                <w:color w:val="000000" w:themeColor="text1"/>
              </w:rPr>
            </w:pPr>
            <w:r>
              <w:rPr>
                <w:rFonts w:ascii="Arial Narrow" w:hAnsi="Arial Narrow" w:cs="Arial"/>
                <w:color w:val="000000" w:themeColor="text1"/>
              </w:rPr>
              <w:t>La herramienta de gestión DEXON se adquirió en el año 2005 incluyendo el licenciamiento a perpetuidad, lo cual ha permitido contar con una herramienta para la administración del portafolio y procesos de las diferentes áreas de la entidad, gestionados a través de la mesa de servicios, con la finalidad de atender de manera eficiente y oportuna las necesidades de todas las áreas de la Fiscalía General de la Nación. De igual manera, a través de mencionada herramienta, se registran solicitudes de servicio permitiendo gestionar y monitorear en tiempo real elementos clave como, tiempos de atención y solución de los casos generados por los usuarios.</w:t>
            </w:r>
          </w:p>
          <w:p w:rsidR="00281DD3" w:rsidRDefault="00281DD3">
            <w:pPr>
              <w:pStyle w:val="Sinespaciado"/>
              <w:jc w:val="both"/>
              <w:rPr>
                <w:rFonts w:ascii="Arial Narrow" w:hAnsi="Arial Narrow" w:cs="Arial"/>
                <w:color w:val="000000" w:themeColor="text1"/>
              </w:rPr>
            </w:pPr>
          </w:p>
          <w:p w:rsidR="00281DD3" w:rsidRDefault="00C23069">
            <w:pPr>
              <w:pStyle w:val="Sinespaciado"/>
              <w:jc w:val="both"/>
              <w:rPr>
                <w:rFonts w:ascii="Arial Narrow" w:hAnsi="Arial Narrow" w:cs="Arial"/>
                <w:color w:val="000000" w:themeColor="text1"/>
              </w:rPr>
            </w:pPr>
            <w:r>
              <w:rPr>
                <w:rFonts w:ascii="Arial Narrow" w:hAnsi="Arial Narrow" w:cs="Arial"/>
                <w:color w:val="000000" w:themeColor="text1"/>
              </w:rPr>
              <w:t xml:space="preserve">Ahora bien, durante los años de servicio de esta herramienta en la entidad, el contratista ha desarrollado a la medida los modelos de servicios y funcionalidades específicas para la publicación y operación del portafolio de áreas diferentes a la Subdirección de tecnologías, tales como: la Subdirección de Gestión Documental y el Grupo de Administración de Sedes. </w:t>
            </w:r>
          </w:p>
          <w:p w:rsidR="00281DD3" w:rsidRDefault="00281DD3">
            <w:pPr>
              <w:pStyle w:val="Sinespaciado"/>
              <w:jc w:val="both"/>
              <w:rPr>
                <w:rFonts w:ascii="Arial Narrow" w:hAnsi="Arial Narrow" w:cs="Arial"/>
                <w:color w:val="000000" w:themeColor="text1"/>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En tal sentido, para el proceso de implementación de dichos catálogos se evidencia la necesidad de renovar 383 licencias y la adquisición de 218 licencias para un total de 601 licencias tipo Service Desk Basic Técnicos. </w:t>
            </w: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Así las cosas, para renovar las licencias requeridas por la Entidad es necesario suscribir la presente contratación con DEXON SOFTWARE S.A.S. BIC, quien es distribuidor autorizado y exclusivo de los productos DEXON SOFTWARE INC</w:t>
            </w:r>
            <w:r>
              <w:rPr>
                <w:rFonts w:ascii="Arial Narrow" w:hAnsi="Arial Narrow"/>
                <w:color w:val="000000" w:themeColor="text1"/>
                <w:szCs w:val="24"/>
              </w:rPr>
              <w:t xml:space="preserve"> </w:t>
            </w:r>
            <w:r>
              <w:rPr>
                <w:rFonts w:ascii="Arial Narrow" w:hAnsi="Arial Narrow" w:cs="Arial"/>
                <w:color w:val="000000" w:themeColor="text1"/>
                <w:szCs w:val="24"/>
              </w:rPr>
              <w:t>para toda Latinoamérica, según contrato de distribución inscrito en la Cámara de Comercio y de acuerdo con la certificación de proveedor exclusivo</w:t>
            </w:r>
            <w:r>
              <w:rPr>
                <w:rFonts w:ascii="Arial Narrow" w:hAnsi="Arial Narrow"/>
                <w:color w:val="000000" w:themeColor="text1"/>
                <w:szCs w:val="24"/>
              </w:rPr>
              <w:t xml:space="preserve"> </w:t>
            </w:r>
            <w:r>
              <w:rPr>
                <w:rFonts w:ascii="Arial Narrow" w:hAnsi="Arial Narrow" w:cs="Arial"/>
                <w:color w:val="000000" w:themeColor="text1"/>
                <w:szCs w:val="24"/>
              </w:rPr>
              <w:t>emitida por la sociedad DEXON SOFTWARE INC, la cual se encuentra vigente hasta el 10 de junio de 2031.</w:t>
            </w:r>
          </w:p>
          <w:p w:rsidR="00281DD3" w:rsidRDefault="00281DD3">
            <w:pPr>
              <w:jc w:val="both"/>
              <w:rPr>
                <w:rFonts w:ascii="Arial Narrow" w:eastAsia="Calibri" w:hAnsi="Arial Narrow" w:cs="Arial"/>
                <w:color w:val="000000" w:themeColor="text1"/>
                <w:szCs w:val="24"/>
                <w:lang w:eastAsia="en-US"/>
              </w:rPr>
            </w:pPr>
          </w:p>
          <w:p w:rsidR="00281DD3" w:rsidRDefault="00C23069">
            <w:pPr>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La modalidad de selección aplicable para el presente proceso, es la de contratación directa por la causal del Artículo 2 Numeral 4 literal g) de</w:t>
            </w:r>
            <w:r>
              <w:rPr>
                <w:rFonts w:ascii="Arial Narrow" w:eastAsia="Calibri" w:hAnsi="Arial Narrow" w:cs="Arial"/>
                <w:strike/>
                <w:color w:val="000000" w:themeColor="text1"/>
                <w:szCs w:val="24"/>
                <w:lang w:eastAsia="en-US"/>
              </w:rPr>
              <w:t>l</w:t>
            </w:r>
            <w:r>
              <w:rPr>
                <w:rFonts w:ascii="Arial Narrow" w:eastAsia="Calibri" w:hAnsi="Arial Narrow" w:cs="Arial"/>
                <w:color w:val="000000" w:themeColor="text1"/>
                <w:szCs w:val="24"/>
                <w:lang w:eastAsia="en-US"/>
              </w:rPr>
              <w:t xml:space="preserve">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rsidR="00281DD3" w:rsidRDefault="00281DD3">
            <w:pPr>
              <w:jc w:val="both"/>
              <w:rPr>
                <w:rFonts w:ascii="Arial Narrow" w:eastAsia="Calibri" w:hAnsi="Arial Narrow" w:cs="Arial"/>
                <w:color w:val="000000" w:themeColor="text1"/>
                <w:szCs w:val="24"/>
                <w:lang w:eastAsia="en-US"/>
              </w:rPr>
            </w:pPr>
          </w:p>
          <w:p w:rsidR="00281DD3" w:rsidRDefault="00C23069">
            <w:pPr>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Su causal se soporta en que DEXON SOFTWARE S.A.S. BIC, es distribuidor autorizado y exclusivo de los productos DEXON SOFTWARE INC para toda Latinoamérica, según contrato de distribución inscrito en la Cámara de Comercio y de acuerdo con la certificación de proveedor exclusivo emitida por la sociedad DEXON SOFTWARE INC, la cual se encuentra vigente hasta el 10 de junio de 2031.</w:t>
            </w: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eastAsia="Calibri" w:hAnsi="Arial Narrow" w:cs="Arial"/>
                <w:color w:val="000000" w:themeColor="text1"/>
                <w:szCs w:val="24"/>
              </w:rPr>
              <w:t xml:space="preserve">Teniendo en cuenta, que el </w:t>
            </w:r>
            <w:r>
              <w:rPr>
                <w:rFonts w:ascii="Arial Narrow" w:hAnsi="Arial Narrow" w:cs="Arial"/>
                <w:color w:val="000000" w:themeColor="text1"/>
                <w:szCs w:val="24"/>
                <w:shd w:val="clear" w:color="auto" w:fill="FFFFFF"/>
              </w:rPr>
              <w:t xml:space="preserve">licenciamiento sobre el cual la Entidad requiere efectuar la </w:t>
            </w:r>
            <w:r>
              <w:rPr>
                <w:rFonts w:ascii="Arial Narrow" w:eastAsia="Calibri" w:hAnsi="Arial Narrow" w:cs="Arial"/>
                <w:color w:val="000000" w:themeColor="text1"/>
                <w:szCs w:val="24"/>
              </w:rPr>
              <w:t xml:space="preserve">renovación, adquisición y soporte técnico corresponde al </w:t>
            </w:r>
            <w:r>
              <w:rPr>
                <w:rFonts w:ascii="Arial Narrow" w:hAnsi="Arial Narrow" w:cs="Arial"/>
                <w:b/>
                <w:color w:val="000000" w:themeColor="text1"/>
                <w:szCs w:val="24"/>
                <w:shd w:val="clear" w:color="auto" w:fill="FFFFFF"/>
              </w:rPr>
              <w:t>licenciamiento del Software de Gestión DEXON</w:t>
            </w:r>
            <w:r>
              <w:rPr>
                <w:rFonts w:ascii="Arial Narrow" w:hAnsi="Arial Narrow" w:cs="Arial"/>
                <w:color w:val="000000" w:themeColor="text1"/>
                <w:szCs w:val="24"/>
              </w:rPr>
              <w:t xml:space="preserve">, se requiere del respaldo técnico del desarrollador y fabricante del software, esto es, por parte de la casa fabricante </w:t>
            </w:r>
            <w:r>
              <w:rPr>
                <w:rFonts w:ascii="Arial Narrow" w:hAnsi="Arial Narrow" w:cs="Arial"/>
                <w:b/>
                <w:color w:val="000000" w:themeColor="text1"/>
                <w:szCs w:val="24"/>
              </w:rPr>
              <w:t>DEXON SOFTWARE INC</w:t>
            </w:r>
            <w:r>
              <w:rPr>
                <w:rFonts w:ascii="Arial Narrow" w:hAnsi="Arial Narrow" w:cs="Arial"/>
                <w:color w:val="000000" w:themeColor="text1"/>
                <w:szCs w:val="24"/>
              </w:rPr>
              <w:t>. con domicilio en Kirkwood Highway, Suite 711 Wilmington de 19808, Delaware, Estados Unidos de América.</w:t>
            </w:r>
          </w:p>
          <w:p w:rsidR="00281DD3" w:rsidRDefault="00281DD3">
            <w:pPr>
              <w:autoSpaceDE w:val="0"/>
              <w:autoSpaceDN w:val="0"/>
              <w:adjustRightInd w:val="0"/>
              <w:jc w:val="both"/>
              <w:rPr>
                <w:rFonts w:ascii="Arial Narrow" w:eastAsia="Calibri" w:hAnsi="Arial Narrow" w:cs="Arial"/>
                <w:color w:val="000000" w:themeColor="text1"/>
                <w:szCs w:val="24"/>
              </w:rPr>
            </w:pPr>
          </w:p>
          <w:p w:rsidR="00281DD3" w:rsidRDefault="00C23069">
            <w:pPr>
              <w:ind w:right="-52"/>
              <w:jc w:val="both"/>
              <w:rPr>
                <w:rFonts w:ascii="Arial Narrow" w:hAnsi="Arial Narrow" w:cs="Arial"/>
                <w:bCs/>
                <w:color w:val="000000" w:themeColor="text1"/>
                <w:szCs w:val="24"/>
              </w:rPr>
            </w:pPr>
            <w:r>
              <w:rPr>
                <w:rFonts w:ascii="Arial Narrow" w:hAnsi="Arial Narrow" w:cs="Arial"/>
                <w:bCs/>
                <w:color w:val="000000" w:themeColor="text1"/>
                <w:szCs w:val="24"/>
              </w:rPr>
              <w:t>Lo anterior, se sustenta en los factores técnicos señalados a continuación:</w:t>
            </w:r>
          </w:p>
          <w:p w:rsidR="00281DD3" w:rsidRDefault="00281DD3">
            <w:pPr>
              <w:ind w:right="-52"/>
              <w:jc w:val="both"/>
              <w:rPr>
                <w:rFonts w:ascii="Arial Narrow" w:hAnsi="Arial Narrow" w:cs="Arial"/>
                <w:bCs/>
                <w:color w:val="000000" w:themeColor="text1"/>
                <w:szCs w:val="24"/>
              </w:rPr>
            </w:pPr>
          </w:p>
          <w:p w:rsidR="00281DD3" w:rsidRDefault="00C23069">
            <w:pPr>
              <w:pStyle w:val="Prrafodelista"/>
              <w:numPr>
                <w:ilvl w:val="0"/>
                <w:numId w:val="8"/>
              </w:numPr>
              <w:spacing w:after="0" w:line="240" w:lineRule="auto"/>
              <w:ind w:right="-52"/>
              <w:contextualSpacing w:val="0"/>
              <w:jc w:val="both"/>
              <w:rPr>
                <w:rFonts w:ascii="Arial Narrow" w:hAnsi="Arial Narrow" w:cs="Arial"/>
                <w:bCs/>
                <w:color w:val="000000" w:themeColor="text1"/>
                <w:sz w:val="24"/>
                <w:szCs w:val="24"/>
              </w:rPr>
            </w:pPr>
            <w:r>
              <w:rPr>
                <w:rFonts w:ascii="Arial Narrow" w:hAnsi="Arial Narrow" w:cs="Arial"/>
                <w:bCs/>
                <w:color w:val="000000" w:themeColor="text1"/>
                <w:sz w:val="24"/>
                <w:szCs w:val="24"/>
              </w:rPr>
              <w:t xml:space="preserve">Que </w:t>
            </w:r>
            <w:r>
              <w:rPr>
                <w:rFonts w:ascii="Arial Narrow" w:hAnsi="Arial Narrow" w:cs="Arial"/>
                <w:color w:val="000000" w:themeColor="text1"/>
                <w:sz w:val="24"/>
                <w:szCs w:val="24"/>
              </w:rPr>
              <w:t xml:space="preserve">teniendo en cuenta que la Fiscalía General de la Nación cuenta con elementos de hardware y software para el desarrollo de sus funciones, frente a los cuales, eventualmente se pueden presentar requerimientos, incidentes o solicitudes relacionadas con su operación y funcionamiento, el </w:t>
            </w:r>
            <w:r>
              <w:rPr>
                <w:rFonts w:ascii="Arial Narrow" w:hAnsi="Arial Narrow" w:cs="Arial"/>
                <w:b/>
                <w:color w:val="000000" w:themeColor="text1"/>
                <w:sz w:val="24"/>
                <w:szCs w:val="24"/>
                <w:shd w:val="clear" w:color="auto" w:fill="FFFFFF"/>
              </w:rPr>
              <w:t>licenciamiento del Software de Gestión DEXON</w:t>
            </w:r>
            <w:r>
              <w:rPr>
                <w:rFonts w:ascii="Arial Narrow" w:hAnsi="Arial Narrow" w:cs="Arial"/>
                <w:color w:val="000000" w:themeColor="text1"/>
                <w:sz w:val="24"/>
                <w:szCs w:val="24"/>
              </w:rPr>
              <w:t>, corresponde a la soluciones de software utilizada por la entidad desde el año 2015 con el fin de centralizar las solicitudes de los servidores en un punto único de contacto mediante la cual se registraren, escalen y resuelvan y/o canalicen todas las solicitudes, de una manera oportuna, eficiente y efectiva.</w:t>
            </w:r>
          </w:p>
          <w:p w:rsidR="00281DD3" w:rsidRDefault="00C23069">
            <w:pPr>
              <w:pStyle w:val="Prrafodelista"/>
              <w:numPr>
                <w:ilvl w:val="0"/>
                <w:numId w:val="8"/>
              </w:numPr>
              <w:spacing w:after="0" w:line="240" w:lineRule="auto"/>
              <w:ind w:right="-52"/>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Que la herramienta de gestión DEXON se adquirió en el año 2005 incluyendo tanto el licenciamiento a perpetuidad, así como, con fecha de vencimiento anual en la modalidad SaaS, lo cual ha permitido contar con una herramienta para la administración del portafolio y procesos de las diferentes áreas de la entidad, gestionados a través de la mesa de servicios, con la finalidad de atender de manera eficiente y oportuna las necesidades de todas las áreas de la Fiscalía General de la Nación. De igual manera, a través de mencionada herramienta, se registran solicitudes de servicio permitiendo gestionar y monitorear en tiempo real elementos clave como, tiempos de atención y solución de los casos generados por los usuarios.</w:t>
            </w:r>
          </w:p>
          <w:p w:rsidR="00281DD3" w:rsidRDefault="00281DD3">
            <w:pPr>
              <w:pStyle w:val="Prrafodelista"/>
              <w:ind w:right="-52"/>
              <w:jc w:val="both"/>
              <w:rPr>
                <w:rFonts w:ascii="Arial Narrow" w:hAnsi="Arial Narrow" w:cs="Arial"/>
                <w:color w:val="000000" w:themeColor="text1"/>
                <w:sz w:val="24"/>
                <w:szCs w:val="24"/>
              </w:rPr>
            </w:pPr>
          </w:p>
          <w:p w:rsidR="00281DD3" w:rsidRDefault="00C23069">
            <w:pPr>
              <w:pStyle w:val="Prrafodelista"/>
              <w:numPr>
                <w:ilvl w:val="0"/>
                <w:numId w:val="8"/>
              </w:numPr>
              <w:spacing w:after="0" w:line="240" w:lineRule="auto"/>
              <w:ind w:right="-52"/>
              <w:contextualSpacing w:val="0"/>
              <w:jc w:val="both"/>
              <w:rPr>
                <w:rFonts w:ascii="Arial Narrow" w:hAnsi="Arial Narrow" w:cs="Arial"/>
                <w:bCs/>
                <w:color w:val="000000" w:themeColor="text1"/>
                <w:sz w:val="24"/>
                <w:szCs w:val="24"/>
              </w:rPr>
            </w:pPr>
            <w:r>
              <w:rPr>
                <w:rFonts w:ascii="Arial Narrow" w:hAnsi="Arial Narrow" w:cs="Arial"/>
                <w:color w:val="000000" w:themeColor="text1"/>
                <w:sz w:val="24"/>
                <w:szCs w:val="24"/>
              </w:rPr>
              <w:t xml:space="preserve">Ahora bien, durante los años de servicio de esta herramienta en la entidad, el contratista ha desarrollado a la medida los modelos de servicios y funcionalidades específicas para la publicación y operación del portafolio de áreas diferentes a la Subdirección de tecnologías, tales como: la Subdirección de Gestión Documental y el Grupo de Administración de Sedes. </w:t>
            </w:r>
          </w:p>
          <w:p w:rsidR="00281DD3" w:rsidRDefault="00C23069">
            <w:pPr>
              <w:pStyle w:val="Prrafodelista"/>
              <w:numPr>
                <w:ilvl w:val="0"/>
                <w:numId w:val="8"/>
              </w:numPr>
              <w:spacing w:after="0" w:line="240" w:lineRule="auto"/>
              <w:ind w:right="-52"/>
              <w:contextualSpacing w:val="0"/>
              <w:jc w:val="both"/>
              <w:rPr>
                <w:rFonts w:ascii="Arial Narrow" w:hAnsi="Arial Narrow" w:cs="Arial"/>
                <w:bCs/>
                <w:color w:val="000000" w:themeColor="text1"/>
                <w:sz w:val="24"/>
                <w:szCs w:val="24"/>
              </w:rPr>
            </w:pPr>
            <w:r>
              <w:rPr>
                <w:rFonts w:ascii="Arial Narrow" w:hAnsi="Arial Narrow" w:cs="Arial"/>
                <w:color w:val="000000" w:themeColor="text1"/>
                <w:sz w:val="24"/>
                <w:szCs w:val="24"/>
                <w:shd w:val="clear" w:color="auto" w:fill="FFFFFF"/>
              </w:rPr>
              <w:t xml:space="preserve">Que para continuar con la operación de la plataforma DEXON para la FGN, se requiere </w:t>
            </w:r>
            <w:r>
              <w:rPr>
                <w:rFonts w:ascii="Arial Narrow" w:hAnsi="Arial Narrow" w:cs="Arial"/>
                <w:color w:val="000000" w:themeColor="text1"/>
                <w:sz w:val="24"/>
                <w:szCs w:val="24"/>
              </w:rPr>
              <w:t>la renovación correspondiente a las 383 licencias en modalidad SaaS para dar continuidad a los servicios que se encuentran actualmente en funcionamiento para los catálogos de TI, Administración de Sedes y Gestión Documental, así como la adquisición de las 218 licencias adicionales en la misma modalidad.</w:t>
            </w:r>
          </w:p>
          <w:p w:rsidR="00281DD3" w:rsidRDefault="00C23069">
            <w:pPr>
              <w:pStyle w:val="Prrafodelista"/>
              <w:numPr>
                <w:ilvl w:val="0"/>
                <w:numId w:val="8"/>
              </w:numPr>
              <w:spacing w:after="0" w:line="240" w:lineRule="auto"/>
              <w:ind w:right="-52"/>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 xml:space="preserve">Que por tratarse de un software diseñado por un fabricante específico </w:t>
            </w:r>
            <w:r>
              <w:rPr>
                <w:rFonts w:ascii="Arial Narrow" w:hAnsi="Arial Narrow" w:cs="Arial"/>
                <w:b/>
                <w:color w:val="000000" w:themeColor="text1"/>
                <w:sz w:val="24"/>
                <w:szCs w:val="24"/>
              </w:rPr>
              <w:t>DEXON SOFTWARE INC</w:t>
            </w:r>
            <w:r>
              <w:rPr>
                <w:rFonts w:ascii="Arial Narrow" w:hAnsi="Arial Narrow" w:cs="Arial"/>
                <w:color w:val="000000" w:themeColor="text1"/>
                <w:sz w:val="24"/>
                <w:szCs w:val="24"/>
              </w:rPr>
              <w:t xml:space="preserve">, de la misma manera lo son las mejoras o desarrollos que se efectúen sobre el mismo, así como los componentes adicionales y soporte técnico, por lo anterior, la renovación y adquisición de licencias DEXON, así como, el soporte técnico, únicamente puede ser contratado bajo el respaldo técnico del desarrollador y fabricante del software, esto es, por parte de la casa fabricante antes señalada. </w:t>
            </w: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hAnsi="Arial Narrow" w:cs="Arial"/>
                <w:bCs/>
                <w:color w:val="000000" w:themeColor="text1"/>
                <w:szCs w:val="24"/>
              </w:rPr>
              <w:t xml:space="preserve">Por lo expuesto anteriormente, una vez analizados los factores técnicos que motivan el presente proceso de contratación, se encuentra que el único que puede satisfacer la necesidad de contratación es la sociedad </w:t>
            </w:r>
            <w:r>
              <w:rPr>
                <w:rFonts w:ascii="Arial Narrow" w:hAnsi="Arial Narrow" w:cs="Arial"/>
                <w:b/>
                <w:color w:val="000000" w:themeColor="text1"/>
                <w:szCs w:val="24"/>
              </w:rPr>
              <w:t>DEXON SOFTWARE S.A.S. BIC</w:t>
            </w:r>
            <w:r>
              <w:rPr>
                <w:rFonts w:ascii="Arial Narrow" w:hAnsi="Arial Narrow" w:cs="Arial"/>
                <w:color w:val="000000" w:themeColor="text1"/>
                <w:szCs w:val="24"/>
              </w:rPr>
              <w:t xml:space="preserve">, </w:t>
            </w:r>
            <w:r>
              <w:rPr>
                <w:rFonts w:ascii="Arial Narrow" w:hAnsi="Arial Narrow" w:cs="Arial"/>
                <w:bCs/>
                <w:color w:val="000000" w:themeColor="text1"/>
                <w:szCs w:val="24"/>
              </w:rPr>
              <w:t xml:space="preserve">lo anterior, teniendo en cuenta que el desarrollador y fabricante de los productos de software </w:t>
            </w:r>
            <w:r>
              <w:rPr>
                <w:rFonts w:ascii="Arial Narrow" w:hAnsi="Arial Narrow" w:cs="Arial"/>
                <w:b/>
                <w:color w:val="000000" w:themeColor="text1"/>
                <w:szCs w:val="24"/>
              </w:rPr>
              <w:t xml:space="preserve">DEXON, </w:t>
            </w:r>
            <w:r>
              <w:rPr>
                <w:rFonts w:ascii="Arial Narrow" w:hAnsi="Arial Narrow" w:cs="Arial"/>
                <w:color w:val="000000" w:themeColor="text1"/>
                <w:szCs w:val="24"/>
              </w:rPr>
              <w:t xml:space="preserve">esto es,  </w:t>
            </w:r>
            <w:r>
              <w:rPr>
                <w:rFonts w:ascii="Arial Narrow" w:hAnsi="Arial Narrow" w:cs="Arial"/>
                <w:bCs/>
                <w:color w:val="000000" w:themeColor="text1"/>
                <w:szCs w:val="24"/>
              </w:rPr>
              <w:t xml:space="preserve">la casa fabricante </w:t>
            </w:r>
            <w:r>
              <w:rPr>
                <w:rFonts w:ascii="Arial Narrow" w:hAnsi="Arial Narrow" w:cs="Arial"/>
                <w:b/>
                <w:color w:val="000000" w:themeColor="text1"/>
                <w:szCs w:val="24"/>
              </w:rPr>
              <w:t xml:space="preserve">DEXON SOFTWARE INC, </w:t>
            </w:r>
            <w:r>
              <w:rPr>
                <w:rFonts w:ascii="Arial Narrow" w:hAnsi="Arial Narrow" w:cs="Arial"/>
                <w:color w:val="000000" w:themeColor="text1"/>
                <w:szCs w:val="24"/>
              </w:rPr>
              <w:t xml:space="preserve">con domicilio en Kirkwood Highway, Suite 711 Wilmington de 19808, Delaware, Estados Unidos de América, mediante Certificado de Renovación del Contrato de Agencia Comercial 001 de 10 de junio de 2011 calendado del 11 de junio de 2021,  y con una vigencia hasta el 10 de junio de 2031, indicó que: </w:t>
            </w:r>
          </w:p>
          <w:p w:rsidR="00281DD3" w:rsidRDefault="00281DD3">
            <w:pPr>
              <w:ind w:left="176" w:right="177"/>
              <w:jc w:val="both"/>
              <w:rPr>
                <w:rFonts w:ascii="Arial Narrow" w:hAnsi="Arial Narrow" w:cs="Arial"/>
                <w:i/>
                <w:color w:val="000000" w:themeColor="text1"/>
                <w:szCs w:val="24"/>
              </w:rPr>
            </w:pPr>
          </w:p>
          <w:p w:rsidR="00281DD3" w:rsidRDefault="00C23069">
            <w:pPr>
              <w:ind w:left="176" w:right="177"/>
              <w:jc w:val="both"/>
              <w:rPr>
                <w:rFonts w:ascii="Arial Narrow" w:hAnsi="Arial Narrow" w:cs="Arial"/>
                <w:i/>
                <w:color w:val="000000" w:themeColor="text1"/>
                <w:szCs w:val="24"/>
              </w:rPr>
            </w:pPr>
            <w:r>
              <w:rPr>
                <w:rFonts w:ascii="Arial Narrow" w:hAnsi="Arial Narrow" w:cs="Arial"/>
                <w:i/>
                <w:color w:val="000000" w:themeColor="text1"/>
                <w:szCs w:val="24"/>
              </w:rPr>
              <w:t xml:space="preserve">“Que el contrato de Distribución No. 001 de junio 10 de 2011 celebrado entre Dexon Software Inc y Dexon Software S.A. (Ahora Dexon Software SAS BIC), registrado ante la Cámara y Comercio de Bogotá, el día 20 de junio de 2011 bajo el número 0019442 del libro XII, se prorrogó de forma tácita de conformidad con el numeral 3 del mismo, por un periodo igual a la duración original del contrato, quedando vigente hasta el 10 de junio de 2031 para todos los países de América Latina. </w:t>
            </w:r>
          </w:p>
          <w:p w:rsidR="00281DD3" w:rsidRDefault="00281DD3">
            <w:pPr>
              <w:ind w:left="176" w:right="177"/>
              <w:jc w:val="both"/>
              <w:rPr>
                <w:rFonts w:ascii="Arial Narrow" w:hAnsi="Arial Narrow" w:cs="Arial"/>
                <w:i/>
                <w:color w:val="000000" w:themeColor="text1"/>
                <w:szCs w:val="24"/>
              </w:rPr>
            </w:pPr>
          </w:p>
          <w:p w:rsidR="00281DD3" w:rsidRDefault="00C23069">
            <w:pPr>
              <w:ind w:left="176" w:right="177"/>
              <w:jc w:val="both"/>
              <w:rPr>
                <w:rFonts w:ascii="Arial Narrow" w:hAnsi="Arial Narrow" w:cs="Arial"/>
                <w:i/>
                <w:color w:val="000000" w:themeColor="text1"/>
                <w:szCs w:val="24"/>
              </w:rPr>
            </w:pPr>
            <w:r>
              <w:rPr>
                <w:rFonts w:ascii="Arial Narrow" w:hAnsi="Arial Narrow" w:cs="Arial"/>
                <w:i/>
                <w:color w:val="000000" w:themeColor="text1"/>
                <w:szCs w:val="24"/>
              </w:rPr>
              <w:t xml:space="preserve">Bajo dicho contrato, </w:t>
            </w:r>
            <w:r>
              <w:rPr>
                <w:rFonts w:ascii="Arial Narrow" w:hAnsi="Arial Narrow" w:cs="Arial"/>
                <w:b/>
                <w:i/>
                <w:color w:val="000000" w:themeColor="text1"/>
                <w:szCs w:val="24"/>
              </w:rPr>
              <w:t xml:space="preserve">DEXON SOFTWARE S.A.S. BIC, </w:t>
            </w:r>
            <w:r>
              <w:rPr>
                <w:rFonts w:ascii="Arial Narrow" w:hAnsi="Arial Narrow" w:cs="Arial"/>
                <w:i/>
                <w:color w:val="000000" w:themeColor="text1"/>
                <w:szCs w:val="24"/>
              </w:rPr>
              <w:t>es el distribuidor exclusivo de todos los productos de Dexon, actuales y futuros y puede prestar los servicios de implementación. Acompañamiento, asesoría, despliegue on-premise y en la nube, soporte y actualizaciones”</w:t>
            </w:r>
          </w:p>
          <w:p w:rsidR="00281DD3" w:rsidRDefault="00281DD3">
            <w:pPr>
              <w:jc w:val="both"/>
              <w:rPr>
                <w:rFonts w:ascii="Arial Narrow" w:hAnsi="Arial Narrow" w:cs="Arial"/>
                <w:color w:val="000000" w:themeColor="text1"/>
                <w:szCs w:val="24"/>
              </w:rPr>
            </w:pPr>
          </w:p>
        </w:tc>
      </w:tr>
      <w:tr w:rsidR="00281DD3">
        <w:trPr>
          <w:trHeight w:val="429"/>
        </w:trPr>
        <w:tc>
          <w:tcPr>
            <w:tcW w:w="5000" w:type="pct"/>
            <w:gridSpan w:val="4"/>
            <w:tcBorders>
              <w:left w:val="nil"/>
              <w:right w:val="nil"/>
            </w:tcBorders>
            <w:shd w:val="clear" w:color="auto" w:fill="auto"/>
            <w:vAlign w:val="center"/>
          </w:tcPr>
          <w:p w:rsidR="00281DD3" w:rsidRDefault="00281DD3">
            <w:pPr>
              <w:tabs>
                <w:tab w:val="left" w:pos="456"/>
              </w:tabs>
              <w:ind w:left="172"/>
              <w:contextualSpacing/>
              <w:jc w:val="both"/>
              <w:rPr>
                <w:rFonts w:ascii="Arial Narrow" w:eastAsia="Calibri" w:hAnsi="Arial Narrow" w:cs="Arial"/>
                <w:b/>
                <w:color w:val="000000" w:themeColor="text1"/>
                <w:szCs w:val="24"/>
                <w:lang w:eastAsia="en-US"/>
              </w:rPr>
            </w:pPr>
          </w:p>
        </w:tc>
      </w:tr>
      <w:tr w:rsidR="00281DD3">
        <w:trPr>
          <w:trHeight w:val="676"/>
        </w:trPr>
        <w:tc>
          <w:tcPr>
            <w:tcW w:w="5000" w:type="pct"/>
            <w:gridSpan w:val="4"/>
            <w:shd w:val="clear" w:color="auto" w:fill="D9D9D9" w:themeFill="background1" w:themeFillShade="D9"/>
            <w:vAlign w:val="center"/>
          </w:tcPr>
          <w:p w:rsidR="00281DD3" w:rsidRDefault="00C23069">
            <w:pPr>
              <w:numPr>
                <w:ilvl w:val="0"/>
                <w:numId w:val="3"/>
              </w:numPr>
              <w:tabs>
                <w:tab w:val="left" w:pos="456"/>
              </w:tabs>
              <w:ind w:left="324" w:hanging="324"/>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LISTA DE CHEQUEO PARA IDENTIFICAR EL RIESGO DE COLUSIÓN DE OFERENTES</w:t>
            </w:r>
          </w:p>
        </w:tc>
      </w:tr>
      <w:tr w:rsidR="00281DD3">
        <w:trPr>
          <w:trHeight w:val="130"/>
        </w:trPr>
        <w:tc>
          <w:tcPr>
            <w:tcW w:w="5000" w:type="pct"/>
            <w:gridSpan w:val="4"/>
            <w:shd w:val="clear" w:color="auto" w:fill="FFFFFF" w:themeFill="background1"/>
            <w:vAlign w:val="center"/>
          </w:tcPr>
          <w:p w:rsidR="00281DD3" w:rsidRDefault="00C23069">
            <w:pPr>
              <w:tabs>
                <w:tab w:val="left" w:pos="456"/>
              </w:tabs>
              <w:ind w:left="172"/>
              <w:contextualSpacing/>
              <w:jc w:val="both"/>
              <w:rPr>
                <w:rFonts w:ascii="Arial Narrow" w:hAnsi="Arial Narrow" w:cs="Arial"/>
                <w:color w:val="000000" w:themeColor="text1"/>
                <w:szCs w:val="24"/>
                <w:lang w:val="es-ES" w:eastAsia="en-US"/>
              </w:rPr>
            </w:pPr>
            <w:r>
              <w:rPr>
                <w:rFonts w:ascii="Arial Narrow" w:eastAsia="Calibri" w:hAnsi="Arial Narrow" w:cs="Arial"/>
                <w:b/>
                <w:color w:val="000000" w:themeColor="text1"/>
                <w:szCs w:val="24"/>
                <w:lang w:eastAsia="en-US"/>
              </w:rPr>
              <w:t xml:space="preserve">  </w:t>
            </w:r>
          </w:p>
          <w:p w:rsidR="00281DD3" w:rsidRDefault="00C23069">
            <w:pPr>
              <w:tabs>
                <w:tab w:val="left" w:pos="456"/>
              </w:tabs>
              <w:ind w:left="172"/>
              <w:contextualSpacing/>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 xml:space="preserve">N/A </w:t>
            </w:r>
          </w:p>
          <w:p w:rsidR="00281DD3" w:rsidRDefault="00281DD3">
            <w:pPr>
              <w:tabs>
                <w:tab w:val="left" w:pos="456"/>
              </w:tabs>
              <w:ind w:left="172"/>
              <w:contextualSpacing/>
              <w:jc w:val="both"/>
              <w:rPr>
                <w:rFonts w:ascii="Arial Narrow" w:eastAsia="Calibri" w:hAnsi="Arial Narrow" w:cs="Arial"/>
                <w:b/>
                <w:color w:val="000000" w:themeColor="text1"/>
                <w:szCs w:val="24"/>
                <w:lang w:eastAsia="en-US"/>
              </w:rPr>
            </w:pPr>
          </w:p>
        </w:tc>
      </w:tr>
      <w:tr w:rsidR="00281DD3">
        <w:trPr>
          <w:trHeight w:val="1255"/>
        </w:trPr>
        <w:tc>
          <w:tcPr>
            <w:tcW w:w="5000" w:type="pct"/>
            <w:gridSpan w:val="4"/>
            <w:tcBorders>
              <w:bottom w:val="single" w:sz="4" w:space="0" w:color="auto"/>
            </w:tcBorders>
            <w:shd w:val="clear" w:color="auto" w:fill="F2F2F2" w:themeFill="background1" w:themeFillShade="F2"/>
            <w:vAlign w:val="center"/>
          </w:tcPr>
          <w:p w:rsidR="00281DD3" w:rsidRDefault="00C23069">
            <w:pPr>
              <w:tabs>
                <w:tab w:val="left" w:pos="456"/>
              </w:tabs>
              <w:ind w:left="172"/>
              <w:contextualSpacing/>
              <w:jc w:val="both"/>
              <w:rPr>
                <w:rFonts w:ascii="Arial Narrow" w:eastAsia="Calibri" w:hAnsi="Arial Narrow" w:cs="Arial"/>
                <w:color w:val="000000" w:themeColor="text1"/>
                <w:szCs w:val="24"/>
                <w:lang w:eastAsia="en-US"/>
              </w:rPr>
            </w:pPr>
            <w:r>
              <w:rPr>
                <w:rFonts w:ascii="Arial Narrow" w:eastAsia="Calibri" w:hAnsi="Arial Narrow" w:cs="Arial"/>
                <w:b/>
                <w:color w:val="000000" w:themeColor="text1"/>
                <w:szCs w:val="24"/>
                <w:lang w:eastAsia="en-US"/>
              </w:rPr>
              <w:t>RESULTADOS DE LA LISTA DE CHEQUEO:</w:t>
            </w:r>
            <w:r>
              <w:rPr>
                <w:rFonts w:ascii="Arial Narrow" w:eastAsia="Calibri" w:hAnsi="Arial Narrow" w:cs="Arial"/>
                <w:color w:val="000000" w:themeColor="text1"/>
                <w:szCs w:val="24"/>
                <w:lang w:eastAsia="en-US"/>
              </w:rPr>
              <w:t xml:space="preserve">  </w:t>
            </w:r>
          </w:p>
          <w:p w:rsidR="00281DD3" w:rsidRDefault="00281DD3">
            <w:pPr>
              <w:tabs>
                <w:tab w:val="left" w:pos="456"/>
              </w:tabs>
              <w:ind w:left="172"/>
              <w:contextualSpacing/>
              <w:jc w:val="both"/>
              <w:rPr>
                <w:rFonts w:ascii="Arial Narrow" w:eastAsia="Calibri" w:hAnsi="Arial Narrow" w:cs="Arial"/>
                <w:color w:val="000000" w:themeColor="text1"/>
                <w:szCs w:val="24"/>
                <w:lang w:eastAsia="en-US"/>
              </w:rPr>
            </w:pPr>
          </w:p>
          <w:p w:rsidR="00281DD3" w:rsidRDefault="00C23069">
            <w:pPr>
              <w:tabs>
                <w:tab w:val="left" w:pos="456"/>
              </w:tabs>
              <w:ind w:left="172"/>
              <w:contextualSpacing/>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N/A</w:t>
            </w:r>
          </w:p>
        </w:tc>
      </w:tr>
      <w:tr w:rsidR="00281DD3">
        <w:trPr>
          <w:trHeight w:val="351"/>
        </w:trPr>
        <w:tc>
          <w:tcPr>
            <w:tcW w:w="5000" w:type="pct"/>
            <w:gridSpan w:val="4"/>
            <w:tcBorders>
              <w:left w:val="nil"/>
              <w:right w:val="nil"/>
            </w:tcBorders>
            <w:shd w:val="clear" w:color="auto" w:fill="auto"/>
            <w:vAlign w:val="center"/>
          </w:tcPr>
          <w:p w:rsidR="00281DD3" w:rsidRDefault="00281DD3">
            <w:pPr>
              <w:tabs>
                <w:tab w:val="left" w:pos="456"/>
              </w:tabs>
              <w:ind w:left="454"/>
              <w:contextualSpacing/>
              <w:jc w:val="both"/>
              <w:rPr>
                <w:rFonts w:ascii="Arial Narrow" w:eastAsia="Calibri" w:hAnsi="Arial Narrow" w:cs="Arial"/>
                <w:b/>
                <w:color w:val="000000" w:themeColor="text1"/>
                <w:szCs w:val="24"/>
                <w:lang w:eastAsia="en-US"/>
              </w:rPr>
            </w:pPr>
          </w:p>
          <w:p w:rsidR="00281DD3" w:rsidRDefault="00281DD3">
            <w:pPr>
              <w:tabs>
                <w:tab w:val="left" w:pos="456"/>
              </w:tabs>
              <w:ind w:left="454"/>
              <w:contextualSpacing/>
              <w:jc w:val="both"/>
              <w:rPr>
                <w:rFonts w:ascii="Arial Narrow" w:eastAsia="Calibri" w:hAnsi="Arial Narrow" w:cs="Arial"/>
                <w:b/>
                <w:color w:val="000000" w:themeColor="text1"/>
                <w:szCs w:val="24"/>
                <w:lang w:eastAsia="en-US"/>
              </w:rPr>
            </w:pPr>
          </w:p>
          <w:p w:rsidR="00281DD3" w:rsidRDefault="00281DD3">
            <w:pPr>
              <w:tabs>
                <w:tab w:val="left" w:pos="456"/>
              </w:tabs>
              <w:ind w:left="454"/>
              <w:contextualSpacing/>
              <w:jc w:val="both"/>
              <w:rPr>
                <w:rFonts w:ascii="Arial Narrow" w:eastAsia="Calibri" w:hAnsi="Arial Narrow" w:cs="Arial"/>
                <w:b/>
                <w:color w:val="000000" w:themeColor="text1"/>
                <w:szCs w:val="24"/>
                <w:lang w:eastAsia="en-US"/>
              </w:rPr>
            </w:pPr>
          </w:p>
          <w:p w:rsidR="00281DD3" w:rsidRDefault="00281DD3">
            <w:pPr>
              <w:tabs>
                <w:tab w:val="left" w:pos="456"/>
              </w:tabs>
              <w:ind w:left="454"/>
              <w:contextualSpacing/>
              <w:jc w:val="both"/>
              <w:rPr>
                <w:rFonts w:ascii="Arial Narrow" w:eastAsia="Calibri" w:hAnsi="Arial Narrow" w:cs="Arial"/>
                <w:b/>
                <w:color w:val="000000" w:themeColor="text1"/>
                <w:szCs w:val="24"/>
                <w:lang w:eastAsia="en-US"/>
              </w:rPr>
            </w:pPr>
          </w:p>
          <w:p w:rsidR="00281DD3" w:rsidRDefault="00281DD3">
            <w:pPr>
              <w:tabs>
                <w:tab w:val="left" w:pos="456"/>
              </w:tabs>
              <w:ind w:left="454"/>
              <w:contextualSpacing/>
              <w:jc w:val="both"/>
              <w:rPr>
                <w:rFonts w:ascii="Arial Narrow" w:eastAsia="Calibri" w:hAnsi="Arial Narrow" w:cs="Arial"/>
                <w:b/>
                <w:color w:val="000000" w:themeColor="text1"/>
                <w:szCs w:val="24"/>
                <w:lang w:eastAsia="en-US"/>
              </w:rPr>
            </w:pPr>
          </w:p>
        </w:tc>
      </w:tr>
      <w:tr w:rsidR="00281DD3">
        <w:trPr>
          <w:trHeight w:val="391"/>
        </w:trPr>
        <w:tc>
          <w:tcPr>
            <w:tcW w:w="5000" w:type="pct"/>
            <w:gridSpan w:val="4"/>
            <w:shd w:val="clear" w:color="auto" w:fill="D9D9D9" w:themeFill="background1" w:themeFillShade="D9"/>
            <w:vAlign w:val="center"/>
          </w:tcPr>
          <w:p w:rsidR="00281DD3" w:rsidRDefault="00C23069">
            <w:pPr>
              <w:numPr>
                <w:ilvl w:val="0"/>
                <w:numId w:val="3"/>
              </w:numPr>
              <w:tabs>
                <w:tab w:val="left" w:pos="456"/>
              </w:tabs>
              <w:ind w:left="454" w:hanging="424"/>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 xml:space="preserve">CONCLUSIONES DEL ANÁLISIS DEL SECTOR </w:t>
            </w:r>
          </w:p>
        </w:tc>
      </w:tr>
      <w:tr w:rsidR="00281DD3">
        <w:trPr>
          <w:trHeight w:val="952"/>
        </w:trPr>
        <w:tc>
          <w:tcPr>
            <w:tcW w:w="5000" w:type="pct"/>
            <w:gridSpan w:val="4"/>
            <w:tcBorders>
              <w:bottom w:val="single" w:sz="4" w:space="0" w:color="auto"/>
            </w:tcBorders>
            <w:shd w:val="clear" w:color="auto" w:fill="FFFFFF" w:themeFill="background1"/>
          </w:tcPr>
          <w:p w:rsidR="00281DD3" w:rsidRDefault="00281DD3">
            <w:pPr>
              <w:autoSpaceDE w:val="0"/>
              <w:autoSpaceDN w:val="0"/>
              <w:adjustRightInd w:val="0"/>
              <w:jc w:val="both"/>
              <w:rPr>
                <w:rFonts w:ascii="Arial Narrow" w:hAnsi="Arial Narrow" w:cs="Arial"/>
                <w:color w:val="000000" w:themeColor="text1"/>
                <w:szCs w:val="24"/>
                <w:shd w:val="clear" w:color="auto" w:fill="FFFFFF"/>
              </w:rPr>
            </w:pPr>
          </w:p>
          <w:p w:rsidR="00281DD3" w:rsidRDefault="00C23069">
            <w:pPr>
              <w:pStyle w:val="Listavistosa-nfasis11"/>
              <w:ind w:left="0"/>
              <w:jc w:val="both"/>
              <w:rPr>
                <w:rFonts w:ascii="Arial Narrow" w:eastAsia="Times New Roman" w:hAnsi="Arial Narrow" w:cs="Arial"/>
                <w:color w:val="000000" w:themeColor="text1"/>
                <w:sz w:val="24"/>
                <w:szCs w:val="24"/>
                <w:lang w:val="es-ES" w:eastAsia="es-ES"/>
              </w:rPr>
            </w:pPr>
            <w:r>
              <w:rPr>
                <w:rFonts w:ascii="Arial Narrow" w:eastAsia="Times New Roman" w:hAnsi="Arial Narrow" w:cs="Arial"/>
                <w:color w:val="000000" w:themeColor="text1"/>
                <w:sz w:val="24"/>
                <w:szCs w:val="24"/>
                <w:lang w:val="es-ES" w:eastAsia="es-ES"/>
              </w:rPr>
              <w:t xml:space="preserve">La Subdirección de Tecnologías de la Información y las Comunicaciones, a través del Departamento de Gestión de Infraestructura y Redes garantiza la disposición de los elementos de hardware y software necesarios para el funcionamiento de las plataformas de tecnologías de la información de la Entidad. </w:t>
            </w:r>
            <w:r>
              <w:rPr>
                <w:rFonts w:ascii="Arial Narrow" w:eastAsia="Times New Roman" w:hAnsi="Arial Narrow" w:cs="Arial"/>
                <w:color w:val="000000" w:themeColor="text1"/>
                <w:sz w:val="24"/>
                <w:szCs w:val="24"/>
                <w:lang w:val="es-ES"/>
              </w:rPr>
              <w:t xml:space="preserve">De manera que, la Fiscalía General de la Nación en su gestión cotidiana </w:t>
            </w:r>
          </w:p>
          <w:p w:rsidR="00281DD3" w:rsidRDefault="00C23069">
            <w:pPr>
              <w:pStyle w:val="Sinespaciado"/>
              <w:jc w:val="both"/>
              <w:rPr>
                <w:rFonts w:ascii="Arial Narrow" w:hAnsi="Arial Narrow" w:cs="Arial"/>
                <w:color w:val="000000" w:themeColor="text1"/>
              </w:rPr>
            </w:pPr>
            <w:r>
              <w:rPr>
                <w:rFonts w:ascii="Arial Narrow" w:hAnsi="Arial Narrow" w:cs="Arial"/>
                <w:color w:val="000000" w:themeColor="text1"/>
              </w:rPr>
              <w:t>En el marco de lo anterior, teniendo en cuenta que la Fiscalía General de la Nación cuenta con elementos de hardware y software para el desarrollo de sus funciones, frente a los cuales, eventualmente se pueden presentar requerimientos, incidentes o solicitudes relacionadas con su operación y funcionamiento, por lo tanto, se requiere de soluciones de software con el fin de centralizar las solicitudes de los servidores en un punto único de contacto mediante la cual se registraren, escalen y resuelvan y/o canalicen todas las solicitudes, de una manera oportuna, eficiente y efectiva.</w:t>
            </w:r>
          </w:p>
          <w:p w:rsidR="00281DD3" w:rsidRDefault="00281DD3">
            <w:pPr>
              <w:pStyle w:val="Listavistosa-nfasis11"/>
              <w:ind w:left="0"/>
              <w:jc w:val="both"/>
              <w:rPr>
                <w:rFonts w:ascii="Arial Narrow" w:eastAsia="Times New Roman" w:hAnsi="Arial Narrow" w:cs="Arial"/>
                <w:color w:val="000000" w:themeColor="text1"/>
                <w:sz w:val="24"/>
                <w:szCs w:val="24"/>
                <w:lang w:val="es-ES" w:eastAsia="es-ES"/>
              </w:rPr>
            </w:pPr>
          </w:p>
          <w:p w:rsidR="00281DD3" w:rsidRDefault="00C23069">
            <w:pPr>
              <w:pStyle w:val="Listavistosa-nfasis11"/>
              <w:ind w:left="0"/>
              <w:jc w:val="both"/>
              <w:rPr>
                <w:rFonts w:ascii="Arial Narrow" w:eastAsia="Times New Roman" w:hAnsi="Arial Narrow" w:cs="Arial"/>
                <w:color w:val="000000" w:themeColor="text1"/>
                <w:sz w:val="24"/>
                <w:szCs w:val="24"/>
                <w:lang w:val="es-ES" w:eastAsia="es-ES"/>
              </w:rPr>
            </w:pPr>
            <w:r>
              <w:rPr>
                <w:rFonts w:ascii="Arial Narrow" w:eastAsia="Times New Roman" w:hAnsi="Arial Narrow" w:cs="Arial"/>
                <w:color w:val="000000" w:themeColor="text1"/>
                <w:sz w:val="24"/>
                <w:szCs w:val="24"/>
                <w:lang w:val="es-ES" w:eastAsia="es-ES"/>
              </w:rPr>
              <w:t>Por lo anterior, la Subdirección de Tecnologías de la Información y las Comunicaciones requiere atender de manera eficiente y oportuna las necesidades de las dependencias de la Fiscalía General de la Nación mediante el servicio de mesa de servicios en cada una de las sedes de la entidad a nivel nacional, a través delcual los funcionarios puedan registrar las solicitudes en la herramienta de gestión, lo cual,permitirá monitorear los tiempos de atención y solución, a través de un software de gestión de servicios.</w:t>
            </w:r>
          </w:p>
          <w:p w:rsidR="00281DD3" w:rsidRDefault="00C23069">
            <w:pPr>
              <w:pStyle w:val="Encabezado"/>
              <w:jc w:val="both"/>
              <w:rPr>
                <w:rFonts w:ascii="Arial Narrow" w:hAnsi="Arial Narrow" w:cs="Arial"/>
                <w:color w:val="000000" w:themeColor="text1"/>
                <w:szCs w:val="24"/>
              </w:rPr>
            </w:pPr>
            <w:r>
              <w:rPr>
                <w:rFonts w:ascii="Arial Narrow" w:hAnsi="Arial Narrow" w:cs="Arial"/>
                <w:color w:val="000000" w:themeColor="text1"/>
                <w:szCs w:val="24"/>
              </w:rPr>
              <w:t xml:space="preserve">En el anterior contexto, en el año 2005 </w:t>
            </w:r>
            <w:r>
              <w:rPr>
                <w:rFonts w:ascii="Arial Narrow" w:hAnsi="Arial Narrow" w:cs="Arial"/>
                <w:color w:val="000000" w:themeColor="text1"/>
                <w:szCs w:val="24"/>
                <w:shd w:val="clear" w:color="auto" w:fill="FFFFFF"/>
              </w:rPr>
              <w:t xml:space="preserve">mediante el </w:t>
            </w:r>
            <w:r>
              <w:rPr>
                <w:rFonts w:ascii="Arial Narrow" w:hAnsi="Arial Narrow" w:cs="Arial"/>
                <w:b/>
                <w:color w:val="000000" w:themeColor="text1"/>
                <w:szCs w:val="24"/>
                <w:shd w:val="clear" w:color="auto" w:fill="FFFFFF"/>
              </w:rPr>
              <w:t>CONTRATO N°. 0080 DE 2005</w:t>
            </w:r>
            <w:r>
              <w:rPr>
                <w:rFonts w:ascii="Arial Narrow" w:hAnsi="Arial Narrow" w:cs="Arial"/>
                <w:color w:val="000000" w:themeColor="text1"/>
                <w:szCs w:val="24"/>
              </w:rPr>
              <w:t xml:space="preserve"> la entidad adquirió por primera vez una herramienta de gestión denominada </w:t>
            </w:r>
            <w:r>
              <w:rPr>
                <w:rFonts w:ascii="Arial Narrow" w:hAnsi="Arial Narrow" w:cs="Arial"/>
                <w:b/>
                <w:color w:val="000000" w:themeColor="text1"/>
                <w:szCs w:val="24"/>
              </w:rPr>
              <w:t>DEXON</w:t>
            </w:r>
            <w:r>
              <w:rPr>
                <w:rFonts w:ascii="Arial Narrow" w:hAnsi="Arial Narrow" w:cs="Arial"/>
                <w:color w:val="000000" w:themeColor="text1"/>
                <w:szCs w:val="24"/>
              </w:rPr>
              <w:t xml:space="preserve"> software, con el fin de centralizar las solicitudes de los servidores en un punto único de contacto mediante la cual se registran, canalizan, gestionan y resuelven las mismas.</w:t>
            </w:r>
          </w:p>
          <w:p w:rsidR="00281DD3" w:rsidRDefault="00281DD3">
            <w:pPr>
              <w:pStyle w:val="Encabezado"/>
              <w:jc w:val="both"/>
              <w:rPr>
                <w:rFonts w:ascii="Arial Narrow" w:hAnsi="Arial Narrow" w:cs="Arial"/>
                <w:color w:val="000000" w:themeColor="text1"/>
                <w:szCs w:val="24"/>
              </w:rPr>
            </w:pPr>
          </w:p>
          <w:p w:rsidR="00281DD3" w:rsidRDefault="00C23069">
            <w:pPr>
              <w:pStyle w:val="Encabezado"/>
              <w:jc w:val="both"/>
              <w:rPr>
                <w:rFonts w:ascii="Arial Narrow" w:hAnsi="Arial Narrow" w:cs="Arial"/>
                <w:color w:val="000000" w:themeColor="text1"/>
                <w:szCs w:val="24"/>
              </w:rPr>
            </w:pPr>
            <w:r>
              <w:rPr>
                <w:rFonts w:ascii="Arial Narrow" w:hAnsi="Arial Narrow" w:cs="Arial"/>
                <w:color w:val="000000" w:themeColor="text1"/>
                <w:szCs w:val="24"/>
              </w:rPr>
              <w:t xml:space="preserve">Ahora bien, </w:t>
            </w:r>
            <w:r>
              <w:rPr>
                <w:rFonts w:ascii="Arial Narrow" w:hAnsi="Arial Narrow"/>
                <w:color w:val="000000" w:themeColor="text1"/>
                <w:szCs w:val="24"/>
              </w:rPr>
              <w:t>.</w:t>
            </w:r>
            <w:r>
              <w:rPr>
                <w:rFonts w:ascii="Arial Narrow" w:hAnsi="Arial Narrow" w:cs="Arial"/>
                <w:color w:val="000000" w:themeColor="text1"/>
                <w:szCs w:val="24"/>
              </w:rPr>
              <w:t xml:space="preserve">posteriormente mediante </w:t>
            </w:r>
            <w:r>
              <w:rPr>
                <w:rFonts w:ascii="Arial Narrow" w:hAnsi="Arial Narrow" w:cs="Arial"/>
                <w:b/>
                <w:color w:val="000000" w:themeColor="text1"/>
                <w:szCs w:val="24"/>
              </w:rPr>
              <w:t>CONTRATO NO. 078 DE 2011</w:t>
            </w:r>
            <w:r>
              <w:rPr>
                <w:rFonts w:ascii="Arial Narrow" w:hAnsi="Arial Narrow" w:cs="Arial"/>
                <w:color w:val="000000" w:themeColor="text1"/>
                <w:szCs w:val="24"/>
              </w:rPr>
              <w:t xml:space="preserve"> se renovó la actualización del licenciamiento adquirido y componentes, así:</w:t>
            </w:r>
          </w:p>
          <w:p w:rsidR="00281DD3" w:rsidRDefault="00281DD3">
            <w:pPr>
              <w:rPr>
                <w:rFonts w:ascii="Arial Narrow" w:hAnsi="Arial Narrow" w:cs="Arial"/>
                <w:color w:val="000000" w:themeColor="text1"/>
                <w:szCs w:val="24"/>
              </w:rPr>
            </w:pPr>
          </w:p>
          <w:p w:rsidR="00281DD3" w:rsidRDefault="00C23069">
            <w:pPr>
              <w:pStyle w:val="Prrafodelista"/>
              <w:numPr>
                <w:ilvl w:val="0"/>
                <w:numId w:val="9"/>
              </w:numPr>
              <w:spacing w:after="0" w:line="240" w:lineRule="auto"/>
              <w:contextualSpacing w:val="0"/>
              <w:rPr>
                <w:rFonts w:ascii="Arial Narrow" w:hAnsi="Arial Narrow" w:cs="Arial"/>
                <w:color w:val="000000" w:themeColor="text1"/>
                <w:sz w:val="24"/>
                <w:szCs w:val="24"/>
                <w:lang w:val="en-US"/>
              </w:rPr>
            </w:pPr>
            <w:r>
              <w:rPr>
                <w:rFonts w:ascii="Arial Narrow" w:hAnsi="Arial Narrow" w:cs="Arial"/>
                <w:color w:val="000000" w:themeColor="text1"/>
                <w:sz w:val="24"/>
                <w:szCs w:val="24"/>
                <w:lang w:val="en-US"/>
              </w:rPr>
              <w:t>IT Asset Remote Manager Standard (12.100 licencias) a perpetuidad.</w:t>
            </w:r>
          </w:p>
          <w:p w:rsidR="00281DD3" w:rsidRDefault="00C23069">
            <w:pPr>
              <w:pStyle w:val="Prrafodelista"/>
              <w:numPr>
                <w:ilvl w:val="0"/>
                <w:numId w:val="9"/>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Service Desk Basic Admin (1 licencia) a perpetuidad.</w:t>
            </w:r>
          </w:p>
          <w:p w:rsidR="00281DD3" w:rsidRDefault="00C23069">
            <w:pPr>
              <w:pStyle w:val="Prrafodelista"/>
              <w:numPr>
                <w:ilvl w:val="0"/>
                <w:numId w:val="9"/>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Service Desk Basic Técnicos (60 licencias) a perpetuidad.</w:t>
            </w:r>
          </w:p>
          <w:p w:rsidR="00281DD3" w:rsidRDefault="00C23069">
            <w:pPr>
              <w:pStyle w:val="Prrafodelista"/>
              <w:numPr>
                <w:ilvl w:val="0"/>
                <w:numId w:val="9"/>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Service Desk Reports Manager (1 licencia) a perpetuidad.</w:t>
            </w:r>
          </w:p>
          <w:p w:rsidR="00281DD3" w:rsidRDefault="00C23069">
            <w:pPr>
              <w:pStyle w:val="Prrafodelista"/>
              <w:numPr>
                <w:ilvl w:val="0"/>
                <w:numId w:val="9"/>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Service Desk Web Interface (1 licencia) a perpetuidad.</w:t>
            </w:r>
          </w:p>
          <w:p w:rsidR="00281DD3" w:rsidRDefault="00C23069">
            <w:pPr>
              <w:pStyle w:val="Prrafodelista"/>
              <w:numPr>
                <w:ilvl w:val="0"/>
                <w:numId w:val="9"/>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Servicios de soporte técnico en sitio.</w:t>
            </w:r>
          </w:p>
          <w:p w:rsidR="00281DD3" w:rsidRDefault="00C23069">
            <w:pPr>
              <w:pStyle w:val="Prrafodelista"/>
              <w:numPr>
                <w:ilvl w:val="0"/>
                <w:numId w:val="9"/>
              </w:numPr>
              <w:spacing w:after="0" w:line="240" w:lineRule="auto"/>
              <w:contextualSpacing w:val="0"/>
              <w:rPr>
                <w:rFonts w:ascii="Arial Narrow" w:hAnsi="Arial Narrow" w:cs="Arial"/>
                <w:color w:val="000000" w:themeColor="text1"/>
                <w:sz w:val="24"/>
                <w:szCs w:val="24"/>
              </w:rPr>
            </w:pPr>
            <w:r>
              <w:rPr>
                <w:rFonts w:ascii="Arial Narrow" w:hAnsi="Arial Narrow" w:cs="Arial"/>
                <w:color w:val="000000" w:themeColor="text1"/>
                <w:sz w:val="24"/>
                <w:szCs w:val="24"/>
              </w:rPr>
              <w:t>Garantía y actualizaciones por tres (3) años.</w:t>
            </w:r>
          </w:p>
          <w:p w:rsidR="00281DD3" w:rsidRDefault="00C23069">
            <w:pPr>
              <w:spacing w:line="276" w:lineRule="auto"/>
              <w:contextualSpacing/>
              <w:rPr>
                <w:rFonts w:ascii="Arial Narrow" w:hAnsi="Arial Narrow" w:cs="Arial"/>
                <w:color w:val="000000" w:themeColor="text1"/>
                <w:szCs w:val="24"/>
              </w:rPr>
            </w:pPr>
            <w:r>
              <w:rPr>
                <w:rFonts w:ascii="Arial Narrow" w:hAnsi="Arial Narrow" w:cs="Arial"/>
                <w:color w:val="000000" w:themeColor="text1"/>
                <w:szCs w:val="24"/>
              </w:rPr>
              <w:t xml:space="preserve"> </w:t>
            </w: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Posteriormente, mediante </w:t>
            </w:r>
            <w:r>
              <w:rPr>
                <w:rFonts w:ascii="Arial Narrow" w:hAnsi="Arial Narrow" w:cs="Arial"/>
                <w:b/>
                <w:color w:val="000000" w:themeColor="text1"/>
                <w:szCs w:val="24"/>
              </w:rPr>
              <w:t>CONTRATO NO. 0046 DE 2020</w:t>
            </w:r>
            <w:r>
              <w:rPr>
                <w:rFonts w:ascii="Arial Narrow" w:hAnsi="Arial Narrow" w:cs="Arial"/>
                <w:color w:val="000000" w:themeColor="text1"/>
                <w:szCs w:val="24"/>
              </w:rPr>
              <w:t xml:space="preserve"> nuevamente se renovó el licenciamiento, soporte y actualización de software de Gestión por tres años, con los siguientes componentes:</w:t>
            </w:r>
          </w:p>
          <w:p w:rsidR="00281DD3" w:rsidRDefault="00281DD3">
            <w:pPr>
              <w:rPr>
                <w:rFonts w:ascii="Arial Narrow" w:hAnsi="Arial Narrow" w:cs="Arial"/>
                <w:color w:val="000000" w:themeColor="text1"/>
                <w:szCs w:val="24"/>
              </w:rPr>
            </w:pPr>
          </w:p>
          <w:p w:rsidR="00281DD3" w:rsidRDefault="00C23069">
            <w:pPr>
              <w:pStyle w:val="Prrafodelista"/>
              <w:numPr>
                <w:ilvl w:val="0"/>
                <w:numId w:val="9"/>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Actualización, licencias IT ASSEST REMOTE MANAGER STANDARD (12.100 licencias)</w:t>
            </w:r>
          </w:p>
          <w:p w:rsidR="00281DD3" w:rsidRDefault="00C23069">
            <w:pPr>
              <w:pStyle w:val="Prrafodelista"/>
              <w:numPr>
                <w:ilvl w:val="0"/>
                <w:numId w:val="9"/>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Actualización licencia Service Desk Reports Manager (1 licencia)</w:t>
            </w:r>
          </w:p>
          <w:p w:rsidR="00281DD3" w:rsidRDefault="00C23069">
            <w:pPr>
              <w:pStyle w:val="Prrafodelista"/>
              <w:numPr>
                <w:ilvl w:val="0"/>
                <w:numId w:val="9"/>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 xml:space="preserve">Actualización licencias Service Desk Basic Técnicos (60 licencias) </w:t>
            </w:r>
          </w:p>
          <w:p w:rsidR="00281DD3" w:rsidRDefault="00C23069">
            <w:pPr>
              <w:pStyle w:val="Prrafodelista"/>
              <w:numPr>
                <w:ilvl w:val="0"/>
                <w:numId w:val="9"/>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Actualización licencia Service Desk Web Interface (1 licencia)</w:t>
            </w:r>
          </w:p>
          <w:p w:rsidR="00281DD3" w:rsidRDefault="00C23069">
            <w:pPr>
              <w:pStyle w:val="Prrafodelista"/>
              <w:numPr>
                <w:ilvl w:val="0"/>
                <w:numId w:val="9"/>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Adquisición de licencias en modalidad de suscripción Service Desk Basic Técnicos (190 licencias)</w:t>
            </w:r>
          </w:p>
          <w:p w:rsidR="00281DD3" w:rsidRDefault="00C23069">
            <w:pPr>
              <w:pStyle w:val="Prrafodelista"/>
              <w:numPr>
                <w:ilvl w:val="0"/>
                <w:numId w:val="9"/>
              </w:numPr>
              <w:spacing w:after="0" w:line="240" w:lineRule="auto"/>
              <w:contextualSpacing w:val="0"/>
              <w:jc w:val="both"/>
              <w:rPr>
                <w:rFonts w:ascii="Arial Narrow" w:hAnsi="Arial Narrow" w:cs="Arial"/>
                <w:color w:val="000000" w:themeColor="text1"/>
                <w:sz w:val="24"/>
                <w:szCs w:val="24"/>
                <w:lang w:val="en-US"/>
              </w:rPr>
            </w:pPr>
            <w:r>
              <w:rPr>
                <w:rFonts w:ascii="Arial Narrow" w:hAnsi="Arial Narrow" w:cs="Arial"/>
                <w:color w:val="000000" w:themeColor="text1"/>
                <w:sz w:val="24"/>
                <w:szCs w:val="24"/>
                <w:lang w:val="en-US"/>
              </w:rPr>
              <w:t>Adquisición licencias IT ASSEST REMOTE MANAGER STANDARD (22.900 licencias)</w:t>
            </w:r>
          </w:p>
          <w:p w:rsidR="00281DD3" w:rsidRDefault="00C23069">
            <w:pPr>
              <w:pStyle w:val="Prrafodelista"/>
              <w:numPr>
                <w:ilvl w:val="0"/>
                <w:numId w:val="9"/>
              </w:numPr>
              <w:spacing w:after="0" w:line="240" w:lineRule="auto"/>
              <w:contextualSpacing w:val="0"/>
              <w:jc w:val="both"/>
              <w:rPr>
                <w:rFonts w:ascii="Arial Narrow" w:hAnsi="Arial Narrow" w:cs="Arial"/>
                <w:color w:val="000000" w:themeColor="text1"/>
                <w:sz w:val="24"/>
                <w:szCs w:val="24"/>
              </w:rPr>
            </w:pPr>
            <w:r>
              <w:rPr>
                <w:rFonts w:ascii="Arial Narrow" w:hAnsi="Arial Narrow" w:cs="Arial"/>
                <w:color w:val="000000" w:themeColor="text1"/>
                <w:sz w:val="24"/>
                <w:szCs w:val="24"/>
              </w:rPr>
              <w:t>Servicios de migración de la información y parametrización de la Herramienta de Gestión según lo requerido en las especificaciones técnicas (1 licencia)</w:t>
            </w:r>
          </w:p>
          <w:p w:rsidR="00281DD3" w:rsidRDefault="00281DD3">
            <w:pPr>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Producto de esta contratación, la entidad cuenta con una herramienta para la administración de servicios que se prestan a través de la mesa de servicios, cuya versión actualizada permite acceder tanto a los módulos adquiridos en contratos anteriores, como a los 16 módulos de los procesos de la biblioteca ITIL, que facilita la atención de las necesidades del modelo de servicios del proceso de gestión tecnológica, mediante el catálogo de servicios de TI, así como los catálogos de servicios ofrecidos por la Subdirección de Gestión Documental y el Departamento de Administración de Sedes y Construcciones.</w:t>
            </w: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Ahora bien, con la finalidad de contar con mayor capacidad de gestión de soporte en los diferentes catálogos de servicios expuestos en la herramienta de gestión DEXON, mediante </w:t>
            </w:r>
            <w:r>
              <w:rPr>
                <w:rFonts w:ascii="Arial Narrow" w:hAnsi="Arial Narrow" w:cs="Arial"/>
                <w:b/>
                <w:color w:val="000000" w:themeColor="text1"/>
                <w:szCs w:val="24"/>
              </w:rPr>
              <w:t>CONTRATO NO. 027 DE 2022</w:t>
            </w:r>
            <w:r>
              <w:rPr>
                <w:rFonts w:ascii="Arial Narrow" w:hAnsi="Arial Narrow" w:cs="Arial"/>
                <w:color w:val="000000" w:themeColor="text1"/>
                <w:szCs w:val="24"/>
              </w:rPr>
              <w:t xml:space="preserve"> se adquirieron 409 licencias en modalidad de suscripción Service Desk Basic Técnicos, las cuales permiten soportar el portafolio de servicios, de la Subdirección de Tecnologías de la Información y las Comunicaciones, el Grupo de Administración de Sedes adscrito al Departamento de Construcciones y la Subdirección de Gestión Documental.</w:t>
            </w: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Mediante </w:t>
            </w:r>
            <w:r>
              <w:rPr>
                <w:rFonts w:ascii="Arial Narrow" w:hAnsi="Arial Narrow" w:cs="Arial"/>
                <w:b/>
                <w:color w:val="000000" w:themeColor="text1"/>
                <w:szCs w:val="24"/>
              </w:rPr>
              <w:t>CONTRATO NO. 0056 DE 2023</w:t>
            </w:r>
            <w:r>
              <w:rPr>
                <w:rFonts w:ascii="Arial Narrow" w:hAnsi="Arial Narrow" w:cs="Arial"/>
                <w:color w:val="000000" w:themeColor="text1"/>
                <w:szCs w:val="24"/>
              </w:rPr>
              <w:t xml:space="preserve"> la entidad renovó el licenciamiento de 383 de soporte y garantía del software de gestión.</w:t>
            </w: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De esta manera, se registra el siguiente inventario actual de licencias DEXON para la Fiscalía General de la nación: </w:t>
            </w:r>
          </w:p>
          <w:tbl>
            <w:tblPr>
              <w:tblStyle w:val="Tablaconcuadrcula"/>
              <w:tblpPr w:leftFromText="141" w:rightFromText="141" w:vertAnchor="text" w:horzAnchor="page" w:tblpX="2398" w:tblpY="80"/>
              <w:tblOverlap w:val="never"/>
              <w:tblW w:w="6110" w:type="dxa"/>
              <w:tblLayout w:type="fixed"/>
              <w:tblLook w:val="04A0" w:firstRow="1" w:lastRow="0" w:firstColumn="1" w:lastColumn="0" w:noHBand="0" w:noVBand="1"/>
            </w:tblPr>
            <w:tblGrid>
              <w:gridCol w:w="1255"/>
              <w:gridCol w:w="1744"/>
              <w:gridCol w:w="1562"/>
              <w:gridCol w:w="1549"/>
            </w:tblGrid>
            <w:tr w:rsidR="00281DD3">
              <w:tc>
                <w:tcPr>
                  <w:tcW w:w="6110" w:type="dxa"/>
                  <w:gridSpan w:val="4"/>
                  <w:shd w:val="clear" w:color="auto" w:fill="D9D9D9" w:themeFill="background1" w:themeFillShade="D9"/>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Inventario actual licencias DEXON</w:t>
                  </w:r>
                </w:p>
              </w:tc>
            </w:tr>
            <w:tr w:rsidR="00281DD3">
              <w:tc>
                <w:tcPr>
                  <w:tcW w:w="1255" w:type="dxa"/>
                  <w:shd w:val="clear" w:color="auto" w:fill="D9D9D9" w:themeFill="background1" w:themeFillShade="D9"/>
                </w:tcPr>
                <w:p w:rsidR="00281DD3" w:rsidRDefault="00C23069">
                  <w:pPr>
                    <w:rPr>
                      <w:rFonts w:ascii="Arial Narrow" w:hAnsi="Arial Narrow" w:cs="Arial"/>
                      <w:b/>
                      <w:color w:val="000000" w:themeColor="text1"/>
                      <w:szCs w:val="24"/>
                    </w:rPr>
                  </w:pPr>
                  <w:r>
                    <w:rPr>
                      <w:rFonts w:ascii="Arial Narrow" w:hAnsi="Arial Narrow" w:cs="Arial"/>
                      <w:b/>
                      <w:color w:val="000000" w:themeColor="text1"/>
                      <w:szCs w:val="24"/>
                    </w:rPr>
                    <w:t>TIPO LICENCIA</w:t>
                  </w:r>
                </w:p>
              </w:tc>
              <w:tc>
                <w:tcPr>
                  <w:tcW w:w="1744" w:type="dxa"/>
                  <w:shd w:val="clear" w:color="auto" w:fill="D9D9D9" w:themeFill="background1" w:themeFillShade="D9"/>
                </w:tcPr>
                <w:p w:rsidR="00281DD3" w:rsidRDefault="00C23069">
                  <w:pPr>
                    <w:rPr>
                      <w:rFonts w:ascii="Arial Narrow" w:hAnsi="Arial Narrow" w:cs="Arial"/>
                      <w:b/>
                      <w:color w:val="000000" w:themeColor="text1"/>
                      <w:szCs w:val="24"/>
                    </w:rPr>
                  </w:pPr>
                  <w:r>
                    <w:rPr>
                      <w:rFonts w:ascii="Arial Narrow" w:hAnsi="Arial Narrow" w:cs="Arial"/>
                      <w:b/>
                      <w:color w:val="000000" w:themeColor="text1"/>
                      <w:szCs w:val="24"/>
                    </w:rPr>
                    <w:t xml:space="preserve">DESCRIPCION </w:t>
                  </w:r>
                </w:p>
              </w:tc>
              <w:tc>
                <w:tcPr>
                  <w:tcW w:w="1562" w:type="dxa"/>
                  <w:shd w:val="clear" w:color="auto" w:fill="D9D9D9" w:themeFill="background1" w:themeFillShade="D9"/>
                </w:tcPr>
                <w:p w:rsidR="00281DD3" w:rsidRDefault="00C23069">
                  <w:pPr>
                    <w:rPr>
                      <w:rFonts w:ascii="Arial Narrow" w:hAnsi="Arial Narrow" w:cs="Arial"/>
                      <w:b/>
                      <w:color w:val="000000" w:themeColor="text1"/>
                      <w:szCs w:val="24"/>
                    </w:rPr>
                  </w:pPr>
                  <w:r>
                    <w:rPr>
                      <w:rFonts w:ascii="Arial Narrow" w:hAnsi="Arial Narrow" w:cs="Arial"/>
                      <w:b/>
                      <w:color w:val="000000" w:themeColor="text1"/>
                      <w:szCs w:val="24"/>
                    </w:rPr>
                    <w:t>CANTIDAD</w:t>
                  </w:r>
                </w:p>
              </w:tc>
              <w:tc>
                <w:tcPr>
                  <w:tcW w:w="1549" w:type="dxa"/>
                  <w:shd w:val="clear" w:color="auto" w:fill="D9D9D9" w:themeFill="background1" w:themeFillShade="D9"/>
                </w:tcPr>
                <w:p w:rsidR="00281DD3" w:rsidRDefault="00C23069">
                  <w:pPr>
                    <w:rPr>
                      <w:rFonts w:ascii="Arial Narrow" w:hAnsi="Arial Narrow" w:cs="Arial"/>
                      <w:b/>
                      <w:color w:val="000000" w:themeColor="text1"/>
                      <w:szCs w:val="24"/>
                    </w:rPr>
                  </w:pPr>
                  <w:r>
                    <w:rPr>
                      <w:rFonts w:ascii="Arial Narrow" w:hAnsi="Arial Narrow" w:cs="Arial"/>
                      <w:b/>
                      <w:color w:val="000000" w:themeColor="text1"/>
                      <w:szCs w:val="24"/>
                    </w:rPr>
                    <w:t>VIGENCIA</w:t>
                  </w:r>
                </w:p>
              </w:tc>
            </w:tr>
            <w:tr w:rsidR="00281DD3">
              <w:tc>
                <w:tcPr>
                  <w:tcW w:w="1255" w:type="dxa"/>
                </w:tcPr>
                <w:p w:rsidR="00281DD3" w:rsidRDefault="00C23069">
                  <w:pPr>
                    <w:rPr>
                      <w:rFonts w:ascii="Arial Narrow" w:hAnsi="Arial Narrow" w:cs="Arial"/>
                      <w:color w:val="000000" w:themeColor="text1"/>
                      <w:szCs w:val="24"/>
                      <w:lang w:val="en-US"/>
                    </w:rPr>
                  </w:pPr>
                  <w:r>
                    <w:rPr>
                      <w:rFonts w:ascii="Arial Narrow" w:hAnsi="Arial Narrow" w:cs="Arial"/>
                      <w:color w:val="000000" w:themeColor="text1"/>
                      <w:szCs w:val="24"/>
                      <w:lang w:val="en-US"/>
                    </w:rPr>
                    <w:t xml:space="preserve">IT Asset remote manager standard </w:t>
                  </w:r>
                </w:p>
              </w:tc>
              <w:tc>
                <w:tcPr>
                  <w:tcW w:w="1744"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Agente inventario (aplicación inventario y control remoto)</w:t>
                  </w:r>
                </w:p>
              </w:tc>
              <w:tc>
                <w:tcPr>
                  <w:tcW w:w="1562" w:type="dxa"/>
                </w:tcPr>
                <w:p w:rsidR="00281DD3" w:rsidRDefault="00C23069">
                  <w:pPr>
                    <w:jc w:val="right"/>
                    <w:rPr>
                      <w:rFonts w:ascii="Arial Narrow" w:hAnsi="Arial Narrow" w:cs="Arial"/>
                      <w:color w:val="000000" w:themeColor="text1"/>
                      <w:szCs w:val="24"/>
                    </w:rPr>
                  </w:pPr>
                  <w:r>
                    <w:rPr>
                      <w:rFonts w:ascii="Arial Narrow" w:hAnsi="Arial Narrow" w:cs="Arial"/>
                      <w:color w:val="000000" w:themeColor="text1"/>
                      <w:szCs w:val="24"/>
                    </w:rPr>
                    <w:t>12.100</w:t>
                  </w:r>
                </w:p>
              </w:tc>
              <w:tc>
                <w:tcPr>
                  <w:tcW w:w="1549"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Service Desk Basic Admin</w:t>
                  </w:r>
                </w:p>
              </w:tc>
              <w:tc>
                <w:tcPr>
                  <w:tcW w:w="1744"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Acceso Técnico administrador</w:t>
                  </w:r>
                </w:p>
              </w:tc>
              <w:tc>
                <w:tcPr>
                  <w:tcW w:w="1562" w:type="dxa"/>
                </w:tcPr>
                <w:p w:rsidR="00281DD3" w:rsidRDefault="00C23069">
                  <w:pPr>
                    <w:jc w:val="right"/>
                    <w:rPr>
                      <w:rFonts w:ascii="Arial Narrow" w:hAnsi="Arial Narrow" w:cs="Arial"/>
                      <w:color w:val="000000" w:themeColor="text1"/>
                      <w:szCs w:val="24"/>
                    </w:rPr>
                  </w:pPr>
                  <w:r>
                    <w:rPr>
                      <w:rFonts w:ascii="Arial Narrow" w:hAnsi="Arial Narrow" w:cs="Arial"/>
                      <w:color w:val="000000" w:themeColor="text1"/>
                      <w:szCs w:val="24"/>
                    </w:rPr>
                    <w:t>1</w:t>
                  </w:r>
                </w:p>
              </w:tc>
              <w:tc>
                <w:tcPr>
                  <w:tcW w:w="1549"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Service Desk Basic Técnicos</w:t>
                  </w:r>
                </w:p>
              </w:tc>
              <w:tc>
                <w:tcPr>
                  <w:tcW w:w="1744"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 xml:space="preserve">Accesos técnicos y especialistas </w:t>
                  </w:r>
                </w:p>
              </w:tc>
              <w:tc>
                <w:tcPr>
                  <w:tcW w:w="1562" w:type="dxa"/>
                </w:tcPr>
                <w:p w:rsidR="00281DD3" w:rsidRDefault="00C23069">
                  <w:pPr>
                    <w:jc w:val="right"/>
                    <w:rPr>
                      <w:rFonts w:ascii="Arial Narrow" w:hAnsi="Arial Narrow" w:cs="Arial"/>
                      <w:color w:val="000000" w:themeColor="text1"/>
                      <w:szCs w:val="24"/>
                    </w:rPr>
                  </w:pPr>
                  <w:r>
                    <w:rPr>
                      <w:rFonts w:ascii="Arial Narrow" w:hAnsi="Arial Narrow" w:cs="Arial"/>
                      <w:color w:val="000000" w:themeColor="text1"/>
                      <w:szCs w:val="24"/>
                    </w:rPr>
                    <w:t>190</w:t>
                  </w:r>
                </w:p>
              </w:tc>
              <w:tc>
                <w:tcPr>
                  <w:tcW w:w="1549"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Service Desk Basic Técnicos</w:t>
                  </w:r>
                </w:p>
              </w:tc>
              <w:tc>
                <w:tcPr>
                  <w:tcW w:w="1744"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 xml:space="preserve">Accesos técnicos y especialistas </w:t>
                  </w:r>
                </w:p>
              </w:tc>
              <w:tc>
                <w:tcPr>
                  <w:tcW w:w="1562" w:type="dxa"/>
                </w:tcPr>
                <w:p w:rsidR="00281DD3" w:rsidRDefault="00C23069">
                  <w:pPr>
                    <w:jc w:val="right"/>
                    <w:rPr>
                      <w:rFonts w:ascii="Arial Narrow" w:hAnsi="Arial Narrow" w:cs="Arial"/>
                      <w:color w:val="000000" w:themeColor="text1"/>
                      <w:szCs w:val="24"/>
                    </w:rPr>
                  </w:pPr>
                  <w:r>
                    <w:rPr>
                      <w:rFonts w:ascii="Arial Narrow" w:hAnsi="Arial Narrow" w:cs="Arial"/>
                      <w:color w:val="000000" w:themeColor="text1"/>
                      <w:szCs w:val="24"/>
                    </w:rPr>
                    <w:t>60</w:t>
                  </w:r>
                </w:p>
              </w:tc>
              <w:tc>
                <w:tcPr>
                  <w:tcW w:w="1549"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Dexon Work Flow</w:t>
                  </w:r>
                </w:p>
              </w:tc>
              <w:tc>
                <w:tcPr>
                  <w:tcW w:w="1744"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flujo de trabajo técnicos</w:t>
                  </w:r>
                </w:p>
              </w:tc>
              <w:tc>
                <w:tcPr>
                  <w:tcW w:w="1562" w:type="dxa"/>
                </w:tcPr>
                <w:p w:rsidR="00281DD3" w:rsidRDefault="00C23069">
                  <w:pPr>
                    <w:jc w:val="right"/>
                    <w:rPr>
                      <w:rFonts w:ascii="Arial Narrow" w:hAnsi="Arial Narrow" w:cs="Arial"/>
                      <w:color w:val="000000" w:themeColor="text1"/>
                      <w:szCs w:val="24"/>
                    </w:rPr>
                  </w:pPr>
                  <w:r>
                    <w:rPr>
                      <w:rFonts w:ascii="Arial Narrow" w:hAnsi="Arial Narrow" w:cs="Arial"/>
                      <w:color w:val="000000" w:themeColor="text1"/>
                      <w:szCs w:val="24"/>
                    </w:rPr>
                    <w:t>10</w:t>
                  </w:r>
                </w:p>
              </w:tc>
              <w:tc>
                <w:tcPr>
                  <w:tcW w:w="1549"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shd w:val="clear" w:color="auto" w:fill="auto"/>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Service Desk Web Interface</w:t>
                  </w:r>
                </w:p>
              </w:tc>
              <w:tc>
                <w:tcPr>
                  <w:tcW w:w="1744"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Acceso web usuarios</w:t>
                  </w:r>
                </w:p>
              </w:tc>
              <w:tc>
                <w:tcPr>
                  <w:tcW w:w="1562" w:type="dxa"/>
                </w:tcPr>
                <w:p w:rsidR="00281DD3" w:rsidRDefault="00C23069">
                  <w:pPr>
                    <w:jc w:val="right"/>
                    <w:rPr>
                      <w:rFonts w:ascii="Arial Narrow" w:hAnsi="Arial Narrow" w:cs="Arial"/>
                      <w:color w:val="000000" w:themeColor="text1"/>
                      <w:szCs w:val="24"/>
                    </w:rPr>
                  </w:pPr>
                  <w:r>
                    <w:rPr>
                      <w:rFonts w:ascii="Arial Narrow" w:hAnsi="Arial Narrow" w:cs="Arial"/>
                      <w:color w:val="000000" w:themeColor="text1"/>
                      <w:szCs w:val="24"/>
                    </w:rPr>
                    <w:t>1</w:t>
                  </w:r>
                </w:p>
              </w:tc>
              <w:tc>
                <w:tcPr>
                  <w:tcW w:w="1549"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Service Desk Reports Manager</w:t>
                  </w:r>
                </w:p>
              </w:tc>
              <w:tc>
                <w:tcPr>
                  <w:tcW w:w="1744"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 xml:space="preserve">Permiso acceso a reportes </w:t>
                  </w:r>
                </w:p>
              </w:tc>
              <w:tc>
                <w:tcPr>
                  <w:tcW w:w="1562" w:type="dxa"/>
                </w:tcPr>
                <w:p w:rsidR="00281DD3" w:rsidRDefault="00C23069">
                  <w:pPr>
                    <w:jc w:val="right"/>
                    <w:rPr>
                      <w:rFonts w:ascii="Arial Narrow" w:hAnsi="Arial Narrow" w:cs="Arial"/>
                      <w:color w:val="000000" w:themeColor="text1"/>
                      <w:szCs w:val="24"/>
                    </w:rPr>
                  </w:pPr>
                  <w:r>
                    <w:rPr>
                      <w:rFonts w:ascii="Arial Narrow" w:hAnsi="Arial Narrow" w:cs="Arial"/>
                      <w:color w:val="000000" w:themeColor="text1"/>
                      <w:szCs w:val="24"/>
                    </w:rPr>
                    <w:t>1</w:t>
                  </w:r>
                </w:p>
              </w:tc>
              <w:tc>
                <w:tcPr>
                  <w:tcW w:w="1549"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Suscripción (Perpetuidad)</w:t>
                  </w:r>
                </w:p>
              </w:tc>
            </w:tr>
            <w:tr w:rsidR="00281DD3">
              <w:tc>
                <w:tcPr>
                  <w:tcW w:w="1255"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Service Desk Basic Técnicos</w:t>
                  </w:r>
                </w:p>
              </w:tc>
              <w:tc>
                <w:tcPr>
                  <w:tcW w:w="1744"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 xml:space="preserve">Accesos técnicos y especialistas </w:t>
                  </w:r>
                </w:p>
              </w:tc>
              <w:tc>
                <w:tcPr>
                  <w:tcW w:w="1562" w:type="dxa"/>
                </w:tcPr>
                <w:p w:rsidR="00281DD3" w:rsidRDefault="00C23069">
                  <w:pPr>
                    <w:jc w:val="right"/>
                    <w:rPr>
                      <w:rFonts w:ascii="Arial Narrow" w:hAnsi="Arial Narrow" w:cs="Arial"/>
                      <w:color w:val="000000" w:themeColor="text1"/>
                      <w:szCs w:val="24"/>
                    </w:rPr>
                  </w:pPr>
                  <w:r>
                    <w:rPr>
                      <w:rFonts w:ascii="Arial Narrow" w:hAnsi="Arial Narrow" w:cs="Arial"/>
                      <w:color w:val="000000" w:themeColor="text1"/>
                      <w:szCs w:val="24"/>
                    </w:rPr>
                    <w:t>383</w:t>
                  </w:r>
                </w:p>
              </w:tc>
              <w:tc>
                <w:tcPr>
                  <w:tcW w:w="1549" w:type="dxa"/>
                </w:tcPr>
                <w:p w:rsidR="00281DD3" w:rsidRDefault="00C23069">
                  <w:pPr>
                    <w:rPr>
                      <w:rFonts w:ascii="Arial Narrow" w:hAnsi="Arial Narrow" w:cs="Arial"/>
                      <w:color w:val="000000" w:themeColor="text1"/>
                      <w:szCs w:val="24"/>
                    </w:rPr>
                  </w:pPr>
                  <w:r>
                    <w:rPr>
                      <w:rFonts w:ascii="Arial Narrow" w:hAnsi="Arial Narrow" w:cs="Arial"/>
                      <w:color w:val="000000" w:themeColor="text1"/>
                      <w:szCs w:val="24"/>
                    </w:rPr>
                    <w:t>Modalidad SaaS desde el 17 de julio de 2023 al 17 de julio de 2024</w:t>
                  </w:r>
                </w:p>
              </w:tc>
            </w:tr>
          </w:tbl>
          <w:p w:rsidR="00281DD3" w:rsidRDefault="00281DD3">
            <w:pPr>
              <w:jc w:val="both"/>
              <w:rPr>
                <w:rFonts w:ascii="Arial Narrow" w:hAnsi="Arial Narrow" w:cs="Arial"/>
                <w:color w:val="000000" w:themeColor="text1"/>
                <w:szCs w:val="24"/>
              </w:rPr>
            </w:pPr>
          </w:p>
          <w:p w:rsidR="00281DD3" w:rsidRDefault="00281DD3">
            <w:pPr>
              <w:jc w:val="both"/>
              <w:rPr>
                <w:rFonts w:ascii="Arial Narrow" w:hAnsi="Arial Narrow" w:cs="Arial"/>
                <w:color w:val="000000" w:themeColor="text1"/>
                <w:szCs w:val="24"/>
              </w:rPr>
            </w:pPr>
          </w:p>
          <w:p w:rsidR="00281DD3" w:rsidRDefault="00281DD3">
            <w:pPr>
              <w:jc w:val="both"/>
              <w:rPr>
                <w:rFonts w:ascii="Arial Narrow" w:hAnsi="Arial Narrow" w:cs="Arial"/>
                <w:color w:val="000000" w:themeColor="text1"/>
                <w:szCs w:val="24"/>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281DD3">
            <w:pPr>
              <w:jc w:val="both"/>
              <w:rPr>
                <w:rFonts w:ascii="Arial Narrow" w:hAnsi="Arial Narrow" w:cs="Arial"/>
                <w:color w:val="000000" w:themeColor="text1"/>
                <w:szCs w:val="24"/>
                <w:shd w:val="clear" w:color="auto" w:fill="FFFFFF"/>
              </w:rPr>
            </w:pPr>
          </w:p>
          <w:p w:rsidR="00281DD3" w:rsidRDefault="00C23069">
            <w:pPr>
              <w:jc w:val="both"/>
              <w:rPr>
                <w:rFonts w:ascii="Arial Narrow" w:hAnsi="Arial Narrow" w:cs="Arial"/>
                <w:color w:val="000000" w:themeColor="text1"/>
                <w:szCs w:val="24"/>
                <w:shd w:val="clear" w:color="auto" w:fill="FFFFFF"/>
              </w:rPr>
            </w:pPr>
            <w:r>
              <w:rPr>
                <w:rFonts w:ascii="Arial Narrow" w:hAnsi="Arial Narrow" w:cs="Arial"/>
                <w:color w:val="000000" w:themeColor="text1"/>
                <w:szCs w:val="24"/>
                <w:shd w:val="clear" w:color="auto" w:fill="FFFFFF"/>
              </w:rPr>
              <w:t xml:space="preserve">Como se puede evidenciar anteriormente, sí bien hay licencias a perpetuidad,  también se cuenta con licencias </w:t>
            </w:r>
            <w:r>
              <w:rPr>
                <w:rFonts w:ascii="Arial Narrow" w:hAnsi="Arial Narrow" w:cs="Arial"/>
                <w:color w:val="000000" w:themeColor="text1"/>
                <w:szCs w:val="24"/>
              </w:rPr>
              <w:t>Service Desk Basic Técnicos, en la modalidad Modalidad SaaS,</w:t>
            </w:r>
            <w:r>
              <w:rPr>
                <w:rFonts w:ascii="Arial Narrow" w:hAnsi="Arial Narrow" w:cs="Arial"/>
                <w:color w:val="000000" w:themeColor="text1"/>
                <w:szCs w:val="24"/>
                <w:shd w:val="clear" w:color="auto" w:fill="FFFFFF"/>
              </w:rPr>
              <w:t xml:space="preserve"> cuya vigencia se da por el término de un año a partir de su activación, las cuales deben ser renovadas anualmente.</w:t>
            </w:r>
          </w:p>
          <w:p w:rsidR="00281DD3" w:rsidRDefault="00281DD3">
            <w:pPr>
              <w:jc w:val="both"/>
              <w:rPr>
                <w:rFonts w:ascii="Arial Narrow" w:hAnsi="Arial Narrow" w:cs="Arial"/>
                <w:color w:val="000000" w:themeColor="text1"/>
                <w:szCs w:val="24"/>
                <w:shd w:val="clear" w:color="auto" w:fill="FFFFFF"/>
              </w:rPr>
            </w:pPr>
          </w:p>
          <w:p w:rsidR="00281DD3" w:rsidRDefault="00C23069">
            <w:pPr>
              <w:ind w:firstLine="1"/>
              <w:jc w:val="both"/>
              <w:rPr>
                <w:rFonts w:ascii="Arial Narrow" w:hAnsi="Arial Narrow" w:cs="Arial"/>
                <w:color w:val="000000" w:themeColor="text1"/>
                <w:szCs w:val="24"/>
              </w:rPr>
            </w:pPr>
            <w:r>
              <w:rPr>
                <w:rFonts w:ascii="Arial Narrow" w:hAnsi="Arial Narrow" w:cs="Arial"/>
                <w:color w:val="000000" w:themeColor="text1"/>
                <w:szCs w:val="24"/>
              </w:rPr>
              <w:t>Aunado a lo anterior,  se requiere renovar el servicio de soporte técnico en sitio, el cual permitirá a la Fiscalía General de la Nación, la implementación de nuevos procesos y actualización de los procesos ya implementados, así como la creación de nuevos servicios en los catálogos existentes y la creación de nuevos catálogos para la Dirección de Planeación y Subdirección de Talento Humano con sus servicios y categorías.</w:t>
            </w:r>
          </w:p>
          <w:p w:rsidR="00281DD3" w:rsidRDefault="00281DD3">
            <w:pPr>
              <w:jc w:val="both"/>
              <w:rPr>
                <w:rFonts w:ascii="Arial Narrow" w:hAnsi="Arial Narrow" w:cs="Arial"/>
                <w:iCs/>
                <w:color w:val="000000" w:themeColor="text1"/>
                <w:szCs w:val="24"/>
                <w:shd w:val="clear" w:color="auto" w:fill="FFFFFF"/>
              </w:rPr>
            </w:pPr>
          </w:p>
          <w:p w:rsidR="00281DD3" w:rsidRDefault="00C23069">
            <w:pPr>
              <w:jc w:val="both"/>
              <w:rPr>
                <w:rFonts w:ascii="Arial Narrow" w:eastAsia="Calibri" w:hAnsi="Arial Narrow" w:cs="Arial"/>
                <w:color w:val="000000" w:themeColor="text1"/>
                <w:szCs w:val="24"/>
                <w:lang w:eastAsia="en-US"/>
              </w:rPr>
            </w:pPr>
            <w:r>
              <w:rPr>
                <w:rFonts w:ascii="Arial Narrow" w:eastAsia="Calibri" w:hAnsi="Arial Narrow" w:cs="Arial"/>
                <w:color w:val="000000" w:themeColor="text1"/>
                <w:szCs w:val="24"/>
                <w:lang w:eastAsia="en-US"/>
              </w:rPr>
              <w:t>La modalidad de selección aplicable para el presente proceso, es la de contratación directa por la causal del Artículo 2 Numeral 4 literal g) de</w:t>
            </w:r>
            <w:r>
              <w:rPr>
                <w:rFonts w:ascii="Arial Narrow" w:eastAsia="Calibri" w:hAnsi="Arial Narrow" w:cs="Arial"/>
                <w:strike/>
                <w:color w:val="000000" w:themeColor="text1"/>
                <w:szCs w:val="24"/>
                <w:lang w:eastAsia="en-US"/>
              </w:rPr>
              <w:t>l</w:t>
            </w:r>
            <w:r>
              <w:rPr>
                <w:rFonts w:ascii="Arial Narrow" w:eastAsia="Calibri" w:hAnsi="Arial Narrow" w:cs="Arial"/>
                <w:color w:val="000000" w:themeColor="text1"/>
                <w:szCs w:val="24"/>
                <w:lang w:eastAsia="en-US"/>
              </w:rPr>
              <w:t xml:space="preserve">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rsidR="00281DD3" w:rsidRDefault="00281DD3">
            <w:pPr>
              <w:jc w:val="both"/>
              <w:rPr>
                <w:rFonts w:ascii="Arial Narrow" w:eastAsia="Calibri" w:hAnsi="Arial Narrow" w:cs="Arial"/>
                <w:color w:val="000000" w:themeColor="text1"/>
                <w:szCs w:val="24"/>
                <w:lang w:eastAsia="en-US"/>
              </w:rPr>
            </w:pPr>
          </w:p>
          <w:p w:rsidR="00281DD3" w:rsidRDefault="00281DD3">
            <w:pPr>
              <w:jc w:val="both"/>
              <w:rPr>
                <w:rFonts w:ascii="Arial Narrow" w:hAnsi="Arial Narrow" w:cs="Arial"/>
                <w:color w:val="000000" w:themeColor="text1"/>
                <w:szCs w:val="24"/>
              </w:rPr>
            </w:pPr>
          </w:p>
          <w:p w:rsidR="00281DD3" w:rsidRDefault="00C23069">
            <w:pPr>
              <w:jc w:val="both"/>
              <w:rPr>
                <w:rFonts w:ascii="Arial Narrow" w:hAnsi="Arial Narrow"/>
                <w:color w:val="000000" w:themeColor="text1"/>
                <w:szCs w:val="24"/>
              </w:rPr>
            </w:pPr>
            <w:r>
              <w:rPr>
                <w:rFonts w:ascii="Arial Narrow" w:hAnsi="Arial Narrow"/>
                <w:color w:val="000000" w:themeColor="text1"/>
                <w:szCs w:val="24"/>
              </w:rPr>
              <w:t>Como lo establece la guía para la elaboración de estudios del sector, la función de compras debe estar orientada a satisfacer las necesidades de la Entidad Estatal y a obtener el mayor valor por el dinero público. En consecuencia, la Entidad Estatal debe entender claramente y conocer: (a) cuál es su necesidad y cómo puede satisfacerla; (b) cómo y quiénes pueden proveer los bienes, obras y servicios que necesita; y (c) el contexto en el cual los posibles proveedores desarrollan su actividad.</w:t>
            </w:r>
          </w:p>
          <w:p w:rsidR="00281DD3" w:rsidRDefault="00281DD3">
            <w:pPr>
              <w:jc w:val="both"/>
              <w:rPr>
                <w:rFonts w:ascii="Arial Narrow" w:hAnsi="Arial Narrow"/>
                <w:color w:val="000000" w:themeColor="text1"/>
                <w:szCs w:val="24"/>
              </w:rPr>
            </w:pPr>
          </w:p>
          <w:p w:rsidR="00281DD3" w:rsidRDefault="00C23069">
            <w:pPr>
              <w:jc w:val="both"/>
              <w:rPr>
                <w:rFonts w:ascii="Arial Narrow" w:eastAsia="Calibri" w:hAnsi="Arial Narrow" w:cs="Arial"/>
                <w:color w:val="000000" w:themeColor="text1"/>
                <w:szCs w:val="24"/>
                <w:lang w:eastAsia="en-US"/>
              </w:rPr>
            </w:pPr>
            <w:r>
              <w:rPr>
                <w:rFonts w:ascii="Arial Narrow" w:hAnsi="Arial Narrow"/>
                <w:color w:val="000000" w:themeColor="text1"/>
                <w:szCs w:val="24"/>
              </w:rPr>
              <w:t>Para el proceso en asunto, y como lo establece la guía de CCE, en el numeral IV. Estudios del sector en los Procesos de Contratación de mínima cuantía y contratación directa, literal A. Contratación directa. (…) El análisis del sector debe permitir a la Entidad Estatal sustentar su decisión de hacer una contratación directa, la elección del proveedor y la forma en que se pacta el contrato desde el punto de vista de la eficiencia, eficacia y economía.</w:t>
            </w:r>
          </w:p>
          <w:p w:rsidR="00281DD3" w:rsidRDefault="00281DD3">
            <w:pPr>
              <w:jc w:val="both"/>
              <w:rPr>
                <w:rFonts w:ascii="Arial Narrow" w:eastAsia="Calibri" w:hAnsi="Arial Narrow" w:cs="Arial"/>
                <w:color w:val="000000" w:themeColor="text1"/>
                <w:szCs w:val="24"/>
                <w:lang w:eastAsia="en-US"/>
              </w:rPr>
            </w:pPr>
          </w:p>
          <w:p w:rsidR="00281DD3" w:rsidRDefault="00C23069">
            <w:pPr>
              <w:pStyle w:val="bodytext3"/>
              <w:rPr>
                <w:rFonts w:ascii="Arial Narrow" w:hAnsi="Arial Narrow"/>
                <w:i/>
                <w:color w:val="000000" w:themeColor="text1"/>
              </w:rPr>
            </w:pPr>
            <w:r>
              <w:rPr>
                <w:rFonts w:ascii="Arial Narrow" w:hAnsi="Arial Narrow"/>
                <w:color w:val="000000" w:themeColor="text1"/>
              </w:rPr>
              <w:t xml:space="preserve">Desde esta perspectiva, el </w:t>
            </w:r>
            <w:r>
              <w:rPr>
                <w:rFonts w:ascii="Arial Narrow" w:hAnsi="Arial Narrow" w:cs="Arial"/>
                <w:color w:val="000000" w:themeColor="text1"/>
                <w:lang w:val="es-CO"/>
              </w:rPr>
              <w:t>Jefe Departamento de Gestión de Infraestructura y Redes (E)</w:t>
            </w:r>
            <w:r>
              <w:rPr>
                <w:rFonts w:ascii="Arial Narrow" w:hAnsi="Arial Narrow"/>
                <w:color w:val="000000" w:themeColor="text1"/>
              </w:rPr>
              <w:t xml:space="preserve">radicó los Estudios Previos considera que la persona jurídica </w:t>
            </w:r>
            <w:r>
              <w:rPr>
                <w:rFonts w:ascii="Arial Narrow" w:hAnsi="Arial Narrow" w:cs="Arial"/>
                <w:b/>
                <w:color w:val="000000" w:themeColor="text1"/>
              </w:rPr>
              <w:t>DEXON SOFTWARE S.A.S. BIC</w:t>
            </w:r>
            <w:r>
              <w:rPr>
                <w:rFonts w:ascii="Arial Narrow" w:hAnsi="Arial Narrow" w:cs="Arial"/>
                <w:color w:val="000000" w:themeColor="text1"/>
              </w:rPr>
              <w:t xml:space="preserve"> </w:t>
            </w:r>
            <w:r>
              <w:rPr>
                <w:rFonts w:ascii="Arial Narrow" w:hAnsi="Arial Narrow"/>
                <w:color w:val="000000" w:themeColor="text1"/>
              </w:rPr>
              <w:t xml:space="preserve">cuenta con las condiciones requeridas para la ejecución del objeto del presente contrato, y así, poder </w:t>
            </w:r>
            <w:r>
              <w:rPr>
                <w:rFonts w:ascii="Arial Narrow" w:hAnsi="Arial Narrow"/>
                <w:bCs/>
                <w:color w:val="000000" w:themeColor="text1"/>
              </w:rPr>
              <w:t xml:space="preserve">realizar la </w:t>
            </w:r>
            <w:r>
              <w:rPr>
                <w:rFonts w:ascii="Arial Narrow" w:hAnsi="Arial Narrow" w:cs="Arial"/>
                <w:color w:val="000000" w:themeColor="text1"/>
              </w:rPr>
              <w:t>adquisición y renovación de licencias con soporte y garantía del software de gestión dexon para la fiscalía general de la nación.</w:t>
            </w:r>
          </w:p>
          <w:p w:rsidR="00281DD3" w:rsidRDefault="00281DD3">
            <w:pPr>
              <w:jc w:val="both"/>
              <w:rPr>
                <w:rFonts w:ascii="Arial Narrow" w:eastAsia="Calibri" w:hAnsi="Arial Narrow" w:cs="Arial"/>
                <w:color w:val="000000" w:themeColor="text1"/>
                <w:szCs w:val="24"/>
                <w:lang w:eastAsia="en-US"/>
              </w:rPr>
            </w:pPr>
          </w:p>
          <w:p w:rsidR="00281DD3" w:rsidRDefault="00C23069">
            <w:pPr>
              <w:jc w:val="both"/>
              <w:rPr>
                <w:rFonts w:ascii="Arial Narrow" w:hAnsi="Arial Narrow"/>
                <w:b/>
                <w:color w:val="000000" w:themeColor="text1"/>
                <w:szCs w:val="24"/>
                <w:u w:val="single"/>
              </w:rPr>
            </w:pPr>
            <w:r>
              <w:rPr>
                <w:rFonts w:ascii="Arial Narrow" w:hAnsi="Arial Narrow"/>
                <w:b/>
                <w:color w:val="000000" w:themeColor="text1"/>
                <w:szCs w:val="24"/>
                <w:u w:val="single"/>
              </w:rPr>
              <w:t>Resultado del análisis de costo basado en la cotización:</w:t>
            </w:r>
          </w:p>
          <w:p w:rsidR="00281DD3" w:rsidRDefault="00281DD3">
            <w:pPr>
              <w:jc w:val="both"/>
              <w:rPr>
                <w:rFonts w:ascii="Arial Narrow" w:eastAsia="Calibri" w:hAnsi="Arial Narrow" w:cs="Arial"/>
                <w:color w:val="000000" w:themeColor="text1"/>
                <w:szCs w:val="24"/>
                <w:lang w:eastAsia="en-US"/>
              </w:rPr>
            </w:pPr>
          </w:p>
          <w:p w:rsidR="00281DD3" w:rsidRDefault="00C23069">
            <w:pPr>
              <w:jc w:val="both"/>
              <w:rPr>
                <w:rFonts w:ascii="Arial Narrow" w:hAnsi="Arial Narrow" w:cs="Arial"/>
                <w:color w:val="000000" w:themeColor="text1"/>
                <w:szCs w:val="24"/>
              </w:rPr>
            </w:pPr>
            <w:r>
              <w:rPr>
                <w:rFonts w:ascii="Arial Narrow" w:eastAsia="Calibri" w:hAnsi="Arial Narrow" w:cs="Arial"/>
                <w:color w:val="000000" w:themeColor="text1"/>
                <w:szCs w:val="24"/>
                <w:lang w:eastAsia="en-US"/>
              </w:rPr>
              <w:t>Para la elaboración del presente estudio del sector, se tuvo en cuenta</w:t>
            </w:r>
            <w:r>
              <w:rPr>
                <w:rFonts w:ascii="Arial Narrow" w:hAnsi="Arial Narrow" w:cs="Arial"/>
                <w:color w:val="000000" w:themeColor="text1"/>
                <w:szCs w:val="24"/>
              </w:rPr>
              <w:t xml:space="preserve"> la cotización presentada por  </w:t>
            </w:r>
            <w:r>
              <w:rPr>
                <w:rFonts w:ascii="Arial Narrow" w:hAnsi="Arial Narrow" w:cs="Arial"/>
                <w:b/>
                <w:color w:val="000000" w:themeColor="text1"/>
                <w:szCs w:val="24"/>
              </w:rPr>
              <w:t>DEXON SOFTWARE S.A.S. BIC</w:t>
            </w:r>
            <w:r>
              <w:rPr>
                <w:rFonts w:ascii="Arial Narrow" w:hAnsi="Arial Narrow"/>
                <w:b/>
                <w:bCs/>
                <w:color w:val="000000" w:themeColor="text1"/>
                <w:szCs w:val="24"/>
              </w:rPr>
              <w:t xml:space="preserve"> </w:t>
            </w:r>
            <w:r>
              <w:rPr>
                <w:rFonts w:ascii="Arial Narrow" w:hAnsi="Arial Narrow" w:cs="Arial"/>
                <w:color w:val="000000" w:themeColor="text1"/>
                <w:szCs w:val="24"/>
              </w:rPr>
              <w:t xml:space="preserve">con el fin de llevar a cabo el proceso que tiene por objeto </w:t>
            </w:r>
            <w:r>
              <w:rPr>
                <w:rFonts w:ascii="Arial Narrow" w:hAnsi="Arial Narrow"/>
                <w:i/>
                <w:color w:val="000000" w:themeColor="text1"/>
                <w:szCs w:val="24"/>
              </w:rPr>
              <w:t>“</w:t>
            </w:r>
            <w:r>
              <w:rPr>
                <w:rFonts w:ascii="Arial Narrow" w:hAnsi="Arial Narrow" w:cs="Arial"/>
                <w:i/>
                <w:color w:val="000000" w:themeColor="text1"/>
                <w:szCs w:val="24"/>
              </w:rPr>
              <w:t>Adquisición Y Renovación De Licencias Con Soporte Y Garantía Del Software De Gestión Dexon Para La Fiscalía General De La Nación.</w:t>
            </w:r>
            <w:r>
              <w:rPr>
                <w:rFonts w:ascii="Arial Narrow" w:hAnsi="Arial Narrow"/>
                <w:bCs/>
                <w:i/>
                <w:color w:val="000000" w:themeColor="text1"/>
                <w:szCs w:val="24"/>
              </w:rPr>
              <w:t>”</w:t>
            </w:r>
            <w:r>
              <w:rPr>
                <w:rFonts w:ascii="Arial Narrow" w:hAnsi="Arial Narrow" w:cs="Arial"/>
                <w:i/>
                <w:color w:val="000000" w:themeColor="text1"/>
                <w:szCs w:val="24"/>
              </w:rPr>
              <w:t xml:space="preserve">  </w:t>
            </w:r>
            <w:r>
              <w:rPr>
                <w:rFonts w:ascii="Arial Narrow" w:hAnsi="Arial Narrow" w:cs="Arial"/>
                <w:color w:val="000000" w:themeColor="text1"/>
                <w:szCs w:val="24"/>
              </w:rPr>
              <w:t>Es así que, verificado con el área técnica la oferta cumple a cabalidad con las especificaciones técnicas, garantizando con ello la satisfacción de la necesidad objeto del proceso de selección.</w:t>
            </w:r>
          </w:p>
          <w:p w:rsidR="00281DD3" w:rsidRDefault="00281DD3">
            <w:pPr>
              <w:autoSpaceDE w:val="0"/>
              <w:autoSpaceDN w:val="0"/>
              <w:adjustRightInd w:val="0"/>
              <w:jc w:val="both"/>
              <w:rPr>
                <w:rFonts w:ascii="Arial Narrow" w:eastAsia="Calibri" w:hAnsi="Arial Narrow" w:cs="Arial"/>
                <w:b/>
                <w:i/>
                <w:color w:val="000000" w:themeColor="text1"/>
                <w:szCs w:val="24"/>
                <w:u w:val="single"/>
                <w:lang w:eastAsia="es-CO"/>
              </w:rPr>
            </w:pPr>
          </w:p>
          <w:p w:rsidR="00281DD3" w:rsidRDefault="00C23069">
            <w:pPr>
              <w:jc w:val="both"/>
              <w:rPr>
                <w:rFonts w:ascii="Arial Narrow" w:hAnsi="Arial Narrow"/>
                <w:b/>
                <w:color w:val="000000" w:themeColor="text1"/>
                <w:szCs w:val="24"/>
                <w:u w:val="single"/>
              </w:rPr>
            </w:pPr>
            <w:r>
              <w:rPr>
                <w:rFonts w:ascii="Arial Narrow" w:hAnsi="Arial Narrow"/>
                <w:b/>
                <w:color w:val="000000" w:themeColor="text1"/>
                <w:szCs w:val="24"/>
                <w:u w:val="single"/>
              </w:rPr>
              <w:t xml:space="preserve">Una vez recibida la cotización se analizó lo siguiente: </w:t>
            </w:r>
          </w:p>
          <w:p w:rsidR="00281DD3" w:rsidRDefault="00281DD3">
            <w:pPr>
              <w:jc w:val="both"/>
              <w:rPr>
                <w:rFonts w:ascii="Arial Narrow" w:hAnsi="Arial Narrow"/>
                <w:color w:val="000000" w:themeColor="text1"/>
                <w:szCs w:val="24"/>
              </w:rPr>
            </w:pPr>
          </w:p>
          <w:p w:rsidR="00281DD3" w:rsidRDefault="00C23069">
            <w:pPr>
              <w:pStyle w:val="Prrafodelista"/>
              <w:numPr>
                <w:ilvl w:val="0"/>
                <w:numId w:val="9"/>
              </w:numPr>
              <w:jc w:val="both"/>
              <w:rPr>
                <w:rFonts w:ascii="Arial Narrow" w:hAnsi="Arial Narrow" w:cs="Arial"/>
                <w:color w:val="000000" w:themeColor="text1"/>
                <w:sz w:val="24"/>
                <w:szCs w:val="24"/>
              </w:rPr>
            </w:pPr>
            <w:r>
              <w:rPr>
                <w:rFonts w:ascii="Arial Narrow" w:hAnsi="Arial Narrow" w:cs="Arial"/>
                <w:color w:val="000000" w:themeColor="text1"/>
                <w:sz w:val="24"/>
                <w:szCs w:val="24"/>
              </w:rPr>
              <w:t xml:space="preserve">Fue expedida con base en las especificaciones técnicas remitidas por la Entidad. </w:t>
            </w:r>
          </w:p>
          <w:p w:rsidR="00281DD3" w:rsidRDefault="00C23069">
            <w:pPr>
              <w:pStyle w:val="Prrafodelista"/>
              <w:numPr>
                <w:ilvl w:val="0"/>
                <w:numId w:val="9"/>
              </w:numPr>
              <w:jc w:val="both"/>
              <w:rPr>
                <w:rFonts w:ascii="Arial Narrow" w:hAnsi="Arial Narrow" w:cs="Arial"/>
                <w:color w:val="000000" w:themeColor="text1"/>
                <w:sz w:val="24"/>
                <w:szCs w:val="24"/>
              </w:rPr>
            </w:pPr>
            <w:r>
              <w:rPr>
                <w:rFonts w:ascii="Arial Narrow" w:hAnsi="Arial Narrow" w:cs="Arial"/>
                <w:color w:val="000000" w:themeColor="text1"/>
                <w:sz w:val="24"/>
                <w:szCs w:val="24"/>
              </w:rPr>
              <w:t>Cumple con las especificaciones requeridas, por lo cual se concluye que esta corresponde a las necesidades establecidas previamente por la entidad.</w:t>
            </w:r>
          </w:p>
          <w:p w:rsidR="00281DD3" w:rsidRDefault="00C23069">
            <w:pPr>
              <w:pStyle w:val="Prrafodelista"/>
              <w:numPr>
                <w:ilvl w:val="0"/>
                <w:numId w:val="9"/>
              </w:numPr>
              <w:jc w:val="both"/>
              <w:rPr>
                <w:rFonts w:ascii="Arial Narrow" w:hAnsi="Arial Narrow" w:cs="Arial"/>
                <w:color w:val="000000" w:themeColor="text1"/>
                <w:sz w:val="24"/>
                <w:szCs w:val="24"/>
              </w:rPr>
            </w:pPr>
            <w:r>
              <w:rPr>
                <w:rFonts w:ascii="Arial Narrow" w:hAnsi="Arial Narrow" w:cs="Arial"/>
                <w:color w:val="000000" w:themeColor="text1"/>
                <w:sz w:val="24"/>
                <w:szCs w:val="24"/>
              </w:rPr>
              <w:t>El valor proyectado en el presente análisis corresponde a un valor de referencia y no a un valor absoluto.</w:t>
            </w:r>
          </w:p>
          <w:p w:rsidR="00281DD3" w:rsidRDefault="00C23069">
            <w:pPr>
              <w:pStyle w:val="Prrafodelista"/>
              <w:numPr>
                <w:ilvl w:val="0"/>
                <w:numId w:val="9"/>
              </w:numPr>
              <w:jc w:val="both"/>
              <w:rPr>
                <w:rFonts w:ascii="Arial Narrow" w:hAnsi="Arial Narrow" w:cs="Arial"/>
                <w:color w:val="000000" w:themeColor="text1"/>
                <w:sz w:val="24"/>
                <w:szCs w:val="24"/>
              </w:rPr>
            </w:pPr>
            <w:r>
              <w:rPr>
                <w:rFonts w:ascii="Arial Narrow" w:hAnsi="Arial Narrow" w:cs="Arial"/>
                <w:color w:val="000000" w:themeColor="text1"/>
                <w:sz w:val="24"/>
                <w:szCs w:val="24"/>
              </w:rPr>
              <w:t xml:space="preserve">Es importante señalar que las especificaciones técnicas plasmadas en la ficha técnica del presente proceso fueron verificadas en el mercado encontrándose que la única empresa que puede ofrecer el servicio que requiere la Fiscalía General de la Nación es la empresa </w:t>
            </w:r>
            <w:r>
              <w:rPr>
                <w:rFonts w:ascii="Arial Narrow" w:hAnsi="Arial Narrow" w:cs="Arial"/>
                <w:b/>
                <w:color w:val="000000" w:themeColor="text1"/>
                <w:sz w:val="24"/>
                <w:szCs w:val="24"/>
              </w:rPr>
              <w:t>DEXON SOFTWARE S.A.S, BIC.</w:t>
            </w:r>
          </w:p>
          <w:p w:rsidR="00281DD3" w:rsidRDefault="00C23069">
            <w:pPr>
              <w:pStyle w:val="Prrafodelista"/>
              <w:numPr>
                <w:ilvl w:val="0"/>
                <w:numId w:val="9"/>
              </w:numPr>
              <w:jc w:val="both"/>
              <w:rPr>
                <w:rFonts w:ascii="Arial Narrow" w:hAnsi="Arial Narrow" w:cs="Arial"/>
                <w:color w:val="000000" w:themeColor="text1"/>
                <w:sz w:val="24"/>
                <w:szCs w:val="24"/>
              </w:rPr>
            </w:pPr>
            <w:r>
              <w:rPr>
                <w:rFonts w:ascii="Arial Narrow" w:hAnsi="Arial Narrow" w:cs="Arial"/>
                <w:color w:val="000000" w:themeColor="text1"/>
                <w:sz w:val="24"/>
                <w:szCs w:val="24"/>
              </w:rPr>
              <w:t>Es importante indicar que se encontró el proceso No</w:t>
            </w:r>
            <w:r>
              <w:rPr>
                <w:rFonts w:ascii="Arial Narrow" w:hAnsi="Arial Narrow"/>
                <w:b/>
                <w:color w:val="000000" w:themeColor="text1"/>
                <w:sz w:val="24"/>
                <w:szCs w:val="24"/>
              </w:rPr>
              <w:t xml:space="preserve">. </w:t>
            </w:r>
            <w:r>
              <w:rPr>
                <w:rFonts w:ascii="Arial Narrow" w:hAnsi="Arial Narrow" w:cs="Arial"/>
                <w:b/>
                <w:color w:val="000000" w:themeColor="text1"/>
                <w:sz w:val="24"/>
                <w:szCs w:val="24"/>
                <w:shd w:val="clear" w:color="auto" w:fill="FFFFFF"/>
              </w:rPr>
              <w:t>FGN-NC-CD-0056-2023</w:t>
            </w:r>
            <w:r>
              <w:rPr>
                <w:rFonts w:ascii="Arial Narrow" w:hAnsi="Arial Narrow" w:cs="Arial"/>
                <w:b/>
                <w:color w:val="000000" w:themeColor="text1"/>
                <w:sz w:val="24"/>
                <w:szCs w:val="24"/>
                <w:shd w:val="clear" w:color="auto" w:fill="FFFFFF"/>
                <w:lang w:val="es-ES"/>
              </w:rPr>
              <w:t xml:space="preserve"> </w:t>
            </w:r>
            <w:r>
              <w:rPr>
                <w:rFonts w:ascii="Arial Narrow" w:hAnsi="Arial Narrow" w:cs="Arial"/>
                <w:color w:val="000000" w:themeColor="text1"/>
                <w:sz w:val="24"/>
                <w:szCs w:val="24"/>
              </w:rPr>
              <w:t xml:space="preserve">cuyo objeto corresponde a la </w:t>
            </w:r>
            <w:r>
              <w:rPr>
                <w:rFonts w:ascii="Arial Narrow" w:hAnsi="Arial Narrow" w:cs="Arial"/>
                <w:i/>
                <w:color w:val="000000" w:themeColor="text1"/>
                <w:sz w:val="24"/>
                <w:szCs w:val="24"/>
              </w:rPr>
              <w:t>“</w:t>
            </w:r>
            <w:r>
              <w:rPr>
                <w:rFonts w:ascii="Arial Narrow" w:hAnsi="Arial Narrow" w:cs="Arial"/>
                <w:i/>
                <w:color w:val="000000" w:themeColor="text1"/>
                <w:sz w:val="24"/>
                <w:szCs w:val="24"/>
                <w:shd w:val="clear" w:color="auto" w:fill="FFFFFF"/>
              </w:rPr>
              <w:t>RENOVACIÓN DE LICENCIAS CON SOPORTE Y GARANTÍA DEL SOFTWARE DE GESTIÓN DEXON PARA LA FISCALÍA GENERAL DE LA NACIÓN.</w:t>
            </w:r>
            <w:r>
              <w:rPr>
                <w:rFonts w:ascii="Arial Narrow" w:hAnsi="Arial Narrow" w:cs="Arial"/>
                <w:i/>
                <w:iCs/>
                <w:color w:val="000000" w:themeColor="text1"/>
                <w:sz w:val="24"/>
                <w:szCs w:val="24"/>
              </w:rPr>
              <w:t>”,</w:t>
            </w:r>
            <w:r>
              <w:rPr>
                <w:rFonts w:ascii="Arial Narrow" w:hAnsi="Arial Narrow" w:cs="Arial"/>
                <w:iCs/>
                <w:color w:val="000000" w:themeColor="text1"/>
                <w:sz w:val="24"/>
                <w:szCs w:val="24"/>
              </w:rPr>
              <w:t xml:space="preserve"> sin embargo, </w:t>
            </w:r>
            <w:r>
              <w:rPr>
                <w:rFonts w:ascii="Arial Narrow" w:hAnsi="Arial Narrow" w:cs="Arial"/>
                <w:color w:val="000000" w:themeColor="text1"/>
                <w:sz w:val="24"/>
                <w:szCs w:val="24"/>
              </w:rPr>
              <w:t>en la presente vigencia se realizará la</w:t>
            </w:r>
            <w:r>
              <w:rPr>
                <w:rFonts w:ascii="Arial Narrow" w:hAnsi="Arial Narrow" w:cs="Arial"/>
                <w:i/>
                <w:color w:val="000000" w:themeColor="text1"/>
                <w:sz w:val="24"/>
                <w:szCs w:val="24"/>
              </w:rPr>
              <w:t xml:space="preserve"> “ADQUISICIÓN Y RENOVACIÓN DE LICENCIAS CON SOPORTE Y GARANTÍA DEL SOFTWARE DE GESTIÓN DEXON PARA LA FISCALÍA GENERAL DE LA NACIÓN</w:t>
            </w:r>
            <w:r>
              <w:rPr>
                <w:rFonts w:ascii="Arial Narrow" w:hAnsi="Arial Narrow" w:cs="Arial"/>
                <w:color w:val="000000" w:themeColor="text1"/>
                <w:sz w:val="24"/>
                <w:szCs w:val="24"/>
              </w:rPr>
              <w:t>”.</w:t>
            </w:r>
            <w:r>
              <w:rPr>
                <w:rFonts w:ascii="Arial Narrow" w:hAnsi="Arial Narrow" w:cs="Arial"/>
                <w:color w:val="000000" w:themeColor="text1"/>
                <w:sz w:val="24"/>
                <w:szCs w:val="24"/>
                <w:lang w:val="es-ES"/>
              </w:rPr>
              <w:t xml:space="preserve"> Por lo tanto, es importante precisar que la adquisición unitaria de las licencias tendrá el mismo valor de la renovación y se resalta que el incremento para la presente vigencia con respecto  </w:t>
            </w:r>
            <w:r>
              <w:rPr>
                <w:rFonts w:ascii="Arial Narrow" w:hAnsi="Arial Narrow"/>
                <w:color w:val="000000" w:themeColor="text1"/>
                <w:sz w:val="24"/>
                <w:szCs w:val="24"/>
                <w:lang w:val="es-ES"/>
              </w:rPr>
              <w:t>a</w:t>
            </w:r>
            <w:r>
              <w:rPr>
                <w:rFonts w:ascii="Arial Narrow" w:hAnsi="Arial Narrow"/>
                <w:color w:val="000000" w:themeColor="text1"/>
                <w:sz w:val="24"/>
                <w:szCs w:val="24"/>
              </w:rPr>
              <w:t>l proceso No</w:t>
            </w:r>
            <w:r>
              <w:rPr>
                <w:rFonts w:ascii="Arial Narrow" w:hAnsi="Arial Narrow"/>
                <w:b/>
                <w:color w:val="000000" w:themeColor="text1"/>
                <w:sz w:val="24"/>
                <w:szCs w:val="24"/>
              </w:rPr>
              <w:t>.</w:t>
            </w:r>
            <w:r>
              <w:rPr>
                <w:rFonts w:ascii="Arial Narrow" w:hAnsi="Arial Narrow"/>
                <w:b/>
                <w:color w:val="000000" w:themeColor="text1"/>
                <w:sz w:val="24"/>
                <w:szCs w:val="24"/>
                <w:lang w:val="es-ES"/>
              </w:rPr>
              <w:t xml:space="preserve"> </w:t>
            </w:r>
            <w:r>
              <w:rPr>
                <w:rFonts w:ascii="Arial Narrow" w:hAnsi="Arial Narrow" w:cs="Arial"/>
                <w:bCs/>
                <w:color w:val="000000" w:themeColor="text1"/>
                <w:sz w:val="24"/>
                <w:szCs w:val="24"/>
                <w:shd w:val="clear" w:color="auto" w:fill="FFFFFF"/>
              </w:rPr>
              <w:t>FGN-NC-CD-0056-2023</w:t>
            </w:r>
            <w:r>
              <w:rPr>
                <w:rFonts w:ascii="Arial Narrow" w:hAnsi="Arial Narrow" w:cs="Arial"/>
                <w:bCs/>
                <w:color w:val="000000" w:themeColor="text1"/>
                <w:sz w:val="24"/>
                <w:szCs w:val="24"/>
                <w:shd w:val="clear" w:color="auto" w:fill="FFFFFF"/>
                <w:lang w:val="es-ES"/>
              </w:rPr>
              <w:t xml:space="preserve">, es del 9,28%, correspondiente al ajuste del IPC de la </w:t>
            </w:r>
            <w:r w:rsidR="00DD2623">
              <w:rPr>
                <w:rFonts w:ascii="Arial Narrow" w:hAnsi="Arial Narrow" w:cs="Arial"/>
                <w:bCs/>
                <w:color w:val="000000" w:themeColor="text1"/>
                <w:sz w:val="24"/>
                <w:szCs w:val="24"/>
                <w:shd w:val="clear" w:color="auto" w:fill="FFFFFF"/>
                <w:lang w:val="es-ES"/>
              </w:rPr>
              <w:t>vigencia</w:t>
            </w:r>
            <w:r>
              <w:rPr>
                <w:rFonts w:ascii="Arial Narrow" w:hAnsi="Arial Narrow" w:cs="Arial"/>
                <w:bCs/>
                <w:color w:val="000000" w:themeColor="text1"/>
                <w:sz w:val="24"/>
                <w:szCs w:val="24"/>
                <w:shd w:val="clear" w:color="auto" w:fill="FFFFFF"/>
                <w:lang w:val="es-ES"/>
              </w:rPr>
              <w:t xml:space="preserve"> 2023.</w:t>
            </w:r>
            <w:r>
              <w:rPr>
                <w:rFonts w:ascii="Arial Narrow" w:hAnsi="Arial Narrow" w:cs="Arial"/>
                <w:b/>
                <w:color w:val="000000" w:themeColor="text1"/>
                <w:sz w:val="24"/>
                <w:szCs w:val="24"/>
                <w:shd w:val="clear" w:color="auto" w:fill="FFFFFF"/>
              </w:rPr>
              <w:t xml:space="preserve">  </w:t>
            </w:r>
          </w:p>
          <w:p w:rsidR="00281DD3" w:rsidRDefault="00C23069">
            <w:pPr>
              <w:pStyle w:val="Prrafodelista"/>
              <w:numPr>
                <w:ilvl w:val="0"/>
                <w:numId w:val="9"/>
              </w:numPr>
              <w:jc w:val="both"/>
              <w:rPr>
                <w:rFonts w:ascii="Arial Narrow" w:hAnsi="Arial Narrow" w:cs="Arial"/>
                <w:color w:val="000000" w:themeColor="text1"/>
                <w:sz w:val="24"/>
                <w:szCs w:val="24"/>
              </w:rPr>
            </w:pPr>
            <w:r>
              <w:rPr>
                <w:rFonts w:ascii="Arial Narrow" w:hAnsi="Arial Narrow" w:cs="Arial"/>
                <w:color w:val="000000" w:themeColor="text1"/>
                <w:sz w:val="24"/>
                <w:szCs w:val="24"/>
              </w:rPr>
              <w:t xml:space="preserve">Para el cumplimiento del objeto de esta contratación, se cuenta con: </w:t>
            </w:r>
          </w:p>
          <w:p w:rsidR="00281DD3" w:rsidRDefault="00281DD3">
            <w:pPr>
              <w:jc w:val="both"/>
              <w:rPr>
                <w:rFonts w:ascii="Arial Narrow" w:hAnsi="Arial Narrow" w:cs="Arial"/>
                <w:color w:val="000000" w:themeColor="text1"/>
                <w:szCs w:val="24"/>
              </w:rPr>
            </w:pPr>
          </w:p>
          <w:tbl>
            <w:tblPr>
              <w:tblStyle w:val="Tablaconcuadrcula"/>
              <w:tblW w:w="0" w:type="auto"/>
              <w:tblLayout w:type="fixed"/>
              <w:tblLook w:val="04A0" w:firstRow="1" w:lastRow="0" w:firstColumn="1" w:lastColumn="0" w:noHBand="0" w:noVBand="1"/>
            </w:tblPr>
            <w:tblGrid>
              <w:gridCol w:w="4859"/>
              <w:gridCol w:w="2228"/>
              <w:gridCol w:w="2214"/>
            </w:tblGrid>
            <w:tr w:rsidR="00281DD3">
              <w:tc>
                <w:tcPr>
                  <w:tcW w:w="4859" w:type="dxa"/>
                  <w:shd w:val="clear" w:color="auto" w:fill="D9D9D9" w:themeFill="background1" w:themeFillShade="D9"/>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NOMBRE DEL RUBRO</w:t>
                  </w:r>
                </w:p>
              </w:tc>
              <w:tc>
                <w:tcPr>
                  <w:tcW w:w="2228" w:type="dxa"/>
                  <w:shd w:val="clear" w:color="auto" w:fill="D9D9D9" w:themeFill="background1" w:themeFillShade="D9"/>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RECURSO</w:t>
                  </w:r>
                </w:p>
              </w:tc>
              <w:tc>
                <w:tcPr>
                  <w:tcW w:w="2214" w:type="dxa"/>
                  <w:shd w:val="clear" w:color="auto" w:fill="D9D9D9" w:themeFill="background1" w:themeFillShade="D9"/>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VALOR</w:t>
                  </w:r>
                </w:p>
              </w:tc>
            </w:tr>
            <w:tr w:rsidR="00281DD3">
              <w:tc>
                <w:tcPr>
                  <w:tcW w:w="4859" w:type="dxa"/>
                </w:tcPr>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 xml:space="preserve">02-01-01-006-002-03-1-01 </w:t>
                  </w:r>
                  <w:r>
                    <w:rPr>
                      <w:rFonts w:ascii="Arial Narrow" w:hAnsi="Arial Narrow" w:cs="Arial"/>
                      <w:color w:val="000000" w:themeColor="text1"/>
                      <w:szCs w:val="24"/>
                    </w:rPr>
                    <w:tab/>
                  </w:r>
                </w:p>
                <w:p w:rsidR="00281DD3" w:rsidRDefault="00C23069">
                  <w:pPr>
                    <w:jc w:val="both"/>
                    <w:rPr>
                      <w:rFonts w:ascii="Arial Narrow" w:hAnsi="Arial Narrow" w:cs="Arial"/>
                      <w:color w:val="000000" w:themeColor="text1"/>
                      <w:szCs w:val="24"/>
                    </w:rPr>
                  </w:pPr>
                  <w:r>
                    <w:rPr>
                      <w:rFonts w:ascii="Arial Narrow" w:hAnsi="Arial Narrow" w:cs="Arial"/>
                      <w:color w:val="000000" w:themeColor="text1"/>
                      <w:szCs w:val="24"/>
                    </w:rPr>
                    <w:t>PAQUETES DE SOFTWARE</w:t>
                  </w:r>
                </w:p>
              </w:tc>
              <w:tc>
                <w:tcPr>
                  <w:tcW w:w="2228" w:type="dxa"/>
                </w:tcPr>
                <w:p w:rsidR="00281DD3" w:rsidRDefault="00C23069">
                  <w:pPr>
                    <w:jc w:val="center"/>
                    <w:rPr>
                      <w:rFonts w:ascii="Arial Narrow" w:hAnsi="Arial Narrow" w:cs="Arial"/>
                      <w:color w:val="000000" w:themeColor="text1"/>
                      <w:szCs w:val="24"/>
                    </w:rPr>
                  </w:pPr>
                  <w:r>
                    <w:rPr>
                      <w:rFonts w:ascii="Arial Narrow" w:hAnsi="Arial Narrow" w:cs="Arial"/>
                      <w:color w:val="000000" w:themeColor="text1"/>
                      <w:szCs w:val="24"/>
                    </w:rPr>
                    <w:t>10</w:t>
                  </w:r>
                </w:p>
              </w:tc>
              <w:tc>
                <w:tcPr>
                  <w:tcW w:w="2214" w:type="dxa"/>
                </w:tcPr>
                <w:p w:rsidR="00281DD3" w:rsidRDefault="00C23069">
                  <w:pPr>
                    <w:jc w:val="both"/>
                    <w:rPr>
                      <w:rFonts w:ascii="Arial Narrow" w:hAnsi="Arial Narrow" w:cs="Arial"/>
                      <w:bCs/>
                      <w:color w:val="000000" w:themeColor="text1"/>
                      <w:szCs w:val="24"/>
                    </w:rPr>
                  </w:pPr>
                  <w:r>
                    <w:rPr>
                      <w:rFonts w:ascii="Arial Narrow" w:hAnsi="Arial Narrow" w:cs="Arial"/>
                      <w:bCs/>
                      <w:color w:val="000000" w:themeColor="text1"/>
                      <w:szCs w:val="24"/>
                    </w:rPr>
                    <w:t>$693.720.000</w:t>
                  </w:r>
                </w:p>
              </w:tc>
            </w:tr>
            <w:tr w:rsidR="00281DD3">
              <w:trPr>
                <w:trHeight w:val="357"/>
              </w:trPr>
              <w:tc>
                <w:tcPr>
                  <w:tcW w:w="7087" w:type="dxa"/>
                  <w:gridSpan w:val="2"/>
                  <w:vAlign w:val="center"/>
                </w:tcPr>
                <w:p w:rsidR="00281DD3" w:rsidRDefault="00C23069">
                  <w:pPr>
                    <w:jc w:val="both"/>
                    <w:rPr>
                      <w:rFonts w:ascii="Arial Narrow" w:hAnsi="Arial Narrow" w:cs="Arial"/>
                      <w:b/>
                      <w:color w:val="000000" w:themeColor="text1"/>
                      <w:szCs w:val="24"/>
                    </w:rPr>
                  </w:pPr>
                  <w:r>
                    <w:rPr>
                      <w:rFonts w:ascii="Arial Narrow" w:hAnsi="Arial Narrow" w:cs="Arial"/>
                      <w:b/>
                      <w:color w:val="000000" w:themeColor="text1"/>
                      <w:szCs w:val="24"/>
                    </w:rPr>
                    <w:t>TOTAL</w:t>
                  </w:r>
                </w:p>
              </w:tc>
              <w:tc>
                <w:tcPr>
                  <w:tcW w:w="2214" w:type="dxa"/>
                  <w:shd w:val="clear" w:color="auto" w:fill="D9D9D9" w:themeFill="background1" w:themeFillShade="D9"/>
                </w:tcPr>
                <w:p w:rsidR="00281DD3" w:rsidRDefault="00C23069">
                  <w:pPr>
                    <w:jc w:val="both"/>
                    <w:rPr>
                      <w:rFonts w:ascii="Arial Narrow" w:hAnsi="Arial Narrow" w:cs="Arial"/>
                      <w:bCs/>
                      <w:color w:val="000000" w:themeColor="text1"/>
                      <w:szCs w:val="24"/>
                    </w:rPr>
                  </w:pPr>
                  <w:r>
                    <w:rPr>
                      <w:rFonts w:ascii="Arial Narrow" w:hAnsi="Arial Narrow" w:cs="Arial"/>
                      <w:bCs/>
                      <w:color w:val="000000" w:themeColor="text1"/>
                      <w:szCs w:val="24"/>
                    </w:rPr>
                    <w:t>$693.720.000</w:t>
                  </w:r>
                </w:p>
              </w:tc>
            </w:tr>
          </w:tbl>
          <w:p w:rsidR="00281DD3" w:rsidRDefault="00281DD3">
            <w:pPr>
              <w:pStyle w:val="Prrafodelista"/>
              <w:jc w:val="both"/>
              <w:rPr>
                <w:rFonts w:ascii="Arial Narrow" w:hAnsi="Arial Narrow" w:cs="Arial"/>
                <w:color w:val="000000" w:themeColor="text1"/>
                <w:sz w:val="24"/>
                <w:szCs w:val="24"/>
              </w:rPr>
            </w:pPr>
          </w:p>
          <w:tbl>
            <w:tblPr>
              <w:tblW w:w="79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52"/>
              <w:gridCol w:w="927"/>
              <w:gridCol w:w="2594"/>
            </w:tblGrid>
            <w:tr w:rsidR="00281DD3">
              <w:trPr>
                <w:trHeight w:val="184"/>
                <w:jc w:val="center"/>
              </w:trPr>
              <w:tc>
                <w:tcPr>
                  <w:tcW w:w="4452" w:type="dxa"/>
                  <w:tcBorders>
                    <w:top w:val="single" w:sz="8" w:space="0" w:color="auto"/>
                    <w:left w:val="single" w:sz="8" w:space="0" w:color="auto"/>
                    <w:bottom w:val="single" w:sz="8" w:space="0" w:color="auto"/>
                    <w:right w:val="single" w:sz="8" w:space="0" w:color="auto"/>
                  </w:tcBorders>
                  <w:shd w:val="clear" w:color="auto" w:fill="BFBFBF"/>
                  <w:tcMar>
                    <w:left w:w="28" w:type="dxa"/>
                    <w:right w:w="28" w:type="dxa"/>
                  </w:tcMar>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DESCRIPCIÓN</w:t>
                  </w:r>
                </w:p>
              </w:tc>
              <w:tc>
                <w:tcPr>
                  <w:tcW w:w="927" w:type="dxa"/>
                  <w:tcBorders>
                    <w:top w:val="single" w:sz="8" w:space="0" w:color="auto"/>
                    <w:left w:val="single" w:sz="8" w:space="0" w:color="auto"/>
                    <w:bottom w:val="single" w:sz="8" w:space="0" w:color="auto"/>
                    <w:right w:val="single" w:sz="8" w:space="0" w:color="auto"/>
                  </w:tcBorders>
                  <w:shd w:val="clear" w:color="auto" w:fill="BFBFBF"/>
                  <w:tcMar>
                    <w:left w:w="28" w:type="dxa"/>
                    <w:right w:w="28" w:type="dxa"/>
                  </w:tcMar>
                  <w:vAlign w:val="center"/>
                </w:tcPr>
                <w:p w:rsidR="00281DD3" w:rsidRDefault="00281DD3">
                  <w:pPr>
                    <w:jc w:val="center"/>
                    <w:rPr>
                      <w:rFonts w:ascii="Arial Narrow" w:hAnsi="Arial Narrow" w:cs="Arial"/>
                      <w:b/>
                      <w:color w:val="000000" w:themeColor="text1"/>
                      <w:szCs w:val="24"/>
                    </w:rPr>
                  </w:pPr>
                </w:p>
              </w:tc>
              <w:tc>
                <w:tcPr>
                  <w:tcW w:w="2594" w:type="dxa"/>
                  <w:tcBorders>
                    <w:top w:val="single" w:sz="8" w:space="0" w:color="auto"/>
                    <w:left w:val="single" w:sz="8" w:space="0" w:color="auto"/>
                    <w:bottom w:val="single" w:sz="8" w:space="0" w:color="auto"/>
                    <w:right w:val="single" w:sz="8" w:space="0" w:color="auto"/>
                  </w:tcBorders>
                  <w:shd w:val="clear" w:color="auto" w:fill="BFBFBF"/>
                  <w:tcMar>
                    <w:left w:w="28" w:type="dxa"/>
                    <w:right w:w="28" w:type="dxa"/>
                  </w:tcMar>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 xml:space="preserve">VALOR </w:t>
                  </w:r>
                </w:p>
              </w:tc>
            </w:tr>
            <w:tr w:rsidR="00281DD3">
              <w:trPr>
                <w:trHeight w:val="514"/>
                <w:jc w:val="center"/>
              </w:trPr>
              <w:tc>
                <w:tcPr>
                  <w:tcW w:w="4452" w:type="dxa"/>
                  <w:vMerge w:val="restart"/>
                  <w:tcBorders>
                    <w:top w:val="single" w:sz="8" w:space="0" w:color="auto"/>
                    <w:left w:val="single" w:sz="8" w:space="0" w:color="auto"/>
                    <w:right w:val="single" w:sz="8" w:space="0" w:color="auto"/>
                  </w:tcBorders>
                  <w:shd w:val="clear" w:color="auto" w:fill="auto"/>
                  <w:tcMar>
                    <w:left w:w="28" w:type="dxa"/>
                    <w:right w:w="28" w:type="dxa"/>
                  </w:tcMar>
                  <w:vAlign w:val="center"/>
                </w:tcPr>
                <w:p w:rsidR="00281DD3" w:rsidRDefault="00C23069">
                  <w:pPr>
                    <w:jc w:val="both"/>
                    <w:rPr>
                      <w:rFonts w:ascii="Arial Narrow" w:hAnsi="Arial Narrow" w:cs="Arial"/>
                      <w:b/>
                      <w:bCs/>
                      <w:color w:val="000000" w:themeColor="text1"/>
                      <w:szCs w:val="24"/>
                    </w:rPr>
                  </w:pPr>
                  <w:r>
                    <w:rPr>
                      <w:rFonts w:ascii="Arial Narrow" w:hAnsi="Arial Narrow" w:cs="Arial"/>
                      <w:b/>
                      <w:color w:val="000000" w:themeColor="text1"/>
                      <w:szCs w:val="24"/>
                    </w:rPr>
                    <w:t xml:space="preserve">Adquisición Y Renovación De Licencias Con Soporte Y Garantía Del Software De Gestión Dexon Para La Fiscalía General De La Nación </w:t>
                  </w:r>
                </w:p>
                <w:p w:rsidR="00281DD3" w:rsidRDefault="00C23069">
                  <w:pPr>
                    <w:jc w:val="both"/>
                    <w:rPr>
                      <w:rFonts w:ascii="Arial Narrow" w:hAnsi="Arial Narrow" w:cs="Arial"/>
                      <w:b/>
                      <w:color w:val="000000" w:themeColor="text1"/>
                      <w:szCs w:val="24"/>
                    </w:rPr>
                  </w:pPr>
                  <w:r>
                    <w:rPr>
                      <w:rFonts w:ascii="Arial Narrow" w:hAnsi="Arial Narrow" w:cs="Arial"/>
                      <w:b/>
                      <w:bCs/>
                      <w:color w:val="000000" w:themeColor="text1"/>
                      <w:szCs w:val="24"/>
                    </w:rPr>
                    <w:t>Cantidad: 492 Licencias</w:t>
                  </w:r>
                </w:p>
              </w:tc>
              <w:tc>
                <w:tcPr>
                  <w:tcW w:w="927" w:type="dxa"/>
                  <w:tcBorders>
                    <w:top w:val="single" w:sz="8" w:space="0" w:color="auto"/>
                    <w:left w:val="single" w:sz="8" w:space="0" w:color="auto"/>
                    <w:right w:val="single" w:sz="8" w:space="0" w:color="auto"/>
                  </w:tcBorders>
                  <w:shd w:val="clear" w:color="auto" w:fill="auto"/>
                  <w:tcMar>
                    <w:left w:w="28" w:type="dxa"/>
                    <w:right w:w="28" w:type="dxa"/>
                  </w:tcMar>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SUBT</w:t>
                  </w:r>
                </w:p>
              </w:tc>
              <w:tc>
                <w:tcPr>
                  <w:tcW w:w="2594" w:type="dxa"/>
                  <w:tcBorders>
                    <w:top w:val="single" w:sz="8" w:space="0" w:color="auto"/>
                    <w:left w:val="single" w:sz="8" w:space="0" w:color="auto"/>
                    <w:right w:val="single" w:sz="8" w:space="0" w:color="auto"/>
                  </w:tcBorders>
                  <w:shd w:val="clear" w:color="auto" w:fill="auto"/>
                  <w:tcMar>
                    <w:left w:w="28" w:type="dxa"/>
                    <w:right w:w="28" w:type="dxa"/>
                  </w:tcMar>
                  <w:vAlign w:val="center"/>
                </w:tcPr>
                <w:p w:rsidR="00281DD3" w:rsidRDefault="00C23069">
                  <w:pPr>
                    <w:jc w:val="right"/>
                    <w:rPr>
                      <w:rFonts w:ascii="Arial Narrow" w:hAnsi="Arial Narrow" w:cs="Arial"/>
                      <w:b/>
                      <w:color w:val="000000" w:themeColor="text1"/>
                      <w:szCs w:val="24"/>
                    </w:rPr>
                  </w:pPr>
                  <w:r>
                    <w:rPr>
                      <w:rFonts w:ascii="Arial Narrow" w:hAnsi="Arial Narrow" w:cs="Arial"/>
                      <w:bCs/>
                      <w:color w:val="000000" w:themeColor="text1"/>
                      <w:szCs w:val="24"/>
                    </w:rPr>
                    <w:t>$693.720.000</w:t>
                  </w:r>
                </w:p>
              </w:tc>
            </w:tr>
            <w:tr w:rsidR="00281DD3">
              <w:trPr>
                <w:trHeight w:val="377"/>
                <w:jc w:val="center"/>
              </w:trPr>
              <w:tc>
                <w:tcPr>
                  <w:tcW w:w="4452" w:type="dxa"/>
                  <w:vMerge/>
                  <w:tcBorders>
                    <w:left w:val="single" w:sz="8" w:space="0" w:color="auto"/>
                    <w:right w:val="single" w:sz="8" w:space="0" w:color="auto"/>
                  </w:tcBorders>
                  <w:tcMar>
                    <w:left w:w="28" w:type="dxa"/>
                    <w:right w:w="28" w:type="dxa"/>
                  </w:tcMar>
                </w:tcPr>
                <w:p w:rsidR="00281DD3" w:rsidRDefault="00281DD3">
                  <w:pPr>
                    <w:rPr>
                      <w:rFonts w:ascii="Arial Narrow" w:hAnsi="Arial Narrow" w:cs="Arial"/>
                      <w:color w:val="000000" w:themeColor="text1"/>
                      <w:szCs w:val="24"/>
                    </w:rPr>
                  </w:pPr>
                </w:p>
              </w:tc>
              <w:tc>
                <w:tcPr>
                  <w:tcW w:w="927" w:type="dxa"/>
                  <w:tcBorders>
                    <w:top w:val="single" w:sz="4" w:space="0" w:color="auto"/>
                    <w:left w:val="single" w:sz="8" w:space="0" w:color="auto"/>
                    <w:bottom w:val="single" w:sz="4" w:space="0" w:color="auto"/>
                    <w:right w:val="single" w:sz="4" w:space="0" w:color="auto"/>
                  </w:tcBorders>
                  <w:shd w:val="clear" w:color="auto" w:fill="auto"/>
                  <w:tcMar>
                    <w:left w:w="28" w:type="dxa"/>
                    <w:right w:w="28" w:type="dxa"/>
                  </w:tcMar>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IVA</w:t>
                  </w:r>
                </w:p>
              </w:tc>
              <w:tc>
                <w:tcPr>
                  <w:tcW w:w="2594" w:type="dxa"/>
                  <w:tcBorders>
                    <w:top w:val="single" w:sz="8" w:space="0" w:color="auto"/>
                    <w:left w:val="single" w:sz="4" w:space="0" w:color="auto"/>
                    <w:bottom w:val="single" w:sz="4" w:space="0" w:color="auto"/>
                    <w:right w:val="single" w:sz="8" w:space="0" w:color="auto"/>
                  </w:tcBorders>
                  <w:shd w:val="clear" w:color="auto" w:fill="auto"/>
                  <w:tcMar>
                    <w:left w:w="28" w:type="dxa"/>
                    <w:right w:w="28" w:type="dxa"/>
                  </w:tcMar>
                </w:tcPr>
                <w:p w:rsidR="00281DD3" w:rsidRDefault="00C23069">
                  <w:pPr>
                    <w:jc w:val="right"/>
                    <w:rPr>
                      <w:rFonts w:ascii="Arial Narrow" w:hAnsi="Arial Narrow" w:cs="Arial"/>
                      <w:b/>
                      <w:color w:val="000000" w:themeColor="text1"/>
                      <w:szCs w:val="24"/>
                    </w:rPr>
                  </w:pPr>
                  <w:r>
                    <w:rPr>
                      <w:rFonts w:ascii="Arial Narrow" w:hAnsi="Arial Narrow" w:cs="Arial"/>
                      <w:b/>
                      <w:color w:val="000000" w:themeColor="text1"/>
                      <w:szCs w:val="24"/>
                    </w:rPr>
                    <w:t>N/A</w:t>
                  </w:r>
                </w:p>
              </w:tc>
            </w:tr>
            <w:tr w:rsidR="00281DD3">
              <w:trPr>
                <w:trHeight w:val="574"/>
                <w:jc w:val="center"/>
              </w:trPr>
              <w:tc>
                <w:tcPr>
                  <w:tcW w:w="4452" w:type="dxa"/>
                  <w:vMerge/>
                  <w:tcBorders>
                    <w:left w:val="single" w:sz="8" w:space="0" w:color="auto"/>
                    <w:right w:val="single" w:sz="8" w:space="0" w:color="auto"/>
                  </w:tcBorders>
                  <w:tcMar>
                    <w:left w:w="28" w:type="dxa"/>
                    <w:right w:w="28" w:type="dxa"/>
                  </w:tcMar>
                </w:tcPr>
                <w:p w:rsidR="00281DD3" w:rsidRDefault="00281DD3">
                  <w:pPr>
                    <w:rPr>
                      <w:rFonts w:ascii="Arial Narrow" w:hAnsi="Arial Narrow" w:cs="Arial"/>
                      <w:color w:val="000000" w:themeColor="text1"/>
                      <w:szCs w:val="24"/>
                    </w:rPr>
                  </w:pPr>
                </w:p>
              </w:tc>
              <w:tc>
                <w:tcPr>
                  <w:tcW w:w="927" w:type="dxa"/>
                  <w:tcBorders>
                    <w:top w:val="single" w:sz="4" w:space="0" w:color="auto"/>
                    <w:left w:val="single" w:sz="8" w:space="0" w:color="auto"/>
                    <w:right w:val="single" w:sz="4" w:space="0" w:color="auto"/>
                  </w:tcBorders>
                  <w:shd w:val="clear" w:color="auto" w:fill="auto"/>
                  <w:tcMar>
                    <w:left w:w="28" w:type="dxa"/>
                    <w:right w:w="28" w:type="dxa"/>
                  </w:tcMar>
                  <w:vAlign w:val="center"/>
                </w:tcPr>
                <w:p w:rsidR="00281DD3" w:rsidRDefault="00C23069">
                  <w:pPr>
                    <w:jc w:val="center"/>
                    <w:rPr>
                      <w:rFonts w:ascii="Arial Narrow" w:hAnsi="Arial Narrow" w:cs="Arial"/>
                      <w:b/>
                      <w:color w:val="000000" w:themeColor="text1"/>
                      <w:szCs w:val="24"/>
                    </w:rPr>
                  </w:pPr>
                  <w:r>
                    <w:rPr>
                      <w:rFonts w:ascii="Arial Narrow" w:hAnsi="Arial Narrow" w:cs="Arial"/>
                      <w:b/>
                      <w:color w:val="000000" w:themeColor="text1"/>
                      <w:szCs w:val="24"/>
                    </w:rPr>
                    <w:t>TOTAL</w:t>
                  </w:r>
                </w:p>
              </w:tc>
              <w:tc>
                <w:tcPr>
                  <w:tcW w:w="2594" w:type="dxa"/>
                  <w:tcBorders>
                    <w:top w:val="single" w:sz="4" w:space="0" w:color="auto"/>
                    <w:left w:val="single" w:sz="4" w:space="0" w:color="auto"/>
                    <w:right w:val="single" w:sz="8" w:space="0" w:color="auto"/>
                  </w:tcBorders>
                  <w:shd w:val="clear" w:color="auto" w:fill="auto"/>
                  <w:tcMar>
                    <w:left w:w="28" w:type="dxa"/>
                    <w:right w:w="28" w:type="dxa"/>
                  </w:tcMar>
                </w:tcPr>
                <w:p w:rsidR="00281DD3" w:rsidRDefault="00C23069">
                  <w:pPr>
                    <w:rPr>
                      <w:rFonts w:ascii="Arial Narrow" w:hAnsi="Arial Narrow" w:cs="Arial"/>
                      <w:b/>
                      <w:color w:val="000000" w:themeColor="text1"/>
                      <w:szCs w:val="24"/>
                    </w:rPr>
                  </w:pPr>
                  <w:r>
                    <w:rPr>
                      <w:rFonts w:ascii="Arial Narrow" w:hAnsi="Arial Narrow" w:cs="Arial"/>
                      <w:b/>
                      <w:color w:val="000000" w:themeColor="text1"/>
                      <w:szCs w:val="24"/>
                    </w:rPr>
                    <w:t xml:space="preserve">   </w:t>
                  </w:r>
                </w:p>
                <w:p w:rsidR="00281DD3" w:rsidRDefault="00C23069">
                  <w:pPr>
                    <w:jc w:val="right"/>
                    <w:rPr>
                      <w:rFonts w:ascii="Arial Narrow" w:hAnsi="Arial Narrow" w:cs="Arial"/>
                      <w:b/>
                      <w:color w:val="000000" w:themeColor="text1"/>
                      <w:szCs w:val="24"/>
                    </w:rPr>
                  </w:pPr>
                  <w:r>
                    <w:rPr>
                      <w:rFonts w:ascii="Arial Narrow" w:hAnsi="Arial Narrow" w:cs="Arial"/>
                      <w:bCs/>
                      <w:color w:val="000000" w:themeColor="text1"/>
                      <w:szCs w:val="24"/>
                    </w:rPr>
                    <w:t>$693.720.000</w:t>
                  </w:r>
                </w:p>
              </w:tc>
            </w:tr>
          </w:tbl>
          <w:p w:rsidR="00281DD3" w:rsidRDefault="00281DD3">
            <w:pPr>
              <w:jc w:val="both"/>
              <w:rPr>
                <w:rFonts w:ascii="Arial Narrow" w:hAnsi="Arial Narrow" w:cs="Arial"/>
                <w:color w:val="000000" w:themeColor="text1"/>
                <w:szCs w:val="24"/>
              </w:rPr>
            </w:pPr>
          </w:p>
          <w:p w:rsidR="00281DD3" w:rsidRDefault="00C23069">
            <w:pPr>
              <w:pStyle w:val="Prrafodelista"/>
              <w:numPr>
                <w:ilvl w:val="0"/>
                <w:numId w:val="10"/>
              </w:numPr>
              <w:jc w:val="both"/>
              <w:rPr>
                <w:rFonts w:ascii="Arial Narrow" w:hAnsi="Arial Narrow" w:cs="Arial"/>
                <w:color w:val="000000" w:themeColor="text1"/>
                <w:sz w:val="24"/>
                <w:szCs w:val="24"/>
              </w:rPr>
            </w:pPr>
            <w:r>
              <w:rPr>
                <w:rFonts w:ascii="Arial Narrow" w:hAnsi="Arial Narrow" w:cs="Arial"/>
                <w:color w:val="000000" w:themeColor="text1"/>
                <w:sz w:val="24"/>
                <w:szCs w:val="24"/>
              </w:rPr>
              <w:t>El presente presupuesto fue con base en la cotización con fecha Mayo 15 de 2024 DEXON SOFTWARE S.A.S. BIC- Validez de la oferta 90 días a partir de la fecha de esta Propuesta.</w:t>
            </w:r>
          </w:p>
          <w:p w:rsidR="00281DD3" w:rsidRDefault="00281DD3">
            <w:pPr>
              <w:jc w:val="both"/>
              <w:rPr>
                <w:rFonts w:ascii="Arial Narrow" w:hAnsi="Arial Narrow"/>
                <w:color w:val="000000" w:themeColor="text1"/>
                <w:szCs w:val="24"/>
              </w:rPr>
            </w:pPr>
          </w:p>
          <w:p w:rsidR="00281DD3" w:rsidRDefault="00C23069">
            <w:pPr>
              <w:ind w:right="177"/>
              <w:jc w:val="both"/>
              <w:rPr>
                <w:rFonts w:ascii="Arial Narrow" w:hAnsi="Arial Narrow" w:cs="Arial"/>
                <w:i/>
                <w:color w:val="000000" w:themeColor="text1"/>
                <w:szCs w:val="24"/>
              </w:rPr>
            </w:pPr>
            <w:r>
              <w:rPr>
                <w:rFonts w:ascii="Arial Narrow" w:hAnsi="Arial Narrow"/>
                <w:color w:val="000000" w:themeColor="text1"/>
                <w:szCs w:val="24"/>
              </w:rPr>
              <w:t xml:space="preserve">De acuerdo a lo anteriormente expuesto, bajo estos parámetros y teniendo en cuenta que la Fiscalía General de la Nación requiere tener la </w:t>
            </w:r>
            <w:r>
              <w:rPr>
                <w:rFonts w:ascii="Arial Narrow" w:hAnsi="Arial Narrow" w:cs="Arial"/>
                <w:color w:val="000000" w:themeColor="text1"/>
                <w:szCs w:val="24"/>
              </w:rPr>
              <w:t xml:space="preserve">adquisición y renovación de licencias con soporte y garantía del software de gestión dexon a través de la sociedad </w:t>
            </w:r>
            <w:r>
              <w:rPr>
                <w:rFonts w:ascii="Arial Narrow" w:hAnsi="Arial Narrow" w:cs="Arial"/>
                <w:b/>
                <w:color w:val="000000" w:themeColor="text1"/>
                <w:szCs w:val="24"/>
              </w:rPr>
              <w:t>DEXON SOFTWARE S.A.S. BIC</w:t>
            </w:r>
            <w:r>
              <w:rPr>
                <w:rFonts w:ascii="Arial Narrow" w:hAnsi="Arial Narrow" w:cs="Arial"/>
                <w:color w:val="000000" w:themeColor="text1"/>
                <w:szCs w:val="24"/>
              </w:rPr>
              <w:t xml:space="preserve">, quien corresponde a la única sociedad que puede </w:t>
            </w:r>
            <w:r>
              <w:rPr>
                <w:rFonts w:ascii="Arial Narrow" w:hAnsi="Arial Narrow" w:cs="Arial"/>
                <w:bCs/>
                <w:color w:val="000000" w:themeColor="text1"/>
                <w:szCs w:val="24"/>
              </w:rPr>
              <w:t xml:space="preserve">proveer de acuerdo a lo siguiente: …( </w:t>
            </w:r>
            <w:r>
              <w:rPr>
                <w:rFonts w:ascii="Arial Narrow" w:hAnsi="Arial Narrow" w:cs="Arial"/>
                <w:i/>
                <w:color w:val="000000" w:themeColor="text1"/>
                <w:szCs w:val="24"/>
              </w:rPr>
              <w:t xml:space="preserve">el contrato de Distribución No. 001 de junio 10 de 2011 celebrado entre Dexon Software Inc y Dexon Software S.A. (Ahora Dexon Software SAS BIC), registrado ante la Cámara y Comercio de Bogotá, el día 20 de junio de 2011 bajo el número 0019442 del libro XII, se prorrogó de forma tácita de conformidad con el numeral 3 del mismo, por un periodo igual a la duración original del contrato, quedando vigente hasta el 10 de junio de 2031 para todos los países de América Latina. Bajo dicho contrato, </w:t>
            </w:r>
            <w:r>
              <w:rPr>
                <w:rFonts w:ascii="Arial Narrow" w:hAnsi="Arial Narrow" w:cs="Arial"/>
                <w:b/>
                <w:i/>
                <w:color w:val="000000" w:themeColor="text1"/>
                <w:szCs w:val="24"/>
              </w:rPr>
              <w:t xml:space="preserve">DEXON SOFTWARE S.A.S. BIC, </w:t>
            </w:r>
            <w:r>
              <w:rPr>
                <w:rFonts w:ascii="Arial Narrow" w:hAnsi="Arial Narrow" w:cs="Arial"/>
                <w:i/>
                <w:color w:val="000000" w:themeColor="text1"/>
                <w:szCs w:val="24"/>
              </w:rPr>
              <w:t>es el distribuidor exclusivo de todos los productos de Dexon, actuales y futuros y puede prestar los servicios de implementación. Acompañamiento, asesoría, despliegue on-premise y en la nube, soporte y actualizaciones”</w:t>
            </w:r>
            <w:r>
              <w:rPr>
                <w:rFonts w:ascii="Arial Narrow" w:hAnsi="Arial Narrow" w:cs="Arial"/>
                <w:color w:val="000000" w:themeColor="text1"/>
                <w:szCs w:val="24"/>
              </w:rPr>
              <w:t xml:space="preserve"> </w:t>
            </w:r>
            <w:r>
              <w:rPr>
                <w:rFonts w:ascii="Arial Narrow" w:hAnsi="Arial Narrow"/>
                <w:color w:val="000000" w:themeColor="text1"/>
                <w:szCs w:val="24"/>
              </w:rPr>
              <w:t xml:space="preserve">el Estudio del Sector fue realizado con la cotización inicial del proveedor, ya que esta oferta cubre las necesidades que se solicitan en el presente proceso, teniendo en cuenta que la oferta </w:t>
            </w:r>
            <w:r>
              <w:rPr>
                <w:rFonts w:ascii="Arial Narrow" w:hAnsi="Arial Narrow" w:cs="Arial"/>
                <w:b/>
                <w:color w:val="000000" w:themeColor="text1"/>
                <w:szCs w:val="24"/>
              </w:rPr>
              <w:t>DEXON SOFTWARE S.A.S. BIC</w:t>
            </w:r>
            <w:r>
              <w:rPr>
                <w:rFonts w:ascii="Arial Narrow" w:hAnsi="Arial Narrow"/>
                <w:color w:val="000000" w:themeColor="text1"/>
                <w:szCs w:val="24"/>
              </w:rPr>
              <w:t xml:space="preserve"> cumple a cabalidad </w:t>
            </w:r>
            <w:r>
              <w:rPr>
                <w:rFonts w:ascii="Arial Narrow" w:hAnsi="Arial Narrow" w:cs="Arial"/>
                <w:bCs/>
                <w:color w:val="000000" w:themeColor="text1"/>
                <w:szCs w:val="24"/>
              </w:rPr>
              <w:t xml:space="preserve">con las especificaciones técnicas requeridas por parte del área técnica y de la Entidad. </w:t>
            </w:r>
          </w:p>
          <w:p w:rsidR="00281DD3" w:rsidRDefault="00281DD3">
            <w:pPr>
              <w:jc w:val="both"/>
              <w:rPr>
                <w:rFonts w:ascii="Arial Narrow" w:hAnsi="Arial Narrow"/>
                <w:color w:val="000000" w:themeColor="text1"/>
                <w:szCs w:val="24"/>
              </w:rPr>
            </w:pPr>
          </w:p>
          <w:p w:rsidR="00281DD3" w:rsidRDefault="00C23069">
            <w:pPr>
              <w:jc w:val="both"/>
              <w:rPr>
                <w:rFonts w:ascii="Arial Narrow" w:hAnsi="Arial Narrow"/>
                <w:color w:val="000000" w:themeColor="text1"/>
                <w:szCs w:val="24"/>
              </w:rPr>
            </w:pPr>
            <w:r>
              <w:rPr>
                <w:rFonts w:ascii="Arial Narrow" w:hAnsi="Arial Narrow"/>
                <w:color w:val="000000" w:themeColor="text1"/>
                <w:szCs w:val="24"/>
              </w:rPr>
              <w:t>De esta manera, para la realización del presente estudio se tuvo en cuenta la necesidad planteada por parte del área técnica y el valor asignado en el Plan Anual de Adquisiciones.</w:t>
            </w:r>
          </w:p>
          <w:p w:rsidR="00281DD3" w:rsidRDefault="00281DD3">
            <w:pPr>
              <w:jc w:val="both"/>
              <w:rPr>
                <w:rFonts w:ascii="Arial Narrow" w:hAnsi="Arial Narrow" w:cs="Tahoma"/>
                <w:color w:val="000000" w:themeColor="text1"/>
                <w:szCs w:val="24"/>
              </w:rPr>
            </w:pPr>
          </w:p>
          <w:p w:rsidR="00281DD3" w:rsidRDefault="00C23069">
            <w:pPr>
              <w:pStyle w:val="bodytext3"/>
              <w:rPr>
                <w:rFonts w:ascii="Arial Narrow" w:hAnsi="Arial Narrow"/>
                <w:i/>
                <w:color w:val="000000" w:themeColor="text1"/>
              </w:rPr>
            </w:pPr>
            <w:r>
              <w:rPr>
                <w:rFonts w:ascii="Arial Narrow" w:hAnsi="Arial Narrow"/>
                <w:color w:val="000000" w:themeColor="text1"/>
              </w:rPr>
              <w:t xml:space="preserve">De acuerdo a lo anteriormente expuesto, bajo estos parámetros y teniendo en cuenta que la Fiscalía General de la Nación requiere la </w:t>
            </w:r>
            <w:r>
              <w:rPr>
                <w:rFonts w:ascii="Arial Narrow" w:hAnsi="Arial Narrow" w:cs="Arial"/>
                <w:color w:val="000000" w:themeColor="text1"/>
              </w:rPr>
              <w:t xml:space="preserve">adquisición y renovación de licencias con soporte y garantía del software de gestión dexon para la fiscalía general de la nación </w:t>
            </w:r>
            <w:r>
              <w:rPr>
                <w:rFonts w:ascii="Arial Narrow" w:hAnsi="Arial Narrow"/>
                <w:color w:val="000000" w:themeColor="text1"/>
              </w:rPr>
              <w:t xml:space="preserve">y por ser el único proveedor que puede ofrece lo anteriormente nombrado, el Estudio del Sector fue realizado con la propuesta económica inicial del proveedor </w:t>
            </w:r>
            <w:r>
              <w:rPr>
                <w:rFonts w:ascii="Arial Narrow" w:hAnsi="Arial Narrow" w:cs="Arial"/>
                <w:b/>
                <w:color w:val="000000" w:themeColor="text1"/>
              </w:rPr>
              <w:t>DEXON SOFTWARE S.A.S. BIC</w:t>
            </w:r>
          </w:p>
          <w:p w:rsidR="00281DD3" w:rsidRDefault="00281DD3">
            <w:pPr>
              <w:jc w:val="both"/>
              <w:rPr>
                <w:rFonts w:ascii="Arial Narrow" w:hAnsi="Arial Narrow"/>
                <w:color w:val="000000" w:themeColor="text1"/>
                <w:szCs w:val="24"/>
              </w:rPr>
            </w:pPr>
          </w:p>
          <w:p w:rsidR="00281DD3" w:rsidRDefault="00C23069">
            <w:pPr>
              <w:pStyle w:val="Ttulo2"/>
              <w:jc w:val="both"/>
              <w:rPr>
                <w:rFonts w:ascii="Arial Narrow" w:hAnsi="Arial Narrow" w:cs="Arial"/>
                <w:b w:val="0"/>
                <w:color w:val="000000" w:themeColor="text1"/>
                <w:szCs w:val="24"/>
              </w:rPr>
            </w:pPr>
            <w:r>
              <w:rPr>
                <w:rFonts w:ascii="Arial Narrow" w:hAnsi="Arial Narrow" w:cs="Arial"/>
                <w:b w:val="0"/>
                <w:color w:val="000000" w:themeColor="text1"/>
                <w:szCs w:val="24"/>
              </w:rPr>
              <w:t xml:space="preserve">El presupuesto oficial para el presente proceso </w:t>
            </w:r>
            <w:r w:rsidR="005C6079">
              <w:rPr>
                <w:rFonts w:ascii="Arial Narrow" w:hAnsi="Arial Narrow" w:cs="Arial"/>
                <w:b w:val="0"/>
                <w:color w:val="000000" w:themeColor="text1"/>
                <w:szCs w:val="24"/>
              </w:rPr>
              <w:t>asciende a la suma</w:t>
            </w:r>
            <w:bookmarkStart w:id="2" w:name="_GoBack"/>
            <w:bookmarkEnd w:id="2"/>
            <w:r>
              <w:rPr>
                <w:rFonts w:ascii="Arial Narrow" w:hAnsi="Arial Narrow" w:cs="Arial"/>
                <w:b w:val="0"/>
                <w:color w:val="000000" w:themeColor="text1"/>
                <w:szCs w:val="24"/>
              </w:rPr>
              <w:t xml:space="preserve"> de </w:t>
            </w:r>
            <w:r>
              <w:rPr>
                <w:rFonts w:ascii="Arial Narrow" w:hAnsi="Arial Narrow" w:cstheme="minorBidi"/>
                <w:bCs/>
                <w:color w:val="000000" w:themeColor="text1"/>
                <w:szCs w:val="24"/>
              </w:rPr>
              <w:t>SEISIENTOS NOVENTA Y TRES MILLONES SETECIENTOS VEINTE MIL PESOS M/CTE (</w:t>
            </w:r>
            <w:r>
              <w:rPr>
                <w:rFonts w:ascii="Arial Narrow" w:hAnsi="Arial Narrow" w:cs="Arial"/>
                <w:color w:val="000000" w:themeColor="text1"/>
                <w:szCs w:val="24"/>
              </w:rPr>
              <w:t>$693.720.000</w:t>
            </w:r>
            <w:r>
              <w:rPr>
                <w:rFonts w:ascii="Arial Narrow" w:hAnsi="Arial Narrow" w:cstheme="minorBidi"/>
                <w:bCs/>
                <w:color w:val="000000" w:themeColor="text1"/>
                <w:szCs w:val="24"/>
              </w:rPr>
              <w:t>),</w:t>
            </w:r>
            <w:r>
              <w:rPr>
                <w:rFonts w:ascii="Arial Narrow" w:hAnsi="Arial Narrow" w:cstheme="minorBidi"/>
                <w:color w:val="000000" w:themeColor="text1"/>
                <w:szCs w:val="24"/>
              </w:rPr>
              <w:t xml:space="preserve"> </w:t>
            </w:r>
            <w:r>
              <w:rPr>
                <w:rFonts w:ascii="Arial Narrow" w:hAnsi="Arial Narrow" w:cs="Arial"/>
                <w:b w:val="0"/>
                <w:color w:val="000000" w:themeColor="text1"/>
                <w:szCs w:val="24"/>
              </w:rPr>
              <w:t>incluido todos los costos directos e indirectos los impuestos nacionales a que haya lugar.</w:t>
            </w:r>
          </w:p>
          <w:p w:rsidR="008C429B" w:rsidRDefault="008C429B" w:rsidP="008C429B"/>
          <w:p w:rsidR="008C429B" w:rsidRPr="00133E59" w:rsidRDefault="008C429B" w:rsidP="00133E59">
            <w:pPr>
              <w:jc w:val="both"/>
              <w:rPr>
                <w:rFonts w:cs="Arial"/>
              </w:rPr>
            </w:pPr>
            <w:r w:rsidRPr="008C429B">
              <w:rPr>
                <w:rFonts w:cs="Arial"/>
                <w:b/>
              </w:rPr>
              <w:t xml:space="preserve">NOTA: </w:t>
            </w:r>
            <w:r w:rsidRPr="00133E59">
              <w:rPr>
                <w:rFonts w:ascii="Arial Narrow" w:hAnsi="Arial Narrow"/>
                <w:color w:val="000000" w:themeColor="text1"/>
                <w:szCs w:val="24"/>
                <w:lang w:val="es-ES"/>
              </w:rPr>
              <w:t>En relación con el IVA, si bien, la sociedad contratista es responsable de este impuesto de conformidad con las responsabilidades, calidades y atributos establecidos en el Registro Único Tributario – RUT; el licenciamiento objeto de la presente contratación se encuentra exento de IVA</w:t>
            </w:r>
            <w:r w:rsidR="00133E59" w:rsidRPr="00133E59">
              <w:rPr>
                <w:rFonts w:ascii="Arial Narrow" w:hAnsi="Arial Narrow"/>
                <w:color w:val="000000" w:themeColor="text1"/>
                <w:szCs w:val="24"/>
                <w:lang w:val="es-ES"/>
              </w:rPr>
              <w:t>, de conformidad con lo señalado en l</w:t>
            </w:r>
            <w:r w:rsidR="00133E59" w:rsidRPr="00133E59">
              <w:rPr>
                <w:rFonts w:ascii="Arial Narrow" w:hAnsi="Arial Narrow"/>
                <w:color w:val="000000" w:themeColor="text1"/>
                <w:szCs w:val="24"/>
                <w:lang w:val="es-ES"/>
              </w:rPr>
              <w:t>os artículos 420, 437-2 y 476 del Estatuto Tributario, y con los artículos 1.6.1.21.22, 1.3.2.3.1 y 1.3.2.1.5 del Decreto Único reglamentario 1625 de 2016, explicado en el Oficio Nº 0104 [002130] del 03-02-2020 expedido por la DIAN, así como en el concepto 17056 del 25 de agosto de 2017 de la Dirección de Impuestos y Aduanas Nacionales-DIAN, se encuentra excluido de IVA el software en la modalidad de suscripción SAAS, sea hospedada por el cliente o por Dexon, toda vez que son servicios de computación en la nube “cloud computing” pueden ser prestados en la nube pública, privada o híbrida.</w:t>
            </w:r>
          </w:p>
          <w:p w:rsidR="00281DD3" w:rsidRDefault="00281DD3">
            <w:pPr>
              <w:contextualSpacing/>
              <w:jc w:val="both"/>
              <w:rPr>
                <w:rFonts w:ascii="Arial Narrow" w:hAnsi="Arial Narrow" w:cs="Arial"/>
                <w:color w:val="000000" w:themeColor="text1"/>
                <w:szCs w:val="24"/>
              </w:rPr>
            </w:pPr>
          </w:p>
        </w:tc>
      </w:tr>
      <w:tr w:rsidR="00281DD3">
        <w:trPr>
          <w:trHeight w:val="235"/>
        </w:trPr>
        <w:tc>
          <w:tcPr>
            <w:tcW w:w="5000" w:type="pct"/>
            <w:gridSpan w:val="4"/>
            <w:tcBorders>
              <w:left w:val="nil"/>
              <w:right w:val="nil"/>
            </w:tcBorders>
            <w:shd w:val="clear" w:color="auto" w:fill="auto"/>
            <w:vAlign w:val="center"/>
          </w:tcPr>
          <w:p w:rsidR="00281DD3" w:rsidRDefault="00281DD3">
            <w:pPr>
              <w:tabs>
                <w:tab w:val="left" w:pos="456"/>
              </w:tabs>
              <w:ind w:left="312"/>
              <w:contextualSpacing/>
              <w:jc w:val="both"/>
              <w:rPr>
                <w:rFonts w:ascii="Arial Narrow" w:eastAsia="Calibri" w:hAnsi="Arial Narrow" w:cs="Arial"/>
                <w:b/>
                <w:color w:val="000000" w:themeColor="text1"/>
                <w:szCs w:val="24"/>
                <w:lang w:eastAsia="en-US"/>
              </w:rPr>
            </w:pPr>
          </w:p>
        </w:tc>
      </w:tr>
      <w:tr w:rsidR="00281DD3">
        <w:trPr>
          <w:trHeight w:val="391"/>
        </w:trPr>
        <w:tc>
          <w:tcPr>
            <w:tcW w:w="5000" w:type="pct"/>
            <w:gridSpan w:val="4"/>
            <w:shd w:val="clear" w:color="auto" w:fill="D9D9D9" w:themeFill="background1" w:themeFillShade="D9"/>
            <w:vAlign w:val="center"/>
          </w:tcPr>
          <w:p w:rsidR="00281DD3" w:rsidRDefault="00C23069">
            <w:pPr>
              <w:numPr>
                <w:ilvl w:val="0"/>
                <w:numId w:val="3"/>
              </w:numPr>
              <w:tabs>
                <w:tab w:val="left" w:pos="456"/>
              </w:tabs>
              <w:ind w:left="312" w:hanging="282"/>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 xml:space="preserve">FUENTES DE INFORMACIÓN </w:t>
            </w:r>
          </w:p>
        </w:tc>
      </w:tr>
      <w:tr w:rsidR="00281DD3">
        <w:trPr>
          <w:trHeight w:val="917"/>
        </w:trPr>
        <w:tc>
          <w:tcPr>
            <w:tcW w:w="5000" w:type="pct"/>
            <w:gridSpan w:val="4"/>
            <w:shd w:val="clear" w:color="auto" w:fill="FFFFFF" w:themeFill="background1"/>
          </w:tcPr>
          <w:p w:rsidR="00281DD3" w:rsidRDefault="00C23069">
            <w:pPr>
              <w:pStyle w:val="Prrafodelista"/>
              <w:numPr>
                <w:ilvl w:val="0"/>
                <w:numId w:val="11"/>
              </w:numPr>
              <w:tabs>
                <w:tab w:val="left" w:pos="456"/>
              </w:tabs>
              <w:jc w:val="both"/>
              <w:rPr>
                <w:rFonts w:ascii="Arial Narrow" w:hAnsi="Arial Narrow" w:cs="Arial"/>
                <w:color w:val="000000" w:themeColor="text1"/>
                <w:sz w:val="24"/>
                <w:szCs w:val="24"/>
              </w:rPr>
            </w:pPr>
            <w:r>
              <w:rPr>
                <w:rFonts w:ascii="Arial Narrow" w:hAnsi="Arial Narrow" w:cs="Arial"/>
                <w:color w:val="000000" w:themeColor="text1"/>
                <w:sz w:val="24"/>
                <w:szCs w:val="24"/>
              </w:rPr>
              <w:t>Estudio Previo</w:t>
            </w:r>
          </w:p>
          <w:p w:rsidR="00281DD3" w:rsidRDefault="00C23069">
            <w:pPr>
              <w:pStyle w:val="Prrafodelista"/>
              <w:numPr>
                <w:ilvl w:val="0"/>
                <w:numId w:val="11"/>
              </w:numPr>
              <w:tabs>
                <w:tab w:val="left" w:pos="456"/>
              </w:tabs>
              <w:jc w:val="both"/>
              <w:rPr>
                <w:rFonts w:ascii="Arial Narrow" w:hAnsi="Arial Narrow" w:cs="Arial"/>
                <w:color w:val="000000" w:themeColor="text1"/>
                <w:sz w:val="24"/>
                <w:szCs w:val="24"/>
              </w:rPr>
            </w:pPr>
            <w:r>
              <w:rPr>
                <w:rFonts w:ascii="Arial Narrow" w:hAnsi="Arial Narrow" w:cs="Arial"/>
                <w:color w:val="000000" w:themeColor="text1"/>
                <w:sz w:val="24"/>
                <w:szCs w:val="24"/>
              </w:rPr>
              <w:t xml:space="preserve">Oferta Económica  de </w:t>
            </w:r>
            <w:r>
              <w:rPr>
                <w:rFonts w:ascii="Arial Narrow" w:hAnsi="Arial Narrow" w:cs="Arial"/>
                <w:b/>
                <w:color w:val="000000" w:themeColor="text1"/>
                <w:sz w:val="24"/>
                <w:szCs w:val="24"/>
              </w:rPr>
              <w:t>DEXON SOFTWARE S.A.S. BIC</w:t>
            </w:r>
          </w:p>
        </w:tc>
      </w:tr>
      <w:tr w:rsidR="00281DD3">
        <w:trPr>
          <w:trHeight w:val="391"/>
        </w:trPr>
        <w:tc>
          <w:tcPr>
            <w:tcW w:w="3515" w:type="pct"/>
            <w:gridSpan w:val="3"/>
            <w:shd w:val="clear" w:color="auto" w:fill="D9D9D9" w:themeFill="background1" w:themeFillShade="D9"/>
            <w:vAlign w:val="center"/>
          </w:tcPr>
          <w:p w:rsidR="00281DD3" w:rsidRDefault="00C23069">
            <w:pPr>
              <w:tabs>
                <w:tab w:val="left" w:pos="456"/>
              </w:tabs>
              <w:ind w:left="172"/>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EL VALOR DEL ESTUDIO DEL SECTOR ES</w:t>
            </w:r>
          </w:p>
        </w:tc>
        <w:tc>
          <w:tcPr>
            <w:tcW w:w="1485" w:type="pct"/>
            <w:shd w:val="clear" w:color="auto" w:fill="auto"/>
            <w:vAlign w:val="center"/>
          </w:tcPr>
          <w:p w:rsidR="00281DD3" w:rsidRDefault="00C23069">
            <w:pPr>
              <w:tabs>
                <w:tab w:val="left" w:pos="456"/>
              </w:tabs>
              <w:ind w:left="172"/>
              <w:contextualSpacing/>
              <w:jc w:val="both"/>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 xml:space="preserve">$ </w:t>
            </w:r>
            <w:r>
              <w:rPr>
                <w:rFonts w:ascii="Arial Narrow" w:hAnsi="Arial Narrow" w:cs="Arial"/>
                <w:b/>
                <w:color w:val="000000" w:themeColor="text1"/>
                <w:szCs w:val="24"/>
              </w:rPr>
              <w:t>693.720.000</w:t>
            </w:r>
          </w:p>
        </w:tc>
      </w:tr>
      <w:tr w:rsidR="00281DD3">
        <w:trPr>
          <w:trHeight w:val="391"/>
        </w:trPr>
        <w:tc>
          <w:tcPr>
            <w:tcW w:w="5000" w:type="pct"/>
            <w:gridSpan w:val="4"/>
            <w:shd w:val="clear" w:color="auto" w:fill="F2F2F2" w:themeFill="background1" w:themeFillShade="F2"/>
            <w:vAlign w:val="center"/>
          </w:tcPr>
          <w:p w:rsidR="00281DD3" w:rsidRDefault="00C23069" w:rsidP="008C429B">
            <w:pPr>
              <w:pStyle w:val="Ttulo2"/>
              <w:shd w:val="clear" w:color="auto" w:fill="FFFFFF"/>
              <w:jc w:val="center"/>
              <w:rPr>
                <w:rFonts w:ascii="Arial Narrow" w:hAnsi="Arial Narrow" w:cs="Arial"/>
                <w:bCs/>
                <w:color w:val="000000" w:themeColor="text1"/>
                <w:szCs w:val="24"/>
              </w:rPr>
            </w:pPr>
            <w:r>
              <w:rPr>
                <w:rFonts w:ascii="Arial Narrow" w:hAnsi="Arial Narrow" w:cstheme="minorBidi"/>
                <w:bCs/>
                <w:color w:val="000000" w:themeColor="text1"/>
                <w:szCs w:val="24"/>
              </w:rPr>
              <w:t>SEISIENTOS NOVENTA Y TRES MILLONES SETECIENTOS VEINTE MIL PESOS M/CTE</w:t>
            </w:r>
            <w:r>
              <w:rPr>
                <w:rFonts w:ascii="Arial Narrow" w:hAnsi="Arial Narrow" w:cs="Arial"/>
                <w:color w:val="000000" w:themeColor="text1"/>
                <w:szCs w:val="24"/>
              </w:rPr>
              <w:t xml:space="preserve"> INCLUIDO TODOS LOS COSTOS DIRECTOS E INDIRECTOS Y LOS IMPUESTOS NACIONALES A QUE HAYA LUGAR. </w:t>
            </w:r>
          </w:p>
        </w:tc>
      </w:tr>
      <w:tr w:rsidR="00281DD3">
        <w:trPr>
          <w:trHeight w:val="391"/>
        </w:trPr>
        <w:tc>
          <w:tcPr>
            <w:tcW w:w="5000" w:type="pct"/>
            <w:gridSpan w:val="4"/>
            <w:shd w:val="clear" w:color="auto" w:fill="D9D9D9" w:themeFill="background1" w:themeFillShade="D9"/>
            <w:vAlign w:val="center"/>
          </w:tcPr>
          <w:p w:rsidR="00281DD3" w:rsidRDefault="00C23069">
            <w:pPr>
              <w:tabs>
                <w:tab w:val="left" w:pos="456"/>
              </w:tabs>
              <w:ind w:left="172"/>
              <w:contextualSpacing/>
              <w:jc w:val="center"/>
              <w:rPr>
                <w:rFonts w:ascii="Arial Narrow" w:eastAsia="Calibri" w:hAnsi="Arial Narrow" w:cs="Arial"/>
                <w:b/>
                <w:color w:val="000000" w:themeColor="text1"/>
                <w:szCs w:val="24"/>
                <w:lang w:eastAsia="en-US"/>
              </w:rPr>
            </w:pPr>
            <w:r>
              <w:rPr>
                <w:rFonts w:ascii="Arial Narrow" w:eastAsia="Calibri" w:hAnsi="Arial Narrow" w:cs="Arial"/>
                <w:b/>
                <w:color w:val="000000" w:themeColor="text1"/>
                <w:szCs w:val="24"/>
                <w:lang w:eastAsia="en-US"/>
              </w:rPr>
              <w:t>EL CUAL SERVIRA COMO PRESUPUESTO OFICIAL DEL PROCESO</w:t>
            </w:r>
          </w:p>
        </w:tc>
      </w:tr>
    </w:tbl>
    <w:p w:rsidR="00281DD3" w:rsidRDefault="00281DD3">
      <w:pPr>
        <w:ind w:left="284"/>
        <w:jc w:val="both"/>
        <w:rPr>
          <w:rFonts w:ascii="Arial Narrow" w:hAnsi="Arial Narrow" w:cs="Arial"/>
          <w:b/>
          <w:color w:val="000000" w:themeColor="text1"/>
          <w:szCs w:val="24"/>
        </w:rPr>
      </w:pPr>
    </w:p>
    <w:p w:rsidR="00281DD3" w:rsidRDefault="00281DD3">
      <w:pPr>
        <w:ind w:left="284"/>
        <w:jc w:val="both"/>
        <w:rPr>
          <w:rFonts w:ascii="Arial Narrow" w:hAnsi="Arial Narrow" w:cs="Arial"/>
          <w:b/>
          <w:color w:val="000000" w:themeColor="text1"/>
          <w:szCs w:val="24"/>
        </w:rPr>
      </w:pPr>
    </w:p>
    <w:p w:rsidR="00281DD3" w:rsidRDefault="00281DD3">
      <w:pPr>
        <w:ind w:left="284"/>
        <w:jc w:val="both"/>
        <w:rPr>
          <w:rFonts w:ascii="Arial Narrow" w:hAnsi="Arial Narrow" w:cs="Arial"/>
          <w:b/>
          <w:color w:val="000000" w:themeColor="text1"/>
          <w:szCs w:val="24"/>
        </w:rPr>
      </w:pPr>
    </w:p>
    <w:tbl>
      <w:tblPr>
        <w:tblStyle w:val="Tablaconcuadrcula"/>
        <w:tblW w:w="9782" w:type="dxa"/>
        <w:tblInd w:w="-289" w:type="dxa"/>
        <w:tblLook w:val="04A0" w:firstRow="1" w:lastRow="0" w:firstColumn="1" w:lastColumn="0" w:noHBand="0" w:noVBand="1"/>
      </w:tblPr>
      <w:tblGrid>
        <w:gridCol w:w="1418"/>
        <w:gridCol w:w="3544"/>
        <w:gridCol w:w="1843"/>
        <w:gridCol w:w="2977"/>
      </w:tblGrid>
      <w:tr w:rsidR="00281DD3">
        <w:trPr>
          <w:trHeight w:val="563"/>
        </w:trPr>
        <w:tc>
          <w:tcPr>
            <w:tcW w:w="1418" w:type="dxa"/>
            <w:vAlign w:val="center"/>
          </w:tcPr>
          <w:p w:rsidR="00281DD3" w:rsidRDefault="00C23069">
            <w:pPr>
              <w:tabs>
                <w:tab w:val="left" w:pos="2520"/>
              </w:tabs>
              <w:jc w:val="both"/>
              <w:rPr>
                <w:rFonts w:ascii="Arial Narrow" w:hAnsi="Arial Narrow" w:cs="Arial"/>
                <w:color w:val="000000" w:themeColor="text1"/>
                <w:szCs w:val="24"/>
              </w:rPr>
            </w:pPr>
            <w:r>
              <w:rPr>
                <w:rFonts w:ascii="Arial Narrow" w:hAnsi="Arial Narrow" w:cs="Arial"/>
                <w:color w:val="000000" w:themeColor="text1"/>
                <w:szCs w:val="24"/>
              </w:rPr>
              <w:t>Elaboró</w:t>
            </w:r>
          </w:p>
        </w:tc>
        <w:tc>
          <w:tcPr>
            <w:tcW w:w="3544" w:type="dxa"/>
            <w:vAlign w:val="center"/>
          </w:tcPr>
          <w:p w:rsidR="00281DD3" w:rsidRDefault="00C23069">
            <w:pPr>
              <w:tabs>
                <w:tab w:val="left" w:pos="2520"/>
              </w:tabs>
              <w:jc w:val="center"/>
              <w:rPr>
                <w:rFonts w:ascii="Arial Narrow" w:hAnsi="Arial Narrow"/>
                <w:color w:val="000000" w:themeColor="text1"/>
                <w:szCs w:val="24"/>
              </w:rPr>
            </w:pPr>
            <w:r>
              <w:rPr>
                <w:rFonts w:ascii="Arial Narrow" w:hAnsi="Arial Narrow"/>
                <w:color w:val="000000" w:themeColor="text1"/>
                <w:szCs w:val="24"/>
              </w:rPr>
              <w:t xml:space="preserve">Vivian Vanessa </w:t>
            </w:r>
            <w:r>
              <w:rPr>
                <w:rFonts w:ascii="Arial Narrow" w:hAnsi="Arial Narrow" w:cs="Arial"/>
                <w:color w:val="000000" w:themeColor="text1"/>
                <w:szCs w:val="24"/>
                <w:shd w:val="clear" w:color="auto" w:fill="FFFFFF"/>
              </w:rPr>
              <w:t>González</w:t>
            </w:r>
            <w:r>
              <w:rPr>
                <w:rFonts w:ascii="Arial Narrow" w:hAnsi="Arial Narrow" w:cs="Arial"/>
                <w:color w:val="000000" w:themeColor="text1"/>
                <w:szCs w:val="24"/>
              </w:rPr>
              <w:t xml:space="preserve"> </w:t>
            </w:r>
            <w:r>
              <w:rPr>
                <w:rFonts w:ascii="Arial Narrow" w:hAnsi="Arial Narrow"/>
                <w:color w:val="000000" w:themeColor="text1"/>
                <w:szCs w:val="24"/>
              </w:rPr>
              <w:t>Villalba</w:t>
            </w:r>
          </w:p>
          <w:p w:rsidR="00281DD3" w:rsidRDefault="00C23069">
            <w:pPr>
              <w:tabs>
                <w:tab w:val="left" w:pos="2520"/>
              </w:tabs>
              <w:jc w:val="center"/>
              <w:rPr>
                <w:rFonts w:ascii="Arial Narrow" w:hAnsi="Arial Narrow" w:cs="Arial"/>
                <w:color w:val="000000" w:themeColor="text1"/>
                <w:szCs w:val="24"/>
              </w:rPr>
            </w:pPr>
            <w:r>
              <w:rPr>
                <w:rFonts w:ascii="Arial Narrow" w:hAnsi="Arial Narrow"/>
                <w:color w:val="000000" w:themeColor="text1"/>
                <w:szCs w:val="24"/>
              </w:rPr>
              <w:t>Grupo de Análisis del Sector Económico y de los Oferentes</w:t>
            </w:r>
          </w:p>
        </w:tc>
        <w:tc>
          <w:tcPr>
            <w:tcW w:w="1843" w:type="dxa"/>
            <w:vAlign w:val="center"/>
          </w:tcPr>
          <w:p w:rsidR="00281DD3" w:rsidRDefault="00DD2623">
            <w:pPr>
              <w:tabs>
                <w:tab w:val="left" w:pos="2520"/>
              </w:tabs>
              <w:jc w:val="center"/>
              <w:rPr>
                <w:rFonts w:ascii="Arial Narrow" w:hAnsi="Arial Narrow" w:cs="Arial"/>
                <w:color w:val="000000" w:themeColor="text1"/>
                <w:szCs w:val="24"/>
              </w:rPr>
            </w:pPr>
            <w:r>
              <w:rPr>
                <w:rFonts w:ascii="Arial Narrow" w:hAnsi="Arial Narrow" w:cs="Arial"/>
                <w:color w:val="000000" w:themeColor="text1"/>
                <w:szCs w:val="24"/>
              </w:rPr>
              <w:t>20</w:t>
            </w:r>
            <w:r w:rsidR="00C23069">
              <w:rPr>
                <w:rFonts w:ascii="Arial Narrow" w:hAnsi="Arial Narrow" w:cs="Arial"/>
                <w:color w:val="000000" w:themeColor="text1"/>
                <w:szCs w:val="24"/>
              </w:rPr>
              <w:t>/06/2024</w:t>
            </w:r>
          </w:p>
          <w:p w:rsidR="00616A2E" w:rsidRDefault="00616A2E">
            <w:pPr>
              <w:tabs>
                <w:tab w:val="left" w:pos="2520"/>
              </w:tabs>
              <w:jc w:val="center"/>
              <w:rPr>
                <w:rFonts w:ascii="Arial Narrow" w:hAnsi="Arial Narrow" w:cs="Arial"/>
                <w:color w:val="000000" w:themeColor="text1"/>
                <w:szCs w:val="24"/>
              </w:rPr>
            </w:pPr>
            <w:r>
              <w:rPr>
                <w:rFonts w:ascii="Arial Narrow" w:hAnsi="Arial Narrow" w:cs="Arial"/>
                <w:color w:val="000000" w:themeColor="text1"/>
                <w:szCs w:val="24"/>
              </w:rPr>
              <w:t>26/06/2024</w:t>
            </w:r>
          </w:p>
        </w:tc>
        <w:tc>
          <w:tcPr>
            <w:tcW w:w="2977" w:type="dxa"/>
            <w:vAlign w:val="center"/>
          </w:tcPr>
          <w:p w:rsidR="00281DD3" w:rsidRDefault="00C23069">
            <w:pPr>
              <w:tabs>
                <w:tab w:val="left" w:pos="2520"/>
              </w:tabs>
              <w:jc w:val="center"/>
              <w:rPr>
                <w:rFonts w:ascii="Arial Narrow" w:hAnsi="Arial Narrow" w:cs="Arial"/>
                <w:color w:val="000000" w:themeColor="text1"/>
                <w:szCs w:val="24"/>
              </w:rPr>
            </w:pPr>
            <w:r>
              <w:rPr>
                <w:rFonts w:ascii="Arial Narrow" w:hAnsi="Arial Narrow"/>
                <w:color w:val="000000" w:themeColor="text1"/>
                <w:szCs w:val="24"/>
              </w:rPr>
              <w:object w:dxaOrig="1582" w:dyaOrig="5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27pt" o:ole="">
                  <v:imagedata r:id="rId20" o:title=""/>
                </v:shape>
                <o:OLEObject Type="Embed" ProgID="PBrush" ShapeID="_x0000_i1025" DrawAspect="Content" ObjectID="_1780917915" r:id="rId21"/>
              </w:object>
            </w:r>
          </w:p>
        </w:tc>
      </w:tr>
      <w:tr w:rsidR="00281DD3">
        <w:trPr>
          <w:trHeight w:val="557"/>
        </w:trPr>
        <w:tc>
          <w:tcPr>
            <w:tcW w:w="1418" w:type="dxa"/>
            <w:vAlign w:val="center"/>
          </w:tcPr>
          <w:p w:rsidR="00281DD3" w:rsidRDefault="00C23069">
            <w:pPr>
              <w:tabs>
                <w:tab w:val="left" w:pos="2520"/>
              </w:tabs>
              <w:jc w:val="both"/>
              <w:rPr>
                <w:rFonts w:ascii="Arial Narrow" w:hAnsi="Arial Narrow" w:cs="Arial"/>
                <w:color w:val="000000" w:themeColor="text1"/>
                <w:szCs w:val="24"/>
              </w:rPr>
            </w:pPr>
            <w:r>
              <w:rPr>
                <w:rFonts w:ascii="Arial Narrow" w:hAnsi="Arial Narrow" w:cs="Arial"/>
                <w:color w:val="000000" w:themeColor="text1"/>
                <w:szCs w:val="24"/>
              </w:rPr>
              <w:t>Aprobó</w:t>
            </w:r>
          </w:p>
        </w:tc>
        <w:tc>
          <w:tcPr>
            <w:tcW w:w="3544" w:type="dxa"/>
            <w:vAlign w:val="center"/>
          </w:tcPr>
          <w:p w:rsidR="00281DD3" w:rsidRDefault="00C23069">
            <w:pPr>
              <w:tabs>
                <w:tab w:val="left" w:pos="2520"/>
              </w:tabs>
              <w:jc w:val="center"/>
              <w:rPr>
                <w:rFonts w:ascii="Arial Narrow" w:hAnsi="Arial Narrow" w:cs="Arial"/>
                <w:color w:val="000000" w:themeColor="text1"/>
                <w:szCs w:val="24"/>
              </w:rPr>
            </w:pPr>
            <w:r>
              <w:rPr>
                <w:rFonts w:ascii="Arial Narrow" w:hAnsi="Arial Narrow" w:cs="Arial"/>
                <w:color w:val="000000" w:themeColor="text1"/>
                <w:szCs w:val="24"/>
              </w:rPr>
              <w:t>Gustavo Adolfo Palacio Olarte</w:t>
            </w:r>
          </w:p>
          <w:p w:rsidR="00281DD3" w:rsidRDefault="00C23069">
            <w:pPr>
              <w:tabs>
                <w:tab w:val="left" w:pos="2520"/>
              </w:tabs>
              <w:jc w:val="center"/>
              <w:rPr>
                <w:rFonts w:ascii="Arial Narrow" w:hAnsi="Arial Narrow" w:cs="Arial"/>
                <w:color w:val="000000" w:themeColor="text1"/>
                <w:szCs w:val="24"/>
              </w:rPr>
            </w:pPr>
            <w:r>
              <w:rPr>
                <w:rFonts w:ascii="Arial Narrow" w:hAnsi="Arial Narrow"/>
                <w:color w:val="000000" w:themeColor="text1"/>
                <w:szCs w:val="24"/>
              </w:rPr>
              <w:t xml:space="preserve"> Coordinador Grupo de Análisis del Sector Económico y de los Oferentes</w:t>
            </w:r>
          </w:p>
        </w:tc>
        <w:tc>
          <w:tcPr>
            <w:tcW w:w="1843" w:type="dxa"/>
            <w:vAlign w:val="center"/>
          </w:tcPr>
          <w:p w:rsidR="00281DD3" w:rsidRDefault="00DD2623">
            <w:pPr>
              <w:tabs>
                <w:tab w:val="left" w:pos="2520"/>
              </w:tabs>
              <w:jc w:val="center"/>
              <w:rPr>
                <w:rFonts w:ascii="Arial Narrow" w:hAnsi="Arial Narrow" w:cs="Arial"/>
                <w:color w:val="000000" w:themeColor="text1"/>
                <w:szCs w:val="24"/>
              </w:rPr>
            </w:pPr>
            <w:r>
              <w:rPr>
                <w:rFonts w:ascii="Arial Narrow" w:hAnsi="Arial Narrow" w:cs="Arial"/>
                <w:color w:val="000000" w:themeColor="text1"/>
                <w:szCs w:val="24"/>
              </w:rPr>
              <w:t>20</w:t>
            </w:r>
            <w:r w:rsidR="00C23069">
              <w:rPr>
                <w:rFonts w:ascii="Arial Narrow" w:hAnsi="Arial Narrow" w:cs="Arial"/>
                <w:color w:val="000000" w:themeColor="text1"/>
                <w:szCs w:val="24"/>
              </w:rPr>
              <w:t>/06/2024</w:t>
            </w:r>
          </w:p>
          <w:p w:rsidR="00616A2E" w:rsidRDefault="00616A2E">
            <w:pPr>
              <w:tabs>
                <w:tab w:val="left" w:pos="2520"/>
              </w:tabs>
              <w:jc w:val="center"/>
              <w:rPr>
                <w:rFonts w:ascii="Arial Narrow" w:hAnsi="Arial Narrow" w:cs="Arial"/>
                <w:color w:val="000000" w:themeColor="text1"/>
                <w:szCs w:val="24"/>
              </w:rPr>
            </w:pPr>
            <w:r>
              <w:rPr>
                <w:rFonts w:ascii="Arial Narrow" w:hAnsi="Arial Narrow" w:cs="Arial"/>
                <w:color w:val="000000" w:themeColor="text1"/>
                <w:szCs w:val="24"/>
              </w:rPr>
              <w:t>26/06/2024</w:t>
            </w:r>
          </w:p>
        </w:tc>
        <w:tc>
          <w:tcPr>
            <w:tcW w:w="2977" w:type="dxa"/>
            <w:vAlign w:val="center"/>
          </w:tcPr>
          <w:p w:rsidR="00281DD3" w:rsidRDefault="00C23069">
            <w:pPr>
              <w:tabs>
                <w:tab w:val="left" w:pos="2520"/>
              </w:tabs>
              <w:jc w:val="center"/>
              <w:rPr>
                <w:rFonts w:ascii="Arial Narrow" w:hAnsi="Arial Narrow" w:cs="Arial"/>
                <w:color w:val="000000" w:themeColor="text1"/>
                <w:szCs w:val="24"/>
              </w:rPr>
            </w:pPr>
            <w:r>
              <w:rPr>
                <w:rFonts w:ascii="Arial Narrow" w:hAnsi="Arial Narrow"/>
                <w:noProof/>
                <w:color w:val="000000" w:themeColor="text1"/>
                <w:szCs w:val="24"/>
                <w:lang w:eastAsia="es-CO"/>
              </w:rPr>
              <w:drawing>
                <wp:inline distT="0" distB="0" distL="0" distR="0">
                  <wp:extent cx="781050" cy="334010"/>
                  <wp:effectExtent l="0" t="0" r="0" b="8890"/>
                  <wp:docPr id="2" name="Imagen 1"/>
                  <wp:cNvGraphicFramePr/>
                  <a:graphic xmlns:a="http://schemas.openxmlformats.org/drawingml/2006/main">
                    <a:graphicData uri="http://schemas.openxmlformats.org/drawingml/2006/picture">
                      <pic:pic xmlns:pic="http://schemas.openxmlformats.org/drawingml/2006/picture">
                        <pic:nvPicPr>
                          <pic:cNvPr id="2" name="Imagen 1"/>
                          <pic:cNvPicPr/>
                        </pic:nvPicPr>
                        <pic:blipFill>
                          <a:blip r:embed="rId22">
                            <a:extLst>
                              <a:ext uri="{28A0092B-C50C-407E-A947-70E740481C1C}">
                                <a14:useLocalDpi xmlns:a14="http://schemas.microsoft.com/office/drawing/2010/main" val="0"/>
                              </a:ext>
                            </a:extLst>
                          </a:blip>
                          <a:srcRect/>
                          <a:stretch>
                            <a:fillRect/>
                          </a:stretch>
                        </pic:blipFill>
                        <pic:spPr>
                          <a:xfrm>
                            <a:off x="0" y="0"/>
                            <a:ext cx="784399" cy="335647"/>
                          </a:xfrm>
                          <a:prstGeom prst="rect">
                            <a:avLst/>
                          </a:prstGeom>
                          <a:noFill/>
                        </pic:spPr>
                      </pic:pic>
                    </a:graphicData>
                  </a:graphic>
                </wp:inline>
              </w:drawing>
            </w:r>
          </w:p>
        </w:tc>
      </w:tr>
    </w:tbl>
    <w:p w:rsidR="00281DD3" w:rsidRDefault="00281DD3">
      <w:pPr>
        <w:tabs>
          <w:tab w:val="left" w:pos="2520"/>
        </w:tabs>
        <w:jc w:val="both"/>
        <w:rPr>
          <w:rFonts w:ascii="Arial Narrow" w:hAnsi="Arial Narrow" w:cs="Arial"/>
          <w:color w:val="000000" w:themeColor="text1"/>
          <w:szCs w:val="24"/>
        </w:rPr>
      </w:pPr>
    </w:p>
    <w:sectPr w:rsidR="00281DD3">
      <w:headerReference w:type="default" r:id="rId23"/>
      <w:footerReference w:type="default" r:id="rId24"/>
      <w:pgSz w:w="12242" w:h="15842"/>
      <w:pgMar w:top="2127" w:right="1531" w:bottom="1304" w:left="1531" w:header="567" w:footer="161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7744" w:rsidRDefault="00B07744">
      <w:r>
        <w:separator/>
      </w:r>
    </w:p>
  </w:endnote>
  <w:endnote w:type="continuationSeparator" w:id="0">
    <w:p w:rsidR="00B07744" w:rsidRDefault="00B07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429B" w:rsidRDefault="008C429B">
    <w:pPr>
      <w:jc w:val="center"/>
      <w:rPr>
        <w:sz w:val="14"/>
        <w:szCs w:val="14"/>
      </w:rPr>
    </w:pPr>
    <w:r>
      <w:rPr>
        <w:rFonts w:cs="Arial"/>
        <w:color w:val="000000"/>
        <w:sz w:val="14"/>
        <w:szCs w:val="14"/>
        <w:shd w:val="clear" w:color="auto" w:fill="FFFFFF"/>
      </w:rPr>
      <w:t>Este</w:t>
    </w:r>
    <w:r>
      <w:rPr>
        <w:rFonts w:cs="Arial"/>
        <w:color w:val="000000"/>
        <w:spacing w:val="-6"/>
        <w:sz w:val="14"/>
        <w:szCs w:val="14"/>
        <w:shd w:val="clear" w:color="auto" w:fill="FFFFFF"/>
      </w:rPr>
      <w:t> d</w:t>
    </w:r>
    <w:r>
      <w:rPr>
        <w:rFonts w:cs="Arial"/>
        <w:color w:val="000000"/>
        <w:spacing w:val="1"/>
        <w:sz w:val="14"/>
        <w:szCs w:val="14"/>
        <w:shd w:val="clear" w:color="auto" w:fill="FFFFFF"/>
      </w:rPr>
      <w:t>o</w:t>
    </w:r>
    <w:r>
      <w:rPr>
        <w:rFonts w:cs="Arial"/>
        <w:color w:val="000000"/>
        <w:sz w:val="14"/>
        <w:szCs w:val="14"/>
        <w:shd w:val="clear" w:color="auto" w:fill="FFFFFF"/>
      </w:rPr>
      <w:t>c</w:t>
    </w:r>
    <w:r>
      <w:rPr>
        <w:rFonts w:cs="Arial"/>
        <w:color w:val="000000"/>
        <w:spacing w:val="5"/>
        <w:sz w:val="14"/>
        <w:szCs w:val="14"/>
        <w:shd w:val="clear" w:color="auto" w:fill="FFFFFF"/>
      </w:rPr>
      <w:t>u</w:t>
    </w:r>
    <w:r>
      <w:rPr>
        <w:rFonts w:cs="Arial"/>
        <w:color w:val="000000"/>
        <w:spacing w:val="-3"/>
        <w:sz w:val="14"/>
        <w:szCs w:val="14"/>
        <w:shd w:val="clear" w:color="auto" w:fill="FFFFFF"/>
      </w:rPr>
      <w:t>m</w:t>
    </w:r>
    <w:r>
      <w:rPr>
        <w:rFonts w:cs="Arial"/>
        <w:color w:val="000000"/>
        <w:spacing w:val="-1"/>
        <w:sz w:val="14"/>
        <w:szCs w:val="14"/>
        <w:shd w:val="clear" w:color="auto" w:fill="FFFFFF"/>
      </w:rPr>
      <w:t>e</w:t>
    </w:r>
    <w:r>
      <w:rPr>
        <w:rFonts w:cs="Arial"/>
        <w:color w:val="000000"/>
        <w:sz w:val="14"/>
        <w:szCs w:val="14"/>
        <w:shd w:val="clear" w:color="auto" w:fill="FFFFFF"/>
      </w:rPr>
      <w:t>n</w:t>
    </w:r>
    <w:r>
      <w:rPr>
        <w:rFonts w:cs="Arial"/>
        <w:color w:val="000000"/>
        <w:spacing w:val="1"/>
        <w:sz w:val="14"/>
        <w:szCs w:val="14"/>
        <w:shd w:val="clear" w:color="auto" w:fill="FFFFFF"/>
      </w:rPr>
      <w:t>t</w:t>
    </w:r>
    <w:r>
      <w:rPr>
        <w:rFonts w:cs="Arial"/>
        <w:color w:val="000000"/>
        <w:sz w:val="14"/>
        <w:szCs w:val="14"/>
        <w:shd w:val="clear" w:color="auto" w:fill="FFFFFF"/>
      </w:rPr>
      <w:t>o es copia del original que reposa en la Intranet.  Su impresión o descarga</w:t>
    </w:r>
    <w:r>
      <w:rPr>
        <w:rFonts w:cs="Arial"/>
        <w:color w:val="000000"/>
        <w:spacing w:val="-6"/>
        <w:sz w:val="14"/>
        <w:szCs w:val="14"/>
        <w:shd w:val="clear" w:color="auto" w:fill="FFFFFF"/>
      </w:rPr>
      <w:t> se considera u</w:t>
    </w:r>
    <w:r>
      <w:rPr>
        <w:rFonts w:cs="Arial"/>
        <w:color w:val="000000"/>
        <w:spacing w:val="-1"/>
        <w:sz w:val="14"/>
        <w:szCs w:val="14"/>
        <w:shd w:val="clear" w:color="auto" w:fill="FFFFFF"/>
      </w:rPr>
      <w:t>na Copia No Controlada</w:t>
    </w:r>
  </w:p>
  <w:p w:rsidR="008C429B" w:rsidRDefault="008C429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7744" w:rsidRDefault="00B07744">
      <w:r>
        <w:separator/>
      </w:r>
    </w:p>
  </w:footnote>
  <w:footnote w:type="continuationSeparator" w:id="0">
    <w:p w:rsidR="00B07744" w:rsidRDefault="00B077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40" w:type="dxa"/>
      <w:tblInd w:w="-2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11"/>
      <w:gridCol w:w="5244"/>
      <w:gridCol w:w="1985"/>
    </w:tblGrid>
    <w:tr w:rsidR="008C429B">
      <w:trPr>
        <w:cantSplit/>
        <w:trHeight w:val="274"/>
      </w:trPr>
      <w:tc>
        <w:tcPr>
          <w:tcW w:w="2411" w:type="dxa"/>
          <w:vMerge w:val="restart"/>
          <w:tcBorders>
            <w:top w:val="single" w:sz="4" w:space="0" w:color="auto"/>
            <w:left w:val="single" w:sz="4" w:space="0" w:color="auto"/>
            <w:right w:val="single" w:sz="4" w:space="0" w:color="auto"/>
          </w:tcBorders>
          <w:vAlign w:val="center"/>
        </w:tcPr>
        <w:p w:rsidR="008C429B" w:rsidRDefault="008C429B">
          <w:pPr>
            <w:pStyle w:val="Encabezado"/>
            <w:jc w:val="center"/>
            <w:rPr>
              <w:rFonts w:cs="Arial"/>
              <w:bCs/>
              <w:iCs/>
              <w:sz w:val="16"/>
              <w:szCs w:val="16"/>
            </w:rPr>
          </w:pPr>
          <w:r>
            <w:rPr>
              <w:rFonts w:cs="Arial"/>
              <w:bCs/>
              <w:iCs/>
              <w:noProof/>
              <w:sz w:val="16"/>
              <w:szCs w:val="16"/>
              <w:lang w:eastAsia="es-CO"/>
            </w:rPr>
            <w:drawing>
              <wp:inline distT="0" distB="0" distL="0" distR="0">
                <wp:extent cx="1234440" cy="371475"/>
                <wp:effectExtent l="0" t="0" r="3810" b="0"/>
                <wp:docPr id="1" name="Imagen 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5244" w:type="dxa"/>
          <w:tcBorders>
            <w:top w:val="single" w:sz="4" w:space="0" w:color="auto"/>
            <w:left w:val="single" w:sz="4" w:space="0" w:color="auto"/>
            <w:bottom w:val="single" w:sz="4" w:space="0" w:color="auto"/>
            <w:right w:val="single" w:sz="4" w:space="0" w:color="auto"/>
          </w:tcBorders>
          <w:vAlign w:val="center"/>
        </w:tcPr>
        <w:p w:rsidR="008C429B" w:rsidRDefault="008C429B">
          <w:pPr>
            <w:pStyle w:val="Encabezado"/>
            <w:jc w:val="center"/>
            <w:rPr>
              <w:rFonts w:cs="Arial"/>
              <w:b/>
              <w:color w:val="000000"/>
              <w:sz w:val="16"/>
              <w:szCs w:val="16"/>
            </w:rPr>
          </w:pPr>
          <w:r>
            <w:rPr>
              <w:rFonts w:cs="Arial"/>
              <w:b/>
              <w:iCs/>
              <w:color w:val="000000"/>
              <w:sz w:val="16"/>
              <w:szCs w:val="16"/>
            </w:rPr>
            <w:t>PROCESO GESTIÓN CONTRACTUAL</w:t>
          </w:r>
        </w:p>
      </w:tc>
      <w:tc>
        <w:tcPr>
          <w:tcW w:w="1985" w:type="dxa"/>
          <w:vMerge w:val="restart"/>
          <w:tcBorders>
            <w:top w:val="single" w:sz="4" w:space="0" w:color="auto"/>
            <w:left w:val="single" w:sz="4" w:space="0" w:color="auto"/>
            <w:right w:val="single" w:sz="4" w:space="0" w:color="auto"/>
          </w:tcBorders>
          <w:vAlign w:val="center"/>
        </w:tcPr>
        <w:p w:rsidR="008C429B" w:rsidRDefault="008C429B">
          <w:pPr>
            <w:pStyle w:val="Encabezado"/>
            <w:ind w:left="-392" w:firstLine="392"/>
            <w:rPr>
              <w:rFonts w:cs="Arial"/>
              <w:b/>
              <w:color w:val="000000"/>
              <w:sz w:val="14"/>
              <w:szCs w:val="14"/>
            </w:rPr>
          </w:pPr>
          <w:r>
            <w:rPr>
              <w:rFonts w:cs="Arial"/>
              <w:b/>
              <w:color w:val="000000"/>
              <w:sz w:val="14"/>
              <w:szCs w:val="14"/>
            </w:rPr>
            <w:t xml:space="preserve">Código: </w:t>
          </w:r>
          <w:r>
            <w:rPr>
              <w:rFonts w:cs="Arial"/>
              <w:b/>
              <w:bCs/>
              <w:color w:val="000000"/>
              <w:sz w:val="14"/>
              <w:szCs w:val="14"/>
              <w:lang w:eastAsia="es-CO"/>
            </w:rPr>
            <w:t>FGN-AP07-F-32</w:t>
          </w:r>
        </w:p>
        <w:p w:rsidR="008C429B" w:rsidRDefault="008C429B">
          <w:pPr>
            <w:pStyle w:val="Encabezado"/>
            <w:rPr>
              <w:rFonts w:cs="Arial"/>
              <w:color w:val="000000"/>
              <w:sz w:val="14"/>
              <w:szCs w:val="14"/>
            </w:rPr>
          </w:pPr>
        </w:p>
        <w:p w:rsidR="008C429B" w:rsidRDefault="008C429B">
          <w:pPr>
            <w:pStyle w:val="Encabezado"/>
            <w:rPr>
              <w:rFonts w:cs="Arial"/>
              <w:color w:val="000000"/>
              <w:sz w:val="14"/>
              <w:szCs w:val="14"/>
            </w:rPr>
          </w:pPr>
          <w:r>
            <w:rPr>
              <w:rFonts w:cs="Arial"/>
              <w:b/>
              <w:color w:val="000000"/>
              <w:sz w:val="14"/>
              <w:szCs w:val="14"/>
            </w:rPr>
            <w:t>Versión:</w:t>
          </w:r>
          <w:r>
            <w:rPr>
              <w:rFonts w:cs="Arial"/>
              <w:color w:val="000000"/>
              <w:sz w:val="14"/>
              <w:szCs w:val="14"/>
            </w:rPr>
            <w:t xml:space="preserve"> 02</w:t>
          </w:r>
        </w:p>
        <w:p w:rsidR="008C429B" w:rsidRDefault="008C429B">
          <w:pPr>
            <w:pStyle w:val="Encabezado"/>
            <w:rPr>
              <w:rFonts w:cs="Arial"/>
              <w:b/>
              <w:color w:val="000000"/>
              <w:sz w:val="14"/>
              <w:szCs w:val="14"/>
            </w:rPr>
          </w:pPr>
        </w:p>
        <w:p w:rsidR="008C429B" w:rsidRDefault="008C429B">
          <w:pPr>
            <w:pStyle w:val="Encabezado"/>
            <w:rPr>
              <w:rFonts w:cs="Arial"/>
              <w:b/>
              <w:i/>
              <w:color w:val="000000"/>
            </w:rPr>
          </w:pPr>
          <w:r>
            <w:rPr>
              <w:rFonts w:cs="Arial"/>
              <w:b/>
              <w:color w:val="000000"/>
              <w:sz w:val="14"/>
              <w:szCs w:val="14"/>
            </w:rPr>
            <w:t>Página:</w:t>
          </w:r>
          <w:r>
            <w:rPr>
              <w:rFonts w:cs="Arial"/>
              <w:color w:val="000000"/>
              <w:sz w:val="14"/>
              <w:szCs w:val="14"/>
            </w:rPr>
            <w:t xml:space="preserve"> </w:t>
          </w:r>
          <w:r>
            <w:rPr>
              <w:rStyle w:val="Nmerodepgina"/>
              <w:rFonts w:cs="Arial"/>
              <w:sz w:val="14"/>
              <w:szCs w:val="14"/>
            </w:rPr>
            <w:fldChar w:fldCharType="begin"/>
          </w:r>
          <w:r>
            <w:rPr>
              <w:rStyle w:val="Nmerodepgina"/>
              <w:rFonts w:cs="Arial"/>
              <w:sz w:val="14"/>
              <w:szCs w:val="14"/>
            </w:rPr>
            <w:instrText xml:space="preserve"> PAGE </w:instrText>
          </w:r>
          <w:r>
            <w:rPr>
              <w:rStyle w:val="Nmerodepgina"/>
              <w:rFonts w:cs="Arial"/>
              <w:sz w:val="14"/>
              <w:szCs w:val="14"/>
            </w:rPr>
            <w:fldChar w:fldCharType="separate"/>
          </w:r>
          <w:r w:rsidR="00B07744">
            <w:rPr>
              <w:rStyle w:val="Nmerodepgina"/>
              <w:rFonts w:cs="Arial"/>
              <w:noProof/>
              <w:sz w:val="14"/>
              <w:szCs w:val="14"/>
            </w:rPr>
            <w:t>1</w:t>
          </w:r>
          <w:r>
            <w:rPr>
              <w:rStyle w:val="Nmerodepgina"/>
              <w:rFonts w:cs="Arial"/>
              <w:sz w:val="14"/>
              <w:szCs w:val="14"/>
            </w:rPr>
            <w:fldChar w:fldCharType="end"/>
          </w:r>
          <w:r>
            <w:rPr>
              <w:rStyle w:val="Nmerodepgina"/>
              <w:rFonts w:cs="Arial"/>
              <w:sz w:val="14"/>
              <w:szCs w:val="14"/>
            </w:rPr>
            <w:t xml:space="preserve"> </w:t>
          </w:r>
          <w:r>
            <w:rPr>
              <w:rStyle w:val="Nmerodepgina"/>
              <w:rFonts w:cs="Arial"/>
              <w:b/>
              <w:sz w:val="14"/>
              <w:szCs w:val="14"/>
            </w:rPr>
            <w:t>de</w:t>
          </w:r>
          <w:r>
            <w:rPr>
              <w:rStyle w:val="Nmerodepgina"/>
              <w:rFonts w:cs="Arial"/>
              <w:sz w:val="14"/>
              <w:szCs w:val="14"/>
            </w:rPr>
            <w:t xml:space="preserve"> </w:t>
          </w:r>
          <w:r>
            <w:rPr>
              <w:rStyle w:val="Nmerodepgina"/>
              <w:rFonts w:cs="Arial"/>
              <w:sz w:val="14"/>
              <w:szCs w:val="14"/>
            </w:rPr>
            <w:fldChar w:fldCharType="begin"/>
          </w:r>
          <w:r>
            <w:rPr>
              <w:rStyle w:val="Nmerodepgina"/>
              <w:rFonts w:cs="Arial"/>
              <w:sz w:val="14"/>
              <w:szCs w:val="14"/>
            </w:rPr>
            <w:instrText xml:space="preserve"> NUMPAGES </w:instrText>
          </w:r>
          <w:r>
            <w:rPr>
              <w:rStyle w:val="Nmerodepgina"/>
              <w:rFonts w:cs="Arial"/>
              <w:sz w:val="14"/>
              <w:szCs w:val="14"/>
            </w:rPr>
            <w:fldChar w:fldCharType="separate"/>
          </w:r>
          <w:r w:rsidR="00B07744">
            <w:rPr>
              <w:rStyle w:val="Nmerodepgina"/>
              <w:rFonts w:cs="Arial"/>
              <w:noProof/>
              <w:sz w:val="14"/>
              <w:szCs w:val="14"/>
            </w:rPr>
            <w:t>1</w:t>
          </w:r>
          <w:r>
            <w:rPr>
              <w:rStyle w:val="Nmerodepgina"/>
              <w:rFonts w:cs="Arial"/>
              <w:sz w:val="14"/>
              <w:szCs w:val="14"/>
            </w:rPr>
            <w:fldChar w:fldCharType="end"/>
          </w:r>
        </w:p>
      </w:tc>
    </w:tr>
    <w:tr w:rsidR="008C429B">
      <w:trPr>
        <w:cantSplit/>
        <w:trHeight w:val="787"/>
      </w:trPr>
      <w:tc>
        <w:tcPr>
          <w:tcW w:w="2411" w:type="dxa"/>
          <w:vMerge/>
          <w:tcBorders>
            <w:left w:val="single" w:sz="4" w:space="0" w:color="auto"/>
            <w:bottom w:val="single" w:sz="4" w:space="0" w:color="auto"/>
            <w:right w:val="single" w:sz="4" w:space="0" w:color="auto"/>
          </w:tcBorders>
          <w:vAlign w:val="center"/>
        </w:tcPr>
        <w:p w:rsidR="008C429B" w:rsidRDefault="008C429B">
          <w:pPr>
            <w:pStyle w:val="Encabezado"/>
            <w:jc w:val="center"/>
          </w:pPr>
        </w:p>
      </w:tc>
      <w:tc>
        <w:tcPr>
          <w:tcW w:w="5244" w:type="dxa"/>
          <w:tcBorders>
            <w:top w:val="single" w:sz="4" w:space="0" w:color="auto"/>
            <w:left w:val="single" w:sz="4" w:space="0" w:color="auto"/>
            <w:bottom w:val="single" w:sz="4" w:space="0" w:color="auto"/>
            <w:right w:val="single" w:sz="4" w:space="0" w:color="auto"/>
          </w:tcBorders>
          <w:vAlign w:val="center"/>
        </w:tcPr>
        <w:p w:rsidR="008C429B" w:rsidRDefault="008C429B">
          <w:pPr>
            <w:jc w:val="center"/>
            <w:rPr>
              <w:rFonts w:cs="Arial"/>
              <w:b/>
              <w:i/>
              <w:color w:val="000000"/>
            </w:rPr>
          </w:pPr>
          <w:r>
            <w:rPr>
              <w:rFonts w:cs="Arial"/>
              <w:b/>
              <w:bCs/>
            </w:rPr>
            <w:t>FORMATO ESTUDIO DEL SECTOR</w:t>
          </w:r>
        </w:p>
      </w:tc>
      <w:tc>
        <w:tcPr>
          <w:tcW w:w="1985" w:type="dxa"/>
          <w:vMerge/>
          <w:tcBorders>
            <w:left w:val="single" w:sz="4" w:space="0" w:color="auto"/>
            <w:bottom w:val="single" w:sz="4" w:space="0" w:color="auto"/>
            <w:right w:val="single" w:sz="4" w:space="0" w:color="auto"/>
          </w:tcBorders>
          <w:vAlign w:val="center"/>
        </w:tcPr>
        <w:p w:rsidR="008C429B" w:rsidRDefault="008C429B">
          <w:pPr>
            <w:pStyle w:val="Encabezado"/>
            <w:ind w:left="-392" w:firstLine="392"/>
            <w:rPr>
              <w:b/>
              <w:color w:val="000000"/>
            </w:rPr>
          </w:pPr>
        </w:p>
      </w:tc>
    </w:tr>
  </w:tbl>
  <w:p w:rsidR="008C429B" w:rsidRDefault="008C429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FFFFFF7F"/>
    <w:lvl w:ilvl="0">
      <w:start w:val="1"/>
      <w:numFmt w:val="decimal"/>
      <w:pStyle w:val="Listaconnmeros2"/>
      <w:lvlText w:val="%1."/>
      <w:lvlJc w:val="left"/>
      <w:pPr>
        <w:tabs>
          <w:tab w:val="left" w:pos="643"/>
        </w:tabs>
        <w:ind w:left="643" w:hanging="360"/>
      </w:pPr>
    </w:lvl>
  </w:abstractNum>
  <w:abstractNum w:abstractNumId="1"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2" w15:restartNumberingAfterBreak="0">
    <w:nsid w:val="06B17268"/>
    <w:multiLevelType w:val="multilevel"/>
    <w:tmpl w:val="06B172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A14A4A"/>
    <w:multiLevelType w:val="multilevel"/>
    <w:tmpl w:val="34A14A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A6F0156"/>
    <w:multiLevelType w:val="multilevel"/>
    <w:tmpl w:val="3A6F01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8966C48"/>
    <w:multiLevelType w:val="multilevel"/>
    <w:tmpl w:val="48966C48"/>
    <w:lvl w:ilvl="0">
      <w:start w:val="1"/>
      <w:numFmt w:val="bullet"/>
      <w:lvlText w:val=""/>
      <w:lvlJc w:val="left"/>
      <w:pPr>
        <w:ind w:left="890" w:hanging="360"/>
      </w:pPr>
      <w:rPr>
        <w:rFonts w:ascii="Symbol" w:hAnsi="Symbol" w:hint="default"/>
      </w:rPr>
    </w:lvl>
    <w:lvl w:ilvl="1">
      <w:start w:val="1"/>
      <w:numFmt w:val="bullet"/>
      <w:lvlText w:val="o"/>
      <w:lvlJc w:val="left"/>
      <w:pPr>
        <w:ind w:left="1610" w:hanging="360"/>
      </w:pPr>
      <w:rPr>
        <w:rFonts w:ascii="Courier New" w:hAnsi="Courier New" w:cs="Courier New" w:hint="default"/>
      </w:rPr>
    </w:lvl>
    <w:lvl w:ilvl="2">
      <w:start w:val="1"/>
      <w:numFmt w:val="bullet"/>
      <w:lvlText w:val=""/>
      <w:lvlJc w:val="left"/>
      <w:pPr>
        <w:ind w:left="2330" w:hanging="360"/>
      </w:pPr>
      <w:rPr>
        <w:rFonts w:ascii="Wingdings" w:hAnsi="Wingdings" w:hint="default"/>
      </w:rPr>
    </w:lvl>
    <w:lvl w:ilvl="3">
      <w:start w:val="1"/>
      <w:numFmt w:val="bullet"/>
      <w:lvlText w:val=""/>
      <w:lvlJc w:val="left"/>
      <w:pPr>
        <w:ind w:left="3050" w:hanging="360"/>
      </w:pPr>
      <w:rPr>
        <w:rFonts w:ascii="Symbol" w:hAnsi="Symbol" w:hint="default"/>
      </w:rPr>
    </w:lvl>
    <w:lvl w:ilvl="4">
      <w:start w:val="1"/>
      <w:numFmt w:val="bullet"/>
      <w:lvlText w:val="o"/>
      <w:lvlJc w:val="left"/>
      <w:pPr>
        <w:ind w:left="3770" w:hanging="360"/>
      </w:pPr>
      <w:rPr>
        <w:rFonts w:ascii="Courier New" w:hAnsi="Courier New" w:cs="Courier New" w:hint="default"/>
      </w:rPr>
    </w:lvl>
    <w:lvl w:ilvl="5">
      <w:start w:val="1"/>
      <w:numFmt w:val="bullet"/>
      <w:lvlText w:val=""/>
      <w:lvlJc w:val="left"/>
      <w:pPr>
        <w:ind w:left="4490" w:hanging="360"/>
      </w:pPr>
      <w:rPr>
        <w:rFonts w:ascii="Wingdings" w:hAnsi="Wingdings" w:hint="default"/>
      </w:rPr>
    </w:lvl>
    <w:lvl w:ilvl="6">
      <w:start w:val="1"/>
      <w:numFmt w:val="bullet"/>
      <w:lvlText w:val=""/>
      <w:lvlJc w:val="left"/>
      <w:pPr>
        <w:ind w:left="5210" w:hanging="360"/>
      </w:pPr>
      <w:rPr>
        <w:rFonts w:ascii="Symbol" w:hAnsi="Symbol" w:hint="default"/>
      </w:rPr>
    </w:lvl>
    <w:lvl w:ilvl="7">
      <w:start w:val="1"/>
      <w:numFmt w:val="bullet"/>
      <w:lvlText w:val="o"/>
      <w:lvlJc w:val="left"/>
      <w:pPr>
        <w:ind w:left="5930" w:hanging="360"/>
      </w:pPr>
      <w:rPr>
        <w:rFonts w:ascii="Courier New" w:hAnsi="Courier New" w:cs="Courier New" w:hint="default"/>
      </w:rPr>
    </w:lvl>
    <w:lvl w:ilvl="8">
      <w:start w:val="1"/>
      <w:numFmt w:val="bullet"/>
      <w:lvlText w:val=""/>
      <w:lvlJc w:val="left"/>
      <w:pPr>
        <w:ind w:left="6650" w:hanging="360"/>
      </w:pPr>
      <w:rPr>
        <w:rFonts w:ascii="Wingdings" w:hAnsi="Wingdings" w:hint="default"/>
      </w:rPr>
    </w:lvl>
  </w:abstractNum>
  <w:abstractNum w:abstractNumId="6" w15:restartNumberingAfterBreak="0">
    <w:nsid w:val="4A11298F"/>
    <w:multiLevelType w:val="multilevel"/>
    <w:tmpl w:val="4A11298F"/>
    <w:lvl w:ilvl="0">
      <w:start w:val="1"/>
      <w:numFmt w:val="bullet"/>
      <w:lvlText w:val=""/>
      <w:lvlJc w:val="left"/>
      <w:pPr>
        <w:ind w:left="720" w:hanging="360"/>
      </w:pPr>
      <w:rPr>
        <w:rFonts w:ascii="Wingdings" w:hAnsi="Wingding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BB909B3"/>
    <w:multiLevelType w:val="multilevel"/>
    <w:tmpl w:val="5BB909B3"/>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F132C79"/>
    <w:multiLevelType w:val="multilevel"/>
    <w:tmpl w:val="5F132C7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0F56E5C"/>
    <w:multiLevelType w:val="multilevel"/>
    <w:tmpl w:val="60F56E5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62132DC"/>
    <w:multiLevelType w:val="multilevel"/>
    <w:tmpl w:val="762132DC"/>
    <w:lvl w:ilvl="0">
      <w:start w:val="1"/>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1"/>
  </w:num>
  <w:num w:numId="2">
    <w:abstractNumId w:val="0"/>
  </w:num>
  <w:num w:numId="3">
    <w:abstractNumId w:val="10"/>
  </w:num>
  <w:num w:numId="4">
    <w:abstractNumId w:val="4"/>
  </w:num>
  <w:num w:numId="5">
    <w:abstractNumId w:val="2"/>
  </w:num>
  <w:num w:numId="6">
    <w:abstractNumId w:val="6"/>
  </w:num>
  <w:num w:numId="7">
    <w:abstractNumId w:val="3"/>
  </w:num>
  <w:num w:numId="8">
    <w:abstractNumId w:val="7"/>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AB7"/>
    <w:rsid w:val="00002B35"/>
    <w:rsid w:val="000041FD"/>
    <w:rsid w:val="000066BA"/>
    <w:rsid w:val="0000725F"/>
    <w:rsid w:val="00010457"/>
    <w:rsid w:val="000129D4"/>
    <w:rsid w:val="00014D6C"/>
    <w:rsid w:val="000150AD"/>
    <w:rsid w:val="00016A51"/>
    <w:rsid w:val="00021BDA"/>
    <w:rsid w:val="00024946"/>
    <w:rsid w:val="0002660F"/>
    <w:rsid w:val="0003001B"/>
    <w:rsid w:val="000329D3"/>
    <w:rsid w:val="00033B23"/>
    <w:rsid w:val="00034925"/>
    <w:rsid w:val="00036FB3"/>
    <w:rsid w:val="00040A1A"/>
    <w:rsid w:val="00043880"/>
    <w:rsid w:val="000456F6"/>
    <w:rsid w:val="00045F49"/>
    <w:rsid w:val="00053151"/>
    <w:rsid w:val="000531C2"/>
    <w:rsid w:val="000562BD"/>
    <w:rsid w:val="0005714D"/>
    <w:rsid w:val="00060D6F"/>
    <w:rsid w:val="00060D94"/>
    <w:rsid w:val="000614E3"/>
    <w:rsid w:val="000624FF"/>
    <w:rsid w:val="00064204"/>
    <w:rsid w:val="000650FA"/>
    <w:rsid w:val="00070525"/>
    <w:rsid w:val="00070E4B"/>
    <w:rsid w:val="000730E2"/>
    <w:rsid w:val="00073DC0"/>
    <w:rsid w:val="00074133"/>
    <w:rsid w:val="00074171"/>
    <w:rsid w:val="0007715C"/>
    <w:rsid w:val="00077B6C"/>
    <w:rsid w:val="00080B62"/>
    <w:rsid w:val="000811AE"/>
    <w:rsid w:val="0008205E"/>
    <w:rsid w:val="0008423E"/>
    <w:rsid w:val="000858A5"/>
    <w:rsid w:val="00086819"/>
    <w:rsid w:val="00090117"/>
    <w:rsid w:val="00092EA0"/>
    <w:rsid w:val="000945C8"/>
    <w:rsid w:val="0009557E"/>
    <w:rsid w:val="0009560B"/>
    <w:rsid w:val="000977E8"/>
    <w:rsid w:val="00097944"/>
    <w:rsid w:val="000A3D2C"/>
    <w:rsid w:val="000A753D"/>
    <w:rsid w:val="000B286E"/>
    <w:rsid w:val="000B3497"/>
    <w:rsid w:val="000B5058"/>
    <w:rsid w:val="000B6370"/>
    <w:rsid w:val="000C325C"/>
    <w:rsid w:val="000C36AB"/>
    <w:rsid w:val="000C5596"/>
    <w:rsid w:val="000C6D1F"/>
    <w:rsid w:val="000C6E8B"/>
    <w:rsid w:val="000C751A"/>
    <w:rsid w:val="000D357B"/>
    <w:rsid w:val="000D3791"/>
    <w:rsid w:val="000D4A03"/>
    <w:rsid w:val="000D6522"/>
    <w:rsid w:val="000D672C"/>
    <w:rsid w:val="000E0D2F"/>
    <w:rsid w:val="000E2C74"/>
    <w:rsid w:val="000E2F6E"/>
    <w:rsid w:val="000E39A1"/>
    <w:rsid w:val="000E4956"/>
    <w:rsid w:val="000E6860"/>
    <w:rsid w:val="000E77C3"/>
    <w:rsid w:val="000F0474"/>
    <w:rsid w:val="000F1909"/>
    <w:rsid w:val="000F1B3E"/>
    <w:rsid w:val="000F1CDA"/>
    <w:rsid w:val="000F6A1C"/>
    <w:rsid w:val="000F7579"/>
    <w:rsid w:val="00100482"/>
    <w:rsid w:val="00100A87"/>
    <w:rsid w:val="00103BE0"/>
    <w:rsid w:val="001049F1"/>
    <w:rsid w:val="00105338"/>
    <w:rsid w:val="00110075"/>
    <w:rsid w:val="001106E0"/>
    <w:rsid w:val="0011232F"/>
    <w:rsid w:val="00117F95"/>
    <w:rsid w:val="00121CF5"/>
    <w:rsid w:val="00122B96"/>
    <w:rsid w:val="00122DAC"/>
    <w:rsid w:val="001323D2"/>
    <w:rsid w:val="00133E59"/>
    <w:rsid w:val="00137470"/>
    <w:rsid w:val="00140EEE"/>
    <w:rsid w:val="00142265"/>
    <w:rsid w:val="001458CE"/>
    <w:rsid w:val="00146F4E"/>
    <w:rsid w:val="00151CA8"/>
    <w:rsid w:val="00153BE0"/>
    <w:rsid w:val="00157EA5"/>
    <w:rsid w:val="001601FD"/>
    <w:rsid w:val="0016089A"/>
    <w:rsid w:val="001610AD"/>
    <w:rsid w:val="00162C13"/>
    <w:rsid w:val="00163764"/>
    <w:rsid w:val="00164B3B"/>
    <w:rsid w:val="00167C43"/>
    <w:rsid w:val="00170A6B"/>
    <w:rsid w:val="00172D2E"/>
    <w:rsid w:val="00173242"/>
    <w:rsid w:val="00174B09"/>
    <w:rsid w:val="00180A53"/>
    <w:rsid w:val="001813C0"/>
    <w:rsid w:val="00184E93"/>
    <w:rsid w:val="00185B7D"/>
    <w:rsid w:val="00186076"/>
    <w:rsid w:val="00186847"/>
    <w:rsid w:val="00190744"/>
    <w:rsid w:val="001909F2"/>
    <w:rsid w:val="00191F6C"/>
    <w:rsid w:val="001957BF"/>
    <w:rsid w:val="001A1A03"/>
    <w:rsid w:val="001A3E38"/>
    <w:rsid w:val="001A481F"/>
    <w:rsid w:val="001A544B"/>
    <w:rsid w:val="001A5E26"/>
    <w:rsid w:val="001A5EBB"/>
    <w:rsid w:val="001A63F9"/>
    <w:rsid w:val="001A6748"/>
    <w:rsid w:val="001A7BCD"/>
    <w:rsid w:val="001B1201"/>
    <w:rsid w:val="001B1ECA"/>
    <w:rsid w:val="001B28DB"/>
    <w:rsid w:val="001B49F8"/>
    <w:rsid w:val="001B4FB8"/>
    <w:rsid w:val="001B5A83"/>
    <w:rsid w:val="001B66F3"/>
    <w:rsid w:val="001B7CA2"/>
    <w:rsid w:val="001D060C"/>
    <w:rsid w:val="001D0A16"/>
    <w:rsid w:val="001D3521"/>
    <w:rsid w:val="001D45A5"/>
    <w:rsid w:val="001D5A6F"/>
    <w:rsid w:val="001D6C0E"/>
    <w:rsid w:val="001D7722"/>
    <w:rsid w:val="001E0457"/>
    <w:rsid w:val="001E0EAF"/>
    <w:rsid w:val="001E5FD2"/>
    <w:rsid w:val="001E7351"/>
    <w:rsid w:val="001E77F2"/>
    <w:rsid w:val="001F066C"/>
    <w:rsid w:val="001F2C18"/>
    <w:rsid w:val="001F3140"/>
    <w:rsid w:val="001F3152"/>
    <w:rsid w:val="001F644C"/>
    <w:rsid w:val="001F78A0"/>
    <w:rsid w:val="0020259A"/>
    <w:rsid w:val="00207D2A"/>
    <w:rsid w:val="00210AF5"/>
    <w:rsid w:val="00210F38"/>
    <w:rsid w:val="00210F4B"/>
    <w:rsid w:val="0021165B"/>
    <w:rsid w:val="00212CA1"/>
    <w:rsid w:val="00220989"/>
    <w:rsid w:val="00222F7E"/>
    <w:rsid w:val="00223BCA"/>
    <w:rsid w:val="00224454"/>
    <w:rsid w:val="00225620"/>
    <w:rsid w:val="002274BD"/>
    <w:rsid w:val="00227AA7"/>
    <w:rsid w:val="00227D7E"/>
    <w:rsid w:val="00230381"/>
    <w:rsid w:val="00232022"/>
    <w:rsid w:val="00233385"/>
    <w:rsid w:val="00234E2E"/>
    <w:rsid w:val="00235E38"/>
    <w:rsid w:val="00236797"/>
    <w:rsid w:val="00240278"/>
    <w:rsid w:val="00244E6A"/>
    <w:rsid w:val="00246595"/>
    <w:rsid w:val="002523B5"/>
    <w:rsid w:val="002561A1"/>
    <w:rsid w:val="0025655D"/>
    <w:rsid w:val="002578B8"/>
    <w:rsid w:val="002600F0"/>
    <w:rsid w:val="002601A8"/>
    <w:rsid w:val="002613CD"/>
    <w:rsid w:val="00262201"/>
    <w:rsid w:val="0026300C"/>
    <w:rsid w:val="002711AA"/>
    <w:rsid w:val="00271449"/>
    <w:rsid w:val="00272DA4"/>
    <w:rsid w:val="00274B40"/>
    <w:rsid w:val="00277B0B"/>
    <w:rsid w:val="00280AC0"/>
    <w:rsid w:val="00281DD3"/>
    <w:rsid w:val="00282EBB"/>
    <w:rsid w:val="00283DE7"/>
    <w:rsid w:val="00283EB8"/>
    <w:rsid w:val="00284DC0"/>
    <w:rsid w:val="00285849"/>
    <w:rsid w:val="00290365"/>
    <w:rsid w:val="0029060A"/>
    <w:rsid w:val="002919F3"/>
    <w:rsid w:val="00292499"/>
    <w:rsid w:val="0029328D"/>
    <w:rsid w:val="002939A0"/>
    <w:rsid w:val="00296C6F"/>
    <w:rsid w:val="002A029B"/>
    <w:rsid w:val="002A1847"/>
    <w:rsid w:val="002A1C95"/>
    <w:rsid w:val="002A2AF6"/>
    <w:rsid w:val="002A33BE"/>
    <w:rsid w:val="002A3579"/>
    <w:rsid w:val="002A4512"/>
    <w:rsid w:val="002A738B"/>
    <w:rsid w:val="002A7E33"/>
    <w:rsid w:val="002B05D2"/>
    <w:rsid w:val="002B3A62"/>
    <w:rsid w:val="002B40A4"/>
    <w:rsid w:val="002B57C0"/>
    <w:rsid w:val="002B6CD5"/>
    <w:rsid w:val="002B6F57"/>
    <w:rsid w:val="002C1B93"/>
    <w:rsid w:val="002C249F"/>
    <w:rsid w:val="002C24E6"/>
    <w:rsid w:val="002C2BE3"/>
    <w:rsid w:val="002C2D57"/>
    <w:rsid w:val="002C3909"/>
    <w:rsid w:val="002C3FB4"/>
    <w:rsid w:val="002C4762"/>
    <w:rsid w:val="002D0A13"/>
    <w:rsid w:val="002D13AF"/>
    <w:rsid w:val="002D351C"/>
    <w:rsid w:val="002D7A14"/>
    <w:rsid w:val="002E0592"/>
    <w:rsid w:val="002E1C30"/>
    <w:rsid w:val="002E648C"/>
    <w:rsid w:val="002F33C3"/>
    <w:rsid w:val="002F3696"/>
    <w:rsid w:val="002F37B8"/>
    <w:rsid w:val="002F728A"/>
    <w:rsid w:val="00300F12"/>
    <w:rsid w:val="003038AA"/>
    <w:rsid w:val="003047FC"/>
    <w:rsid w:val="00304D89"/>
    <w:rsid w:val="003061FB"/>
    <w:rsid w:val="003078A6"/>
    <w:rsid w:val="00307A38"/>
    <w:rsid w:val="00312C44"/>
    <w:rsid w:val="00314945"/>
    <w:rsid w:val="00315658"/>
    <w:rsid w:val="003157E6"/>
    <w:rsid w:val="0031686D"/>
    <w:rsid w:val="00316AFD"/>
    <w:rsid w:val="0031705A"/>
    <w:rsid w:val="00320340"/>
    <w:rsid w:val="003221FA"/>
    <w:rsid w:val="0032235E"/>
    <w:rsid w:val="00322E3D"/>
    <w:rsid w:val="0032341F"/>
    <w:rsid w:val="00326501"/>
    <w:rsid w:val="003268BE"/>
    <w:rsid w:val="00326D6F"/>
    <w:rsid w:val="00331E7F"/>
    <w:rsid w:val="0033244C"/>
    <w:rsid w:val="003332E7"/>
    <w:rsid w:val="00335083"/>
    <w:rsid w:val="00340A3C"/>
    <w:rsid w:val="003415D0"/>
    <w:rsid w:val="00344059"/>
    <w:rsid w:val="0034428F"/>
    <w:rsid w:val="0034713D"/>
    <w:rsid w:val="00350F1F"/>
    <w:rsid w:val="00350FCA"/>
    <w:rsid w:val="00352176"/>
    <w:rsid w:val="0035423B"/>
    <w:rsid w:val="003551C5"/>
    <w:rsid w:val="00355427"/>
    <w:rsid w:val="00367DB6"/>
    <w:rsid w:val="00371BE1"/>
    <w:rsid w:val="003739EB"/>
    <w:rsid w:val="00373DB8"/>
    <w:rsid w:val="00376001"/>
    <w:rsid w:val="00376166"/>
    <w:rsid w:val="00380F55"/>
    <w:rsid w:val="003817B3"/>
    <w:rsid w:val="00385D56"/>
    <w:rsid w:val="0038692B"/>
    <w:rsid w:val="003870EF"/>
    <w:rsid w:val="003903C3"/>
    <w:rsid w:val="00394E64"/>
    <w:rsid w:val="0039566E"/>
    <w:rsid w:val="003957AF"/>
    <w:rsid w:val="0039757E"/>
    <w:rsid w:val="003A08D9"/>
    <w:rsid w:val="003A3535"/>
    <w:rsid w:val="003A3CC7"/>
    <w:rsid w:val="003A463A"/>
    <w:rsid w:val="003A49ED"/>
    <w:rsid w:val="003B39D1"/>
    <w:rsid w:val="003C1210"/>
    <w:rsid w:val="003C2C0F"/>
    <w:rsid w:val="003C361B"/>
    <w:rsid w:val="003C47ED"/>
    <w:rsid w:val="003C52B8"/>
    <w:rsid w:val="003C64E8"/>
    <w:rsid w:val="003C6B3D"/>
    <w:rsid w:val="003C6C11"/>
    <w:rsid w:val="003C72FE"/>
    <w:rsid w:val="003D6A14"/>
    <w:rsid w:val="003D763C"/>
    <w:rsid w:val="003E10D7"/>
    <w:rsid w:val="003E12CB"/>
    <w:rsid w:val="003E1FCC"/>
    <w:rsid w:val="003E3C05"/>
    <w:rsid w:val="003E5655"/>
    <w:rsid w:val="003E6BD9"/>
    <w:rsid w:val="003E7C82"/>
    <w:rsid w:val="003F1938"/>
    <w:rsid w:val="003F1EB7"/>
    <w:rsid w:val="003F1FF1"/>
    <w:rsid w:val="003F51F8"/>
    <w:rsid w:val="00401A59"/>
    <w:rsid w:val="004053A9"/>
    <w:rsid w:val="00405AAC"/>
    <w:rsid w:val="004067DC"/>
    <w:rsid w:val="00406E87"/>
    <w:rsid w:val="004072E3"/>
    <w:rsid w:val="0041034F"/>
    <w:rsid w:val="00410B75"/>
    <w:rsid w:val="00412E66"/>
    <w:rsid w:val="00413DD2"/>
    <w:rsid w:val="00414690"/>
    <w:rsid w:val="004154B8"/>
    <w:rsid w:val="00421602"/>
    <w:rsid w:val="00421AA9"/>
    <w:rsid w:val="004243A3"/>
    <w:rsid w:val="00425215"/>
    <w:rsid w:val="00430239"/>
    <w:rsid w:val="004343FA"/>
    <w:rsid w:val="0043690D"/>
    <w:rsid w:val="0043761F"/>
    <w:rsid w:val="00440B1B"/>
    <w:rsid w:val="004414CC"/>
    <w:rsid w:val="004423D8"/>
    <w:rsid w:val="004440A8"/>
    <w:rsid w:val="00447708"/>
    <w:rsid w:val="00450156"/>
    <w:rsid w:val="00450C8B"/>
    <w:rsid w:val="0045392F"/>
    <w:rsid w:val="004577EF"/>
    <w:rsid w:val="004615FE"/>
    <w:rsid w:val="004633DF"/>
    <w:rsid w:val="00463BFC"/>
    <w:rsid w:val="00463FB0"/>
    <w:rsid w:val="00471F5A"/>
    <w:rsid w:val="00472005"/>
    <w:rsid w:val="00473732"/>
    <w:rsid w:val="00474C99"/>
    <w:rsid w:val="004759D9"/>
    <w:rsid w:val="00476B12"/>
    <w:rsid w:val="0047721D"/>
    <w:rsid w:val="004818B4"/>
    <w:rsid w:val="00481D00"/>
    <w:rsid w:val="004826D5"/>
    <w:rsid w:val="004847DD"/>
    <w:rsid w:val="00491728"/>
    <w:rsid w:val="00492E49"/>
    <w:rsid w:val="004934D9"/>
    <w:rsid w:val="0049639A"/>
    <w:rsid w:val="0049642C"/>
    <w:rsid w:val="00497740"/>
    <w:rsid w:val="004A001D"/>
    <w:rsid w:val="004A0AE0"/>
    <w:rsid w:val="004A0D8C"/>
    <w:rsid w:val="004A3D49"/>
    <w:rsid w:val="004A40F1"/>
    <w:rsid w:val="004A47AE"/>
    <w:rsid w:val="004A4C0C"/>
    <w:rsid w:val="004A594E"/>
    <w:rsid w:val="004A5DDC"/>
    <w:rsid w:val="004B2C2D"/>
    <w:rsid w:val="004B564D"/>
    <w:rsid w:val="004B7A85"/>
    <w:rsid w:val="004B7E57"/>
    <w:rsid w:val="004C3F12"/>
    <w:rsid w:val="004C5CA4"/>
    <w:rsid w:val="004C687B"/>
    <w:rsid w:val="004C779F"/>
    <w:rsid w:val="004D0055"/>
    <w:rsid w:val="004D20F4"/>
    <w:rsid w:val="004D2E67"/>
    <w:rsid w:val="004D3D67"/>
    <w:rsid w:val="004D4756"/>
    <w:rsid w:val="004D69A3"/>
    <w:rsid w:val="004D6E87"/>
    <w:rsid w:val="004D6F32"/>
    <w:rsid w:val="004D7135"/>
    <w:rsid w:val="004D72CB"/>
    <w:rsid w:val="004E0690"/>
    <w:rsid w:val="004E18FA"/>
    <w:rsid w:val="004E2969"/>
    <w:rsid w:val="004E380C"/>
    <w:rsid w:val="004E435D"/>
    <w:rsid w:val="004E5AD0"/>
    <w:rsid w:val="004E6028"/>
    <w:rsid w:val="004E7156"/>
    <w:rsid w:val="004F1A91"/>
    <w:rsid w:val="004F2821"/>
    <w:rsid w:val="004F38F7"/>
    <w:rsid w:val="004F4D31"/>
    <w:rsid w:val="00500D7F"/>
    <w:rsid w:val="00503040"/>
    <w:rsid w:val="00504E29"/>
    <w:rsid w:val="005074B9"/>
    <w:rsid w:val="00512C2D"/>
    <w:rsid w:val="0051350F"/>
    <w:rsid w:val="0051517C"/>
    <w:rsid w:val="00521593"/>
    <w:rsid w:val="00522359"/>
    <w:rsid w:val="00522BF4"/>
    <w:rsid w:val="00526127"/>
    <w:rsid w:val="005264E2"/>
    <w:rsid w:val="00527AD8"/>
    <w:rsid w:val="00530119"/>
    <w:rsid w:val="00530705"/>
    <w:rsid w:val="005309CC"/>
    <w:rsid w:val="005319AA"/>
    <w:rsid w:val="005334F2"/>
    <w:rsid w:val="00533DE2"/>
    <w:rsid w:val="00534B2B"/>
    <w:rsid w:val="0053710B"/>
    <w:rsid w:val="0054006D"/>
    <w:rsid w:val="0054021B"/>
    <w:rsid w:val="00540892"/>
    <w:rsid w:val="00542414"/>
    <w:rsid w:val="00542D07"/>
    <w:rsid w:val="00551006"/>
    <w:rsid w:val="0055563D"/>
    <w:rsid w:val="00556398"/>
    <w:rsid w:val="005572D9"/>
    <w:rsid w:val="00560462"/>
    <w:rsid w:val="00560DF2"/>
    <w:rsid w:val="00560E29"/>
    <w:rsid w:val="00561CBD"/>
    <w:rsid w:val="00565789"/>
    <w:rsid w:val="00572D24"/>
    <w:rsid w:val="0057453C"/>
    <w:rsid w:val="00575999"/>
    <w:rsid w:val="0058031F"/>
    <w:rsid w:val="00582358"/>
    <w:rsid w:val="0058506E"/>
    <w:rsid w:val="00590F9F"/>
    <w:rsid w:val="0059222F"/>
    <w:rsid w:val="00594EEB"/>
    <w:rsid w:val="005963E8"/>
    <w:rsid w:val="005964EE"/>
    <w:rsid w:val="005A30CA"/>
    <w:rsid w:val="005A5229"/>
    <w:rsid w:val="005A559C"/>
    <w:rsid w:val="005B0A6A"/>
    <w:rsid w:val="005B3453"/>
    <w:rsid w:val="005B3D78"/>
    <w:rsid w:val="005C6079"/>
    <w:rsid w:val="005C6CF5"/>
    <w:rsid w:val="005C7183"/>
    <w:rsid w:val="005C784D"/>
    <w:rsid w:val="005D1CA1"/>
    <w:rsid w:val="005D1F34"/>
    <w:rsid w:val="005D60C8"/>
    <w:rsid w:val="005E4848"/>
    <w:rsid w:val="005E69E2"/>
    <w:rsid w:val="005E703B"/>
    <w:rsid w:val="005E7F26"/>
    <w:rsid w:val="005F0615"/>
    <w:rsid w:val="005F1221"/>
    <w:rsid w:val="005F3C74"/>
    <w:rsid w:val="005F42E4"/>
    <w:rsid w:val="005F68C9"/>
    <w:rsid w:val="005F72A4"/>
    <w:rsid w:val="00600BF5"/>
    <w:rsid w:val="0060564E"/>
    <w:rsid w:val="006056B9"/>
    <w:rsid w:val="00606975"/>
    <w:rsid w:val="006076E0"/>
    <w:rsid w:val="006079D4"/>
    <w:rsid w:val="006111BE"/>
    <w:rsid w:val="0061274D"/>
    <w:rsid w:val="00612FBE"/>
    <w:rsid w:val="006132E6"/>
    <w:rsid w:val="00613E3E"/>
    <w:rsid w:val="00614394"/>
    <w:rsid w:val="006143C6"/>
    <w:rsid w:val="00615C73"/>
    <w:rsid w:val="00616A2E"/>
    <w:rsid w:val="00621A0F"/>
    <w:rsid w:val="00622BFB"/>
    <w:rsid w:val="00622E65"/>
    <w:rsid w:val="00630EE4"/>
    <w:rsid w:val="0063190B"/>
    <w:rsid w:val="00632F59"/>
    <w:rsid w:val="006333D7"/>
    <w:rsid w:val="00633497"/>
    <w:rsid w:val="0063364D"/>
    <w:rsid w:val="00635791"/>
    <w:rsid w:val="006404D2"/>
    <w:rsid w:val="0064336C"/>
    <w:rsid w:val="00643E65"/>
    <w:rsid w:val="0064509C"/>
    <w:rsid w:val="006452DB"/>
    <w:rsid w:val="006530FE"/>
    <w:rsid w:val="00654456"/>
    <w:rsid w:val="00657277"/>
    <w:rsid w:val="00657463"/>
    <w:rsid w:val="00657EAE"/>
    <w:rsid w:val="00661744"/>
    <w:rsid w:val="0066230E"/>
    <w:rsid w:val="006634EF"/>
    <w:rsid w:val="00663E02"/>
    <w:rsid w:val="00664758"/>
    <w:rsid w:val="00665D81"/>
    <w:rsid w:val="006660C7"/>
    <w:rsid w:val="006664AC"/>
    <w:rsid w:val="00666996"/>
    <w:rsid w:val="006678FD"/>
    <w:rsid w:val="00667C03"/>
    <w:rsid w:val="0067348C"/>
    <w:rsid w:val="006738D9"/>
    <w:rsid w:val="006802F0"/>
    <w:rsid w:val="0068067D"/>
    <w:rsid w:val="00680CFF"/>
    <w:rsid w:val="006816CF"/>
    <w:rsid w:val="00683B02"/>
    <w:rsid w:val="00683F5E"/>
    <w:rsid w:val="00687D3C"/>
    <w:rsid w:val="00690F51"/>
    <w:rsid w:val="00691637"/>
    <w:rsid w:val="00693AB7"/>
    <w:rsid w:val="0069452A"/>
    <w:rsid w:val="00694AC9"/>
    <w:rsid w:val="00695EC3"/>
    <w:rsid w:val="006967FB"/>
    <w:rsid w:val="006972C2"/>
    <w:rsid w:val="006974E0"/>
    <w:rsid w:val="006A0015"/>
    <w:rsid w:val="006A1C5B"/>
    <w:rsid w:val="006A4FBE"/>
    <w:rsid w:val="006A6184"/>
    <w:rsid w:val="006B17A9"/>
    <w:rsid w:val="006B3EC4"/>
    <w:rsid w:val="006C5E81"/>
    <w:rsid w:val="006C7A77"/>
    <w:rsid w:val="006D05E8"/>
    <w:rsid w:val="006D13A8"/>
    <w:rsid w:val="006D5D57"/>
    <w:rsid w:val="006D6BAF"/>
    <w:rsid w:val="006D799A"/>
    <w:rsid w:val="006E1709"/>
    <w:rsid w:val="006E6EB9"/>
    <w:rsid w:val="006F114E"/>
    <w:rsid w:val="006F2A26"/>
    <w:rsid w:val="006F3973"/>
    <w:rsid w:val="006F59B5"/>
    <w:rsid w:val="006F630A"/>
    <w:rsid w:val="00702D46"/>
    <w:rsid w:val="00704521"/>
    <w:rsid w:val="00705140"/>
    <w:rsid w:val="00706B96"/>
    <w:rsid w:val="00707FBF"/>
    <w:rsid w:val="00710286"/>
    <w:rsid w:val="0071065C"/>
    <w:rsid w:val="0071200F"/>
    <w:rsid w:val="0072260E"/>
    <w:rsid w:val="00722F84"/>
    <w:rsid w:val="00723130"/>
    <w:rsid w:val="00723B27"/>
    <w:rsid w:val="00724FDE"/>
    <w:rsid w:val="0072724C"/>
    <w:rsid w:val="00730F6D"/>
    <w:rsid w:val="007326F8"/>
    <w:rsid w:val="00733644"/>
    <w:rsid w:val="0073378D"/>
    <w:rsid w:val="00735444"/>
    <w:rsid w:val="00737A65"/>
    <w:rsid w:val="00740218"/>
    <w:rsid w:val="0074145A"/>
    <w:rsid w:val="00745E9C"/>
    <w:rsid w:val="00753EB7"/>
    <w:rsid w:val="0075412F"/>
    <w:rsid w:val="007611D1"/>
    <w:rsid w:val="00761ADA"/>
    <w:rsid w:val="00761B57"/>
    <w:rsid w:val="0076594B"/>
    <w:rsid w:val="00765CD1"/>
    <w:rsid w:val="00766D50"/>
    <w:rsid w:val="0077189E"/>
    <w:rsid w:val="007748E6"/>
    <w:rsid w:val="00776706"/>
    <w:rsid w:val="00776B6E"/>
    <w:rsid w:val="00777898"/>
    <w:rsid w:val="00780FBD"/>
    <w:rsid w:val="00783E5A"/>
    <w:rsid w:val="00785B30"/>
    <w:rsid w:val="00785E2A"/>
    <w:rsid w:val="00785EFA"/>
    <w:rsid w:val="00786E6B"/>
    <w:rsid w:val="00787810"/>
    <w:rsid w:val="00790E8C"/>
    <w:rsid w:val="0079139A"/>
    <w:rsid w:val="00792774"/>
    <w:rsid w:val="00795ABC"/>
    <w:rsid w:val="007A20A2"/>
    <w:rsid w:val="007A619B"/>
    <w:rsid w:val="007A6C8D"/>
    <w:rsid w:val="007B0182"/>
    <w:rsid w:val="007B07FC"/>
    <w:rsid w:val="007B1961"/>
    <w:rsid w:val="007B5351"/>
    <w:rsid w:val="007C191F"/>
    <w:rsid w:val="007C2D22"/>
    <w:rsid w:val="007C41D6"/>
    <w:rsid w:val="007C7D44"/>
    <w:rsid w:val="007C7F7E"/>
    <w:rsid w:val="007D162B"/>
    <w:rsid w:val="007D3951"/>
    <w:rsid w:val="007D3DC8"/>
    <w:rsid w:val="007D5443"/>
    <w:rsid w:val="007D7A7C"/>
    <w:rsid w:val="007E07BB"/>
    <w:rsid w:val="007E4E53"/>
    <w:rsid w:val="007E5747"/>
    <w:rsid w:val="007F15FC"/>
    <w:rsid w:val="007F2B90"/>
    <w:rsid w:val="007F7066"/>
    <w:rsid w:val="007F7211"/>
    <w:rsid w:val="007F78CC"/>
    <w:rsid w:val="00801FDB"/>
    <w:rsid w:val="0080220D"/>
    <w:rsid w:val="00802D67"/>
    <w:rsid w:val="00805631"/>
    <w:rsid w:val="00811577"/>
    <w:rsid w:val="008118C0"/>
    <w:rsid w:val="00813851"/>
    <w:rsid w:val="008177EC"/>
    <w:rsid w:val="00817D41"/>
    <w:rsid w:val="00820EF1"/>
    <w:rsid w:val="008213E7"/>
    <w:rsid w:val="00821CC8"/>
    <w:rsid w:val="00821F60"/>
    <w:rsid w:val="00822E50"/>
    <w:rsid w:val="0082458A"/>
    <w:rsid w:val="00827B49"/>
    <w:rsid w:val="00831555"/>
    <w:rsid w:val="00831BA3"/>
    <w:rsid w:val="008343A1"/>
    <w:rsid w:val="0083496F"/>
    <w:rsid w:val="00835871"/>
    <w:rsid w:val="00835968"/>
    <w:rsid w:val="00836E4C"/>
    <w:rsid w:val="008378EA"/>
    <w:rsid w:val="00840DEF"/>
    <w:rsid w:val="0084607B"/>
    <w:rsid w:val="0084645E"/>
    <w:rsid w:val="008467C9"/>
    <w:rsid w:val="00847627"/>
    <w:rsid w:val="00852B1E"/>
    <w:rsid w:val="008536C9"/>
    <w:rsid w:val="0085499C"/>
    <w:rsid w:val="00855ABF"/>
    <w:rsid w:val="00856ED0"/>
    <w:rsid w:val="0085712E"/>
    <w:rsid w:val="00857798"/>
    <w:rsid w:val="00861E57"/>
    <w:rsid w:val="0086706D"/>
    <w:rsid w:val="00870193"/>
    <w:rsid w:val="0087048E"/>
    <w:rsid w:val="008704E2"/>
    <w:rsid w:val="00870932"/>
    <w:rsid w:val="00870ACF"/>
    <w:rsid w:val="00870BF7"/>
    <w:rsid w:val="00871723"/>
    <w:rsid w:val="00874A48"/>
    <w:rsid w:val="0088069C"/>
    <w:rsid w:val="00880C09"/>
    <w:rsid w:val="008822BA"/>
    <w:rsid w:val="00883BDF"/>
    <w:rsid w:val="00883E80"/>
    <w:rsid w:val="0088645E"/>
    <w:rsid w:val="008933D1"/>
    <w:rsid w:val="008A05C7"/>
    <w:rsid w:val="008A0B56"/>
    <w:rsid w:val="008A0C60"/>
    <w:rsid w:val="008A1BC3"/>
    <w:rsid w:val="008A1F4E"/>
    <w:rsid w:val="008A1F55"/>
    <w:rsid w:val="008A2024"/>
    <w:rsid w:val="008A2C85"/>
    <w:rsid w:val="008A4DC0"/>
    <w:rsid w:val="008A5003"/>
    <w:rsid w:val="008A72A6"/>
    <w:rsid w:val="008B06AD"/>
    <w:rsid w:val="008B36E4"/>
    <w:rsid w:val="008B4AA0"/>
    <w:rsid w:val="008B7F8B"/>
    <w:rsid w:val="008C0031"/>
    <w:rsid w:val="008C0710"/>
    <w:rsid w:val="008C0887"/>
    <w:rsid w:val="008C1AE7"/>
    <w:rsid w:val="008C429B"/>
    <w:rsid w:val="008C4959"/>
    <w:rsid w:val="008C4EEA"/>
    <w:rsid w:val="008C5E2B"/>
    <w:rsid w:val="008C6557"/>
    <w:rsid w:val="008D0018"/>
    <w:rsid w:val="008D101D"/>
    <w:rsid w:val="008D16E4"/>
    <w:rsid w:val="008D3318"/>
    <w:rsid w:val="008D466B"/>
    <w:rsid w:val="008D6534"/>
    <w:rsid w:val="008D6BC0"/>
    <w:rsid w:val="008D7761"/>
    <w:rsid w:val="008E410E"/>
    <w:rsid w:val="008E5AB7"/>
    <w:rsid w:val="008F00AB"/>
    <w:rsid w:val="008F1295"/>
    <w:rsid w:val="008F6D12"/>
    <w:rsid w:val="00900553"/>
    <w:rsid w:val="00900AC6"/>
    <w:rsid w:val="0090166B"/>
    <w:rsid w:val="0090421D"/>
    <w:rsid w:val="00904B99"/>
    <w:rsid w:val="00905FBA"/>
    <w:rsid w:val="00912CBF"/>
    <w:rsid w:val="00913927"/>
    <w:rsid w:val="00914425"/>
    <w:rsid w:val="00917FCE"/>
    <w:rsid w:val="00920057"/>
    <w:rsid w:val="009202B7"/>
    <w:rsid w:val="009206FC"/>
    <w:rsid w:val="00920F86"/>
    <w:rsid w:val="0092587D"/>
    <w:rsid w:val="00925F76"/>
    <w:rsid w:val="00927CE2"/>
    <w:rsid w:val="00927D6C"/>
    <w:rsid w:val="00930867"/>
    <w:rsid w:val="009318D1"/>
    <w:rsid w:val="0093294C"/>
    <w:rsid w:val="009345A7"/>
    <w:rsid w:val="0093638A"/>
    <w:rsid w:val="00937258"/>
    <w:rsid w:val="00940A20"/>
    <w:rsid w:val="00941F4D"/>
    <w:rsid w:val="00942193"/>
    <w:rsid w:val="009447E7"/>
    <w:rsid w:val="00947747"/>
    <w:rsid w:val="0095074D"/>
    <w:rsid w:val="00951573"/>
    <w:rsid w:val="00954066"/>
    <w:rsid w:val="009562CA"/>
    <w:rsid w:val="00956306"/>
    <w:rsid w:val="00957D63"/>
    <w:rsid w:val="00960879"/>
    <w:rsid w:val="00960931"/>
    <w:rsid w:val="00960D93"/>
    <w:rsid w:val="00961B0A"/>
    <w:rsid w:val="009654E9"/>
    <w:rsid w:val="0096551E"/>
    <w:rsid w:val="00967D05"/>
    <w:rsid w:val="009759C3"/>
    <w:rsid w:val="009766A5"/>
    <w:rsid w:val="00976C8A"/>
    <w:rsid w:val="00977FB2"/>
    <w:rsid w:val="009801F9"/>
    <w:rsid w:val="00983EAE"/>
    <w:rsid w:val="00990FBF"/>
    <w:rsid w:val="0099101A"/>
    <w:rsid w:val="00994F34"/>
    <w:rsid w:val="00995E24"/>
    <w:rsid w:val="009977C2"/>
    <w:rsid w:val="009A05E7"/>
    <w:rsid w:val="009A11AC"/>
    <w:rsid w:val="009A1837"/>
    <w:rsid w:val="009B19A4"/>
    <w:rsid w:val="009B1E40"/>
    <w:rsid w:val="009B22E9"/>
    <w:rsid w:val="009B2780"/>
    <w:rsid w:val="009B7AB9"/>
    <w:rsid w:val="009C03BF"/>
    <w:rsid w:val="009C1649"/>
    <w:rsid w:val="009C3F1E"/>
    <w:rsid w:val="009C634F"/>
    <w:rsid w:val="009C6A45"/>
    <w:rsid w:val="009C768E"/>
    <w:rsid w:val="009D0A6C"/>
    <w:rsid w:val="009D0F51"/>
    <w:rsid w:val="009D4487"/>
    <w:rsid w:val="009D459A"/>
    <w:rsid w:val="009D5B53"/>
    <w:rsid w:val="009D6115"/>
    <w:rsid w:val="009D7309"/>
    <w:rsid w:val="009E0AA0"/>
    <w:rsid w:val="009E0B3A"/>
    <w:rsid w:val="009E138B"/>
    <w:rsid w:val="009E2259"/>
    <w:rsid w:val="009E3AB9"/>
    <w:rsid w:val="009F150D"/>
    <w:rsid w:val="009F20F2"/>
    <w:rsid w:val="009F2332"/>
    <w:rsid w:val="009F38BF"/>
    <w:rsid w:val="009F4221"/>
    <w:rsid w:val="00A0282C"/>
    <w:rsid w:val="00A06F3F"/>
    <w:rsid w:val="00A1058B"/>
    <w:rsid w:val="00A115DA"/>
    <w:rsid w:val="00A12D32"/>
    <w:rsid w:val="00A141CF"/>
    <w:rsid w:val="00A17A60"/>
    <w:rsid w:val="00A17F3B"/>
    <w:rsid w:val="00A202B3"/>
    <w:rsid w:val="00A20469"/>
    <w:rsid w:val="00A2060B"/>
    <w:rsid w:val="00A220EF"/>
    <w:rsid w:val="00A2366D"/>
    <w:rsid w:val="00A23B2E"/>
    <w:rsid w:val="00A23EE5"/>
    <w:rsid w:val="00A24529"/>
    <w:rsid w:val="00A24E95"/>
    <w:rsid w:val="00A27031"/>
    <w:rsid w:val="00A272C2"/>
    <w:rsid w:val="00A3114A"/>
    <w:rsid w:val="00A33AA9"/>
    <w:rsid w:val="00A33D3E"/>
    <w:rsid w:val="00A34BC7"/>
    <w:rsid w:val="00A3564F"/>
    <w:rsid w:val="00A3638A"/>
    <w:rsid w:val="00A3652E"/>
    <w:rsid w:val="00A37B5D"/>
    <w:rsid w:val="00A37C93"/>
    <w:rsid w:val="00A400A0"/>
    <w:rsid w:val="00A40AD2"/>
    <w:rsid w:val="00A4542F"/>
    <w:rsid w:val="00A45DCB"/>
    <w:rsid w:val="00A46307"/>
    <w:rsid w:val="00A5172E"/>
    <w:rsid w:val="00A520EC"/>
    <w:rsid w:val="00A54234"/>
    <w:rsid w:val="00A56DFC"/>
    <w:rsid w:val="00A6431C"/>
    <w:rsid w:val="00A64A50"/>
    <w:rsid w:val="00A65750"/>
    <w:rsid w:val="00A66473"/>
    <w:rsid w:val="00A6727A"/>
    <w:rsid w:val="00A721FE"/>
    <w:rsid w:val="00A7407B"/>
    <w:rsid w:val="00A77F84"/>
    <w:rsid w:val="00A805AF"/>
    <w:rsid w:val="00A813F9"/>
    <w:rsid w:val="00A82A38"/>
    <w:rsid w:val="00A83158"/>
    <w:rsid w:val="00A83762"/>
    <w:rsid w:val="00A83CEB"/>
    <w:rsid w:val="00A84604"/>
    <w:rsid w:val="00A8622E"/>
    <w:rsid w:val="00A87913"/>
    <w:rsid w:val="00A90C30"/>
    <w:rsid w:val="00A91B8B"/>
    <w:rsid w:val="00AA3109"/>
    <w:rsid w:val="00AA56D0"/>
    <w:rsid w:val="00AA575C"/>
    <w:rsid w:val="00AA772E"/>
    <w:rsid w:val="00AB0114"/>
    <w:rsid w:val="00AB105C"/>
    <w:rsid w:val="00AB236D"/>
    <w:rsid w:val="00AB259D"/>
    <w:rsid w:val="00AB3466"/>
    <w:rsid w:val="00AB4B1C"/>
    <w:rsid w:val="00AB4E26"/>
    <w:rsid w:val="00AB51A3"/>
    <w:rsid w:val="00AB6DAF"/>
    <w:rsid w:val="00AB6FAA"/>
    <w:rsid w:val="00AC331B"/>
    <w:rsid w:val="00AD0CD8"/>
    <w:rsid w:val="00AD458F"/>
    <w:rsid w:val="00AD5017"/>
    <w:rsid w:val="00AD5153"/>
    <w:rsid w:val="00AE1527"/>
    <w:rsid w:val="00AE48BB"/>
    <w:rsid w:val="00AE64BC"/>
    <w:rsid w:val="00AF47A6"/>
    <w:rsid w:val="00AF5ABA"/>
    <w:rsid w:val="00AF6160"/>
    <w:rsid w:val="00AF6504"/>
    <w:rsid w:val="00AF7457"/>
    <w:rsid w:val="00B01A1F"/>
    <w:rsid w:val="00B021B2"/>
    <w:rsid w:val="00B033EC"/>
    <w:rsid w:val="00B03E34"/>
    <w:rsid w:val="00B04FBC"/>
    <w:rsid w:val="00B07744"/>
    <w:rsid w:val="00B116E1"/>
    <w:rsid w:val="00B13EA3"/>
    <w:rsid w:val="00B168B5"/>
    <w:rsid w:val="00B208BC"/>
    <w:rsid w:val="00B242A8"/>
    <w:rsid w:val="00B25705"/>
    <w:rsid w:val="00B276A7"/>
    <w:rsid w:val="00B325E1"/>
    <w:rsid w:val="00B32F7B"/>
    <w:rsid w:val="00B3544F"/>
    <w:rsid w:val="00B36CB0"/>
    <w:rsid w:val="00B37443"/>
    <w:rsid w:val="00B37470"/>
    <w:rsid w:val="00B409C2"/>
    <w:rsid w:val="00B427E5"/>
    <w:rsid w:val="00B43346"/>
    <w:rsid w:val="00B438B1"/>
    <w:rsid w:val="00B4673D"/>
    <w:rsid w:val="00B5336A"/>
    <w:rsid w:val="00B539AF"/>
    <w:rsid w:val="00B56115"/>
    <w:rsid w:val="00B569A3"/>
    <w:rsid w:val="00B71129"/>
    <w:rsid w:val="00B7620D"/>
    <w:rsid w:val="00B803B9"/>
    <w:rsid w:val="00B811BD"/>
    <w:rsid w:val="00B8257C"/>
    <w:rsid w:val="00B8556C"/>
    <w:rsid w:val="00B8594F"/>
    <w:rsid w:val="00B90436"/>
    <w:rsid w:val="00B90E07"/>
    <w:rsid w:val="00B9471C"/>
    <w:rsid w:val="00B958B4"/>
    <w:rsid w:val="00B974E1"/>
    <w:rsid w:val="00B97A17"/>
    <w:rsid w:val="00BA0210"/>
    <w:rsid w:val="00BA0888"/>
    <w:rsid w:val="00BA0F04"/>
    <w:rsid w:val="00BA1019"/>
    <w:rsid w:val="00BA4776"/>
    <w:rsid w:val="00BA588D"/>
    <w:rsid w:val="00BA748F"/>
    <w:rsid w:val="00BB405D"/>
    <w:rsid w:val="00BB58BB"/>
    <w:rsid w:val="00BB6E38"/>
    <w:rsid w:val="00BC172B"/>
    <w:rsid w:val="00BC1861"/>
    <w:rsid w:val="00BC2AF9"/>
    <w:rsid w:val="00BC5510"/>
    <w:rsid w:val="00BC6BD2"/>
    <w:rsid w:val="00BC76BD"/>
    <w:rsid w:val="00BD4C18"/>
    <w:rsid w:val="00BD6C1E"/>
    <w:rsid w:val="00BD7DD3"/>
    <w:rsid w:val="00BE16E8"/>
    <w:rsid w:val="00BE17D0"/>
    <w:rsid w:val="00BE3105"/>
    <w:rsid w:val="00BE3CEC"/>
    <w:rsid w:val="00BE4EFC"/>
    <w:rsid w:val="00BE66D3"/>
    <w:rsid w:val="00BE69B4"/>
    <w:rsid w:val="00BE7258"/>
    <w:rsid w:val="00BE74DC"/>
    <w:rsid w:val="00BF2271"/>
    <w:rsid w:val="00BF337F"/>
    <w:rsid w:val="00BF415D"/>
    <w:rsid w:val="00BF4326"/>
    <w:rsid w:val="00C0596D"/>
    <w:rsid w:val="00C063EE"/>
    <w:rsid w:val="00C07F85"/>
    <w:rsid w:val="00C12121"/>
    <w:rsid w:val="00C12333"/>
    <w:rsid w:val="00C1254F"/>
    <w:rsid w:val="00C12631"/>
    <w:rsid w:val="00C14363"/>
    <w:rsid w:val="00C14ACA"/>
    <w:rsid w:val="00C14C44"/>
    <w:rsid w:val="00C15E36"/>
    <w:rsid w:val="00C16DFA"/>
    <w:rsid w:val="00C171E2"/>
    <w:rsid w:val="00C17E18"/>
    <w:rsid w:val="00C23069"/>
    <w:rsid w:val="00C243B6"/>
    <w:rsid w:val="00C24B33"/>
    <w:rsid w:val="00C2544B"/>
    <w:rsid w:val="00C25FD6"/>
    <w:rsid w:val="00C27C07"/>
    <w:rsid w:val="00C3095C"/>
    <w:rsid w:val="00C3442E"/>
    <w:rsid w:val="00C3445A"/>
    <w:rsid w:val="00C34B07"/>
    <w:rsid w:val="00C36367"/>
    <w:rsid w:val="00C3788B"/>
    <w:rsid w:val="00C403D9"/>
    <w:rsid w:val="00C41E07"/>
    <w:rsid w:val="00C41F8D"/>
    <w:rsid w:val="00C434D1"/>
    <w:rsid w:val="00C453F3"/>
    <w:rsid w:val="00C46A56"/>
    <w:rsid w:val="00C47E66"/>
    <w:rsid w:val="00C50FDC"/>
    <w:rsid w:val="00C5175F"/>
    <w:rsid w:val="00C51B17"/>
    <w:rsid w:val="00C51B55"/>
    <w:rsid w:val="00C522E9"/>
    <w:rsid w:val="00C52B1F"/>
    <w:rsid w:val="00C5387D"/>
    <w:rsid w:val="00C56CF8"/>
    <w:rsid w:val="00C56F04"/>
    <w:rsid w:val="00C5785B"/>
    <w:rsid w:val="00C61819"/>
    <w:rsid w:val="00C63954"/>
    <w:rsid w:val="00C65F74"/>
    <w:rsid w:val="00C66597"/>
    <w:rsid w:val="00C67B5A"/>
    <w:rsid w:val="00C67DE2"/>
    <w:rsid w:val="00C7147C"/>
    <w:rsid w:val="00C735F9"/>
    <w:rsid w:val="00C774AF"/>
    <w:rsid w:val="00C77607"/>
    <w:rsid w:val="00C83E44"/>
    <w:rsid w:val="00C84977"/>
    <w:rsid w:val="00C84CBA"/>
    <w:rsid w:val="00C8695F"/>
    <w:rsid w:val="00C878DA"/>
    <w:rsid w:val="00C90221"/>
    <w:rsid w:val="00C90640"/>
    <w:rsid w:val="00C90866"/>
    <w:rsid w:val="00C915B4"/>
    <w:rsid w:val="00C97909"/>
    <w:rsid w:val="00C97CA5"/>
    <w:rsid w:val="00CA37C9"/>
    <w:rsid w:val="00CA3E24"/>
    <w:rsid w:val="00CA46C0"/>
    <w:rsid w:val="00CA5DCA"/>
    <w:rsid w:val="00CB1C4B"/>
    <w:rsid w:val="00CB6563"/>
    <w:rsid w:val="00CC23F0"/>
    <w:rsid w:val="00CC5650"/>
    <w:rsid w:val="00CC619F"/>
    <w:rsid w:val="00CD1D99"/>
    <w:rsid w:val="00CD45D6"/>
    <w:rsid w:val="00CD4725"/>
    <w:rsid w:val="00CD5024"/>
    <w:rsid w:val="00CD6916"/>
    <w:rsid w:val="00CD7224"/>
    <w:rsid w:val="00CE0A3A"/>
    <w:rsid w:val="00CE34A5"/>
    <w:rsid w:val="00CE5A63"/>
    <w:rsid w:val="00CE6AF3"/>
    <w:rsid w:val="00CF290F"/>
    <w:rsid w:val="00CF40CC"/>
    <w:rsid w:val="00CF49DE"/>
    <w:rsid w:val="00CF4AF9"/>
    <w:rsid w:val="00CF6A54"/>
    <w:rsid w:val="00CF6FD6"/>
    <w:rsid w:val="00D0167F"/>
    <w:rsid w:val="00D01A7F"/>
    <w:rsid w:val="00D024F8"/>
    <w:rsid w:val="00D02B5C"/>
    <w:rsid w:val="00D0316B"/>
    <w:rsid w:val="00D04817"/>
    <w:rsid w:val="00D071F0"/>
    <w:rsid w:val="00D076F4"/>
    <w:rsid w:val="00D12629"/>
    <w:rsid w:val="00D12D90"/>
    <w:rsid w:val="00D15BBC"/>
    <w:rsid w:val="00D16666"/>
    <w:rsid w:val="00D1717A"/>
    <w:rsid w:val="00D17185"/>
    <w:rsid w:val="00D1763B"/>
    <w:rsid w:val="00D2017B"/>
    <w:rsid w:val="00D208B8"/>
    <w:rsid w:val="00D209B6"/>
    <w:rsid w:val="00D21D96"/>
    <w:rsid w:val="00D249BA"/>
    <w:rsid w:val="00D34855"/>
    <w:rsid w:val="00D379AA"/>
    <w:rsid w:val="00D402C3"/>
    <w:rsid w:val="00D42F50"/>
    <w:rsid w:val="00D43501"/>
    <w:rsid w:val="00D441F1"/>
    <w:rsid w:val="00D45393"/>
    <w:rsid w:val="00D458E1"/>
    <w:rsid w:val="00D45B99"/>
    <w:rsid w:val="00D4614A"/>
    <w:rsid w:val="00D535C4"/>
    <w:rsid w:val="00D53A27"/>
    <w:rsid w:val="00D53CBC"/>
    <w:rsid w:val="00D53E73"/>
    <w:rsid w:val="00D55739"/>
    <w:rsid w:val="00D62F8E"/>
    <w:rsid w:val="00D647A5"/>
    <w:rsid w:val="00D64F3B"/>
    <w:rsid w:val="00D65129"/>
    <w:rsid w:val="00D66E14"/>
    <w:rsid w:val="00D66EEF"/>
    <w:rsid w:val="00D74517"/>
    <w:rsid w:val="00D76287"/>
    <w:rsid w:val="00D82240"/>
    <w:rsid w:val="00D8349E"/>
    <w:rsid w:val="00D8363F"/>
    <w:rsid w:val="00D84F10"/>
    <w:rsid w:val="00D86230"/>
    <w:rsid w:val="00D9349F"/>
    <w:rsid w:val="00D97CBC"/>
    <w:rsid w:val="00DA0919"/>
    <w:rsid w:val="00DA17F0"/>
    <w:rsid w:val="00DA4994"/>
    <w:rsid w:val="00DA60D7"/>
    <w:rsid w:val="00DA6435"/>
    <w:rsid w:val="00DB4C03"/>
    <w:rsid w:val="00DC2FF5"/>
    <w:rsid w:val="00DC305F"/>
    <w:rsid w:val="00DC32DA"/>
    <w:rsid w:val="00DC3DEC"/>
    <w:rsid w:val="00DC4858"/>
    <w:rsid w:val="00DC65EA"/>
    <w:rsid w:val="00DD22F4"/>
    <w:rsid w:val="00DD23F4"/>
    <w:rsid w:val="00DD2623"/>
    <w:rsid w:val="00DD29EC"/>
    <w:rsid w:val="00DD4432"/>
    <w:rsid w:val="00DD4F0B"/>
    <w:rsid w:val="00DD5E28"/>
    <w:rsid w:val="00DE22A5"/>
    <w:rsid w:val="00DE2F10"/>
    <w:rsid w:val="00DE3C19"/>
    <w:rsid w:val="00DE4CB8"/>
    <w:rsid w:val="00DF1E1C"/>
    <w:rsid w:val="00DF2780"/>
    <w:rsid w:val="00DF3489"/>
    <w:rsid w:val="00DF3BEF"/>
    <w:rsid w:val="00DF3ED8"/>
    <w:rsid w:val="00E00B4C"/>
    <w:rsid w:val="00E014D9"/>
    <w:rsid w:val="00E04DAC"/>
    <w:rsid w:val="00E05381"/>
    <w:rsid w:val="00E05F73"/>
    <w:rsid w:val="00E072CF"/>
    <w:rsid w:val="00E112C8"/>
    <w:rsid w:val="00E236A1"/>
    <w:rsid w:val="00E23D58"/>
    <w:rsid w:val="00E2602A"/>
    <w:rsid w:val="00E26F38"/>
    <w:rsid w:val="00E26FE1"/>
    <w:rsid w:val="00E27559"/>
    <w:rsid w:val="00E27FF9"/>
    <w:rsid w:val="00E33796"/>
    <w:rsid w:val="00E35898"/>
    <w:rsid w:val="00E35A74"/>
    <w:rsid w:val="00E368B1"/>
    <w:rsid w:val="00E378EE"/>
    <w:rsid w:val="00E40ADD"/>
    <w:rsid w:val="00E40EF7"/>
    <w:rsid w:val="00E40F03"/>
    <w:rsid w:val="00E42418"/>
    <w:rsid w:val="00E42711"/>
    <w:rsid w:val="00E434CE"/>
    <w:rsid w:val="00E4360C"/>
    <w:rsid w:val="00E43B95"/>
    <w:rsid w:val="00E444F0"/>
    <w:rsid w:val="00E4513A"/>
    <w:rsid w:val="00E51363"/>
    <w:rsid w:val="00E526E0"/>
    <w:rsid w:val="00E547B5"/>
    <w:rsid w:val="00E5685E"/>
    <w:rsid w:val="00E60394"/>
    <w:rsid w:val="00E60F19"/>
    <w:rsid w:val="00E60F2C"/>
    <w:rsid w:val="00E61287"/>
    <w:rsid w:val="00E61B07"/>
    <w:rsid w:val="00E61EA5"/>
    <w:rsid w:val="00E6338F"/>
    <w:rsid w:val="00E63962"/>
    <w:rsid w:val="00E64E10"/>
    <w:rsid w:val="00E66CD5"/>
    <w:rsid w:val="00E75E29"/>
    <w:rsid w:val="00E76338"/>
    <w:rsid w:val="00E769B8"/>
    <w:rsid w:val="00E77AD0"/>
    <w:rsid w:val="00E8342F"/>
    <w:rsid w:val="00E845B2"/>
    <w:rsid w:val="00E84A0A"/>
    <w:rsid w:val="00E85AF0"/>
    <w:rsid w:val="00E865F0"/>
    <w:rsid w:val="00E90A71"/>
    <w:rsid w:val="00E93A4D"/>
    <w:rsid w:val="00E97628"/>
    <w:rsid w:val="00EA02A1"/>
    <w:rsid w:val="00EA0325"/>
    <w:rsid w:val="00EA0576"/>
    <w:rsid w:val="00EA1290"/>
    <w:rsid w:val="00EA18CD"/>
    <w:rsid w:val="00EA6F72"/>
    <w:rsid w:val="00EA72A1"/>
    <w:rsid w:val="00EA74F6"/>
    <w:rsid w:val="00EA789A"/>
    <w:rsid w:val="00EA7ECD"/>
    <w:rsid w:val="00EB20F3"/>
    <w:rsid w:val="00EB4672"/>
    <w:rsid w:val="00EB4E9C"/>
    <w:rsid w:val="00EB5333"/>
    <w:rsid w:val="00EB74D7"/>
    <w:rsid w:val="00EB7CE2"/>
    <w:rsid w:val="00EB7EA2"/>
    <w:rsid w:val="00EC053E"/>
    <w:rsid w:val="00EC1D69"/>
    <w:rsid w:val="00EC2AC4"/>
    <w:rsid w:val="00EC43CE"/>
    <w:rsid w:val="00EC49D4"/>
    <w:rsid w:val="00EC5065"/>
    <w:rsid w:val="00EC6690"/>
    <w:rsid w:val="00ED0404"/>
    <w:rsid w:val="00ED22CA"/>
    <w:rsid w:val="00ED2EF4"/>
    <w:rsid w:val="00ED3D85"/>
    <w:rsid w:val="00ED479F"/>
    <w:rsid w:val="00ED6FDD"/>
    <w:rsid w:val="00ED74B5"/>
    <w:rsid w:val="00EE1268"/>
    <w:rsid w:val="00EE1B6B"/>
    <w:rsid w:val="00EE4866"/>
    <w:rsid w:val="00EE5B80"/>
    <w:rsid w:val="00EE671A"/>
    <w:rsid w:val="00EE6DAE"/>
    <w:rsid w:val="00EE78F9"/>
    <w:rsid w:val="00EE7C24"/>
    <w:rsid w:val="00EF1A4B"/>
    <w:rsid w:val="00EF2850"/>
    <w:rsid w:val="00EF3D06"/>
    <w:rsid w:val="00EF4D2D"/>
    <w:rsid w:val="00EF71CD"/>
    <w:rsid w:val="00F00EC0"/>
    <w:rsid w:val="00F00EE0"/>
    <w:rsid w:val="00F01374"/>
    <w:rsid w:val="00F02CB0"/>
    <w:rsid w:val="00F06404"/>
    <w:rsid w:val="00F10B4B"/>
    <w:rsid w:val="00F165C1"/>
    <w:rsid w:val="00F1781D"/>
    <w:rsid w:val="00F20BB3"/>
    <w:rsid w:val="00F22055"/>
    <w:rsid w:val="00F26758"/>
    <w:rsid w:val="00F26A41"/>
    <w:rsid w:val="00F277D4"/>
    <w:rsid w:val="00F33F7D"/>
    <w:rsid w:val="00F3465D"/>
    <w:rsid w:val="00F34F41"/>
    <w:rsid w:val="00F40C1A"/>
    <w:rsid w:val="00F40FEF"/>
    <w:rsid w:val="00F41ABB"/>
    <w:rsid w:val="00F438DB"/>
    <w:rsid w:val="00F46DCD"/>
    <w:rsid w:val="00F47624"/>
    <w:rsid w:val="00F479BC"/>
    <w:rsid w:val="00F519E0"/>
    <w:rsid w:val="00F532CB"/>
    <w:rsid w:val="00F55C41"/>
    <w:rsid w:val="00F55E83"/>
    <w:rsid w:val="00F56CCF"/>
    <w:rsid w:val="00F57899"/>
    <w:rsid w:val="00F601C8"/>
    <w:rsid w:val="00F611E0"/>
    <w:rsid w:val="00F64DB0"/>
    <w:rsid w:val="00F64E5D"/>
    <w:rsid w:val="00F666DF"/>
    <w:rsid w:val="00F7077F"/>
    <w:rsid w:val="00F720D5"/>
    <w:rsid w:val="00F72DC7"/>
    <w:rsid w:val="00F73086"/>
    <w:rsid w:val="00F737C8"/>
    <w:rsid w:val="00F74A52"/>
    <w:rsid w:val="00F809E8"/>
    <w:rsid w:val="00F80E5C"/>
    <w:rsid w:val="00F86904"/>
    <w:rsid w:val="00F9161C"/>
    <w:rsid w:val="00F969F8"/>
    <w:rsid w:val="00FA1D32"/>
    <w:rsid w:val="00FA6265"/>
    <w:rsid w:val="00FA678B"/>
    <w:rsid w:val="00FA6BF5"/>
    <w:rsid w:val="00FA7A65"/>
    <w:rsid w:val="00FB040A"/>
    <w:rsid w:val="00FB12D3"/>
    <w:rsid w:val="00FB13AF"/>
    <w:rsid w:val="00FB1ABD"/>
    <w:rsid w:val="00FB26D6"/>
    <w:rsid w:val="00FB2714"/>
    <w:rsid w:val="00FB3CA7"/>
    <w:rsid w:val="00FB46CA"/>
    <w:rsid w:val="00FB6077"/>
    <w:rsid w:val="00FB63A1"/>
    <w:rsid w:val="00FB68AD"/>
    <w:rsid w:val="00FC24EB"/>
    <w:rsid w:val="00FC2E84"/>
    <w:rsid w:val="00FC36C5"/>
    <w:rsid w:val="00FC4F36"/>
    <w:rsid w:val="00FC6333"/>
    <w:rsid w:val="00FC66D7"/>
    <w:rsid w:val="00FC7963"/>
    <w:rsid w:val="00FC7DD1"/>
    <w:rsid w:val="00FD0B30"/>
    <w:rsid w:val="00FD0D3F"/>
    <w:rsid w:val="00FD0E81"/>
    <w:rsid w:val="00FD2C9E"/>
    <w:rsid w:val="00FD3BC8"/>
    <w:rsid w:val="00FD4A80"/>
    <w:rsid w:val="00FD61B8"/>
    <w:rsid w:val="00FD7C0B"/>
    <w:rsid w:val="00FE0BE0"/>
    <w:rsid w:val="00FE2201"/>
    <w:rsid w:val="00FE2E79"/>
    <w:rsid w:val="00FE4543"/>
    <w:rsid w:val="00FE5D45"/>
    <w:rsid w:val="00FE666F"/>
    <w:rsid w:val="00FE7191"/>
    <w:rsid w:val="00FE7EB0"/>
    <w:rsid w:val="00FF07EB"/>
    <w:rsid w:val="00FF095D"/>
    <w:rsid w:val="00FF0F5C"/>
    <w:rsid w:val="00FF1787"/>
    <w:rsid w:val="00FF3A82"/>
    <w:rsid w:val="00FF45B4"/>
    <w:rsid w:val="00FF6116"/>
    <w:rsid w:val="21CF75EC"/>
    <w:rsid w:val="3CDA6D2D"/>
    <w:rsid w:val="73531AC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901727-9109-4998-A203-5D69CB834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unhideWhenUsed="1" w:qFormat="1"/>
    <w:lsdException w:name="header" w:uiPriority="0" w:unhideWhenUsed="1" w:qFormat="1"/>
    <w:lsdException w:name="footer" w:uiPriority="0"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uiPriority="0" w:qFormat="1"/>
    <w:lsdException w:name="footnote reference" w:uiPriority="0" w:unhideWhenUsed="1" w:qFormat="1"/>
    <w:lsdException w:name="annotation reference"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Times New Roman" w:hAnsi="Arial"/>
      <w:sz w:val="24"/>
      <w:lang w:eastAsia="es-ES"/>
    </w:rPr>
  </w:style>
  <w:style w:type="paragraph" w:styleId="Ttulo1">
    <w:name w:val="heading 1"/>
    <w:basedOn w:val="Normal"/>
    <w:next w:val="Normal"/>
    <w:link w:val="Ttulo1Car"/>
    <w:qFormat/>
    <w:pPr>
      <w:keepNext/>
      <w:jc w:val="both"/>
      <w:outlineLvl w:val="0"/>
    </w:pPr>
    <w:rPr>
      <w:rFonts w:ascii="Arial Narrow" w:hAnsi="Arial Narrow"/>
      <w:b/>
    </w:rPr>
  </w:style>
  <w:style w:type="paragraph" w:styleId="Ttulo2">
    <w:name w:val="heading 2"/>
    <w:basedOn w:val="Normal"/>
    <w:next w:val="Normal"/>
    <w:link w:val="Ttulo2Car"/>
    <w:qFormat/>
    <w:pPr>
      <w:keepNext/>
      <w:outlineLvl w:val="1"/>
    </w:pPr>
    <w:rPr>
      <w:b/>
    </w:rPr>
  </w:style>
  <w:style w:type="paragraph" w:styleId="Ttulo3">
    <w:name w:val="heading 3"/>
    <w:basedOn w:val="Normal"/>
    <w:next w:val="Normal"/>
    <w:link w:val="Ttulo3Car"/>
    <w:qFormat/>
    <w:pPr>
      <w:keepNext/>
      <w:jc w:val="center"/>
      <w:outlineLvl w:val="2"/>
    </w:pPr>
    <w:rPr>
      <w:rFonts w:ascii="Tahoma" w:hAnsi="Tahoma"/>
      <w:b/>
      <w:lang w:val="es-ES"/>
    </w:rPr>
  </w:style>
  <w:style w:type="paragraph" w:styleId="Ttulo4">
    <w:name w:val="heading 4"/>
    <w:basedOn w:val="Normal"/>
    <w:next w:val="Normal"/>
    <w:link w:val="Ttulo4Car"/>
    <w:qFormat/>
    <w:pPr>
      <w:keepNext/>
      <w:jc w:val="both"/>
      <w:outlineLvl w:val="3"/>
    </w:pPr>
    <w:rPr>
      <w:b/>
      <w:bCs/>
      <w:sz w:val="20"/>
    </w:rPr>
  </w:style>
  <w:style w:type="paragraph" w:styleId="Ttulo5">
    <w:name w:val="heading 5"/>
    <w:basedOn w:val="Normal"/>
    <w:next w:val="Normal"/>
    <w:link w:val="Ttulo5Car"/>
    <w:qFormat/>
    <w:pPr>
      <w:keepNext/>
      <w:tabs>
        <w:tab w:val="left" w:pos="1008"/>
      </w:tabs>
      <w:ind w:left="1008" w:hanging="1008"/>
      <w:jc w:val="both"/>
      <w:outlineLvl w:val="4"/>
    </w:pPr>
    <w:rPr>
      <w:rFonts w:ascii="Times New Roman" w:hAnsi="Times New Roman"/>
      <w:b/>
      <w:i/>
    </w:rPr>
  </w:style>
  <w:style w:type="paragraph" w:styleId="Ttulo6">
    <w:name w:val="heading 6"/>
    <w:basedOn w:val="Normal"/>
    <w:next w:val="Normal"/>
    <w:link w:val="Ttulo6Car"/>
    <w:qFormat/>
    <w:pPr>
      <w:keepNext/>
      <w:tabs>
        <w:tab w:val="left" w:pos="1152"/>
      </w:tabs>
      <w:ind w:left="1152" w:hanging="1152"/>
      <w:jc w:val="both"/>
      <w:outlineLvl w:val="5"/>
    </w:pPr>
    <w:rPr>
      <w:b/>
      <w:sz w:val="20"/>
      <w:szCs w:val="24"/>
      <w:lang w:val="es-ES"/>
    </w:rPr>
  </w:style>
  <w:style w:type="paragraph" w:styleId="Ttulo7">
    <w:name w:val="heading 7"/>
    <w:basedOn w:val="Normal"/>
    <w:next w:val="Normal"/>
    <w:link w:val="Ttulo7Car"/>
    <w:qFormat/>
    <w:pPr>
      <w:keepNext/>
      <w:tabs>
        <w:tab w:val="left" w:pos="1296"/>
      </w:tabs>
      <w:ind w:left="1296" w:hanging="1296"/>
      <w:outlineLvl w:val="6"/>
    </w:pPr>
    <w:rPr>
      <w:b/>
      <w:bCs/>
      <w:sz w:val="20"/>
      <w:lang w:val="es-ES"/>
    </w:rPr>
  </w:style>
  <w:style w:type="paragraph" w:styleId="Ttulo8">
    <w:name w:val="heading 8"/>
    <w:basedOn w:val="Normal"/>
    <w:next w:val="Normal"/>
    <w:link w:val="Ttulo8Car"/>
    <w:qFormat/>
    <w:pPr>
      <w:keepNext/>
      <w:tabs>
        <w:tab w:val="left" w:pos="1440"/>
      </w:tabs>
      <w:ind w:left="1440" w:hanging="1440"/>
      <w:outlineLvl w:val="7"/>
    </w:pPr>
    <w:rPr>
      <w:rFonts w:ascii="Arial Narrow" w:hAnsi="Arial Narrow"/>
      <w:b/>
      <w:bCs/>
      <w:sz w:val="20"/>
      <w:szCs w:val="24"/>
    </w:rPr>
  </w:style>
  <w:style w:type="paragraph" w:styleId="Ttulo9">
    <w:name w:val="heading 9"/>
    <w:basedOn w:val="Normal"/>
    <w:next w:val="Normal"/>
    <w:link w:val="Ttulo9Car"/>
    <w:qFormat/>
    <w:pPr>
      <w:keepNext/>
      <w:tabs>
        <w:tab w:val="left" w:pos="1584"/>
      </w:tabs>
      <w:ind w:left="1584" w:hanging="1584"/>
      <w:jc w:val="center"/>
      <w:outlineLvl w:val="8"/>
    </w:pPr>
    <w:rPr>
      <w:rFonts w:ascii="Arial Narrow" w:hAnsi="Arial Narrow"/>
      <w:b/>
      <w:b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Pr>
      <w:rFonts w:ascii="Tahoma" w:eastAsia="Calibri" w:hAnsi="Tahoma"/>
      <w:sz w:val="16"/>
      <w:szCs w:val="16"/>
    </w:rPr>
  </w:style>
  <w:style w:type="paragraph" w:styleId="Textoindependiente">
    <w:name w:val="Body Text"/>
    <w:basedOn w:val="Normal"/>
    <w:link w:val="TextoindependienteCar"/>
    <w:uiPriority w:val="99"/>
    <w:qFormat/>
    <w:pPr>
      <w:jc w:val="both"/>
    </w:pPr>
    <w:rPr>
      <w:rFonts w:ascii="Times New Roman" w:hAnsi="Times New Roman"/>
      <w:lang w:val="es-ES"/>
    </w:rPr>
  </w:style>
  <w:style w:type="paragraph" w:styleId="Textoindependiente2">
    <w:name w:val="Body Text 2"/>
    <w:basedOn w:val="Normal"/>
    <w:link w:val="Textoindependiente2Car"/>
    <w:qFormat/>
    <w:pPr>
      <w:jc w:val="both"/>
    </w:pPr>
    <w:rPr>
      <w:sz w:val="20"/>
    </w:rPr>
  </w:style>
  <w:style w:type="paragraph" w:styleId="Textoindependiente3">
    <w:name w:val="Body Text 3"/>
    <w:basedOn w:val="Normal"/>
    <w:link w:val="Textoindependiente3Car"/>
    <w:qFormat/>
    <w:pPr>
      <w:jc w:val="both"/>
    </w:pPr>
  </w:style>
  <w:style w:type="paragraph" w:styleId="Sangradetextonormal">
    <w:name w:val="Body Text Indent"/>
    <w:basedOn w:val="Normal"/>
    <w:link w:val="SangradetextonormalCar"/>
    <w:qFormat/>
    <w:pPr>
      <w:ind w:left="1418" w:hanging="1418"/>
      <w:jc w:val="both"/>
    </w:pPr>
  </w:style>
  <w:style w:type="paragraph" w:styleId="Descripcin">
    <w:name w:val="caption"/>
    <w:basedOn w:val="Normal"/>
    <w:next w:val="Normal"/>
    <w:uiPriority w:val="35"/>
    <w:unhideWhenUsed/>
    <w:qFormat/>
    <w:pPr>
      <w:spacing w:after="200"/>
    </w:pPr>
    <w:rPr>
      <w:rFonts w:ascii="Calibri" w:hAnsi="Calibri"/>
      <w:b/>
      <w:bCs/>
      <w:color w:val="4F81BD"/>
      <w:sz w:val="18"/>
      <w:szCs w:val="18"/>
      <w:lang w:val="en-US" w:eastAsia="en-US"/>
    </w:rPr>
  </w:style>
  <w:style w:type="character" w:styleId="Refdecomentario">
    <w:name w:val="annotation reference"/>
    <w:uiPriority w:val="99"/>
    <w:unhideWhenUsed/>
    <w:qFormat/>
    <w:rPr>
      <w:sz w:val="16"/>
      <w:szCs w:val="16"/>
    </w:rPr>
  </w:style>
  <w:style w:type="paragraph" w:styleId="Textocomentario">
    <w:name w:val="annotation text"/>
    <w:basedOn w:val="Normal"/>
    <w:link w:val="TextocomentarioCar"/>
    <w:uiPriority w:val="99"/>
    <w:unhideWhenUsed/>
    <w:qFormat/>
    <w:rPr>
      <w:rFonts w:ascii="Times New Roman" w:hAnsi="Times New Roman"/>
      <w:sz w:val="20"/>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Mapadeldocumento">
    <w:name w:val="Document Map"/>
    <w:basedOn w:val="Normal"/>
    <w:link w:val="MapadeldocumentoCar"/>
    <w:uiPriority w:val="99"/>
    <w:semiHidden/>
    <w:unhideWhenUsed/>
    <w:qFormat/>
    <w:rPr>
      <w:rFonts w:ascii="Tahoma" w:hAnsi="Tahoma"/>
      <w:sz w:val="16"/>
      <w:szCs w:val="16"/>
      <w:lang w:val="en-US"/>
    </w:rPr>
  </w:style>
  <w:style w:type="character" w:styleId="Refdenotaalfinal">
    <w:name w:val="endnote reference"/>
    <w:autoRedefine/>
    <w:uiPriority w:val="99"/>
    <w:semiHidden/>
    <w:unhideWhenUsed/>
    <w:qFormat/>
    <w:rPr>
      <w:vertAlign w:val="superscript"/>
    </w:rPr>
  </w:style>
  <w:style w:type="paragraph" w:styleId="Textonotaalfinal">
    <w:name w:val="endnote text"/>
    <w:basedOn w:val="Normal"/>
    <w:link w:val="TextonotaalfinalCar"/>
    <w:autoRedefine/>
    <w:uiPriority w:val="99"/>
    <w:semiHidden/>
    <w:unhideWhenUsed/>
    <w:qFormat/>
    <w:rPr>
      <w:rFonts w:ascii="Times New Roman" w:hAnsi="Times New Roman"/>
      <w:sz w:val="20"/>
    </w:rPr>
  </w:style>
  <w:style w:type="paragraph" w:styleId="Remitedesobre">
    <w:name w:val="envelope return"/>
    <w:basedOn w:val="Normal"/>
    <w:autoRedefine/>
    <w:qFormat/>
  </w:style>
  <w:style w:type="paragraph" w:styleId="Piedepgina">
    <w:name w:val="footer"/>
    <w:basedOn w:val="Normal"/>
    <w:link w:val="PiedepginaCar"/>
    <w:autoRedefine/>
    <w:unhideWhenUsed/>
    <w:qFormat/>
    <w:pPr>
      <w:tabs>
        <w:tab w:val="center" w:pos="4419"/>
        <w:tab w:val="right" w:pos="8838"/>
      </w:tabs>
    </w:pPr>
  </w:style>
  <w:style w:type="character" w:styleId="Refdenotaalpie">
    <w:name w:val="footnote reference"/>
    <w:autoRedefine/>
    <w:unhideWhenUsed/>
    <w:qFormat/>
    <w:rPr>
      <w:vertAlign w:val="superscript"/>
    </w:rPr>
  </w:style>
  <w:style w:type="paragraph" w:styleId="Textonotapie">
    <w:name w:val="footnote text"/>
    <w:basedOn w:val="Normal"/>
    <w:link w:val="TextonotapieCar1"/>
    <w:autoRedefine/>
    <w:qFormat/>
    <w:rPr>
      <w:rFonts w:ascii="Times New Roman" w:hAnsi="Times New Roman"/>
      <w:sz w:val="20"/>
    </w:rPr>
  </w:style>
  <w:style w:type="paragraph" w:styleId="Encabezado">
    <w:name w:val="header"/>
    <w:basedOn w:val="Normal"/>
    <w:link w:val="EncabezadoCar"/>
    <w:unhideWhenUsed/>
    <w:qFormat/>
    <w:pPr>
      <w:tabs>
        <w:tab w:val="center" w:pos="4419"/>
        <w:tab w:val="right" w:pos="8838"/>
      </w:tabs>
    </w:pPr>
  </w:style>
  <w:style w:type="character" w:styleId="Hipervnculo">
    <w:name w:val="Hyperlink"/>
    <w:autoRedefine/>
    <w:uiPriority w:val="99"/>
    <w:unhideWhenUsed/>
    <w:qFormat/>
    <w:rPr>
      <w:color w:val="0000FF"/>
      <w:u w:val="single"/>
    </w:rPr>
  </w:style>
  <w:style w:type="paragraph" w:styleId="Lista">
    <w:name w:val="List"/>
    <w:basedOn w:val="Normal"/>
    <w:autoRedefine/>
    <w:uiPriority w:val="99"/>
    <w:semiHidden/>
    <w:unhideWhenUsed/>
    <w:qFormat/>
    <w:pPr>
      <w:spacing w:after="200" w:line="276" w:lineRule="auto"/>
      <w:ind w:left="283" w:hanging="283"/>
      <w:contextualSpacing/>
    </w:pPr>
    <w:rPr>
      <w:rFonts w:ascii="Calibri" w:hAnsi="Calibri"/>
      <w:sz w:val="22"/>
      <w:szCs w:val="22"/>
      <w:lang w:val="en-US" w:eastAsia="en-US"/>
    </w:rPr>
  </w:style>
  <w:style w:type="paragraph" w:styleId="Listaconvietas">
    <w:name w:val="List Bullet"/>
    <w:basedOn w:val="Normal"/>
    <w:qFormat/>
    <w:pPr>
      <w:numPr>
        <w:numId w:val="1"/>
      </w:numPr>
      <w:contextualSpacing/>
    </w:pPr>
  </w:style>
  <w:style w:type="paragraph" w:styleId="Continuarlista">
    <w:name w:val="List Continue"/>
    <w:basedOn w:val="Normal"/>
    <w:uiPriority w:val="99"/>
    <w:qFormat/>
    <w:pPr>
      <w:spacing w:after="120"/>
      <w:ind w:left="283"/>
      <w:contextualSpacing/>
    </w:pPr>
    <w:rPr>
      <w:rFonts w:ascii="Tahoma" w:hAnsi="Tahoma"/>
      <w:szCs w:val="24"/>
      <w:lang w:val="es-ES"/>
    </w:rPr>
  </w:style>
  <w:style w:type="paragraph" w:styleId="Listaconnmeros2">
    <w:name w:val="List Number 2"/>
    <w:basedOn w:val="Normal"/>
    <w:autoRedefine/>
    <w:qFormat/>
    <w:pPr>
      <w:numPr>
        <w:numId w:val="2"/>
      </w:numPr>
      <w:tabs>
        <w:tab w:val="clear" w:pos="643"/>
      </w:tabs>
      <w:ind w:left="0" w:firstLine="0"/>
    </w:pPr>
    <w:rPr>
      <w:rFonts w:ascii="Times New Roman" w:hAnsi="Times New Roman"/>
      <w:szCs w:val="24"/>
      <w:lang w:val="es-ES"/>
    </w:rPr>
  </w:style>
  <w:style w:type="paragraph" w:styleId="NormalWeb">
    <w:name w:val="Normal (Web)"/>
    <w:basedOn w:val="Normal"/>
    <w:autoRedefine/>
    <w:uiPriority w:val="99"/>
    <w:unhideWhenUsed/>
    <w:qFormat/>
    <w:pPr>
      <w:spacing w:before="100" w:beforeAutospacing="1" w:after="100" w:afterAutospacing="1"/>
    </w:pPr>
    <w:rPr>
      <w:rFonts w:ascii="Times New Roman" w:hAnsi="Times New Roman"/>
      <w:color w:val="663300"/>
      <w:szCs w:val="24"/>
      <w:lang w:val="es-ES"/>
    </w:rPr>
  </w:style>
  <w:style w:type="character" w:styleId="Nmerodepgina">
    <w:name w:val="page number"/>
    <w:basedOn w:val="Fuentedeprrafopredeter"/>
    <w:autoRedefine/>
    <w:qFormat/>
  </w:style>
  <w:style w:type="paragraph" w:styleId="Textosinformato">
    <w:name w:val="Plain Text"/>
    <w:basedOn w:val="Normal"/>
    <w:link w:val="TextosinformatoCar"/>
    <w:autoRedefine/>
    <w:uiPriority w:val="99"/>
    <w:semiHidden/>
    <w:unhideWhenUsed/>
    <w:qFormat/>
    <w:rPr>
      <w:rFonts w:ascii="Consolas" w:eastAsia="Calibri" w:hAnsi="Consolas"/>
      <w:sz w:val="21"/>
      <w:szCs w:val="21"/>
    </w:rPr>
  </w:style>
  <w:style w:type="character" w:styleId="Textoennegrita">
    <w:name w:val="Strong"/>
    <w:basedOn w:val="Fuentedeprrafopredeter"/>
    <w:uiPriority w:val="22"/>
    <w:qFormat/>
    <w:rPr>
      <w:b/>
      <w:bCs/>
    </w:rPr>
  </w:style>
  <w:style w:type="paragraph" w:styleId="Subttulo">
    <w:name w:val="Subtitle"/>
    <w:basedOn w:val="Normal"/>
    <w:next w:val="Normal"/>
    <w:link w:val="SubttuloCar"/>
    <w:autoRedefine/>
    <w:uiPriority w:val="11"/>
    <w:qFormat/>
    <w:pPr>
      <w:spacing w:after="160"/>
    </w:pPr>
    <w:rPr>
      <w:rFonts w:asciiTheme="minorHAnsi" w:eastAsiaTheme="minorEastAsia" w:hAnsiTheme="minorHAnsi" w:cstheme="minorBidi"/>
      <w:color w:val="595959" w:themeColor="text1" w:themeTint="A6"/>
      <w:spacing w:val="15"/>
      <w:sz w:val="22"/>
      <w:szCs w:val="22"/>
    </w:rPr>
  </w:style>
  <w:style w:type="table" w:styleId="Tablaconcuadrcula">
    <w:name w:val="Table Grid"/>
    <w:basedOn w:val="Tablanormal"/>
    <w:autoRedefine/>
    <w:uiPriority w:val="3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Ttulo2Pliego"/>
    <w:link w:val="PuestoCar"/>
    <w:qFormat/>
  </w:style>
  <w:style w:type="paragraph" w:customStyle="1" w:styleId="Ttulo2Pliego">
    <w:name w:val="Título 2 Pliego"/>
    <w:basedOn w:val="Normal"/>
    <w:link w:val="Ttulo2PliegoCar"/>
    <w:autoRedefine/>
    <w:qFormat/>
    <w:pPr>
      <w:widowControl w:val="0"/>
      <w:autoSpaceDE w:val="0"/>
      <w:autoSpaceDN w:val="0"/>
      <w:adjustRightInd w:val="0"/>
      <w:spacing w:before="28" w:line="247" w:lineRule="exact"/>
    </w:pPr>
    <w:rPr>
      <w:rFonts w:ascii="Tahoma" w:hAnsi="Tahoma"/>
      <w:b/>
      <w:bCs/>
      <w:w w:val="102"/>
      <w:position w:val="-1"/>
      <w:sz w:val="21"/>
      <w:szCs w:val="21"/>
    </w:rPr>
  </w:style>
  <w:style w:type="paragraph" w:styleId="TDC1">
    <w:name w:val="toc 1"/>
    <w:basedOn w:val="Normal"/>
    <w:next w:val="Normal"/>
    <w:autoRedefine/>
    <w:uiPriority w:val="39"/>
    <w:unhideWhenUsed/>
    <w:qFormat/>
    <w:pPr>
      <w:tabs>
        <w:tab w:val="left" w:pos="660"/>
        <w:tab w:val="right" w:leader="dot" w:pos="8810"/>
      </w:tabs>
      <w:spacing w:after="100" w:line="276" w:lineRule="auto"/>
    </w:pPr>
    <w:rPr>
      <w:rFonts w:ascii="Tahoma" w:hAnsi="Tahoma" w:cs="Tahoma"/>
      <w:spacing w:val="3"/>
      <w:sz w:val="22"/>
      <w:szCs w:val="22"/>
      <w:lang w:eastAsia="es-CO"/>
    </w:rPr>
  </w:style>
  <w:style w:type="paragraph" w:styleId="TDC2">
    <w:name w:val="toc 2"/>
    <w:basedOn w:val="Normal"/>
    <w:next w:val="Normal"/>
    <w:autoRedefine/>
    <w:uiPriority w:val="39"/>
    <w:unhideWhenUsed/>
    <w:qFormat/>
    <w:pPr>
      <w:spacing w:after="100" w:line="276" w:lineRule="auto"/>
      <w:ind w:left="220"/>
      <w:jc w:val="center"/>
    </w:pPr>
    <w:rPr>
      <w:rFonts w:ascii="Tahoma" w:hAnsi="Tahoma" w:cs="Tahoma"/>
      <w:b/>
      <w:spacing w:val="3"/>
      <w:sz w:val="22"/>
      <w:szCs w:val="22"/>
      <w:lang w:eastAsia="es-CO"/>
    </w:rPr>
  </w:style>
  <w:style w:type="paragraph" w:styleId="TDC3">
    <w:name w:val="toc 3"/>
    <w:basedOn w:val="Normal"/>
    <w:next w:val="Normal"/>
    <w:autoRedefine/>
    <w:uiPriority w:val="39"/>
    <w:unhideWhenUsed/>
    <w:qFormat/>
    <w:pPr>
      <w:spacing w:after="100" w:line="276" w:lineRule="auto"/>
      <w:ind w:left="440"/>
    </w:pPr>
    <w:rPr>
      <w:rFonts w:ascii="Calibri" w:hAnsi="Calibri"/>
      <w:sz w:val="22"/>
      <w:szCs w:val="22"/>
      <w:lang w:eastAsia="es-CO"/>
    </w:rPr>
  </w:style>
  <w:style w:type="paragraph" w:styleId="TDC4">
    <w:name w:val="toc 4"/>
    <w:basedOn w:val="Normal"/>
    <w:next w:val="Normal"/>
    <w:uiPriority w:val="39"/>
    <w:unhideWhenUsed/>
    <w:qFormat/>
    <w:pPr>
      <w:spacing w:after="100" w:line="276" w:lineRule="auto"/>
      <w:ind w:left="660"/>
    </w:pPr>
    <w:rPr>
      <w:rFonts w:ascii="Calibri" w:hAnsi="Calibri"/>
      <w:sz w:val="22"/>
      <w:szCs w:val="22"/>
      <w:lang w:eastAsia="es-CO"/>
    </w:rPr>
  </w:style>
  <w:style w:type="paragraph" w:styleId="TDC5">
    <w:name w:val="toc 5"/>
    <w:basedOn w:val="Normal"/>
    <w:next w:val="Normal"/>
    <w:uiPriority w:val="39"/>
    <w:unhideWhenUsed/>
    <w:qFormat/>
    <w:pPr>
      <w:spacing w:after="100" w:line="276" w:lineRule="auto"/>
      <w:ind w:left="880"/>
    </w:pPr>
    <w:rPr>
      <w:rFonts w:ascii="Calibri" w:hAnsi="Calibri"/>
      <w:sz w:val="22"/>
      <w:szCs w:val="22"/>
      <w:lang w:eastAsia="es-CO"/>
    </w:rPr>
  </w:style>
  <w:style w:type="paragraph" w:styleId="TDC6">
    <w:name w:val="toc 6"/>
    <w:basedOn w:val="Normal"/>
    <w:next w:val="Normal"/>
    <w:uiPriority w:val="39"/>
    <w:unhideWhenUsed/>
    <w:qFormat/>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qFormat/>
    <w:pPr>
      <w:spacing w:after="100" w:line="276" w:lineRule="auto"/>
      <w:ind w:left="1320"/>
    </w:pPr>
    <w:rPr>
      <w:rFonts w:ascii="Calibri" w:hAnsi="Calibri"/>
      <w:sz w:val="22"/>
      <w:szCs w:val="22"/>
      <w:lang w:eastAsia="es-CO"/>
    </w:rPr>
  </w:style>
  <w:style w:type="paragraph" w:styleId="TDC8">
    <w:name w:val="toc 8"/>
    <w:basedOn w:val="Normal"/>
    <w:next w:val="Normal"/>
    <w:uiPriority w:val="39"/>
    <w:unhideWhenUsed/>
    <w:qFormat/>
    <w:pPr>
      <w:spacing w:after="100" w:line="276" w:lineRule="auto"/>
      <w:ind w:left="1540"/>
    </w:pPr>
    <w:rPr>
      <w:rFonts w:ascii="Calibri" w:hAnsi="Calibri"/>
      <w:sz w:val="22"/>
      <w:szCs w:val="22"/>
      <w:lang w:eastAsia="es-CO"/>
    </w:rPr>
  </w:style>
  <w:style w:type="paragraph" w:styleId="TDC9">
    <w:name w:val="toc 9"/>
    <w:basedOn w:val="Normal"/>
    <w:next w:val="Normal"/>
    <w:uiPriority w:val="39"/>
    <w:unhideWhenUsed/>
    <w:qFormat/>
    <w:pPr>
      <w:spacing w:after="100" w:line="276" w:lineRule="auto"/>
      <w:ind w:left="1760"/>
    </w:pPr>
    <w:rPr>
      <w:rFonts w:ascii="Calibri" w:hAnsi="Calibri"/>
      <w:sz w:val="22"/>
      <w:szCs w:val="22"/>
      <w:lang w:eastAsia="es-CO"/>
    </w:rPr>
  </w:style>
  <w:style w:type="character" w:customStyle="1" w:styleId="EncabezadoCar">
    <w:name w:val="Encabezado Car"/>
    <w:basedOn w:val="Fuentedeprrafopredeter"/>
    <w:link w:val="Encabezado"/>
    <w:qFormat/>
  </w:style>
  <w:style w:type="character" w:customStyle="1" w:styleId="PiedepginaCar">
    <w:name w:val="Pie de página Car"/>
    <w:basedOn w:val="Fuentedeprrafopredeter"/>
    <w:link w:val="Piedepgina"/>
    <w:qFormat/>
  </w:style>
  <w:style w:type="character" w:customStyle="1" w:styleId="TextodegloboCar">
    <w:name w:val="Texto de globo Car"/>
    <w:link w:val="Textodeglobo"/>
    <w:uiPriority w:val="99"/>
    <w:qFormat/>
    <w:rPr>
      <w:rFonts w:ascii="Tahoma" w:hAnsi="Tahoma" w:cs="Tahoma"/>
      <w:sz w:val="16"/>
      <w:szCs w:val="16"/>
    </w:rPr>
  </w:style>
  <w:style w:type="character" w:customStyle="1" w:styleId="Ttulo1Car">
    <w:name w:val="Título 1 Car"/>
    <w:link w:val="Ttulo1"/>
    <w:qFormat/>
    <w:rPr>
      <w:rFonts w:ascii="Arial Narrow" w:eastAsia="Times New Roman" w:hAnsi="Arial Narrow" w:cs="Times New Roman"/>
      <w:b/>
      <w:sz w:val="24"/>
      <w:szCs w:val="20"/>
      <w:lang w:eastAsia="es-ES"/>
    </w:rPr>
  </w:style>
  <w:style w:type="character" w:customStyle="1" w:styleId="Ttulo2Car">
    <w:name w:val="Título 2 Car"/>
    <w:link w:val="Ttulo2"/>
    <w:qFormat/>
    <w:rPr>
      <w:rFonts w:ascii="Arial" w:eastAsia="Times New Roman" w:hAnsi="Arial" w:cs="Times New Roman"/>
      <w:b/>
      <w:sz w:val="24"/>
      <w:szCs w:val="20"/>
      <w:lang w:eastAsia="es-ES"/>
    </w:rPr>
  </w:style>
  <w:style w:type="character" w:customStyle="1" w:styleId="Ttulo3Car">
    <w:name w:val="Título 3 Car"/>
    <w:link w:val="Ttulo3"/>
    <w:autoRedefine/>
    <w:qFormat/>
    <w:rPr>
      <w:rFonts w:ascii="Tahoma" w:eastAsia="Times New Roman" w:hAnsi="Tahoma" w:cs="Times New Roman"/>
      <w:b/>
      <w:sz w:val="24"/>
      <w:szCs w:val="20"/>
      <w:lang w:val="es-ES" w:eastAsia="es-ES"/>
    </w:rPr>
  </w:style>
  <w:style w:type="character" w:customStyle="1" w:styleId="Ttulo4Car">
    <w:name w:val="Título 4 Car"/>
    <w:link w:val="Ttulo4"/>
    <w:qFormat/>
    <w:rPr>
      <w:rFonts w:ascii="Arial" w:eastAsia="Times New Roman" w:hAnsi="Arial" w:cs="Times New Roman"/>
      <w:b/>
      <w:bCs/>
      <w:szCs w:val="20"/>
      <w:lang w:eastAsia="es-ES"/>
    </w:rPr>
  </w:style>
  <w:style w:type="character" w:customStyle="1" w:styleId="TextoindependienteCar">
    <w:name w:val="Texto independiente Car"/>
    <w:link w:val="Textoindependiente"/>
    <w:uiPriority w:val="99"/>
    <w:qFormat/>
    <w:rPr>
      <w:rFonts w:ascii="Times New Roman" w:eastAsia="Times New Roman" w:hAnsi="Times New Roman" w:cs="Times New Roman"/>
      <w:sz w:val="24"/>
      <w:szCs w:val="20"/>
      <w:lang w:val="es-ES" w:eastAsia="es-ES"/>
    </w:rPr>
  </w:style>
  <w:style w:type="character" w:customStyle="1" w:styleId="SangradetextonormalCar">
    <w:name w:val="Sangría de texto normal Car"/>
    <w:link w:val="Sangradetextonormal"/>
    <w:qFormat/>
    <w:rPr>
      <w:rFonts w:ascii="Arial" w:eastAsia="Times New Roman" w:hAnsi="Arial" w:cs="Times New Roman"/>
      <w:sz w:val="24"/>
      <w:szCs w:val="20"/>
      <w:lang w:eastAsia="es-ES"/>
    </w:rPr>
  </w:style>
  <w:style w:type="character" w:customStyle="1" w:styleId="Textoindependiente2Car">
    <w:name w:val="Texto independiente 2 Car"/>
    <w:link w:val="Textoindependiente2"/>
    <w:qFormat/>
    <w:rPr>
      <w:rFonts w:ascii="Arial" w:eastAsia="Times New Roman" w:hAnsi="Arial" w:cs="Times New Roman"/>
      <w:szCs w:val="20"/>
      <w:lang w:eastAsia="es-ES"/>
    </w:rPr>
  </w:style>
  <w:style w:type="character" w:customStyle="1" w:styleId="Textoindependiente3Car">
    <w:name w:val="Texto independiente 3 Car"/>
    <w:link w:val="Textoindependiente3"/>
    <w:qFormat/>
    <w:rPr>
      <w:rFonts w:ascii="Arial" w:eastAsia="Times New Roman" w:hAnsi="Arial" w:cs="Arial"/>
      <w:sz w:val="24"/>
      <w:szCs w:val="20"/>
      <w:lang w:eastAsia="es-ES"/>
    </w:rPr>
  </w:style>
  <w:style w:type="paragraph" w:styleId="Prrafodelista">
    <w:name w:val="List Paragraph"/>
    <w:basedOn w:val="Normal"/>
    <w:link w:val="PrrafodelistaCar"/>
    <w:uiPriority w:val="34"/>
    <w:qFormat/>
    <w:pPr>
      <w:spacing w:after="200" w:line="276" w:lineRule="auto"/>
      <w:ind w:left="720"/>
      <w:contextualSpacing/>
    </w:pPr>
    <w:rPr>
      <w:rFonts w:ascii="Calibri" w:eastAsia="Calibri" w:hAnsi="Calibri"/>
      <w:sz w:val="22"/>
      <w:szCs w:val="22"/>
      <w:lang w:eastAsia="en-US"/>
    </w:rPr>
  </w:style>
  <w:style w:type="paragraph" w:customStyle="1" w:styleId="BodyText28">
    <w:name w:val="Body Text 28"/>
    <w:basedOn w:val="Normal"/>
    <w:link w:val="BodyText28Car"/>
    <w:qFormat/>
    <w:pPr>
      <w:widowControl w:val="0"/>
      <w:overflowPunct w:val="0"/>
      <w:autoSpaceDE w:val="0"/>
      <w:autoSpaceDN w:val="0"/>
      <w:adjustRightInd w:val="0"/>
      <w:jc w:val="both"/>
    </w:pPr>
    <w:rPr>
      <w:sz w:val="20"/>
    </w:rPr>
  </w:style>
  <w:style w:type="character" w:customStyle="1" w:styleId="BodyText28Car">
    <w:name w:val="Body Text 28 Car"/>
    <w:link w:val="BodyText28"/>
    <w:qFormat/>
    <w:locked/>
    <w:rPr>
      <w:rFonts w:ascii="Arial" w:eastAsia="Times New Roman" w:hAnsi="Arial" w:cs="Times New Roman"/>
      <w:sz w:val="20"/>
      <w:szCs w:val="20"/>
      <w:lang w:eastAsia="es-ES"/>
    </w:rPr>
  </w:style>
  <w:style w:type="character" w:customStyle="1" w:styleId="TextonotapieCar">
    <w:name w:val="Texto nota pie Car"/>
    <w:qFormat/>
    <w:rPr>
      <w:rFonts w:ascii="Arial" w:eastAsia="Times New Roman" w:hAnsi="Arial" w:cs="Times New Roman"/>
      <w:sz w:val="20"/>
      <w:szCs w:val="20"/>
      <w:lang w:eastAsia="es-ES"/>
    </w:rPr>
  </w:style>
  <w:style w:type="character" w:customStyle="1" w:styleId="TextonotapieCar1">
    <w:name w:val="Texto nota pie Car1"/>
    <w:link w:val="Textonotapie"/>
    <w:semiHidden/>
    <w:qFormat/>
    <w:locked/>
    <w:rPr>
      <w:rFonts w:ascii="Times New Roman" w:eastAsia="Times New Roman" w:hAnsi="Times New Roman" w:cs="Times New Roman"/>
      <w:sz w:val="20"/>
      <w:szCs w:val="20"/>
      <w:lang w:eastAsia="es-ES"/>
    </w:rPr>
  </w:style>
  <w:style w:type="character" w:customStyle="1" w:styleId="a9">
    <w:name w:val="a9"/>
    <w:basedOn w:val="Fuentedeprrafopredeter"/>
    <w:qFormat/>
  </w:style>
  <w:style w:type="paragraph" w:customStyle="1" w:styleId="pa39">
    <w:name w:val="pa39"/>
    <w:basedOn w:val="Normal"/>
    <w:qFormat/>
    <w:pPr>
      <w:spacing w:before="100" w:beforeAutospacing="1" w:after="100" w:afterAutospacing="1"/>
    </w:pPr>
    <w:rPr>
      <w:rFonts w:ascii="Times New Roman" w:hAnsi="Times New Roman"/>
      <w:color w:val="663300"/>
      <w:szCs w:val="24"/>
      <w:lang w:val="es-ES"/>
    </w:rPr>
  </w:style>
  <w:style w:type="paragraph" w:customStyle="1" w:styleId="Default">
    <w:name w:val="Default"/>
    <w:qFormat/>
    <w:pPr>
      <w:autoSpaceDE w:val="0"/>
      <w:autoSpaceDN w:val="0"/>
      <w:adjustRightInd w:val="0"/>
    </w:pPr>
    <w:rPr>
      <w:rFonts w:ascii="Arial" w:hAnsi="Arial" w:cs="Arial"/>
      <w:color w:val="000000"/>
      <w:sz w:val="24"/>
      <w:szCs w:val="24"/>
    </w:rPr>
  </w:style>
  <w:style w:type="character" w:customStyle="1" w:styleId="TextocomentarioCar">
    <w:name w:val="Texto comentario Car"/>
    <w:link w:val="Textocomentario"/>
    <w:uiPriority w:val="99"/>
    <w:qFormat/>
    <w:rPr>
      <w:rFonts w:ascii="Times New Roman" w:eastAsia="Times New Roman" w:hAnsi="Times New Roman" w:cs="Times New Roman"/>
      <w:sz w:val="20"/>
      <w:szCs w:val="20"/>
      <w:lang w:eastAsia="es-ES"/>
    </w:rPr>
  </w:style>
  <w:style w:type="character" w:customStyle="1" w:styleId="AsuntodelcomentarioCar">
    <w:name w:val="Asunto del comentario Car"/>
    <w:link w:val="Asuntodelcomentario"/>
    <w:uiPriority w:val="99"/>
    <w:semiHidden/>
    <w:qFormat/>
    <w:rPr>
      <w:rFonts w:ascii="Times New Roman" w:eastAsia="Times New Roman" w:hAnsi="Times New Roman" w:cs="Times New Roman"/>
      <w:b/>
      <w:bCs/>
      <w:sz w:val="20"/>
      <w:szCs w:val="20"/>
      <w:lang w:eastAsia="es-ES"/>
    </w:rPr>
  </w:style>
  <w:style w:type="paragraph" w:styleId="Sinespaciado">
    <w:name w:val="No Spacing"/>
    <w:uiPriority w:val="1"/>
    <w:qFormat/>
    <w:rPr>
      <w:rFonts w:ascii="Times New Roman" w:eastAsia="Times New Roman" w:hAnsi="Times New Roman"/>
      <w:sz w:val="24"/>
      <w:szCs w:val="24"/>
      <w:lang w:eastAsia="es-ES"/>
    </w:rPr>
  </w:style>
  <w:style w:type="paragraph" w:customStyle="1" w:styleId="BodyText23">
    <w:name w:val="Body Text 23"/>
    <w:basedOn w:val="Normal"/>
    <w:qFormat/>
    <w:pPr>
      <w:widowControl w:val="0"/>
      <w:jc w:val="both"/>
    </w:pPr>
    <w:rPr>
      <w:b/>
      <w:lang w:val="es-ES"/>
    </w:rPr>
  </w:style>
  <w:style w:type="character" w:customStyle="1" w:styleId="TextonotaalfinalCar">
    <w:name w:val="Texto nota al final Car"/>
    <w:link w:val="Textonotaalfinal"/>
    <w:uiPriority w:val="99"/>
    <w:semiHidden/>
    <w:qFormat/>
    <w:rPr>
      <w:rFonts w:ascii="Times New Roman" w:eastAsia="Times New Roman" w:hAnsi="Times New Roman" w:cs="Times New Roman"/>
      <w:sz w:val="20"/>
      <w:szCs w:val="20"/>
      <w:lang w:eastAsia="es-ES"/>
    </w:rPr>
  </w:style>
  <w:style w:type="character" w:customStyle="1" w:styleId="Ttulo5Car">
    <w:name w:val="Título 5 Car"/>
    <w:link w:val="Ttulo5"/>
    <w:qFormat/>
    <w:rPr>
      <w:rFonts w:ascii="Times New Roman" w:eastAsia="Times New Roman" w:hAnsi="Times New Roman" w:cs="Times New Roman"/>
      <w:b/>
      <w:i/>
      <w:sz w:val="24"/>
      <w:szCs w:val="20"/>
      <w:lang w:eastAsia="es-ES"/>
    </w:rPr>
  </w:style>
  <w:style w:type="character" w:customStyle="1" w:styleId="Ttulo6Car">
    <w:name w:val="Título 6 Car"/>
    <w:link w:val="Ttulo6"/>
    <w:qFormat/>
    <w:rPr>
      <w:rFonts w:ascii="Arial" w:eastAsia="Times New Roman" w:hAnsi="Arial" w:cs="Times New Roman"/>
      <w:b/>
      <w:szCs w:val="24"/>
      <w:lang w:val="es-ES" w:eastAsia="es-ES"/>
    </w:rPr>
  </w:style>
  <w:style w:type="character" w:customStyle="1" w:styleId="Ttulo7Car">
    <w:name w:val="Título 7 Car"/>
    <w:link w:val="Ttulo7"/>
    <w:qFormat/>
    <w:rPr>
      <w:rFonts w:ascii="Arial" w:eastAsia="Times New Roman" w:hAnsi="Arial" w:cs="Times New Roman"/>
      <w:b/>
      <w:bCs/>
      <w:sz w:val="20"/>
      <w:szCs w:val="20"/>
      <w:lang w:val="es-ES" w:eastAsia="es-ES"/>
    </w:rPr>
  </w:style>
  <w:style w:type="character" w:customStyle="1" w:styleId="Ttulo8Car">
    <w:name w:val="Título 8 Car"/>
    <w:link w:val="Ttulo8"/>
    <w:qFormat/>
    <w:rPr>
      <w:rFonts w:ascii="Arial Narrow" w:eastAsia="Times New Roman" w:hAnsi="Arial Narrow" w:cs="Times New Roman"/>
      <w:b/>
      <w:bCs/>
      <w:szCs w:val="24"/>
      <w:lang w:eastAsia="es-ES"/>
    </w:rPr>
  </w:style>
  <w:style w:type="character" w:customStyle="1" w:styleId="Ttulo9Car">
    <w:name w:val="Título 9 Car"/>
    <w:link w:val="Ttulo9"/>
    <w:qFormat/>
    <w:rPr>
      <w:rFonts w:ascii="Arial Narrow" w:eastAsia="Times New Roman" w:hAnsi="Arial Narrow" w:cs="Times New Roman"/>
      <w:b/>
      <w:bCs/>
      <w:szCs w:val="24"/>
      <w:lang w:eastAsia="es-ES"/>
    </w:rPr>
  </w:style>
  <w:style w:type="paragraph" w:customStyle="1" w:styleId="bodytext3">
    <w:name w:val="bodytext3"/>
    <w:basedOn w:val="Normal"/>
    <w:qFormat/>
    <w:pPr>
      <w:ind w:right="51"/>
      <w:jc w:val="both"/>
    </w:pPr>
    <w:rPr>
      <w:rFonts w:ascii="Times New Roman" w:hAnsi="Times New Roman"/>
      <w:szCs w:val="24"/>
      <w:lang w:val="es-ES"/>
    </w:rPr>
  </w:style>
  <w:style w:type="character" w:customStyle="1" w:styleId="PuestoCar">
    <w:name w:val="Puesto Car"/>
    <w:link w:val="Puesto"/>
    <w:qFormat/>
    <w:rPr>
      <w:rFonts w:ascii="Tahoma" w:eastAsia="Times New Roman" w:hAnsi="Tahoma" w:cs="Tahoma"/>
      <w:b/>
      <w:bCs/>
      <w:w w:val="102"/>
      <w:position w:val="-1"/>
      <w:sz w:val="21"/>
      <w:szCs w:val="21"/>
    </w:rPr>
  </w:style>
  <w:style w:type="paragraph" w:customStyle="1" w:styleId="TtulodeTDC1">
    <w:name w:val="Título de TDC1"/>
    <w:basedOn w:val="Ttulo1"/>
    <w:next w:val="Normal"/>
    <w:uiPriority w:val="39"/>
    <w:unhideWhenUsed/>
    <w:qFormat/>
    <w:pPr>
      <w:keepLines/>
      <w:spacing w:before="480" w:line="276" w:lineRule="auto"/>
      <w:jc w:val="left"/>
      <w:outlineLvl w:val="9"/>
    </w:pPr>
    <w:rPr>
      <w:rFonts w:ascii="Cambria" w:hAnsi="Cambria"/>
      <w:bCs/>
      <w:color w:val="365F91"/>
      <w:sz w:val="28"/>
      <w:szCs w:val="28"/>
      <w:lang w:eastAsia="es-CO"/>
    </w:rPr>
  </w:style>
  <w:style w:type="paragraph" w:customStyle="1" w:styleId="staE">
    <w:name w:val="staáE"/>
    <w:basedOn w:val="Normal"/>
    <w:qFormat/>
    <w:pPr>
      <w:jc w:val="both"/>
    </w:pPr>
    <w:rPr>
      <w:rFonts w:ascii="Century Gothic" w:hAnsi="Century Gothic"/>
      <w:sz w:val="22"/>
      <w:lang w:eastAsia="en-US"/>
    </w:rPr>
  </w:style>
  <w:style w:type="character" w:customStyle="1" w:styleId="Ttulo2PliegoCar">
    <w:name w:val="Título 2 Pliego Car"/>
    <w:link w:val="Ttulo2Pliego"/>
    <w:qFormat/>
    <w:rPr>
      <w:rFonts w:ascii="Tahoma" w:eastAsia="Times New Roman" w:hAnsi="Tahoma" w:cs="Tahoma"/>
      <w:b/>
      <w:bCs/>
      <w:w w:val="102"/>
      <w:position w:val="-1"/>
      <w:sz w:val="21"/>
      <w:szCs w:val="21"/>
    </w:rPr>
  </w:style>
  <w:style w:type="paragraph" w:customStyle="1" w:styleId="Norm">
    <w:name w:val="Norm"/>
    <w:basedOn w:val="Normal"/>
    <w:autoRedefine/>
    <w:qFormat/>
    <w:pPr>
      <w:widowControl w:val="0"/>
      <w:tabs>
        <w:tab w:val="left" w:pos="960"/>
        <w:tab w:val="right" w:leader="underscore" w:pos="8840"/>
      </w:tabs>
      <w:ind w:left="482"/>
      <w:jc w:val="both"/>
    </w:pPr>
    <w:rPr>
      <w:i/>
      <w:sz w:val="22"/>
      <w:lang w:eastAsia="en-US"/>
    </w:rPr>
  </w:style>
  <w:style w:type="character" w:customStyle="1" w:styleId="MapadeldocumentoCar">
    <w:name w:val="Mapa del documento Car"/>
    <w:link w:val="Mapadeldocumento"/>
    <w:autoRedefine/>
    <w:uiPriority w:val="99"/>
    <w:semiHidden/>
    <w:qFormat/>
    <w:rPr>
      <w:rFonts w:ascii="Tahoma" w:eastAsia="Times New Roman" w:hAnsi="Tahoma" w:cs="Tahoma"/>
      <w:sz w:val="16"/>
      <w:szCs w:val="16"/>
      <w:lang w:val="en-US"/>
    </w:rPr>
  </w:style>
  <w:style w:type="paragraph" w:customStyle="1" w:styleId="Textoindependiente31">
    <w:name w:val="Texto independiente 31"/>
    <w:basedOn w:val="Normal"/>
    <w:autoRedefine/>
    <w:qFormat/>
    <w:pPr>
      <w:tabs>
        <w:tab w:val="left" w:pos="0"/>
      </w:tabs>
      <w:suppressAutoHyphens/>
      <w:jc w:val="both"/>
    </w:pPr>
    <w:rPr>
      <w:lang w:val="es-ES"/>
    </w:rPr>
  </w:style>
  <w:style w:type="paragraph" w:customStyle="1" w:styleId="CM57">
    <w:name w:val="CM57"/>
    <w:basedOn w:val="Default"/>
    <w:next w:val="Default"/>
    <w:uiPriority w:val="99"/>
    <w:qFormat/>
    <w:rPr>
      <w:rFonts w:eastAsia="Times New Roman"/>
      <w:color w:val="auto"/>
    </w:rPr>
  </w:style>
  <w:style w:type="paragraph" w:customStyle="1" w:styleId="CM71">
    <w:name w:val="CM71"/>
    <w:basedOn w:val="Default"/>
    <w:next w:val="Default"/>
    <w:autoRedefine/>
    <w:uiPriority w:val="99"/>
    <w:qFormat/>
    <w:rPr>
      <w:rFonts w:eastAsia="Times New Roman"/>
      <w:color w:val="auto"/>
    </w:rPr>
  </w:style>
  <w:style w:type="paragraph" w:customStyle="1" w:styleId="Standard">
    <w:name w:val="Standard"/>
    <w:qFormat/>
    <w:pPr>
      <w:suppressAutoHyphens/>
      <w:autoSpaceDN w:val="0"/>
    </w:pPr>
    <w:rPr>
      <w:rFonts w:ascii="Verdana" w:eastAsia="Times New Roman" w:hAnsi="Verdana" w:cs="Verdana"/>
      <w:kern w:val="3"/>
      <w:sz w:val="22"/>
      <w:szCs w:val="22"/>
      <w:lang w:val="es-ES"/>
    </w:rPr>
  </w:style>
  <w:style w:type="table" w:customStyle="1" w:styleId="Tablaconcuadrcula1">
    <w:name w:val="Tabla con cuadrícula1"/>
    <w:basedOn w:val="Tablanormal"/>
    <w:autoRedefine/>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autoRedefine/>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autoRedefine/>
    <w:qFormat/>
    <w:pPr>
      <w:spacing w:before="100" w:beforeAutospacing="1" w:after="100" w:afterAutospacing="1"/>
    </w:pPr>
    <w:rPr>
      <w:rFonts w:ascii="Times New Roman" w:hAnsi="Times New Roman"/>
      <w:szCs w:val="24"/>
      <w:lang w:eastAsia="es-CO"/>
    </w:rPr>
  </w:style>
  <w:style w:type="paragraph" w:customStyle="1" w:styleId="yiv112912666msonormal">
    <w:name w:val="yiv112912666msonormal"/>
    <w:basedOn w:val="Normal"/>
    <w:qFormat/>
    <w:pPr>
      <w:spacing w:before="100" w:beforeAutospacing="1" w:after="100" w:afterAutospacing="1"/>
    </w:pPr>
    <w:rPr>
      <w:rFonts w:ascii="Times New Roman" w:eastAsia="Calibri" w:hAnsi="Times New Roman"/>
      <w:szCs w:val="24"/>
      <w:lang w:val="es-ES"/>
    </w:rPr>
  </w:style>
  <w:style w:type="paragraph" w:customStyle="1" w:styleId="Textoindependiente32">
    <w:name w:val="Texto independiente 32"/>
    <w:basedOn w:val="Normal"/>
    <w:qFormat/>
    <w:pPr>
      <w:tabs>
        <w:tab w:val="left" w:pos="-720"/>
      </w:tabs>
      <w:suppressAutoHyphens/>
      <w:jc w:val="center"/>
    </w:pPr>
    <w:rPr>
      <w:b/>
      <w:sz w:val="20"/>
    </w:rPr>
  </w:style>
  <w:style w:type="character" w:customStyle="1" w:styleId="A90">
    <w:name w:val="A9"/>
    <w:qFormat/>
    <w:rPr>
      <w:color w:val="211D1E"/>
      <w:sz w:val="19"/>
      <w:szCs w:val="19"/>
    </w:rPr>
  </w:style>
  <w:style w:type="paragraph" w:customStyle="1" w:styleId="CM46">
    <w:name w:val="CM46"/>
    <w:basedOn w:val="Default"/>
    <w:next w:val="Default"/>
    <w:autoRedefine/>
    <w:uiPriority w:val="99"/>
    <w:qFormat/>
    <w:rPr>
      <w:rFonts w:eastAsia="Times New Roman"/>
      <w:color w:val="auto"/>
      <w:lang w:eastAsia="es-ES"/>
    </w:rPr>
  </w:style>
  <w:style w:type="table" w:customStyle="1" w:styleId="Tablaconcuadrcula2">
    <w:name w:val="Tabla con cuadrícula2"/>
    <w:basedOn w:val="Tablanormal"/>
    <w:autoRedefine/>
    <w:qFormat/>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qFormat/>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autoRedefine/>
    <w:qFormat/>
    <w:pPr>
      <w:spacing w:before="230" w:after="230" w:line="216" w:lineRule="atLeast"/>
      <w:ind w:left="230" w:right="230"/>
    </w:pPr>
    <w:rPr>
      <w:rFonts w:ascii="Verdana" w:hAnsi="Verdana"/>
      <w:color w:val="000000"/>
      <w:sz w:val="18"/>
      <w:szCs w:val="18"/>
      <w:lang w:val="es-AR" w:eastAsia="es-AR"/>
    </w:rPr>
  </w:style>
  <w:style w:type="paragraph" w:customStyle="1" w:styleId="CM7">
    <w:name w:val="CM7"/>
    <w:basedOn w:val="Default"/>
    <w:next w:val="Default"/>
    <w:uiPriority w:val="99"/>
    <w:qFormat/>
    <w:pPr>
      <w:spacing w:line="273" w:lineRule="atLeast"/>
    </w:pPr>
    <w:rPr>
      <w:color w:val="auto"/>
    </w:rPr>
  </w:style>
  <w:style w:type="paragraph" w:customStyle="1" w:styleId="CM42">
    <w:name w:val="CM42"/>
    <w:basedOn w:val="Default"/>
    <w:next w:val="Default"/>
    <w:uiPriority w:val="99"/>
    <w:qFormat/>
    <w:rPr>
      <w:color w:val="auto"/>
    </w:rPr>
  </w:style>
  <w:style w:type="paragraph" w:customStyle="1" w:styleId="CM49">
    <w:name w:val="CM49"/>
    <w:basedOn w:val="Default"/>
    <w:next w:val="Default"/>
    <w:uiPriority w:val="99"/>
    <w:qFormat/>
    <w:rPr>
      <w:color w:val="auto"/>
    </w:rPr>
  </w:style>
  <w:style w:type="paragraph" w:customStyle="1" w:styleId="CM41">
    <w:name w:val="CM41"/>
    <w:basedOn w:val="Default"/>
    <w:next w:val="Default"/>
    <w:uiPriority w:val="99"/>
    <w:qFormat/>
    <w:rPr>
      <w:color w:val="auto"/>
    </w:rPr>
  </w:style>
  <w:style w:type="paragraph" w:customStyle="1" w:styleId="CM47">
    <w:name w:val="CM47"/>
    <w:basedOn w:val="Default"/>
    <w:next w:val="Default"/>
    <w:uiPriority w:val="99"/>
    <w:qFormat/>
    <w:rPr>
      <w:color w:val="auto"/>
    </w:rPr>
  </w:style>
  <w:style w:type="character" w:customStyle="1" w:styleId="PrrafodelistaCar">
    <w:name w:val="Párrafo de lista Car"/>
    <w:link w:val="Prrafodelista"/>
    <w:uiPriority w:val="34"/>
    <w:qFormat/>
    <w:locked/>
    <w:rPr>
      <w:sz w:val="22"/>
      <w:szCs w:val="22"/>
      <w:lang w:eastAsia="en-US"/>
    </w:rPr>
  </w:style>
  <w:style w:type="character" w:customStyle="1" w:styleId="TextosinformatoCar">
    <w:name w:val="Texto sin formato Car"/>
    <w:link w:val="Textosinformato"/>
    <w:uiPriority w:val="99"/>
    <w:semiHidden/>
    <w:qFormat/>
    <w:rPr>
      <w:rFonts w:ascii="Consolas" w:hAnsi="Consolas" w:cs="Consolas"/>
      <w:sz w:val="21"/>
      <w:szCs w:val="21"/>
    </w:rPr>
  </w:style>
  <w:style w:type="paragraph" w:customStyle="1" w:styleId="western">
    <w:name w:val="western"/>
    <w:basedOn w:val="Normal"/>
    <w:qFormat/>
    <w:pPr>
      <w:spacing w:before="100" w:beforeAutospacing="1" w:after="100" w:afterAutospacing="1"/>
    </w:pPr>
    <w:rPr>
      <w:rFonts w:ascii="Times New Roman" w:hAnsi="Times New Roman"/>
      <w:szCs w:val="24"/>
      <w:lang w:eastAsia="es-CO"/>
    </w:rPr>
  </w:style>
  <w:style w:type="character" w:styleId="Textodelmarcadordeposicin">
    <w:name w:val="Placeholder Text"/>
    <w:basedOn w:val="Fuentedeprrafopredeter"/>
    <w:uiPriority w:val="99"/>
    <w:semiHidden/>
    <w:qFormat/>
    <w:rPr>
      <w:color w:val="808080"/>
    </w:rPr>
  </w:style>
  <w:style w:type="paragraph" w:customStyle="1" w:styleId="default0">
    <w:name w:val="default"/>
    <w:basedOn w:val="Normal"/>
    <w:qFormat/>
    <w:pPr>
      <w:autoSpaceDE w:val="0"/>
      <w:autoSpaceDN w:val="0"/>
    </w:pPr>
    <w:rPr>
      <w:rFonts w:ascii="Calibri" w:eastAsia="Calibri" w:hAnsi="Calibri"/>
      <w:color w:val="000000"/>
      <w:szCs w:val="24"/>
      <w:lang w:eastAsia="es-CO"/>
    </w:rPr>
  </w:style>
  <w:style w:type="paragraph" w:customStyle="1" w:styleId="Revisin1">
    <w:name w:val="Revisión1"/>
    <w:hidden/>
    <w:uiPriority w:val="99"/>
    <w:semiHidden/>
    <w:qFormat/>
    <w:rPr>
      <w:rFonts w:ascii="Arial" w:eastAsia="Times New Roman" w:hAnsi="Arial"/>
      <w:sz w:val="24"/>
      <w:lang w:eastAsia="es-ES"/>
    </w:rPr>
  </w:style>
  <w:style w:type="character" w:customStyle="1" w:styleId="nfasissutil1">
    <w:name w:val="Énfasis sutil1"/>
    <w:basedOn w:val="Fuentedeprrafopredeter"/>
    <w:uiPriority w:val="19"/>
    <w:qFormat/>
    <w:rPr>
      <w:i/>
      <w:iCs/>
      <w:color w:val="404040" w:themeColor="text1" w:themeTint="BF"/>
    </w:rPr>
  </w:style>
  <w:style w:type="character" w:customStyle="1" w:styleId="SubttuloCar">
    <w:name w:val="Subtítulo Car"/>
    <w:basedOn w:val="Fuentedeprrafopredeter"/>
    <w:link w:val="Subttulo"/>
    <w:uiPriority w:val="11"/>
    <w:qFormat/>
    <w:rPr>
      <w:rFonts w:asciiTheme="minorHAnsi" w:eastAsiaTheme="minorEastAsia" w:hAnsiTheme="minorHAnsi" w:cstheme="minorBidi"/>
      <w:color w:val="595959" w:themeColor="text1" w:themeTint="A6"/>
      <w:spacing w:val="15"/>
      <w:sz w:val="22"/>
      <w:szCs w:val="22"/>
      <w:lang w:eastAsia="es-ES"/>
    </w:rPr>
  </w:style>
  <w:style w:type="character" w:customStyle="1" w:styleId="ui-provider">
    <w:name w:val="ui-provider"/>
    <w:basedOn w:val="Fuentedeprrafopredeter"/>
    <w:qFormat/>
  </w:style>
  <w:style w:type="character" w:customStyle="1" w:styleId="nfasissutil11">
    <w:name w:val="Énfasis sutil11"/>
    <w:basedOn w:val="Fuentedeprrafopredeter"/>
    <w:uiPriority w:val="19"/>
    <w:qFormat/>
    <w:rPr>
      <w:i/>
      <w:iCs/>
      <w:color w:val="404040" w:themeColor="text1" w:themeTint="BF"/>
    </w:rPr>
  </w:style>
  <w:style w:type="paragraph" w:customStyle="1" w:styleId="Textoindependiente21">
    <w:name w:val="Texto independiente 21"/>
    <w:basedOn w:val="Normal"/>
    <w:pPr>
      <w:jc w:val="both"/>
    </w:pPr>
    <w:rPr>
      <w:sz w:val="22"/>
    </w:rPr>
  </w:style>
  <w:style w:type="paragraph" w:customStyle="1" w:styleId="Listavistosa-nfasis11">
    <w:name w:val="Lista vistosa - Énfasis 11"/>
    <w:basedOn w:val="Normal"/>
    <w:link w:val="Listavistosa-nfasis1Car"/>
    <w:uiPriority w:val="34"/>
    <w:qFormat/>
    <w:pPr>
      <w:spacing w:after="200" w:line="276" w:lineRule="auto"/>
      <w:ind w:left="720"/>
      <w:contextualSpacing/>
    </w:pPr>
    <w:rPr>
      <w:rFonts w:ascii="Calibri" w:eastAsia="Calibri" w:hAnsi="Calibri"/>
      <w:sz w:val="22"/>
      <w:szCs w:val="22"/>
      <w:lang w:eastAsia="en-US"/>
    </w:rPr>
  </w:style>
  <w:style w:type="character" w:customStyle="1" w:styleId="Listavistosa-nfasis1Car">
    <w:name w:val="Lista vistosa - Énfasis 1 Car"/>
    <w:link w:val="Listavistosa-nfasis11"/>
    <w:uiPriority w:val="34"/>
    <w:qFormat/>
    <w:locke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community.secop.gov.co/Public/Tendering/OpportunityDetail/Index?noticeUID=CO1.NTC.4331381&amp;isFromPublicArea=True&amp;isModal=Fals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6CED6-D53F-4BA5-B82B-6E3F4ECBC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30</Pages>
  <Words>6029</Words>
  <Characters>33165</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Fiscalia General de la Nacion</Company>
  <LinksUpToDate>false</LinksUpToDate>
  <CharactersWithSpaces>39116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Alonso Calderon</dc:creator>
  <cp:lastModifiedBy>Sebastian Camilo Calderon Carvajal</cp:lastModifiedBy>
  <cp:revision>7</cp:revision>
  <cp:lastPrinted>2020-12-17T01:52:00Z</cp:lastPrinted>
  <dcterms:created xsi:type="dcterms:W3CDTF">2024-06-20T20:18:00Z</dcterms:created>
  <dcterms:modified xsi:type="dcterms:W3CDTF">2024-06-26T19:39:00Z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3C02D799D02F4A709835B0E478D2250B_13</vt:lpwstr>
  </property>
</Properties>
</file>