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71CD72AE" w:rsidR="00DC179A" w:rsidRPr="002F66D1" w:rsidRDefault="00DC179A" w:rsidP="00DC179A">
      <w:pPr>
        <w:jc w:val="both"/>
        <w:rPr>
          <w:rFonts w:eastAsia="Arial"/>
          <w:lang w:val="es-CO"/>
        </w:rPr>
      </w:pPr>
      <w:r w:rsidRPr="002F66D1">
        <w:rPr>
          <w:rFonts w:eastAsia="Arial"/>
          <w:lang w:val="es-CO"/>
        </w:rPr>
        <w:t xml:space="preserve">Para efectos de interpretación del pliego de condiciones: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Se remite a las nociones desarrolladas en la sentencia del Consejo de Estado, Sección Tercera, Subsección C, del 12 de noviembre de 2014, Radicado 27.986, Consejero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w:t>
      </w:r>
      <w:r w:rsidRPr="5A0DE076">
        <w:rPr>
          <w:rFonts w:asciiTheme="minorHAnsi" w:hAnsiTheme="minorHAnsi" w:cstheme="minorBidi"/>
          <w:sz w:val="20"/>
          <w:szCs w:val="20"/>
          <w:lang w:val="es-CO"/>
        </w:rPr>
        <w:lastRenderedPageBreak/>
        <w:t>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w:t>
      </w:r>
      <w:proofErr w:type="gramStart"/>
      <w:r w:rsidRPr="005F0C96">
        <w:rPr>
          <w:rFonts w:asciiTheme="minorHAnsi" w:hAnsiTheme="minorHAnsi" w:cstheme="minorHAnsi"/>
          <w:sz w:val="20"/>
          <w:szCs w:val="20"/>
          <w:lang w:val="es-CO"/>
        </w:rPr>
        <w:t>en razón de</w:t>
      </w:r>
      <w:proofErr w:type="gramEnd"/>
      <w:r w:rsidRPr="005F0C96">
        <w:rPr>
          <w:rFonts w:asciiTheme="minorHAnsi" w:hAnsiTheme="minorHAnsi" w:cstheme="minorHAnsi"/>
          <w:sz w:val="20"/>
          <w:szCs w:val="20"/>
          <w:lang w:val="es-CO"/>
        </w:rPr>
        <w:t xml:space="preserv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075F9473" w14:textId="5F12BECC" w:rsidR="00DC179A" w:rsidRPr="00316D5B" w:rsidRDefault="00DC179A" w:rsidP="009044B6">
      <w:pPr>
        <w:jc w:val="both"/>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lastRenderedPageBreak/>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lastRenderedPageBreak/>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w:t>
      </w:r>
      <w:r w:rsidRPr="00316D5B">
        <w:rPr>
          <w:rFonts w:asciiTheme="minorHAnsi" w:hAnsiTheme="minorHAnsi" w:cstheme="minorHAnsi"/>
          <w:sz w:val="20"/>
          <w:szCs w:val="20"/>
          <w:lang w:val="es-CO" w:eastAsia="es-CO"/>
        </w:rPr>
        <w:lastRenderedPageBreak/>
        <w:t>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lastRenderedPageBreak/>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D545B" w14:textId="77777777" w:rsidR="00F0294C" w:rsidRDefault="00F0294C" w:rsidP="004F2C35">
      <w:r>
        <w:separator/>
      </w:r>
    </w:p>
  </w:endnote>
  <w:endnote w:type="continuationSeparator" w:id="0">
    <w:p w14:paraId="70D8694C" w14:textId="77777777" w:rsidR="00F0294C" w:rsidRDefault="00F0294C" w:rsidP="004F2C35">
      <w:r>
        <w:continuationSeparator/>
      </w:r>
    </w:p>
  </w:endnote>
  <w:endnote w:type="continuationNotice" w:id="1">
    <w:p w14:paraId="46073DE2" w14:textId="77777777" w:rsidR="00F0294C" w:rsidRDefault="00F029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E0439" w14:textId="77777777" w:rsidR="00F0294C" w:rsidRDefault="00F0294C" w:rsidP="004F2C35">
      <w:r>
        <w:separator/>
      </w:r>
    </w:p>
  </w:footnote>
  <w:footnote w:type="continuationSeparator" w:id="0">
    <w:p w14:paraId="7917034B" w14:textId="77777777" w:rsidR="00F0294C" w:rsidRDefault="00F0294C" w:rsidP="004F2C35">
      <w:r>
        <w:continuationSeparator/>
      </w:r>
    </w:p>
  </w:footnote>
  <w:footnote w:type="continuationNotice" w:id="1">
    <w:p w14:paraId="55B35A98" w14:textId="77777777" w:rsidR="00F0294C" w:rsidRDefault="00F0294C"/>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78.35pt;height:176.6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44B6"/>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294C"/>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6890</Words>
  <Characters>37898</Characters>
  <Application>Microsoft Office Word</Application>
  <DocSecurity>0</DocSecurity>
  <Lines>315</Lines>
  <Paragraphs>89</Paragraphs>
  <ScaleCrop>false</ScaleCrop>
  <Company/>
  <LinksUpToDate>false</LinksUpToDate>
  <CharactersWithSpaces>44699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Wendy Yohanna Quevedo Pardo</cp:lastModifiedBy>
  <cp:revision>5</cp:revision>
  <cp:lastPrinted>2020-11-13T23:07:00Z</cp:lastPrinted>
  <dcterms:created xsi:type="dcterms:W3CDTF">2021-05-31T23:36:00Z</dcterms:created>
  <dcterms:modified xsi:type="dcterms:W3CDTF">2022-03-16T21:56:00Z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