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78D23" w14:textId="77777777" w:rsidR="003220BB" w:rsidRPr="007D4811" w:rsidRDefault="003220BB" w:rsidP="003220BB">
      <w:pPr>
        <w:tabs>
          <w:tab w:val="left" w:pos="426"/>
        </w:tabs>
        <w:jc w:val="center"/>
        <w:rPr>
          <w:rFonts w:ascii="Tahoma" w:hAnsi="Tahoma" w:cs="Tahoma"/>
          <w:b/>
          <w:sz w:val="20"/>
          <w:szCs w:val="20"/>
          <w:lang w:val="es-CO"/>
        </w:rPr>
      </w:pPr>
      <w:r w:rsidRPr="007D4811">
        <w:rPr>
          <w:rFonts w:ascii="Tahoma" w:hAnsi="Tahoma" w:cs="Tahoma"/>
          <w:b/>
          <w:sz w:val="20"/>
          <w:szCs w:val="20"/>
          <w:lang w:val="es-CO"/>
        </w:rPr>
        <w:t>ANEXO “G”</w:t>
      </w:r>
    </w:p>
    <w:p w14:paraId="6FBE53A6" w14:textId="77777777" w:rsidR="003220BB" w:rsidRDefault="003220BB" w:rsidP="003220BB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MATRIZ DE RIESGOS </w:t>
      </w:r>
    </w:p>
    <w:p w14:paraId="739C02A2" w14:textId="77777777" w:rsidR="003220BB" w:rsidRPr="003539B9" w:rsidRDefault="003220BB" w:rsidP="003220BB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</w:p>
    <w:p w14:paraId="431E0074" w14:textId="77777777" w:rsidR="003220BB" w:rsidRPr="007D4811" w:rsidRDefault="003220BB" w:rsidP="003220BB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>Tabla 1 Matriz de riesgos</w:t>
      </w:r>
    </w:p>
    <w:p w14:paraId="710448DD" w14:textId="77777777"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9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1020"/>
        <w:gridCol w:w="1276"/>
        <w:gridCol w:w="1141"/>
        <w:gridCol w:w="299"/>
        <w:gridCol w:w="1418"/>
        <w:gridCol w:w="772"/>
        <w:gridCol w:w="1104"/>
        <w:gridCol w:w="772"/>
        <w:gridCol w:w="1403"/>
      </w:tblGrid>
      <w:tr w:rsidR="004C1DF4" w:rsidRPr="00E174AE" w14:paraId="23BB1AC1" w14:textId="77777777" w:rsidTr="00D65767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E4DB0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48752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NUMÉRICA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B82976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HISTÓRICA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1B5115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E027BD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5469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808080"/>
          </w:tcPr>
          <w:p w14:paraId="40554EC1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IMPACTO</w:t>
            </w:r>
          </w:p>
        </w:tc>
      </w:tr>
      <w:tr w:rsidR="004C1DF4" w:rsidRPr="00E174AE" w14:paraId="229FAAFA" w14:textId="77777777" w:rsidTr="00D65767">
        <w:trPr>
          <w:trHeight w:val="171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FE3361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060534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color w:val="A6A6A6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noProof/>
                <w:sz w:val="12"/>
                <w:szCs w:val="1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60D0BC" wp14:editId="26347B9D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15240</wp:posOffset>
                      </wp:positionV>
                      <wp:extent cx="123825" cy="142875"/>
                      <wp:effectExtent l="19050" t="0" r="28575" b="28575"/>
                      <wp:wrapNone/>
                      <wp:docPr id="7" name="Flecha abaj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22BB5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7" o:spid="_x0000_s1026" type="#_x0000_t67" style="position:absolute;margin-left:24.7pt;margin-top:1.2pt;width:9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02641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noProof/>
                <w:sz w:val="12"/>
                <w:szCs w:val="1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76FC2B" wp14:editId="5DB4D80F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24765</wp:posOffset>
                      </wp:positionV>
                      <wp:extent cx="123825" cy="142875"/>
                      <wp:effectExtent l="19050" t="0" r="28575" b="28575"/>
                      <wp:wrapNone/>
                      <wp:docPr id="8" name="Flecha abaj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711D97" id="Flecha abajo 8" o:spid="_x0000_s1026" type="#_x0000_t67" style="position:absolute;margin-left:20.15pt;margin-top:1.95pt;width:9.7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7D70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8FD77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49E079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INSIGNIFICANTE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135768B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MENOR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B11A49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MODERADO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E4E70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MAYOR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E7F3EF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CATASTRÓFICO</w:t>
            </w:r>
          </w:p>
        </w:tc>
      </w:tr>
      <w:tr w:rsidR="004C1DF4" w:rsidRPr="00E174AE" w14:paraId="7B04E4CE" w14:textId="77777777" w:rsidTr="00D65767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6F0E76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8AB64F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80CEB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86158C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56D02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3B4B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14:paraId="79182219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auto"/>
          </w:tcPr>
          <w:p w14:paraId="2DE10894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14:paraId="2D12D40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</w:tcPr>
          <w:p w14:paraId="465D0E9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5</w:t>
            </w:r>
          </w:p>
        </w:tc>
      </w:tr>
      <w:tr w:rsidR="004C1DF4" w:rsidRPr="00E174AE" w14:paraId="364AA544" w14:textId="77777777" w:rsidTr="00D65767">
        <w:trPr>
          <w:trHeight w:val="424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</w:tcBorders>
            <w:shd w:val="clear" w:color="auto" w:fill="000000"/>
            <w:textDirection w:val="btLr"/>
          </w:tcPr>
          <w:p w14:paraId="05CAB70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PROBABILIDAD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DBB17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1 EN 10.000-100.000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23336DEF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Puede </w:t>
            </w:r>
            <w:proofErr w:type="gramStart"/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ocurrir</w:t>
            </w:r>
            <w:proofErr w:type="gramEnd"/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 pero solo en circunstancias excepcionales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70D258C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RARO</w:t>
            </w:r>
          </w:p>
        </w:tc>
        <w:tc>
          <w:tcPr>
            <w:tcW w:w="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66166C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1</w:t>
            </w:r>
          </w:p>
        </w:tc>
        <w:tc>
          <w:tcPr>
            <w:tcW w:w="1418" w:type="dxa"/>
            <w:shd w:val="clear" w:color="auto" w:fill="00B050"/>
            <w:vAlign w:val="center"/>
          </w:tcPr>
          <w:p w14:paraId="4D76E74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2</w:t>
            </w:r>
          </w:p>
        </w:tc>
        <w:tc>
          <w:tcPr>
            <w:tcW w:w="772" w:type="dxa"/>
            <w:shd w:val="clear" w:color="auto" w:fill="00B050"/>
            <w:vAlign w:val="center"/>
          </w:tcPr>
          <w:p w14:paraId="65946C6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3</w:t>
            </w:r>
          </w:p>
        </w:tc>
        <w:tc>
          <w:tcPr>
            <w:tcW w:w="1104" w:type="dxa"/>
            <w:shd w:val="clear" w:color="auto" w:fill="00B050"/>
            <w:vAlign w:val="center"/>
          </w:tcPr>
          <w:p w14:paraId="0A0FC027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14:paraId="194B610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5</w:t>
            </w:r>
          </w:p>
        </w:tc>
        <w:tc>
          <w:tcPr>
            <w:tcW w:w="1403" w:type="dxa"/>
            <w:shd w:val="clear" w:color="auto" w:fill="FFC000"/>
            <w:vAlign w:val="center"/>
          </w:tcPr>
          <w:p w14:paraId="7BD505C1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6</w:t>
            </w:r>
          </w:p>
        </w:tc>
      </w:tr>
      <w:tr w:rsidR="004C1DF4" w:rsidRPr="00E174AE" w14:paraId="7D659E60" w14:textId="77777777" w:rsidTr="00D65767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14:paraId="68B2E7C2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3271F75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1 EN 1.000-10.000</w:t>
            </w:r>
          </w:p>
        </w:tc>
        <w:tc>
          <w:tcPr>
            <w:tcW w:w="1276" w:type="dxa"/>
            <w:shd w:val="clear" w:color="auto" w:fill="auto"/>
          </w:tcPr>
          <w:p w14:paraId="592978E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2"/>
                <w:szCs w:val="12"/>
                <w:lang w:val="es-CO"/>
              </w:rPr>
            </w:pPr>
            <w:proofErr w:type="gramStart"/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Podría  ocurrir</w:t>
            </w:r>
            <w:proofErr w:type="gramEnd"/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 pero dudoso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270F07C9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IMPROBABLE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14:paraId="06AA7EC4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2</w:t>
            </w:r>
          </w:p>
        </w:tc>
        <w:tc>
          <w:tcPr>
            <w:tcW w:w="1418" w:type="dxa"/>
            <w:shd w:val="clear" w:color="auto" w:fill="00B050"/>
            <w:vAlign w:val="center"/>
          </w:tcPr>
          <w:p w14:paraId="55CDE96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3</w:t>
            </w:r>
          </w:p>
        </w:tc>
        <w:tc>
          <w:tcPr>
            <w:tcW w:w="772" w:type="dxa"/>
            <w:shd w:val="clear" w:color="auto" w:fill="00B050"/>
            <w:vAlign w:val="center"/>
          </w:tcPr>
          <w:p w14:paraId="577F600B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4</w:t>
            </w:r>
          </w:p>
        </w:tc>
        <w:tc>
          <w:tcPr>
            <w:tcW w:w="1104" w:type="dxa"/>
            <w:shd w:val="clear" w:color="auto" w:fill="FFFF00"/>
            <w:vAlign w:val="center"/>
          </w:tcPr>
          <w:p w14:paraId="4C94611C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14:paraId="735E4436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6</w:t>
            </w:r>
          </w:p>
        </w:tc>
        <w:tc>
          <w:tcPr>
            <w:tcW w:w="1403" w:type="dxa"/>
            <w:shd w:val="clear" w:color="auto" w:fill="FFC000"/>
            <w:vAlign w:val="center"/>
          </w:tcPr>
          <w:p w14:paraId="026BD20B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7</w:t>
            </w:r>
          </w:p>
        </w:tc>
      </w:tr>
      <w:tr w:rsidR="004C1DF4" w:rsidRPr="00E174AE" w14:paraId="29CF47B1" w14:textId="77777777" w:rsidTr="00D65767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14:paraId="3E79B36D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5DE53264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1 EN 100-1.000</w:t>
            </w:r>
          </w:p>
        </w:tc>
        <w:tc>
          <w:tcPr>
            <w:tcW w:w="1276" w:type="dxa"/>
            <w:shd w:val="clear" w:color="auto" w:fill="auto"/>
          </w:tcPr>
          <w:p w14:paraId="3CCAFF5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Podría ocurrir en cualquier momento futuro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52B2A4B7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POSIBLE</w:t>
            </w:r>
          </w:p>
        </w:tc>
        <w:tc>
          <w:tcPr>
            <w:tcW w:w="299" w:type="dxa"/>
            <w:shd w:val="clear" w:color="auto" w:fill="auto"/>
            <w:vAlign w:val="center"/>
          </w:tcPr>
          <w:p w14:paraId="2A65E0D7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3</w:t>
            </w:r>
          </w:p>
        </w:tc>
        <w:tc>
          <w:tcPr>
            <w:tcW w:w="1418" w:type="dxa"/>
            <w:shd w:val="clear" w:color="auto" w:fill="00B050"/>
            <w:vAlign w:val="center"/>
          </w:tcPr>
          <w:p w14:paraId="216F6236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14:paraId="49177DB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5</w:t>
            </w:r>
          </w:p>
        </w:tc>
        <w:tc>
          <w:tcPr>
            <w:tcW w:w="1104" w:type="dxa"/>
            <w:shd w:val="clear" w:color="auto" w:fill="FFC000"/>
            <w:vAlign w:val="center"/>
          </w:tcPr>
          <w:p w14:paraId="253FD0D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14:paraId="1C3BBAC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7</w:t>
            </w:r>
          </w:p>
        </w:tc>
        <w:tc>
          <w:tcPr>
            <w:tcW w:w="1403" w:type="dxa"/>
            <w:shd w:val="clear" w:color="auto" w:fill="FF0000"/>
            <w:vAlign w:val="center"/>
          </w:tcPr>
          <w:p w14:paraId="3A7807C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8</w:t>
            </w:r>
          </w:p>
        </w:tc>
      </w:tr>
      <w:tr w:rsidR="004C1DF4" w:rsidRPr="00E174AE" w14:paraId="4D63E749" w14:textId="77777777" w:rsidTr="00D65767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14:paraId="0FFE2872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24625A6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1 EN 10-100</w:t>
            </w:r>
          </w:p>
        </w:tc>
        <w:tc>
          <w:tcPr>
            <w:tcW w:w="1276" w:type="dxa"/>
            <w:shd w:val="clear" w:color="auto" w:fill="auto"/>
          </w:tcPr>
          <w:p w14:paraId="6C331C1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Probablemente ocurrirá</w:t>
            </w:r>
          </w:p>
        </w:tc>
        <w:tc>
          <w:tcPr>
            <w:tcW w:w="1141" w:type="dxa"/>
            <w:shd w:val="clear" w:color="auto" w:fill="D9D9D9"/>
            <w:vAlign w:val="center"/>
          </w:tcPr>
          <w:p w14:paraId="7FC8EC00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14:paraId="5A12B9C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1B6EECC7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14:paraId="097E591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6</w:t>
            </w:r>
          </w:p>
        </w:tc>
        <w:tc>
          <w:tcPr>
            <w:tcW w:w="1104" w:type="dxa"/>
            <w:shd w:val="clear" w:color="auto" w:fill="FFC000"/>
            <w:vAlign w:val="center"/>
          </w:tcPr>
          <w:p w14:paraId="4F2BEC04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7</w:t>
            </w:r>
          </w:p>
        </w:tc>
        <w:tc>
          <w:tcPr>
            <w:tcW w:w="772" w:type="dxa"/>
            <w:shd w:val="clear" w:color="auto" w:fill="FF0000"/>
            <w:vAlign w:val="center"/>
          </w:tcPr>
          <w:p w14:paraId="630A458B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8</w:t>
            </w:r>
          </w:p>
        </w:tc>
        <w:tc>
          <w:tcPr>
            <w:tcW w:w="1403" w:type="dxa"/>
            <w:shd w:val="clear" w:color="auto" w:fill="FF0000"/>
            <w:vAlign w:val="center"/>
          </w:tcPr>
          <w:p w14:paraId="1C1ADB83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9</w:t>
            </w:r>
          </w:p>
        </w:tc>
      </w:tr>
      <w:tr w:rsidR="004C1DF4" w:rsidRPr="00E174AE" w14:paraId="4DA06573" w14:textId="77777777" w:rsidTr="00D65767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14:paraId="0CACCC4A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5C25F485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1 EN 10</w:t>
            </w:r>
          </w:p>
        </w:tc>
        <w:tc>
          <w:tcPr>
            <w:tcW w:w="1276" w:type="dxa"/>
            <w:shd w:val="clear" w:color="auto" w:fill="auto"/>
          </w:tcPr>
          <w:p w14:paraId="372270A7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Se espera que ocurra en la mayoría </w:t>
            </w:r>
            <w:proofErr w:type="gramStart"/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de  circunstancias</w:t>
            </w:r>
            <w:proofErr w:type="gramEnd"/>
          </w:p>
        </w:tc>
        <w:tc>
          <w:tcPr>
            <w:tcW w:w="1141" w:type="dxa"/>
            <w:shd w:val="clear" w:color="auto" w:fill="D9D9D9"/>
            <w:vAlign w:val="center"/>
          </w:tcPr>
          <w:p w14:paraId="3F488472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CASI CIERTO</w:t>
            </w:r>
          </w:p>
        </w:tc>
        <w:tc>
          <w:tcPr>
            <w:tcW w:w="299" w:type="dxa"/>
            <w:shd w:val="clear" w:color="auto" w:fill="auto"/>
            <w:vAlign w:val="center"/>
          </w:tcPr>
          <w:p w14:paraId="5C0DD1B8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sz w:val="12"/>
                <w:szCs w:val="12"/>
                <w:lang w:val="es-CO"/>
              </w:rPr>
              <w:t>5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1933648D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14:paraId="63A52D7E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>7</w:t>
            </w:r>
          </w:p>
        </w:tc>
        <w:tc>
          <w:tcPr>
            <w:tcW w:w="1104" w:type="dxa"/>
            <w:shd w:val="clear" w:color="auto" w:fill="FF0000"/>
            <w:vAlign w:val="center"/>
          </w:tcPr>
          <w:p w14:paraId="52CF246C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8</w:t>
            </w:r>
          </w:p>
        </w:tc>
        <w:tc>
          <w:tcPr>
            <w:tcW w:w="772" w:type="dxa"/>
            <w:shd w:val="clear" w:color="auto" w:fill="FF0000"/>
            <w:vAlign w:val="center"/>
          </w:tcPr>
          <w:p w14:paraId="6FB5216B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9</w:t>
            </w:r>
          </w:p>
        </w:tc>
        <w:tc>
          <w:tcPr>
            <w:tcW w:w="1403" w:type="dxa"/>
            <w:shd w:val="clear" w:color="auto" w:fill="FF0000"/>
            <w:vAlign w:val="center"/>
          </w:tcPr>
          <w:p w14:paraId="12CFEC14" w14:textId="77777777" w:rsidR="004C1DF4" w:rsidRPr="00E174AE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10</w:t>
            </w:r>
          </w:p>
        </w:tc>
      </w:tr>
    </w:tbl>
    <w:p w14:paraId="6E1B2B32" w14:textId="77777777"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14:paraId="23551DAB" w14:textId="77777777"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14:paraId="135FF062" w14:textId="77777777"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14:paraId="6295891C" w14:textId="77777777" w:rsidR="003220BB" w:rsidRPr="007D4811" w:rsidRDefault="003220BB" w:rsidP="003220BB">
      <w:pPr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El orden de prioridades fue establecido asignando un puntaje de acuerdo con la probabilidad de ocurrencia (raro; improbable; posible; probable; casi cierto) y de su impacto (insignificante; menor; moderado; mayor; catastrófico). Los riesgos fueron clasificados teniendo cuenta su calificación de acuerdo con Tabla 2.</w:t>
      </w:r>
    </w:p>
    <w:p w14:paraId="1DB9E924" w14:textId="77777777"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p w14:paraId="0031C81F" w14:textId="77777777" w:rsidR="003220BB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>Tabla 2 Prioridad de t</w:t>
      </w:r>
      <w:r>
        <w:rPr>
          <w:rFonts w:ascii="Tahoma" w:hAnsi="Tahoma" w:cs="Tahoma"/>
          <w:b/>
          <w:bCs/>
          <w:sz w:val="20"/>
          <w:szCs w:val="20"/>
        </w:rPr>
        <w:t>ratamiento y control del riesgo</w:t>
      </w:r>
    </w:p>
    <w:p w14:paraId="10D71007" w14:textId="77777777"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2"/>
        <w:gridCol w:w="6058"/>
      </w:tblGrid>
      <w:tr w:rsidR="004C1DF4" w:rsidRPr="00E174AE" w14:paraId="08090F2A" w14:textId="77777777" w:rsidTr="004C1DF4">
        <w:trPr>
          <w:trHeight w:val="471"/>
          <w:jc w:val="center"/>
        </w:trPr>
        <w:tc>
          <w:tcPr>
            <w:tcW w:w="1762" w:type="dxa"/>
            <w:shd w:val="clear" w:color="auto" w:fill="808080"/>
            <w:vAlign w:val="center"/>
          </w:tcPr>
          <w:p w14:paraId="059DBDD7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proofErr w:type="spellStart"/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N°</w:t>
            </w:r>
            <w:proofErr w:type="spellEnd"/>
          </w:p>
        </w:tc>
        <w:tc>
          <w:tcPr>
            <w:tcW w:w="6058" w:type="dxa"/>
            <w:shd w:val="clear" w:color="auto" w:fill="808080"/>
            <w:vAlign w:val="center"/>
          </w:tcPr>
          <w:p w14:paraId="0F88A405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b/>
                <w:color w:val="FFFFFF"/>
                <w:sz w:val="12"/>
                <w:szCs w:val="12"/>
                <w:lang w:val="es-CO"/>
              </w:rPr>
              <w:t>Factor de escogencia y calificación</w:t>
            </w:r>
          </w:p>
        </w:tc>
      </w:tr>
      <w:tr w:rsidR="004C1DF4" w:rsidRPr="00E174AE" w14:paraId="6D2ADD5A" w14:textId="77777777" w:rsidTr="004C1DF4">
        <w:trPr>
          <w:trHeight w:val="510"/>
          <w:jc w:val="center"/>
        </w:trPr>
        <w:tc>
          <w:tcPr>
            <w:tcW w:w="1762" w:type="dxa"/>
            <w:shd w:val="clear" w:color="auto" w:fill="auto"/>
          </w:tcPr>
          <w:p w14:paraId="5E976C56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&gt; 7 </w:t>
            </w:r>
          </w:p>
        </w:tc>
        <w:tc>
          <w:tcPr>
            <w:tcW w:w="6058" w:type="dxa"/>
            <w:shd w:val="clear" w:color="auto" w:fill="auto"/>
          </w:tcPr>
          <w:p w14:paraId="72241447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Extremo: Se requiere un plan de acción detallado </w:t>
            </w:r>
          </w:p>
        </w:tc>
      </w:tr>
      <w:tr w:rsidR="004C1DF4" w:rsidRPr="00E174AE" w14:paraId="4264C88D" w14:textId="77777777" w:rsidTr="004C1DF4">
        <w:trPr>
          <w:trHeight w:val="471"/>
          <w:jc w:val="center"/>
        </w:trPr>
        <w:tc>
          <w:tcPr>
            <w:tcW w:w="1762" w:type="dxa"/>
            <w:shd w:val="clear" w:color="auto" w:fill="auto"/>
          </w:tcPr>
          <w:p w14:paraId="207AC5C0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6 &lt;= Riesgo &lt;= 7 </w:t>
            </w:r>
          </w:p>
        </w:tc>
        <w:tc>
          <w:tcPr>
            <w:tcW w:w="6058" w:type="dxa"/>
            <w:shd w:val="clear" w:color="auto" w:fill="auto"/>
          </w:tcPr>
          <w:p w14:paraId="21011A90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Alto: Se necesita una atención mayor de la administración </w:t>
            </w:r>
          </w:p>
        </w:tc>
      </w:tr>
      <w:tr w:rsidR="004C1DF4" w:rsidRPr="00E174AE" w14:paraId="7682647D" w14:textId="77777777" w:rsidTr="004C1DF4">
        <w:trPr>
          <w:trHeight w:val="471"/>
          <w:jc w:val="center"/>
        </w:trPr>
        <w:tc>
          <w:tcPr>
            <w:tcW w:w="1762" w:type="dxa"/>
            <w:shd w:val="clear" w:color="auto" w:fill="auto"/>
          </w:tcPr>
          <w:p w14:paraId="2F6E9294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= 5 </w:t>
            </w:r>
          </w:p>
        </w:tc>
        <w:tc>
          <w:tcPr>
            <w:tcW w:w="6058" w:type="dxa"/>
            <w:shd w:val="clear" w:color="auto" w:fill="auto"/>
          </w:tcPr>
          <w:p w14:paraId="3FFA0AF0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Medio: Especificar responsabilidad de la administración </w:t>
            </w:r>
          </w:p>
        </w:tc>
      </w:tr>
      <w:tr w:rsidR="004C1DF4" w:rsidRPr="00E174AE" w14:paraId="33872B67" w14:textId="77777777" w:rsidTr="004C1DF4">
        <w:trPr>
          <w:trHeight w:val="510"/>
          <w:jc w:val="center"/>
        </w:trPr>
        <w:tc>
          <w:tcPr>
            <w:tcW w:w="1762" w:type="dxa"/>
            <w:shd w:val="clear" w:color="auto" w:fill="auto"/>
          </w:tcPr>
          <w:p w14:paraId="0355FE4F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&lt; 5 </w:t>
            </w:r>
          </w:p>
        </w:tc>
        <w:tc>
          <w:tcPr>
            <w:tcW w:w="6058" w:type="dxa"/>
            <w:shd w:val="clear" w:color="auto" w:fill="auto"/>
          </w:tcPr>
          <w:p w14:paraId="1509C996" w14:textId="77777777" w:rsidR="004C1DF4" w:rsidRPr="00E174AE" w:rsidRDefault="004C1DF4" w:rsidP="00D65767">
            <w:pPr>
              <w:pStyle w:val="Default"/>
              <w:tabs>
                <w:tab w:val="left" w:pos="284"/>
              </w:tabs>
              <w:ind w:right="48"/>
              <w:rPr>
                <w:rFonts w:ascii="Arial" w:hAnsi="Arial" w:cs="Arial"/>
                <w:sz w:val="12"/>
                <w:szCs w:val="12"/>
                <w:lang w:val="es-CO"/>
              </w:rPr>
            </w:pPr>
            <w:r w:rsidRPr="00E174AE">
              <w:rPr>
                <w:rFonts w:ascii="Arial" w:hAnsi="Arial" w:cs="Arial"/>
                <w:sz w:val="12"/>
                <w:szCs w:val="12"/>
                <w:lang w:val="es-CO"/>
              </w:rPr>
              <w:t xml:space="preserve">Riesgo Bajo: Administrar por procedimientos de rutina </w:t>
            </w:r>
          </w:p>
        </w:tc>
      </w:tr>
    </w:tbl>
    <w:p w14:paraId="26B9EE6F" w14:textId="77777777" w:rsidR="003220BB" w:rsidRDefault="003220BB" w:rsidP="003220BB">
      <w:pPr>
        <w:rPr>
          <w:rFonts w:ascii="Tahoma" w:hAnsi="Tahoma" w:cs="Tahoma"/>
          <w:sz w:val="20"/>
          <w:szCs w:val="20"/>
        </w:rPr>
      </w:pPr>
    </w:p>
    <w:p w14:paraId="45FCE9C5" w14:textId="77777777" w:rsidR="003220BB" w:rsidRDefault="003220BB" w:rsidP="003220BB">
      <w:pPr>
        <w:rPr>
          <w:rFonts w:ascii="Tahoma" w:hAnsi="Tahoma" w:cs="Tahoma"/>
          <w:sz w:val="20"/>
          <w:szCs w:val="20"/>
        </w:rPr>
      </w:pPr>
    </w:p>
    <w:p w14:paraId="12A1156B" w14:textId="77777777" w:rsidR="003220BB" w:rsidRDefault="003220BB" w:rsidP="003220BB">
      <w:pPr>
        <w:rPr>
          <w:rFonts w:ascii="Tahoma" w:hAnsi="Tahoma" w:cs="Tahoma"/>
          <w:sz w:val="20"/>
          <w:szCs w:val="20"/>
        </w:rPr>
      </w:pPr>
    </w:p>
    <w:p w14:paraId="48BF5E19" w14:textId="77777777"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14:paraId="7089AFB5" w14:textId="77777777"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14:paraId="6D26AFA8" w14:textId="77777777"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14:paraId="002DB872" w14:textId="77777777"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14:paraId="75099CFE" w14:textId="77777777"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14:paraId="0CD8A33B" w14:textId="77777777" w:rsidR="003220BB" w:rsidRDefault="003220BB" w:rsidP="003220BB">
      <w:pPr>
        <w:tabs>
          <w:tab w:val="left" w:pos="12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6DFABFF5" w14:textId="77777777" w:rsidR="003220BB" w:rsidRPr="003539B9" w:rsidRDefault="003220BB" w:rsidP="003220BB">
      <w:pPr>
        <w:tabs>
          <w:tab w:val="left" w:pos="1252"/>
        </w:tabs>
        <w:rPr>
          <w:rFonts w:ascii="Tahoma" w:hAnsi="Tahoma" w:cs="Tahoma"/>
          <w:sz w:val="20"/>
          <w:szCs w:val="20"/>
        </w:rPr>
        <w:sectPr w:rsidR="003220BB" w:rsidRPr="003539B9" w:rsidSect="003E5227">
          <w:pgSz w:w="12250" w:h="18730"/>
          <w:pgMar w:top="2180" w:right="1760" w:bottom="280" w:left="851" w:header="518" w:footer="0" w:gutter="0"/>
          <w:cols w:space="720"/>
        </w:sectPr>
      </w:pPr>
      <w:r>
        <w:rPr>
          <w:rFonts w:ascii="Tahoma" w:hAnsi="Tahoma" w:cs="Tahoma"/>
          <w:sz w:val="20"/>
          <w:szCs w:val="20"/>
        </w:rPr>
        <w:tab/>
      </w:r>
    </w:p>
    <w:p w14:paraId="26EA612B" w14:textId="77777777" w:rsidR="003220BB" w:rsidRPr="003539B9" w:rsidRDefault="003220BB" w:rsidP="003220BB">
      <w:pPr>
        <w:jc w:val="center"/>
        <w:rPr>
          <w:rFonts w:ascii="Tahoma" w:hAnsi="Tahoma" w:cs="Tahoma"/>
          <w:b/>
          <w:bCs/>
          <w:sz w:val="12"/>
          <w:szCs w:val="12"/>
        </w:rPr>
      </w:pPr>
    </w:p>
    <w:p w14:paraId="089E6AB8" w14:textId="77777777"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p w14:paraId="4070BBE2" w14:textId="77777777"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p w14:paraId="3FE498EE" w14:textId="77777777" w:rsidR="003220BB" w:rsidRPr="003539B9" w:rsidRDefault="003220BB" w:rsidP="003220BB">
      <w:pPr>
        <w:rPr>
          <w:rFonts w:ascii="Tahoma" w:hAnsi="Tahoma" w:cs="Tahoma"/>
          <w:sz w:val="12"/>
          <w:szCs w:val="12"/>
        </w:rPr>
      </w:pPr>
    </w:p>
    <w:p w14:paraId="3FCBB568" w14:textId="77777777" w:rsidR="003220BB" w:rsidRPr="003539B9" w:rsidRDefault="003220BB" w:rsidP="003220BB">
      <w:pPr>
        <w:rPr>
          <w:rFonts w:ascii="Tahoma" w:hAnsi="Tahoma" w:cs="Tahoma"/>
          <w:sz w:val="12"/>
          <w:szCs w:val="12"/>
        </w:rPr>
      </w:pPr>
    </w:p>
    <w:p w14:paraId="04FB338C" w14:textId="77777777" w:rsidR="003220BB" w:rsidRPr="003539B9" w:rsidRDefault="003220BB" w:rsidP="003220BB">
      <w:pPr>
        <w:jc w:val="center"/>
        <w:rPr>
          <w:rFonts w:ascii="Tahoma" w:hAnsi="Tahoma" w:cs="Tahoma"/>
          <w:b/>
          <w:bCs/>
          <w:sz w:val="12"/>
          <w:szCs w:val="12"/>
        </w:rPr>
      </w:pPr>
      <w:r w:rsidRPr="003539B9">
        <w:rPr>
          <w:rFonts w:ascii="Tahoma" w:hAnsi="Tahoma" w:cs="Tahoma"/>
          <w:b/>
          <w:bCs/>
          <w:sz w:val="12"/>
          <w:szCs w:val="12"/>
        </w:rPr>
        <w:t>Tabla 3 Mapa de identificación de ri</w:t>
      </w:r>
      <w:r>
        <w:rPr>
          <w:rFonts w:ascii="Tahoma" w:hAnsi="Tahoma" w:cs="Tahoma"/>
          <w:b/>
          <w:bCs/>
          <w:sz w:val="12"/>
          <w:szCs w:val="12"/>
        </w:rPr>
        <w:t>esgos</w:t>
      </w:r>
    </w:p>
    <w:p w14:paraId="33F53064" w14:textId="77777777"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p w14:paraId="604E3E73" w14:textId="77777777"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tbl>
      <w:tblPr>
        <w:tblW w:w="10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"/>
        <w:gridCol w:w="238"/>
        <w:gridCol w:w="20"/>
        <w:gridCol w:w="275"/>
        <w:gridCol w:w="15"/>
        <w:gridCol w:w="268"/>
        <w:gridCol w:w="15"/>
        <w:gridCol w:w="269"/>
        <w:gridCol w:w="15"/>
        <w:gridCol w:w="250"/>
        <w:gridCol w:w="22"/>
        <w:gridCol w:w="1404"/>
        <w:gridCol w:w="20"/>
        <w:gridCol w:w="972"/>
        <w:gridCol w:w="20"/>
        <w:gridCol w:w="263"/>
        <w:gridCol w:w="20"/>
        <w:gridCol w:w="264"/>
        <w:gridCol w:w="20"/>
        <w:gridCol w:w="263"/>
        <w:gridCol w:w="20"/>
        <w:gridCol w:w="264"/>
        <w:gridCol w:w="20"/>
        <w:gridCol w:w="263"/>
        <w:gridCol w:w="20"/>
        <w:gridCol w:w="1114"/>
        <w:gridCol w:w="20"/>
        <w:gridCol w:w="264"/>
        <w:gridCol w:w="20"/>
        <w:gridCol w:w="263"/>
        <w:gridCol w:w="20"/>
        <w:gridCol w:w="264"/>
        <w:gridCol w:w="20"/>
        <w:gridCol w:w="263"/>
        <w:gridCol w:w="20"/>
        <w:gridCol w:w="406"/>
        <w:gridCol w:w="20"/>
        <w:gridCol w:w="405"/>
        <w:gridCol w:w="20"/>
        <w:gridCol w:w="397"/>
        <w:gridCol w:w="22"/>
        <w:gridCol w:w="798"/>
        <w:gridCol w:w="21"/>
        <w:gridCol w:w="826"/>
        <w:gridCol w:w="25"/>
      </w:tblGrid>
      <w:tr w:rsidR="004C1DF4" w:rsidRPr="007B04F8" w14:paraId="7175377D" w14:textId="77777777" w:rsidTr="00D65767">
        <w:trPr>
          <w:gridBefore w:val="1"/>
          <w:wBefore w:w="18" w:type="dxa"/>
          <w:cantSplit/>
          <w:trHeight w:val="1134"/>
          <w:jc w:val="center"/>
        </w:trPr>
        <w:tc>
          <w:tcPr>
            <w:tcW w:w="258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39D4CDA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No</w:t>
            </w:r>
          </w:p>
        </w:tc>
        <w:tc>
          <w:tcPr>
            <w:tcW w:w="290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33E2E25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Clase</w:t>
            </w:r>
          </w:p>
        </w:tc>
        <w:tc>
          <w:tcPr>
            <w:tcW w:w="283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221175C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Fuente</w:t>
            </w:r>
          </w:p>
        </w:tc>
        <w:tc>
          <w:tcPr>
            <w:tcW w:w="284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12DF1A4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Etapa</w:t>
            </w:r>
          </w:p>
        </w:tc>
        <w:tc>
          <w:tcPr>
            <w:tcW w:w="272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14009D6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Tipo</w:t>
            </w:r>
          </w:p>
        </w:tc>
        <w:tc>
          <w:tcPr>
            <w:tcW w:w="1424" w:type="dxa"/>
            <w:gridSpan w:val="2"/>
            <w:vMerge w:val="restart"/>
            <w:shd w:val="clear" w:color="000000" w:fill="BFBFBF"/>
            <w:vAlign w:val="center"/>
            <w:hideMark/>
          </w:tcPr>
          <w:p w14:paraId="76A2DF9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descripción (qué puede pasar y, si es posible, cómo puede pasar)</w:t>
            </w:r>
          </w:p>
        </w:tc>
        <w:tc>
          <w:tcPr>
            <w:tcW w:w="992" w:type="dxa"/>
            <w:gridSpan w:val="2"/>
            <w:vMerge w:val="restart"/>
            <w:shd w:val="clear" w:color="000000" w:fill="BFBFBF"/>
            <w:vAlign w:val="center"/>
            <w:hideMark/>
          </w:tcPr>
          <w:p w14:paraId="6169858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Consecuencia de la ocurrencia del evento</w:t>
            </w:r>
          </w:p>
        </w:tc>
        <w:tc>
          <w:tcPr>
            <w:tcW w:w="283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2833FFF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Probabilidad</w:t>
            </w:r>
          </w:p>
        </w:tc>
        <w:tc>
          <w:tcPr>
            <w:tcW w:w="284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6DF010A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Impacto</w:t>
            </w:r>
          </w:p>
        </w:tc>
        <w:tc>
          <w:tcPr>
            <w:tcW w:w="283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2DBBDA0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Valoración del riesgo</w:t>
            </w:r>
          </w:p>
        </w:tc>
        <w:tc>
          <w:tcPr>
            <w:tcW w:w="284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1AA7B55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Categoría</w:t>
            </w:r>
          </w:p>
        </w:tc>
        <w:tc>
          <w:tcPr>
            <w:tcW w:w="283" w:type="dxa"/>
            <w:gridSpan w:val="2"/>
            <w:vMerge w:val="restart"/>
            <w:shd w:val="clear" w:color="000000" w:fill="BFBFBF"/>
            <w:textDirection w:val="btLr"/>
            <w:vAlign w:val="center"/>
            <w:hideMark/>
          </w:tcPr>
          <w:p w14:paraId="2EE4243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proofErr w:type="gramStart"/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A quien se le asigna?</w:t>
            </w:r>
            <w:proofErr w:type="gramEnd"/>
          </w:p>
        </w:tc>
        <w:tc>
          <w:tcPr>
            <w:tcW w:w="1134" w:type="dxa"/>
            <w:gridSpan w:val="2"/>
            <w:vMerge w:val="restart"/>
            <w:shd w:val="clear" w:color="000000" w:fill="BFBFBF"/>
            <w:vAlign w:val="center"/>
          </w:tcPr>
          <w:p w14:paraId="014F385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Implementad Tratamiento/controles a ser os</w:t>
            </w:r>
          </w:p>
        </w:tc>
        <w:tc>
          <w:tcPr>
            <w:tcW w:w="851" w:type="dxa"/>
            <w:gridSpan w:val="6"/>
            <w:shd w:val="clear" w:color="000000" w:fill="BFBFBF"/>
            <w:vAlign w:val="center"/>
          </w:tcPr>
          <w:p w14:paraId="5732197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Impacto después del tratamiento</w:t>
            </w:r>
          </w:p>
        </w:tc>
        <w:tc>
          <w:tcPr>
            <w:tcW w:w="283" w:type="dxa"/>
            <w:gridSpan w:val="2"/>
            <w:vMerge w:val="restart"/>
            <w:shd w:val="clear" w:color="000000" w:fill="BFBFBF"/>
            <w:textDirection w:val="btLr"/>
            <w:vAlign w:val="center"/>
          </w:tcPr>
          <w:p w14:paraId="380776E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Afecta la ejecución el contrato</w:t>
            </w:r>
          </w:p>
        </w:tc>
        <w:tc>
          <w:tcPr>
            <w:tcW w:w="426" w:type="dxa"/>
            <w:gridSpan w:val="2"/>
            <w:vMerge w:val="restart"/>
            <w:shd w:val="clear" w:color="000000" w:fill="BFBFBF"/>
            <w:textDirection w:val="btLr"/>
            <w:vAlign w:val="center"/>
          </w:tcPr>
          <w:p w14:paraId="116908E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Persona que implementa el tratamiento</w:t>
            </w:r>
          </w:p>
        </w:tc>
        <w:tc>
          <w:tcPr>
            <w:tcW w:w="425" w:type="dxa"/>
            <w:gridSpan w:val="2"/>
            <w:vMerge w:val="restart"/>
            <w:shd w:val="clear" w:color="000000" w:fill="BFBFBF"/>
            <w:textDirection w:val="btLr"/>
            <w:vAlign w:val="center"/>
          </w:tcPr>
          <w:p w14:paraId="058689D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Fecha inicio tratamiento</w:t>
            </w:r>
          </w:p>
        </w:tc>
        <w:tc>
          <w:tcPr>
            <w:tcW w:w="419" w:type="dxa"/>
            <w:gridSpan w:val="2"/>
            <w:shd w:val="clear" w:color="000000" w:fill="BFBFBF"/>
            <w:textDirection w:val="btLr"/>
            <w:vAlign w:val="center"/>
          </w:tcPr>
          <w:p w14:paraId="1562B86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Fecha término tratamiento</w:t>
            </w:r>
          </w:p>
        </w:tc>
        <w:tc>
          <w:tcPr>
            <w:tcW w:w="1670" w:type="dxa"/>
            <w:gridSpan w:val="4"/>
            <w:shd w:val="clear" w:color="000000" w:fill="BFBFBF"/>
            <w:textDirection w:val="btLr"/>
            <w:vAlign w:val="center"/>
          </w:tcPr>
          <w:p w14:paraId="0748085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Monitoreo y revisión</w:t>
            </w:r>
          </w:p>
        </w:tc>
      </w:tr>
      <w:tr w:rsidR="004C1DF4" w:rsidRPr="007B04F8" w14:paraId="3B4B6E33" w14:textId="77777777" w:rsidTr="00D65767">
        <w:trPr>
          <w:gridBefore w:val="1"/>
          <w:wBefore w:w="18" w:type="dxa"/>
          <w:cantSplit/>
          <w:trHeight w:val="1134"/>
          <w:jc w:val="center"/>
        </w:trPr>
        <w:tc>
          <w:tcPr>
            <w:tcW w:w="258" w:type="dxa"/>
            <w:gridSpan w:val="2"/>
            <w:vMerge/>
            <w:shd w:val="clear" w:color="000000" w:fill="BFBFBF"/>
            <w:textDirection w:val="btLr"/>
            <w:vAlign w:val="center"/>
          </w:tcPr>
          <w:p w14:paraId="38DEAB9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90" w:type="dxa"/>
            <w:gridSpan w:val="2"/>
            <w:vMerge/>
            <w:shd w:val="clear" w:color="000000" w:fill="BFBFBF"/>
            <w:textDirection w:val="btLr"/>
            <w:vAlign w:val="center"/>
          </w:tcPr>
          <w:p w14:paraId="5169E9B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3" w:type="dxa"/>
            <w:gridSpan w:val="2"/>
            <w:vMerge/>
            <w:shd w:val="clear" w:color="000000" w:fill="BFBFBF"/>
            <w:textDirection w:val="btLr"/>
            <w:vAlign w:val="center"/>
          </w:tcPr>
          <w:p w14:paraId="6738093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4" w:type="dxa"/>
            <w:gridSpan w:val="2"/>
            <w:vMerge/>
            <w:shd w:val="clear" w:color="000000" w:fill="BFBFBF"/>
            <w:textDirection w:val="btLr"/>
            <w:vAlign w:val="center"/>
          </w:tcPr>
          <w:p w14:paraId="6BC666D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72" w:type="dxa"/>
            <w:gridSpan w:val="2"/>
            <w:vMerge/>
            <w:shd w:val="clear" w:color="000000" w:fill="BFBFBF"/>
            <w:textDirection w:val="btLr"/>
            <w:vAlign w:val="center"/>
          </w:tcPr>
          <w:p w14:paraId="3564E4A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1424" w:type="dxa"/>
            <w:gridSpan w:val="2"/>
            <w:vMerge/>
            <w:shd w:val="clear" w:color="000000" w:fill="BFBFBF"/>
            <w:vAlign w:val="center"/>
          </w:tcPr>
          <w:p w14:paraId="7AA3E51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992" w:type="dxa"/>
            <w:gridSpan w:val="2"/>
            <w:vMerge/>
            <w:shd w:val="clear" w:color="000000" w:fill="BFBFBF"/>
            <w:vAlign w:val="center"/>
          </w:tcPr>
          <w:p w14:paraId="7C9916D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3" w:type="dxa"/>
            <w:gridSpan w:val="2"/>
            <w:vMerge/>
            <w:shd w:val="clear" w:color="000000" w:fill="BFBFBF"/>
            <w:textDirection w:val="btLr"/>
            <w:vAlign w:val="center"/>
          </w:tcPr>
          <w:p w14:paraId="180F4FB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4" w:type="dxa"/>
            <w:gridSpan w:val="2"/>
            <w:vMerge/>
            <w:shd w:val="clear" w:color="000000" w:fill="BFBFBF"/>
            <w:textDirection w:val="btLr"/>
            <w:vAlign w:val="center"/>
          </w:tcPr>
          <w:p w14:paraId="1E72E0B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3" w:type="dxa"/>
            <w:gridSpan w:val="2"/>
            <w:vMerge/>
            <w:shd w:val="clear" w:color="000000" w:fill="BFBFBF"/>
            <w:textDirection w:val="btLr"/>
            <w:vAlign w:val="center"/>
          </w:tcPr>
          <w:p w14:paraId="3823011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4" w:type="dxa"/>
            <w:gridSpan w:val="2"/>
            <w:vMerge/>
            <w:shd w:val="clear" w:color="000000" w:fill="BFBFBF"/>
            <w:textDirection w:val="btLr"/>
            <w:vAlign w:val="center"/>
          </w:tcPr>
          <w:p w14:paraId="31EE26A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3" w:type="dxa"/>
            <w:gridSpan w:val="2"/>
            <w:vMerge/>
            <w:shd w:val="clear" w:color="000000" w:fill="BFBFBF"/>
            <w:textDirection w:val="btLr"/>
            <w:vAlign w:val="center"/>
          </w:tcPr>
          <w:p w14:paraId="184C9C5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1134" w:type="dxa"/>
            <w:gridSpan w:val="2"/>
            <w:vMerge/>
            <w:shd w:val="clear" w:color="000000" w:fill="BFBFBF"/>
            <w:textDirection w:val="btLr"/>
          </w:tcPr>
          <w:p w14:paraId="4E16BC1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284" w:type="dxa"/>
            <w:gridSpan w:val="2"/>
            <w:shd w:val="clear" w:color="000000" w:fill="BFBFBF"/>
            <w:textDirection w:val="btLr"/>
            <w:vAlign w:val="center"/>
          </w:tcPr>
          <w:p w14:paraId="593B0D0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probabilidad</w:t>
            </w:r>
          </w:p>
        </w:tc>
        <w:tc>
          <w:tcPr>
            <w:tcW w:w="283" w:type="dxa"/>
            <w:gridSpan w:val="2"/>
            <w:shd w:val="clear" w:color="000000" w:fill="BFBFBF"/>
            <w:textDirection w:val="btLr"/>
            <w:vAlign w:val="center"/>
          </w:tcPr>
          <w:p w14:paraId="496EDE3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impacto</w:t>
            </w:r>
          </w:p>
        </w:tc>
        <w:tc>
          <w:tcPr>
            <w:tcW w:w="284" w:type="dxa"/>
            <w:gridSpan w:val="2"/>
            <w:shd w:val="clear" w:color="000000" w:fill="BFBFBF"/>
            <w:textDirection w:val="btLr"/>
            <w:vAlign w:val="center"/>
          </w:tcPr>
          <w:p w14:paraId="3D4FD1A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Valoración del riesgo</w:t>
            </w:r>
          </w:p>
        </w:tc>
        <w:tc>
          <w:tcPr>
            <w:tcW w:w="283" w:type="dxa"/>
            <w:gridSpan w:val="2"/>
            <w:vMerge/>
            <w:shd w:val="clear" w:color="000000" w:fill="BFBFBF"/>
            <w:textDirection w:val="btLr"/>
            <w:vAlign w:val="center"/>
          </w:tcPr>
          <w:p w14:paraId="3A2BB0B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426" w:type="dxa"/>
            <w:gridSpan w:val="2"/>
            <w:vMerge/>
            <w:shd w:val="clear" w:color="000000" w:fill="BFBFBF"/>
            <w:textDirection w:val="btLr"/>
            <w:vAlign w:val="center"/>
          </w:tcPr>
          <w:p w14:paraId="39263DC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425" w:type="dxa"/>
            <w:gridSpan w:val="2"/>
            <w:vMerge/>
            <w:shd w:val="clear" w:color="000000" w:fill="BFBFBF"/>
            <w:textDirection w:val="btLr"/>
            <w:vAlign w:val="center"/>
          </w:tcPr>
          <w:p w14:paraId="0B1D067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419" w:type="dxa"/>
            <w:gridSpan w:val="2"/>
            <w:shd w:val="clear" w:color="000000" w:fill="BFBFBF"/>
            <w:textDirection w:val="btLr"/>
            <w:vAlign w:val="center"/>
          </w:tcPr>
          <w:p w14:paraId="738CB5E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</w:p>
        </w:tc>
        <w:tc>
          <w:tcPr>
            <w:tcW w:w="819" w:type="dxa"/>
            <w:gridSpan w:val="2"/>
            <w:shd w:val="clear" w:color="000000" w:fill="BFBFBF"/>
            <w:textDirection w:val="btLr"/>
            <w:vAlign w:val="center"/>
          </w:tcPr>
          <w:p w14:paraId="782C2A9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Forma de realizar monitoreo</w:t>
            </w:r>
          </w:p>
        </w:tc>
        <w:tc>
          <w:tcPr>
            <w:tcW w:w="851" w:type="dxa"/>
            <w:gridSpan w:val="2"/>
            <w:shd w:val="clear" w:color="000000" w:fill="BFBFBF"/>
            <w:textDirection w:val="btLr"/>
            <w:vAlign w:val="center"/>
          </w:tcPr>
          <w:p w14:paraId="516C1AC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Periodicidad monitoreo / Cuando?</w:t>
            </w:r>
          </w:p>
        </w:tc>
      </w:tr>
      <w:tr w:rsidR="004C1DF4" w:rsidRPr="007B04F8" w14:paraId="5C618A5D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  <w:hideMark/>
          </w:tcPr>
          <w:p w14:paraId="57CF7FA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1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  <w:hideMark/>
          </w:tcPr>
          <w:p w14:paraId="4E62184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244AC62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  <w:hideMark/>
          </w:tcPr>
          <w:p w14:paraId="63A1400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Planeación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  <w:hideMark/>
          </w:tcPr>
          <w:p w14:paraId="3C232A2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Social o político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  <w:hideMark/>
          </w:tcPr>
          <w:p w14:paraId="2C152EE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dispersión de la normatividad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3B51CC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En materia de contratación estatal, existen numerosas normas, directrices, conceptos e interpretaciones sobre el procedimiento de contratación 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161CBA8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  <w:hideMark/>
          </w:tcPr>
          <w:p w14:paraId="672BCF0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16B1925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 (Riesgo bajo)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  <w:hideMark/>
          </w:tcPr>
          <w:p w14:paraId="3548BF5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42E075D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3815BD2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Hacer seguimiento de las normas de contratación y de sus modificaciones para aplicarlas acorde vigencia.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350576C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2DAA775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7FB08C7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330A490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NO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2C9FDB8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Asesor de Contratación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0BB5589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>
              <w:rPr>
                <w:rFonts w:ascii="Arial" w:hAnsi="Arial" w:cs="Arial"/>
                <w:sz w:val="10"/>
                <w:szCs w:val="10"/>
                <w:lang w:val="es-CO"/>
              </w:rPr>
              <w:t>JUNIO/24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471408B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>
              <w:rPr>
                <w:rFonts w:ascii="Arial" w:hAnsi="Arial" w:cs="Arial"/>
                <w:sz w:val="10"/>
                <w:szCs w:val="10"/>
                <w:lang w:val="es-CO"/>
              </w:rPr>
              <w:t>DIC/24</w:t>
            </w:r>
          </w:p>
        </w:tc>
        <w:tc>
          <w:tcPr>
            <w:tcW w:w="820" w:type="dxa"/>
            <w:gridSpan w:val="2"/>
            <w:vAlign w:val="center"/>
          </w:tcPr>
          <w:p w14:paraId="66A05F3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Verificando el portal de CCE</w:t>
            </w:r>
          </w:p>
        </w:tc>
        <w:tc>
          <w:tcPr>
            <w:tcW w:w="847" w:type="dxa"/>
            <w:gridSpan w:val="2"/>
            <w:vAlign w:val="center"/>
          </w:tcPr>
          <w:p w14:paraId="3171233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Semanal</w:t>
            </w:r>
          </w:p>
        </w:tc>
      </w:tr>
      <w:tr w:rsidR="004C1DF4" w:rsidRPr="007B04F8" w14:paraId="1EBB6954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  <w:hideMark/>
          </w:tcPr>
          <w:p w14:paraId="2505FC4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2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  <w:hideMark/>
          </w:tcPr>
          <w:p w14:paraId="71AB4E1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53DF813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Interno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  <w:hideMark/>
          </w:tcPr>
          <w:p w14:paraId="406D62D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Planeación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  <w:hideMark/>
          </w:tcPr>
          <w:p w14:paraId="3F74B01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Operacional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  <w:hideMark/>
          </w:tcPr>
          <w:p w14:paraId="7A95073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deficiente determinación de especificaciones técnicas mínimas y variación de las mismas durante la ejecución del contrato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4243FD5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Las especificaciones técnicas mínimas no permiten que se satisfaga la necesidad y requieran modificaciones que aumente el monto de los bienes o servicios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455BADD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  <w:hideMark/>
          </w:tcPr>
          <w:p w14:paraId="69287E1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5179737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4(Riesgo bajo)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  <w:hideMark/>
          </w:tcPr>
          <w:p w14:paraId="3B50ABC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  <w:hideMark/>
          </w:tcPr>
          <w:p w14:paraId="20D9ABB6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599D191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Efectuar verificación del estudio previo presentado realizando observaciones cuando las especificaciones no ofrecen claridad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7AD96FF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02A9F97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4DD3A7F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4BE06E6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SI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7BF7451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Usuario /gerente de proyecto</w:t>
            </w:r>
          </w:p>
          <w:p w14:paraId="5821A87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Asesor de contratación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1E48D0D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Con la llegada del estudio previo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6A80D2B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Cinco días hábiles siguientes a la recepción</w:t>
            </w:r>
          </w:p>
        </w:tc>
        <w:tc>
          <w:tcPr>
            <w:tcW w:w="820" w:type="dxa"/>
            <w:gridSpan w:val="2"/>
            <w:vAlign w:val="center"/>
          </w:tcPr>
          <w:p w14:paraId="6B20DE6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Documento solicitando aclaración</w:t>
            </w:r>
          </w:p>
        </w:tc>
        <w:tc>
          <w:tcPr>
            <w:tcW w:w="847" w:type="dxa"/>
            <w:gridSpan w:val="2"/>
            <w:vAlign w:val="center"/>
          </w:tcPr>
          <w:p w14:paraId="6700A4B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 n la planeación y selección</w:t>
            </w:r>
          </w:p>
        </w:tc>
      </w:tr>
      <w:tr w:rsidR="004C1DF4" w:rsidRPr="007B04F8" w14:paraId="5235C526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16C4907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3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0DE7BE2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0E761D6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453E13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Selección 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00F32C0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Económico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0BEC115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Colusión de los proveedores en el desarrollo del proceso.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7A61C41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El proceso adelantado no logra condiciones competitivas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13ACA66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1775E0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3B602D3B" w14:textId="77777777" w:rsidR="004C1DF4" w:rsidRPr="007B04F8" w:rsidRDefault="004C1DF4" w:rsidP="00D65767">
            <w:pPr>
              <w:tabs>
                <w:tab w:val="left" w:pos="284"/>
              </w:tabs>
              <w:ind w:left="113"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4(Riesgo bajo)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73B40AB8" w14:textId="77777777" w:rsidR="004C1DF4" w:rsidRPr="007B04F8" w:rsidRDefault="004C1DF4" w:rsidP="00D65767">
            <w:pPr>
              <w:tabs>
                <w:tab w:val="left" w:pos="284"/>
              </w:tabs>
              <w:ind w:left="113"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D0C3053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37A6C72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Efectuar verificación del estudio de </w:t>
            </w:r>
            <w:proofErr w:type="gramStart"/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mercado  presentado</w:t>
            </w:r>
            <w:proofErr w:type="gramEnd"/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 realizando comparando las cotizaciones con las adquisiciones realizadas por otras entidades (cuando aplique)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1434003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29F7E81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268E714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419B6A0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NO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023EACB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Usuario /gerente de proyecto</w:t>
            </w:r>
          </w:p>
          <w:p w14:paraId="3973AD3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Comité estructurador económico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25C9B3B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Con la llegada del estudio previo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4600209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Cinco días hábiles siguientes a la recepción</w:t>
            </w:r>
          </w:p>
        </w:tc>
        <w:tc>
          <w:tcPr>
            <w:tcW w:w="820" w:type="dxa"/>
            <w:gridSpan w:val="2"/>
            <w:vAlign w:val="center"/>
          </w:tcPr>
          <w:p w14:paraId="0DEF01A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Documento solicitando aclaración</w:t>
            </w:r>
          </w:p>
        </w:tc>
        <w:tc>
          <w:tcPr>
            <w:tcW w:w="847" w:type="dxa"/>
            <w:gridSpan w:val="2"/>
            <w:vAlign w:val="center"/>
          </w:tcPr>
          <w:p w14:paraId="251FDB8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 n la planeación y selección</w:t>
            </w:r>
          </w:p>
        </w:tc>
      </w:tr>
      <w:tr w:rsidR="004C1DF4" w:rsidRPr="007B04F8" w14:paraId="31E2BF25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73D92D5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4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6DADBAC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3CE3191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F476FF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Selección 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229FF97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Económico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6E31A7F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Baja participación de los proponentes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2066E6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Poca competencia en el proceso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4BC52E3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68AEFE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7B22BF1E" w14:textId="77777777" w:rsidR="004C1DF4" w:rsidRPr="007B04F8" w:rsidRDefault="004C1DF4" w:rsidP="00D65767">
            <w:pPr>
              <w:tabs>
                <w:tab w:val="left" w:pos="284"/>
              </w:tabs>
              <w:ind w:left="113"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5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7F0ADD4D" w14:textId="77777777" w:rsidR="004C1DF4" w:rsidRPr="007B04F8" w:rsidRDefault="004C1DF4" w:rsidP="00D65767">
            <w:pPr>
              <w:tabs>
                <w:tab w:val="left" w:pos="284"/>
              </w:tabs>
              <w:ind w:left="113"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medio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ED8D978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401BAC3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Efectuar socialización de los procesos contractuales a través del SECOP.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00AB32E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42CC3E6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3082CCA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24F158A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NO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59E253B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5AB32A1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Con la llegada del estudio previo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26618EB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Cinco días hábiles siguientes a la recepción</w:t>
            </w:r>
          </w:p>
        </w:tc>
        <w:tc>
          <w:tcPr>
            <w:tcW w:w="820" w:type="dxa"/>
            <w:gridSpan w:val="2"/>
            <w:vAlign w:val="center"/>
          </w:tcPr>
          <w:p w14:paraId="07ABDED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Documento solicitando aclaración</w:t>
            </w:r>
          </w:p>
        </w:tc>
        <w:tc>
          <w:tcPr>
            <w:tcW w:w="847" w:type="dxa"/>
            <w:gridSpan w:val="2"/>
            <w:vAlign w:val="center"/>
          </w:tcPr>
          <w:p w14:paraId="67909CF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 n la planeación y selección</w:t>
            </w:r>
          </w:p>
        </w:tc>
      </w:tr>
      <w:tr w:rsidR="004C1DF4" w:rsidRPr="007B04F8" w14:paraId="3FE8E2DF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62CBBB3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lastRenderedPageBreak/>
              <w:t>5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3CDB1A5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General 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3C8DFC6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Externo 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2E19E1B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Selección 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31F5674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Económico 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2E87C5F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presentación de ofertas artificialmente bajas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C17C6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El bien o servicio no cumple con las calidades y exigencias técnicas requeridas. -no se justifique adecuadamente El precio artificialmente bajo y durante la ejecución del contrato se solicite restablecimiento del equilibrio económico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7ECE4AB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4B1448E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643CE52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0F31292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6C05427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Proponente</w:t>
            </w:r>
          </w:p>
        </w:tc>
        <w:tc>
          <w:tcPr>
            <w:tcW w:w="1134" w:type="dxa"/>
            <w:gridSpan w:val="2"/>
            <w:vAlign w:val="center"/>
          </w:tcPr>
          <w:p w14:paraId="20D2D18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Analizar estudio de mercado que demuestre si los precios son artificialmente bajos y de ser así requerir al proponente para que explique y demuestre porque sostiene esos precios. En la ejecución se deberá hacer exigible la entrega del bien o servicio de conformidad con las condiciones técnicas requeridas.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52BBFD6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10F64E5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5427156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7A6BD43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SI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15B8779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Comité evaluador respectivo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60D0348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Termino de evaluación de propuestas 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2E7B9E4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Termino de adjudicación </w:t>
            </w:r>
          </w:p>
        </w:tc>
        <w:tc>
          <w:tcPr>
            <w:tcW w:w="820" w:type="dxa"/>
            <w:gridSpan w:val="2"/>
            <w:vAlign w:val="center"/>
          </w:tcPr>
          <w:p w14:paraId="5774842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Revisión de evaluaciones y observaciones a las mismas </w:t>
            </w:r>
          </w:p>
        </w:tc>
        <w:tc>
          <w:tcPr>
            <w:tcW w:w="847" w:type="dxa"/>
            <w:gridSpan w:val="2"/>
            <w:vAlign w:val="center"/>
          </w:tcPr>
          <w:p w14:paraId="2BFDBA8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previo a la adjudicación </w:t>
            </w:r>
          </w:p>
        </w:tc>
      </w:tr>
      <w:tr w:rsidR="004C1DF4" w:rsidRPr="007B04F8" w14:paraId="7CE3EBE5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6454501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6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11915C5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General 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10907B9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Interno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11E1ADE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Contratación 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19D9B8F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Operacional 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509A604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reclamos de terceros sobre la selección del oferente que retrasen el perfeccionamiento del contrato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D6B8D1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Retraso en el inicio de la ejecución y cumplimiento del contrato, y por lo tanto no satisfacción oportuna de la necesidad.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3211297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576F855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6C5BBB76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1633A20B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5DC435B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7E10DF3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Responder y aclarar en el menor tiempo posible las observaciones presentadas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684FFCB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5F9E300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52A53D9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28384A1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NO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127ED00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Jefe División precontractual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25FEC86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Termino de evaluación de las propuestas 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3A5ACB9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Termino de evaluación de las propuestas </w:t>
            </w:r>
          </w:p>
        </w:tc>
        <w:tc>
          <w:tcPr>
            <w:tcW w:w="820" w:type="dxa"/>
            <w:gridSpan w:val="2"/>
            <w:vAlign w:val="center"/>
          </w:tcPr>
          <w:p w14:paraId="484063B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Revisión de respuestas de los comités </w:t>
            </w:r>
          </w:p>
        </w:tc>
        <w:tc>
          <w:tcPr>
            <w:tcW w:w="847" w:type="dxa"/>
            <w:gridSpan w:val="2"/>
            <w:vAlign w:val="center"/>
          </w:tcPr>
          <w:p w14:paraId="693DA4B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Previo a la adjudicación </w:t>
            </w:r>
          </w:p>
        </w:tc>
      </w:tr>
      <w:tr w:rsidR="004C1DF4" w:rsidRPr="007B04F8" w14:paraId="353521BA" w14:textId="77777777" w:rsidTr="00D65767">
        <w:trPr>
          <w:gridAfter w:val="1"/>
          <w:wAfter w:w="25" w:type="dxa"/>
          <w:cantSplit/>
          <w:trHeight w:val="1906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4EDDA8F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7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28A8512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General 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C3EA9F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Interno 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B0C917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Contratación 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5C36AA9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Operacional 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383C8EC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incumplimiento de los requisitos de ejecución del contrato que generan dilaciones en su inicio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63E02D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Retraso en el inicio de la ejecución y cumplimiento del </w:t>
            </w:r>
            <w:proofErr w:type="gramStart"/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contrato,  y</w:t>
            </w:r>
            <w:proofErr w:type="gramEnd"/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 por lo tanto no satisfacción oportuna de la necesidad.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13FEF14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367C0DF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0305AED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A1D17A7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79214E8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0DCEDB0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Gestión oportuna para agilizar los trámites administrativos internos que permitan inicio oportuno de la ejecución del contrato e impidan variación de precios del producto ofertado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53B6502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142E88A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583CE18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32A5E69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SI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218C1F2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Dependencia Presupuesto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1794BF8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Termino para el cumplimiento de requisitos de ejecución 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4084E1D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Termino para el cumplimiento de requisitos de ejecución </w:t>
            </w:r>
          </w:p>
        </w:tc>
        <w:tc>
          <w:tcPr>
            <w:tcW w:w="820" w:type="dxa"/>
            <w:gridSpan w:val="2"/>
            <w:vAlign w:val="center"/>
          </w:tcPr>
          <w:p w14:paraId="44D873E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Verificación cumplimiento requisitos de ejecución a cargo de la entidad </w:t>
            </w:r>
          </w:p>
        </w:tc>
        <w:tc>
          <w:tcPr>
            <w:tcW w:w="847" w:type="dxa"/>
            <w:gridSpan w:val="2"/>
            <w:vAlign w:val="center"/>
          </w:tcPr>
          <w:p w14:paraId="3EE368B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Una vez suscrito el contrato </w:t>
            </w:r>
          </w:p>
        </w:tc>
      </w:tr>
      <w:tr w:rsidR="004C1DF4" w:rsidRPr="007B04F8" w14:paraId="7F540016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525BAFF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8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227A76F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4F31B7B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Interno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4161E23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Planeación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63301FA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Operacional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483C764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Cambio de lugar de ejecución del contrato y ejecución de actividades adicionales a las establecidas en el contrato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2919B3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Modificación de las condiciones del contrato y aumento del costo estimado para la ejecución del mismo.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36FC73A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0DECE1D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3A10D0F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47EE05F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72729A3D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31940E6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El usuario/gerente de proyecto, deberá efectuar una adecuada planeación del proceso o prever cuando se presenten cambios el restablecimiento de las prestaciones mutuas del mismo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17FA0D3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6EDACC5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2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5ADE87D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260D1EC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SI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6062F84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Gerente de Proyecto / usuario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4FDAE3C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Estructuración del estudio previo</w:t>
            </w:r>
          </w:p>
          <w:p w14:paraId="1B602C8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Durante la ejecución del contrato.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5399AAA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Hasta la ejecución del contrato</w:t>
            </w:r>
          </w:p>
        </w:tc>
        <w:tc>
          <w:tcPr>
            <w:tcW w:w="820" w:type="dxa"/>
            <w:gridSpan w:val="2"/>
            <w:vAlign w:val="center"/>
          </w:tcPr>
          <w:p w14:paraId="4933F66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Revisión estudio previo</w:t>
            </w:r>
          </w:p>
        </w:tc>
        <w:tc>
          <w:tcPr>
            <w:tcW w:w="847" w:type="dxa"/>
            <w:gridSpan w:val="2"/>
            <w:vAlign w:val="center"/>
          </w:tcPr>
          <w:p w14:paraId="69806FF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</w:t>
            </w:r>
          </w:p>
        </w:tc>
      </w:tr>
      <w:tr w:rsidR="004C1DF4" w:rsidRPr="007B04F8" w14:paraId="3F03F8AA" w14:textId="77777777" w:rsidTr="00D65767">
        <w:trPr>
          <w:gridAfter w:val="1"/>
          <w:wAfter w:w="25" w:type="dxa"/>
          <w:cantSplit/>
          <w:trHeight w:val="1134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5494566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9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59C2DA5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General 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233E6B2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Interno 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2CA0CE0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Contratación 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300D5BE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Social o político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0B8B99F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Incremento anormal de los insumos propios del bien o servicio contratado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59D710B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Desequilibrio económico del contrato por variación de precios de los bienes o servicios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0406793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0764A14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3A8CBF8B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449D16A8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597AF8BB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5DA505A2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Desplegar un comportamiento que convenga a la realización y ejecución del contrato sin olvidar que el interés del otro contratante también debe cumplirse y cuya satisfacción depende en buena medida de la lealtad y corrección de la conducta propia.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1ED600A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12E4CB1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6E50B7FA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29AEE49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NO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3585190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Gerente de proyecto / usuario</w:t>
            </w:r>
          </w:p>
          <w:p w14:paraId="4E1CF72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Delegatario contractual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4842916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Durante la ejecución del contrato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3CD1B88C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Durante la ejecución del contrato</w:t>
            </w:r>
          </w:p>
        </w:tc>
        <w:tc>
          <w:tcPr>
            <w:tcW w:w="820" w:type="dxa"/>
            <w:gridSpan w:val="2"/>
            <w:vAlign w:val="center"/>
          </w:tcPr>
          <w:p w14:paraId="54A1A44E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Análisis de precios del sector a la fecha de ejecución y restablecimiento del equilibrio económico</w:t>
            </w:r>
          </w:p>
        </w:tc>
        <w:tc>
          <w:tcPr>
            <w:tcW w:w="847" w:type="dxa"/>
            <w:gridSpan w:val="2"/>
            <w:vAlign w:val="center"/>
          </w:tcPr>
          <w:p w14:paraId="58292F2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indeterminado</w:t>
            </w:r>
          </w:p>
        </w:tc>
      </w:tr>
      <w:tr w:rsidR="004C1DF4" w:rsidRPr="003135C0" w14:paraId="7F12D2E3" w14:textId="77777777" w:rsidTr="00D65767">
        <w:trPr>
          <w:gridAfter w:val="1"/>
          <w:wAfter w:w="25" w:type="dxa"/>
          <w:cantSplit/>
          <w:trHeight w:val="1552"/>
          <w:jc w:val="center"/>
        </w:trPr>
        <w:tc>
          <w:tcPr>
            <w:tcW w:w="256" w:type="dxa"/>
            <w:gridSpan w:val="2"/>
            <w:shd w:val="clear" w:color="auto" w:fill="auto"/>
            <w:vAlign w:val="center"/>
          </w:tcPr>
          <w:p w14:paraId="16675C64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b/>
                <w:bCs/>
                <w:sz w:val="10"/>
                <w:szCs w:val="10"/>
                <w:lang w:val="es-CO"/>
              </w:rPr>
              <w:t>10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14:paraId="1650188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19C9053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4FD9446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Planeación</w:t>
            </w:r>
          </w:p>
        </w:tc>
        <w:tc>
          <w:tcPr>
            <w:tcW w:w="265" w:type="dxa"/>
            <w:gridSpan w:val="2"/>
            <w:shd w:val="clear" w:color="auto" w:fill="auto"/>
            <w:textDirection w:val="btLr"/>
            <w:vAlign w:val="center"/>
          </w:tcPr>
          <w:p w14:paraId="5D22EDB3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Social o político</w:t>
            </w:r>
          </w:p>
        </w:tc>
        <w:tc>
          <w:tcPr>
            <w:tcW w:w="1426" w:type="dxa"/>
            <w:gridSpan w:val="2"/>
            <w:shd w:val="clear" w:color="auto" w:fill="auto"/>
            <w:vAlign w:val="center"/>
          </w:tcPr>
          <w:p w14:paraId="2005DFA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Expedición de normas generales, abstractas e </w:t>
            </w:r>
            <w:proofErr w:type="gramStart"/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impersonales ,</w:t>
            </w:r>
            <w:proofErr w:type="gramEnd"/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 con incidencia directa o indirecta en la relación negociar.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1C617AD6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Actos generales de la administración “hecho del príncipe”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62B21891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5654EB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7A8891DF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  <w:textDirection w:val="btLr"/>
            <w:vAlign w:val="center"/>
          </w:tcPr>
          <w:p w14:paraId="64511358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Riesgo bajo</w:t>
            </w:r>
          </w:p>
        </w:tc>
        <w:tc>
          <w:tcPr>
            <w:tcW w:w="283" w:type="dxa"/>
            <w:gridSpan w:val="2"/>
            <w:shd w:val="clear" w:color="auto" w:fill="auto"/>
            <w:textDirection w:val="btLr"/>
            <w:vAlign w:val="center"/>
          </w:tcPr>
          <w:p w14:paraId="155FF036" w14:textId="77777777" w:rsidR="004C1DF4" w:rsidRPr="007B04F8" w:rsidRDefault="004C1DF4" w:rsidP="00D65767">
            <w:pPr>
              <w:ind w:left="113" w:right="113"/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Unidad delegataria</w:t>
            </w:r>
          </w:p>
        </w:tc>
        <w:tc>
          <w:tcPr>
            <w:tcW w:w="1134" w:type="dxa"/>
            <w:gridSpan w:val="2"/>
            <w:vAlign w:val="center"/>
          </w:tcPr>
          <w:p w14:paraId="1C8F07E8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Hacer seguimiento de las normas que afectan la ejecución del contrato en los términos pactados y en caso de afectación del punto de no perdida, efectuar los ajustes presupuestales respectivos, realizando la modificación del contrato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362F234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3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4969260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1</w:t>
            </w:r>
          </w:p>
        </w:tc>
        <w:tc>
          <w:tcPr>
            <w:tcW w:w="284" w:type="dxa"/>
            <w:gridSpan w:val="2"/>
            <w:textDirection w:val="btLr"/>
            <w:vAlign w:val="center"/>
          </w:tcPr>
          <w:p w14:paraId="61E475BD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4</w:t>
            </w:r>
          </w:p>
        </w:tc>
        <w:tc>
          <w:tcPr>
            <w:tcW w:w="283" w:type="dxa"/>
            <w:gridSpan w:val="2"/>
            <w:textDirection w:val="btLr"/>
            <w:vAlign w:val="center"/>
          </w:tcPr>
          <w:p w14:paraId="1485D165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NO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14:paraId="6CBEBB3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 xml:space="preserve">Delegatario contractual </w:t>
            </w:r>
          </w:p>
          <w:p w14:paraId="6C21680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Asesor de contratación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14:paraId="589FB039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</w:t>
            </w:r>
          </w:p>
        </w:tc>
        <w:tc>
          <w:tcPr>
            <w:tcW w:w="417" w:type="dxa"/>
            <w:gridSpan w:val="2"/>
            <w:textDirection w:val="btLr"/>
            <w:vAlign w:val="center"/>
          </w:tcPr>
          <w:p w14:paraId="01386E07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</w:t>
            </w:r>
          </w:p>
        </w:tc>
        <w:tc>
          <w:tcPr>
            <w:tcW w:w="820" w:type="dxa"/>
            <w:gridSpan w:val="2"/>
            <w:vAlign w:val="center"/>
          </w:tcPr>
          <w:p w14:paraId="6CE1A48F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both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Seguimiento a los cambios en materia jurídica, presupuestal, tributaria y en general las que tengan incidencia en el contrato</w:t>
            </w:r>
          </w:p>
        </w:tc>
        <w:tc>
          <w:tcPr>
            <w:tcW w:w="847" w:type="dxa"/>
            <w:gridSpan w:val="2"/>
            <w:vAlign w:val="center"/>
          </w:tcPr>
          <w:p w14:paraId="2772EDA0" w14:textId="77777777" w:rsidR="004C1DF4" w:rsidRPr="007B04F8" w:rsidRDefault="004C1DF4" w:rsidP="00D65767">
            <w:pPr>
              <w:tabs>
                <w:tab w:val="left" w:pos="284"/>
              </w:tabs>
              <w:ind w:right="48"/>
              <w:jc w:val="center"/>
              <w:rPr>
                <w:rFonts w:ascii="Arial" w:hAnsi="Arial" w:cs="Arial"/>
                <w:sz w:val="10"/>
                <w:szCs w:val="10"/>
                <w:lang w:val="es-CO"/>
              </w:rPr>
            </w:pPr>
            <w:r w:rsidRPr="007B04F8">
              <w:rPr>
                <w:rFonts w:ascii="Arial" w:hAnsi="Arial" w:cs="Arial"/>
                <w:sz w:val="10"/>
                <w:szCs w:val="10"/>
                <w:lang w:val="es-CO"/>
              </w:rPr>
              <w:t>Permanente</w:t>
            </w:r>
          </w:p>
        </w:tc>
      </w:tr>
    </w:tbl>
    <w:p w14:paraId="3C90EC83" w14:textId="77777777" w:rsidR="003220BB" w:rsidRPr="007D4811" w:rsidRDefault="003220BB" w:rsidP="003220BB">
      <w:pPr>
        <w:rPr>
          <w:rFonts w:ascii="Tahoma" w:hAnsi="Tahoma" w:cs="Tahoma"/>
          <w:sz w:val="20"/>
          <w:szCs w:val="20"/>
        </w:rPr>
        <w:sectPr w:rsidR="003220BB" w:rsidRPr="007D4811" w:rsidSect="003539B9">
          <w:pgSz w:w="15840" w:h="12240" w:orient="landscape" w:code="1"/>
          <w:pgMar w:top="862" w:right="2177" w:bottom="1758" w:left="851" w:header="518" w:footer="0" w:gutter="0"/>
          <w:cols w:space="720"/>
          <w:docGrid w:linePitch="326"/>
        </w:sectPr>
      </w:pPr>
    </w:p>
    <w:p w14:paraId="1ECE229A" w14:textId="77777777" w:rsidR="007704E7" w:rsidRPr="00741651" w:rsidRDefault="007704E7" w:rsidP="00741651"/>
    <w:sectPr w:rsidR="007704E7" w:rsidRPr="00741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3ED"/>
    <w:rsid w:val="00147F7C"/>
    <w:rsid w:val="003220BB"/>
    <w:rsid w:val="0038062A"/>
    <w:rsid w:val="004C1DF4"/>
    <w:rsid w:val="004D4D8A"/>
    <w:rsid w:val="005A0E98"/>
    <w:rsid w:val="00741651"/>
    <w:rsid w:val="007704E7"/>
    <w:rsid w:val="007833ED"/>
    <w:rsid w:val="008A1867"/>
    <w:rsid w:val="00A16559"/>
    <w:rsid w:val="00D027BB"/>
    <w:rsid w:val="00D51074"/>
    <w:rsid w:val="00DE7E11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270E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1276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Je. Ca.</cp:lastModifiedBy>
  <cp:revision>13</cp:revision>
  <dcterms:created xsi:type="dcterms:W3CDTF">2023-04-14T17:05:00Z</dcterms:created>
  <dcterms:modified xsi:type="dcterms:W3CDTF">2024-06-27T13:53:00Z</dcterms:modified>
</cp:coreProperties>
</file>