
<file path=[Content_Types].xml><?xml version="1.0" encoding="utf-8"?>
<Types xmlns="http://schemas.openxmlformats.org/package/2006/content-types">
  <Default ContentType="application/vnd.openxmlformats-officedocument.oleObject" Extension="bin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FICHA TECNICA COMODAS </w:t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34.0" w:type="dxa"/>
        <w:jc w:val="left"/>
        <w:tblInd w:w="-63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18"/>
        <w:gridCol w:w="8716"/>
        <w:tblGridChange w:id="0">
          <w:tblGrid>
            <w:gridCol w:w="1718"/>
            <w:gridCol w:w="8716"/>
          </w:tblGrid>
        </w:tblGridChange>
      </w:tblGrid>
      <w:tr>
        <w:trPr>
          <w:trHeight w:val="141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CÓMODAS</w:t>
            </w:r>
          </w:p>
        </w:tc>
      </w:tr>
      <w:tr>
        <w:trPr>
          <w:trHeight w:val="25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5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Tipo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Cómodas</w:t>
            </w:r>
          </w:p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Cantidad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140</w:t>
            </w:r>
          </w:p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Medidas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Fondo: 50cm</w:t>
            </w:r>
          </w:p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Altura: 200cm</w:t>
            </w:r>
          </w:p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Ancho: 90cm</w:t>
            </w:r>
          </w:p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Terminados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Fabricación en lamina Cold Rolled calibre 24, puntas redondeadas.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spacing w:after="0" w:line="240" w:lineRule="auto"/>
              <w:ind w:left="264" w:hanging="20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Pintura electrostática, con espesor de 50 micras como mínimo.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spacing w:after="0" w:line="240" w:lineRule="auto"/>
              <w:ind w:left="264" w:hanging="20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Estructura de laterales, piso, techo y espaldar unidos entre sí con soldadura.                                                                                                               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spacing w:after="0" w:line="240" w:lineRule="auto"/>
              <w:ind w:left="264" w:hanging="200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 puertas abatibles en lámina Cold Rolled calibre 24.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ind w:left="264" w:firstLine="0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Otras Características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19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Una división central horizontal de techo a piso.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Cinco (05) entrepaños fijos equidistante a 32 cm alto X 45 cm ancho, La profundidad del entrepaño debe ser de 50 cm útiles. para un total de 6 compartimientos, desde la pared izquierda a la división central.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Un (01) entrepaño fijo desde la pared derecha a la división central a 32 cm alto X 45 cm ancho, La profundidad del entrepaño debe ser de 50 cm útiles.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Un tubo perchero de 1” x45cm soldado de la pared derecha a la división central de la cómoda.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El espacio horizontal derecho donde se ubicará el tubo perchero tendrá una altura total de 168cm.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Puertas abatibles en lamina Cold Rolled de calibre 24.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Cada puerta lleva guías en la parte superior e inferior para permitir el abre y cierre de la puerta.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Un ala con portacandado, la otra ala con pasador hueco de 2”.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En el segundo entrepaño superior deberá haber una caja interior con portacandado de 20cm de alto X 20cm de ancho y 25cm de profundidad de atrás hacia adelante.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La caja interior debe tener puerta con porta candado.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 rejillas de ventilación por cada puerta, ubicadas en la parte inferior central y superior central de cada una.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Las puertas deben ir reforzadas con un marco en lámina.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2"/>
              </w:numPr>
              <w:shd w:fill="ffffff" w:val="clear"/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Guía en puerta interior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Manija de 10cm ancladas con tornillo a cada una de las puertas.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4 patas en la cómoda para proteger el mueble (según imagen).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2"/>
              </w:numPr>
              <w:spacing w:after="0" w:line="240" w:lineRule="auto"/>
              <w:ind w:left="205" w:hanging="141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highlight w:val="white"/>
                <w:rtl w:val="0"/>
              </w:rPr>
              <w:t xml:space="preserve">Cada cómoda debe quedar asegurada (anclada) a la pared con chazos expansibles de 5/8 x 2“ que permitan brindar la estabilidad y seguridad de estas.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ind w:left="205" w:firstLine="0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52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Color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Gris(Pintura electrostática), previa coordinación y aprobación con el supervisor del contrato, teniendo en cuenta el color actual de las cómodas de la Escuela de Suboficiales FAC, con el fin de generar uniformidad.</w:t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Garantía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Mínimo un (01) año, esta debe ser proporcionada por el fabricante directamente.</w:t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9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Imágenes de referencia</w:t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tabs>
          <w:tab w:val="left" w:pos="1440"/>
        </w:tabs>
        <w:rPr>
          <w:rFonts w:ascii="Arial" w:cs="Arial" w:eastAsia="Arial" w:hAnsi="Arial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jc w:val="center"/>
        <w:rPr/>
      </w:pPr>
      <w:r w:rsidDel="00000000" w:rsidR="00000000" w:rsidRPr="00000000">
        <w:rPr/>
        <w:pict>
          <v:shape id="_x0000_i1025" style="width:302.25pt;height:367.5pt" o:ole="" type="#_x0000_t75">
            <v:imagedata r:id="rId1" o:title=""/>
          </v:shape>
          <o:OLEObject DrawAspect="Content" r:id="rId2" ObjectID="_1652014138" ProgID="PBrush" ShapeID="_x0000_i1025" Type="Embed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326390</wp:posOffset>
            </wp:positionH>
            <wp:positionV relativeFrom="paragraph">
              <wp:posOffset>137795</wp:posOffset>
            </wp:positionV>
            <wp:extent cx="2133600" cy="3714750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8340" l="29384" r="15617" t="1717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3714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6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2726690</wp:posOffset>
            </wp:positionH>
            <wp:positionV relativeFrom="paragraph">
              <wp:posOffset>1270</wp:posOffset>
            </wp:positionV>
            <wp:extent cx="2057400" cy="3705225"/>
            <wp:effectExtent b="0" l="0" r="0" t="0"/>
            <wp:wrapNone/>
            <wp:docPr id="8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 b="8731" l="26477" r="24474" t="11200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37052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7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 </w:t>
      </w:r>
    </w:p>
    <w:p w:rsidR="00000000" w:rsidDel="00000000" w:rsidP="00000000" w:rsidRDefault="00000000" w:rsidRPr="00000000" w14:paraId="00000038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color w:val="212121"/>
        </w:rPr>
      </w:pPr>
      <w:r w:rsidDel="00000000" w:rsidR="00000000" w:rsidRPr="00000000">
        <w:rPr>
          <w:color w:val="212121"/>
          <w:rtl w:val="0"/>
        </w:rPr>
        <w:t xml:space="preserve">                                          </w:t>
      </w:r>
    </w:p>
    <w:p w:rsidR="00000000" w:rsidDel="00000000" w:rsidP="00000000" w:rsidRDefault="00000000" w:rsidRPr="00000000" w14:paraId="00000046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color w:val="21212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color w:val="21212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color w:val="212121"/>
        </w:rPr>
      </w:pPr>
      <w:r w:rsidDel="00000000" w:rsidR="00000000" w:rsidRPr="00000000">
        <w:rPr>
          <w:color w:val="212121"/>
          <w:rtl w:val="0"/>
        </w:rPr>
        <w:t xml:space="preserve">                                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326390</wp:posOffset>
            </wp:positionH>
            <wp:positionV relativeFrom="paragraph">
              <wp:posOffset>74930</wp:posOffset>
            </wp:positionV>
            <wp:extent cx="2057400" cy="3019425"/>
            <wp:effectExtent b="0" l="0" r="0" t="0"/>
            <wp:wrapNone/>
            <wp:docPr id="7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21973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3019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2621915</wp:posOffset>
            </wp:positionH>
            <wp:positionV relativeFrom="paragraph">
              <wp:posOffset>113029</wp:posOffset>
            </wp:positionV>
            <wp:extent cx="2295525" cy="2981325"/>
            <wp:effectExtent b="0" l="0" r="0" t="0"/>
            <wp:wrapNone/>
            <wp:docPr id="6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 b="9854" l="12562" r="21106" t="9697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9813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A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color w:val="21212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color w:val="21212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color w:val="21212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color w:val="21212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color w:val="21212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color w:val="21212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color w:val="212121"/>
          <w:rtl w:val="0"/>
        </w:rPr>
        <w:t xml:space="preserve">          </w:t>
      </w:r>
      <w:r w:rsidDel="00000000" w:rsidR="00000000" w:rsidRPr="00000000">
        <w:rPr>
          <w:color w:val="212121"/>
        </w:rPr>
        <w:drawing>
          <wp:inline distB="0" distT="0" distL="0" distR="0">
            <wp:extent cx="2361325" cy="2094951"/>
            <wp:effectExtent b="133187" l="-133186" r="-133186" t="133187"/>
            <wp:docPr descr="Image" id="3" name="image3.png"/>
            <a:graphic>
              <a:graphicData uri="http://schemas.openxmlformats.org/drawingml/2006/picture">
                <pic:pic>
                  <pic:nvPicPr>
                    <pic:cNvPr descr="Image"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61325" cy="20949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2602865</wp:posOffset>
            </wp:positionH>
            <wp:positionV relativeFrom="paragraph">
              <wp:posOffset>9525</wp:posOffset>
            </wp:positionV>
            <wp:extent cx="2286000" cy="2266950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 b="0" l="9505" r="10724" t="1401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66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1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Obligaciones del contratista</w:t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708"/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Al día siguiente del perfeccionamiento del contrato, el contratista deberá presentarse en Madrid (Cundinamarca), Carrera 5 No. 2 – 92 Sur instalaciones de la Escuela de Suboficiales FAC, previa coordinación con el supervisor o supervisor suplente del contrato ESUFA a fin de validar aspectos como: distribución, espacios donde se tiene prevista la instalación de los elementos a que haya lugar, asimismo el contratista deberá facilitar una carta de colores específicamente grises con  el fin de acordar cuál será el escogido para la pintura electrostática de las cómodas.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El contratista proporcionará, a la Escuela de Suboficiales FAC en el plazo de quince (15) días, la documentación técnica que defina las características físicas y funcionales de las Cómodas metálicas objeto del contrato, de conformidad con los lineamientos citados y que puedan estar especificadas en el Pliego de Condiciones Técnicas del contrato.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Para la entrega de los elementos que componen el objeto del contrato se deberá realizar previa coordinación con el supervisor del contrato designado por la ESUFA, podrá ser de lunes a viernes entre las 08:00 horas y las 15:00 horas, será el supervisor quien reciba, revise, elabore y firme el recibo a satisfacción. En caso de presentarse la necesidad de extender este horario o requerir algún fin de semana deberá ser con previa coordinación con el supervisor del contrato.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Todos los elementos y materiales suministrados deben ser nuevos, sin uso, de primera calidad y libre de defectos o imperfectos; si algunos de los componentes que integran el mobiliario es devuelto o no se recibe porque presenta daños, defectos de fabricación o porque no cumplen con las especificaciones técnicas, deberán ser sustituidos por el contratista en un plazo no superior a cinco (05) días hábiles calendario dentro del plazo de ejecución contractual.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Los elementos que componen el objeto del contrato deberán entregarse debidamente instalados en Madrid (Cundinamarca), Carrera 5 No. 2 – 92 Sur Escuela de Suboficiales FAC.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El contratista debe garantizar que las partes metálicas del mobiliario tenga protección anticorrosiva que garantice la durabilidad de la estructura por mínimo 3 años.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El contratista se compromete a realizar las reparaciones del caso, y/o reemplazar los elementos objeto del contrato en caso de presentarse estas novedades dentro del año siguiente a la entrega de conformidad a la garantía.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El contratista deberá asumir todos los costos y gastos directos e indirectos, incluidos almacenamiento, empaque, embalaje, transporte, equipos, herramientas, personal y suministros necesarios para la instalación de los elementos.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El personal necesario para el cumplimiento del objeto del contrato estará bajo responsabilidad del contratista y el deberá garantizar que se suministre y cumplan todos los elementos y protocolos de seguridad industrial y salud ocupacional en la fabricación, transporte e instalación de los elementos objeto del contrato, así como el suministro de equipos, herramientas e insumos adecuados de acuerdo con las características y magnitud de la instalación que se ha de ejecutar.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El contratista asumirá por su cuenta y riesgo, todos los imprevistos tanto económicos como físicos que conlleve la ejecución del contrato.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708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OBLIGACIONES GENERALES</w:t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Suscribir oportunamente el acta de Inicio y el acta de liquidación del contrato de compraventa juntamente con el supervisor de este.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Responder ante las autoridades competentes por los actos u omisiones que ejecute en desarrollo del contrato, cuando con ellos se cause perjuicio a la administración o a terceros en los términos del art. 52 de la Ley 80 de 1993.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Acreditar mediante certificación el pago de aportes Parafiscales (ICBF, SENA, CAJA DE COMPENSACION FAMILIAR) si aplica y de aportes patronales (pago de aportes en pensión, salud al sistema de seguridad social y riesgos laborales expedida por el revisor fiscal de la empresa o el representante legal de la misma en cumplimiento del Art. 50 de la Ley 789 de 2002, 828 de 2003, 1150 de 2007 y decreto 1082 de 2015 del mes correspondiente. En caso de ser persona natural el certificado de afiliación y fotocopia del último pago de aportes parafiscales y de seguridad social y riesgos laborales.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Entregar al supervisor del contrato o quien haga sus veces garantías del fabricante de los elementos adquiridos.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8" w:hanging="708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Cumplir con las especificaciones de tiempo, modo y lugar para la entrega de los elementos establecidos en los estudios previos, la propuesta y el contrato.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8" w:hanging="708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El contratista asumirá por su cuenta y riesgo, todos los imprevistos tanto económicos como físicos que conlleve la ejecución del contrato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b w:val="1"/>
        </w:rPr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b w:val="1"/>
          <w:rtl w:val="0"/>
        </w:rPr>
        <w:t xml:space="preserve">                     </w:t>
      </w:r>
      <w:r w:rsidDel="00000000" w:rsidR="00000000" w:rsidRPr="00000000">
        <w:rPr/>
        <w:drawing>
          <wp:inline distB="0" distT="0" distL="0" distR="0">
            <wp:extent cx="1327785" cy="473075"/>
            <wp:effectExtent b="0" l="0" r="0" t="0"/>
            <wp:docPr id="5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27739" l="25199" r="32661" t="46348"/>
                    <a:stretch>
                      <a:fillRect/>
                    </a:stretch>
                  </pic:blipFill>
                  <pic:spPr>
                    <a:xfrm>
                      <a:off x="0" y="0"/>
                      <a:ext cx="1327785" cy="473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rtl w:val="0"/>
        </w:rPr>
        <w:t xml:space="preserve">                                                                 </w:t>
      </w:r>
      <w:r w:rsidDel="00000000" w:rsidR="00000000" w:rsidRPr="00000000">
        <w:rPr>
          <w:b w:val="1"/>
        </w:rPr>
        <w:drawing>
          <wp:inline distB="0" distT="0" distL="0" distR="0">
            <wp:extent cx="593010" cy="549083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3010" cy="5490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rtl w:val="0"/>
        </w:rPr>
        <w:t xml:space="preserve">                                     </w:t>
      </w:r>
    </w:p>
    <w:p w:rsidR="00000000" w:rsidDel="00000000" w:rsidP="00000000" w:rsidRDefault="00000000" w:rsidRPr="00000000" w14:paraId="0000007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T2. GIRALDO MARIN CRISTIAN CAMILO                                          TC. CORREA JARAMILLO JAIME</w:t>
      </w:r>
    </w:p>
    <w:p w:rsidR="00000000" w:rsidDel="00000000" w:rsidP="00000000" w:rsidRDefault="00000000" w:rsidRPr="00000000" w14:paraId="0000008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ESTRUCTURADOR TECNICO                                                             GERENTE DEL PROYECTO</w:t>
      </w:r>
    </w:p>
    <w:sectPr>
      <w:pgSz w:h="15840" w:w="12240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-"/>
      <w:lvlJc w:val="left"/>
      <w:pPr>
        <w:ind w:left="4046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8.png"/><Relationship Id="rId13" Type="http://schemas.openxmlformats.org/officeDocument/2006/relationships/image" Target="media/image1.png"/><Relationship Id="rId12" Type="http://schemas.openxmlformats.org/officeDocument/2006/relationships/image" Target="media/image3.png"/><Relationship Id="rId1" Type="http://schemas.openxmlformats.org/officeDocument/2006/relationships/image" Target="media/image5.png"/><Relationship Id="rId2" Type="http://schemas.openxmlformats.org/officeDocument/2006/relationships/oleObject" Target="embeddings/oleObject1.bin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9.png"/><Relationship Id="rId15" Type="http://schemas.openxmlformats.org/officeDocument/2006/relationships/image" Target="media/image4.png"/><Relationship Id="rId14" Type="http://schemas.openxmlformats.org/officeDocument/2006/relationships/image" Target="media/image6.pn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