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84E" w:rsidRDefault="00C50378">
      <w:pPr>
        <w:jc w:val="right"/>
        <w:rPr>
          <w:rFonts w:ascii="Code3of9" w:eastAsia="Arial Unicode MS" w:hAnsi="Code3of9" w:cs="Tahoma"/>
          <w:sz w:val="40"/>
          <w:szCs w:val="40"/>
          <w:lang w:val="es-CO"/>
        </w:rPr>
      </w:pPr>
      <w:bookmarkStart w:id="0" w:name="_GoBack"/>
      <w:bookmarkEnd w:id="0"/>
      <w:r>
        <w:rPr>
          <w:rFonts w:ascii="Code3of9" w:eastAsia="Arial Unicode MS" w:hAnsi="Code3of9" w:cs="Tahoma"/>
          <w:sz w:val="40"/>
          <w:szCs w:val="40"/>
          <w:lang w:val="es-CO"/>
        </w:rPr>
        <w:t>*20205400050183*</w:t>
      </w:r>
    </w:p>
    <w:p w:rsidR="0070784E" w:rsidRDefault="00C50378">
      <w:pPr>
        <w:pStyle w:val="Standard"/>
        <w:ind w:left="-30" w:right="30"/>
        <w:jc w:val="right"/>
        <w:rPr>
          <w:rFonts w:ascii="Arial" w:hAnsi="Arial" w:cs="Arial"/>
          <w:color w:val="434343"/>
          <w:sz w:val="20"/>
        </w:rPr>
      </w:pPr>
      <w:r>
        <w:rPr>
          <w:rFonts w:ascii="Arial" w:hAnsi="Arial" w:cs="Arial"/>
          <w:color w:val="434343"/>
          <w:sz w:val="20"/>
        </w:rPr>
        <w:t>Al contestar por favor cite:</w:t>
      </w:r>
    </w:p>
    <w:p w:rsidR="0070784E" w:rsidRDefault="00C50378">
      <w:pPr>
        <w:pStyle w:val="Standard"/>
        <w:ind w:left="-30" w:right="30"/>
        <w:jc w:val="right"/>
        <w:rPr>
          <w:rFonts w:ascii="Arial" w:hAnsi="Arial" w:cs="Arial"/>
          <w:color w:val="434343"/>
          <w:sz w:val="20"/>
        </w:rPr>
      </w:pPr>
      <w:r>
        <w:rPr>
          <w:rFonts w:ascii="Arial" w:hAnsi="Arial" w:cs="Arial"/>
          <w:color w:val="434343"/>
          <w:sz w:val="20"/>
        </w:rPr>
        <w:t>Radicado No.: 20205400050183</w:t>
      </w:r>
    </w:p>
    <w:p w:rsidR="0070784E" w:rsidRDefault="00C50378">
      <w:pPr>
        <w:pStyle w:val="Standard"/>
        <w:ind w:left="-30" w:right="30"/>
        <w:jc w:val="right"/>
        <w:rPr>
          <w:rFonts w:ascii="Arial" w:hAnsi="Arial" w:cs="Arial"/>
          <w:color w:val="434343"/>
          <w:sz w:val="20"/>
        </w:rPr>
      </w:pPr>
      <w:r>
        <w:rPr>
          <w:rFonts w:ascii="Arial" w:hAnsi="Arial" w:cs="Arial"/>
          <w:color w:val="434343"/>
          <w:sz w:val="20"/>
        </w:rPr>
        <w:t>Fecha: 2020-03-24 13:55</w:t>
      </w:r>
    </w:p>
    <w:tbl>
      <w:tblPr>
        <w:tblW w:w="10352" w:type="dxa"/>
        <w:tblCellMar>
          <w:left w:w="10" w:type="dxa"/>
          <w:right w:w="10" w:type="dxa"/>
        </w:tblCellMar>
        <w:tblLook w:val="04A0" w:firstRow="1" w:lastRow="0" w:firstColumn="1" w:lastColumn="0" w:noHBand="0" w:noVBand="1"/>
      </w:tblPr>
      <w:tblGrid>
        <w:gridCol w:w="4361"/>
        <w:gridCol w:w="5991"/>
      </w:tblGrid>
      <w:tr w:rsidR="0070784E">
        <w:tblPrEx>
          <w:tblCellMar>
            <w:top w:w="0" w:type="dxa"/>
            <w:bottom w:w="0" w:type="dxa"/>
          </w:tblCellMar>
        </w:tblPrEx>
        <w:trPr>
          <w:trHeight w:val="402"/>
        </w:trPr>
        <w:tc>
          <w:tcPr>
            <w:tcW w:w="4361" w:type="dxa"/>
            <w:vMerge w:val="restart"/>
            <w:shd w:val="clear" w:color="auto" w:fill="auto"/>
            <w:tcMar>
              <w:top w:w="0" w:type="dxa"/>
              <w:left w:w="108" w:type="dxa"/>
              <w:bottom w:w="0" w:type="dxa"/>
              <w:right w:w="108" w:type="dxa"/>
            </w:tcMar>
            <w:vAlign w:val="center"/>
          </w:tcPr>
          <w:p w:rsidR="0070784E" w:rsidRDefault="00C50378">
            <w:pPr>
              <w:pStyle w:val="Standard"/>
              <w:tabs>
                <w:tab w:val="left" w:pos="1485"/>
              </w:tabs>
              <w:ind w:right="-104"/>
            </w:pPr>
            <w:r>
              <w:rPr>
                <w:rFonts w:ascii="Arial" w:hAnsi="Arial" w:cs="Arial"/>
                <w:sz w:val="20"/>
                <w:lang w:val="es-CO"/>
              </w:rPr>
              <w:t>Bogotá D.C.,</w:t>
            </w:r>
            <w:r>
              <w:rPr>
                <w:rFonts w:ascii="Arial" w:hAnsi="Arial" w:cs="Arial"/>
                <w:sz w:val="20"/>
                <w:lang w:val="es-CO"/>
              </w:rPr>
              <w:tab/>
            </w:r>
          </w:p>
          <w:p w:rsidR="0070784E" w:rsidRDefault="0070784E">
            <w:pPr>
              <w:pStyle w:val="Standard"/>
              <w:rPr>
                <w:rFonts w:ascii="Arial" w:hAnsi="Arial" w:cs="Arial"/>
                <w:sz w:val="20"/>
                <w:szCs w:val="22"/>
                <w:lang w:val="es-CO"/>
              </w:rPr>
            </w:pPr>
          </w:p>
        </w:tc>
        <w:tc>
          <w:tcPr>
            <w:tcW w:w="5991" w:type="dxa"/>
            <w:shd w:val="clear" w:color="auto" w:fill="auto"/>
            <w:tcMar>
              <w:top w:w="0" w:type="dxa"/>
              <w:left w:w="108" w:type="dxa"/>
              <w:bottom w:w="0" w:type="dxa"/>
              <w:right w:w="108" w:type="dxa"/>
            </w:tcMar>
            <w:vAlign w:val="center"/>
          </w:tcPr>
          <w:p w:rsidR="0070784E" w:rsidRDefault="0070784E">
            <w:pPr>
              <w:pStyle w:val="Standard"/>
              <w:tabs>
                <w:tab w:val="left" w:pos="1485"/>
              </w:tabs>
              <w:ind w:right="-104"/>
              <w:jc w:val="right"/>
              <w:rPr>
                <w:rFonts w:ascii="Code3of9" w:eastAsia="Arial Unicode MS" w:hAnsi="Code3of9" w:cs="Tahoma"/>
                <w:sz w:val="40"/>
                <w:szCs w:val="40"/>
                <w:lang w:val="es-CO"/>
              </w:rPr>
            </w:pPr>
          </w:p>
        </w:tc>
      </w:tr>
      <w:tr w:rsidR="0070784E">
        <w:tblPrEx>
          <w:tblCellMar>
            <w:top w:w="0" w:type="dxa"/>
            <w:bottom w:w="0" w:type="dxa"/>
          </w:tblCellMar>
        </w:tblPrEx>
        <w:trPr>
          <w:trHeight w:val="96"/>
        </w:trPr>
        <w:tc>
          <w:tcPr>
            <w:tcW w:w="4361" w:type="dxa"/>
            <w:vMerge/>
            <w:shd w:val="clear" w:color="auto" w:fill="auto"/>
            <w:tcMar>
              <w:top w:w="0" w:type="dxa"/>
              <w:left w:w="108" w:type="dxa"/>
              <w:bottom w:w="0" w:type="dxa"/>
              <w:right w:w="108" w:type="dxa"/>
            </w:tcMar>
            <w:vAlign w:val="center"/>
          </w:tcPr>
          <w:p w:rsidR="0070784E" w:rsidRDefault="0070784E">
            <w:pPr>
              <w:pStyle w:val="Standard"/>
              <w:jc w:val="both"/>
              <w:rPr>
                <w:rFonts w:ascii="Arial" w:hAnsi="Arial" w:cs="Arial"/>
                <w:sz w:val="20"/>
                <w:szCs w:val="22"/>
                <w:lang w:val="es-CO"/>
              </w:rPr>
            </w:pPr>
          </w:p>
        </w:tc>
        <w:tc>
          <w:tcPr>
            <w:tcW w:w="5991" w:type="dxa"/>
            <w:shd w:val="clear" w:color="auto" w:fill="auto"/>
            <w:tcMar>
              <w:top w:w="0" w:type="dxa"/>
              <w:left w:w="108" w:type="dxa"/>
              <w:bottom w:w="0" w:type="dxa"/>
              <w:right w:w="108" w:type="dxa"/>
            </w:tcMar>
          </w:tcPr>
          <w:p w:rsidR="0070784E" w:rsidRDefault="0070784E">
            <w:pPr>
              <w:pStyle w:val="Standard"/>
              <w:tabs>
                <w:tab w:val="left" w:pos="1485"/>
                <w:tab w:val="left" w:pos="6379"/>
              </w:tabs>
              <w:ind w:right="-115"/>
              <w:jc w:val="right"/>
            </w:pPr>
          </w:p>
        </w:tc>
      </w:tr>
    </w:tbl>
    <w:p w:rsidR="0070784E" w:rsidRDefault="0070784E">
      <w:pPr>
        <w:jc w:val="center"/>
        <w:rPr>
          <w:rFonts w:ascii="Arial" w:hAnsi="Arial" w:cs="Arial"/>
          <w:b/>
          <w:sz w:val="22"/>
          <w:szCs w:val="22"/>
          <w:lang w:val="es-CO"/>
        </w:rPr>
      </w:pPr>
    </w:p>
    <w:p w:rsidR="0070784E" w:rsidRDefault="00C50378">
      <w:pPr>
        <w:jc w:val="center"/>
        <w:rPr>
          <w:rFonts w:ascii="Arial" w:hAnsi="Arial" w:cs="Arial"/>
          <w:b/>
          <w:sz w:val="22"/>
          <w:szCs w:val="22"/>
          <w:lang w:val="es-CO"/>
        </w:rPr>
      </w:pPr>
      <w:r>
        <w:rPr>
          <w:rFonts w:ascii="Arial" w:hAnsi="Arial" w:cs="Arial"/>
          <w:b/>
          <w:sz w:val="22"/>
          <w:szCs w:val="22"/>
          <w:lang w:val="es-CO"/>
        </w:rPr>
        <w:t>MEMORANDO INTERNO</w:t>
      </w:r>
    </w:p>
    <w:p w:rsidR="0070784E" w:rsidRDefault="0070784E">
      <w:pPr>
        <w:jc w:val="center"/>
        <w:rPr>
          <w:rFonts w:ascii="Arial" w:hAnsi="Arial" w:cs="Arial"/>
          <w:b/>
          <w:sz w:val="22"/>
          <w:szCs w:val="22"/>
          <w:lang w:val="es-CO"/>
        </w:rPr>
      </w:pPr>
    </w:p>
    <w:p w:rsidR="0070784E" w:rsidRDefault="00C50378">
      <w:pPr>
        <w:jc w:val="both"/>
        <w:rPr>
          <w:rFonts w:ascii="Arial" w:hAnsi="Arial" w:cs="Arial"/>
          <w:b/>
          <w:sz w:val="20"/>
          <w:lang w:val="es-CO"/>
        </w:rPr>
      </w:pPr>
      <w:r>
        <w:rPr>
          <w:rFonts w:ascii="Arial" w:hAnsi="Arial" w:cs="Arial"/>
          <w:b/>
          <w:sz w:val="20"/>
          <w:lang w:val="es-CO"/>
        </w:rPr>
        <w:t>PARA:</w:t>
      </w:r>
      <w:r>
        <w:rPr>
          <w:rFonts w:ascii="Arial" w:hAnsi="Arial" w:cs="Arial"/>
          <w:b/>
          <w:sz w:val="20"/>
          <w:lang w:val="es-CO"/>
        </w:rPr>
        <w:tab/>
        <w:t>CLAUDIA ISABEL MEDINA SIERVO</w:t>
      </w:r>
    </w:p>
    <w:p w:rsidR="0070784E" w:rsidRDefault="00C50378">
      <w:pPr>
        <w:jc w:val="both"/>
        <w:rPr>
          <w:rFonts w:ascii="Arial" w:hAnsi="Arial" w:cs="Arial"/>
          <w:sz w:val="20"/>
          <w:lang w:val="es-CO"/>
        </w:rPr>
      </w:pPr>
      <w:r>
        <w:rPr>
          <w:rFonts w:ascii="Arial" w:hAnsi="Arial" w:cs="Arial"/>
          <w:sz w:val="20"/>
          <w:lang w:val="es-CO"/>
        </w:rPr>
        <w:tab/>
        <w:t xml:space="preserve">Jefe de </w:t>
      </w:r>
      <w:r>
        <w:rPr>
          <w:rFonts w:ascii="Arial" w:hAnsi="Arial" w:cs="Arial"/>
          <w:sz w:val="20"/>
          <w:lang w:val="es-CO"/>
        </w:rPr>
        <w:t>Oficina Jurídica</w:t>
      </w:r>
    </w:p>
    <w:p w:rsidR="0070784E" w:rsidRDefault="0070784E">
      <w:pPr>
        <w:jc w:val="both"/>
        <w:rPr>
          <w:rFonts w:ascii="Arial" w:hAnsi="Arial" w:cs="Arial"/>
          <w:sz w:val="20"/>
          <w:lang w:val="es-CO"/>
        </w:rPr>
      </w:pPr>
    </w:p>
    <w:p w:rsidR="0070784E" w:rsidRDefault="00C50378">
      <w:pPr>
        <w:jc w:val="both"/>
        <w:rPr>
          <w:rFonts w:ascii="Arial" w:hAnsi="Arial" w:cs="Arial"/>
          <w:b/>
          <w:sz w:val="20"/>
          <w:lang w:val="es-CO"/>
        </w:rPr>
      </w:pPr>
      <w:r>
        <w:rPr>
          <w:rFonts w:ascii="Arial" w:hAnsi="Arial" w:cs="Arial"/>
          <w:b/>
          <w:sz w:val="20"/>
          <w:lang w:val="es-CO"/>
        </w:rPr>
        <w:t>DE:</w:t>
      </w:r>
      <w:r>
        <w:rPr>
          <w:rFonts w:ascii="Arial" w:hAnsi="Arial" w:cs="Arial"/>
          <w:b/>
          <w:sz w:val="20"/>
          <w:lang w:val="es-CO"/>
        </w:rPr>
        <w:tab/>
        <w:t>JOSE MAURICIO VEGA LOPERA</w:t>
      </w:r>
    </w:p>
    <w:p w:rsidR="0070784E" w:rsidRDefault="00C50378">
      <w:pPr>
        <w:jc w:val="both"/>
        <w:rPr>
          <w:rFonts w:ascii="Arial" w:hAnsi="Arial" w:cs="Arial"/>
          <w:sz w:val="20"/>
          <w:lang w:val="es-CO"/>
        </w:rPr>
      </w:pPr>
      <w:r>
        <w:rPr>
          <w:rFonts w:ascii="Arial" w:hAnsi="Arial" w:cs="Arial"/>
          <w:sz w:val="20"/>
          <w:lang w:val="es-CO"/>
        </w:rPr>
        <w:tab/>
        <w:t>Gerente de Fiscalización</w:t>
      </w:r>
    </w:p>
    <w:p w:rsidR="0070784E" w:rsidRDefault="0070784E">
      <w:pPr>
        <w:jc w:val="both"/>
        <w:rPr>
          <w:rFonts w:ascii="Arial" w:hAnsi="Arial" w:cs="Arial"/>
          <w:sz w:val="20"/>
          <w:lang w:val="es-CO"/>
        </w:rPr>
      </w:pPr>
    </w:p>
    <w:p w:rsidR="0070784E" w:rsidRDefault="00C50378">
      <w:pPr>
        <w:jc w:val="both"/>
        <w:rPr>
          <w:rFonts w:ascii="Arial" w:hAnsi="Arial" w:cs="Arial"/>
          <w:b/>
          <w:sz w:val="20"/>
          <w:lang w:val="es-CO"/>
        </w:rPr>
      </w:pPr>
      <w:r>
        <w:rPr>
          <w:rFonts w:ascii="Arial" w:hAnsi="Arial" w:cs="Arial"/>
          <w:b/>
          <w:sz w:val="20"/>
          <w:lang w:val="es-CO"/>
        </w:rPr>
        <w:t xml:space="preserve">             IVAN DARIO RODRIGUEZ MURILLO</w:t>
      </w:r>
    </w:p>
    <w:p w:rsidR="0070784E" w:rsidRDefault="00C50378">
      <w:pPr>
        <w:jc w:val="both"/>
        <w:rPr>
          <w:rFonts w:ascii="Arial" w:hAnsi="Arial" w:cs="Arial"/>
          <w:sz w:val="20"/>
          <w:lang w:val="es-CO"/>
        </w:rPr>
      </w:pPr>
      <w:r>
        <w:rPr>
          <w:rFonts w:ascii="Arial" w:hAnsi="Arial" w:cs="Arial"/>
          <w:sz w:val="20"/>
          <w:lang w:val="es-CO"/>
        </w:rPr>
        <w:t xml:space="preserve">             Gerente Financiero</w:t>
      </w:r>
    </w:p>
    <w:p w:rsidR="0070784E" w:rsidRDefault="0070784E">
      <w:pPr>
        <w:jc w:val="both"/>
        <w:rPr>
          <w:rFonts w:ascii="Arial" w:hAnsi="Arial" w:cs="Arial"/>
          <w:b/>
          <w:sz w:val="20"/>
          <w:lang w:val="es-CO"/>
        </w:rPr>
      </w:pPr>
    </w:p>
    <w:p w:rsidR="0070784E" w:rsidRDefault="00C50378">
      <w:pPr>
        <w:jc w:val="both"/>
        <w:rPr>
          <w:rFonts w:ascii="Arial" w:hAnsi="Arial" w:cs="Arial"/>
          <w:b/>
          <w:sz w:val="20"/>
          <w:lang w:val="es-CO"/>
        </w:rPr>
      </w:pPr>
      <w:r>
        <w:rPr>
          <w:rFonts w:ascii="Arial" w:hAnsi="Arial" w:cs="Arial"/>
          <w:b/>
          <w:sz w:val="20"/>
          <w:lang w:val="es-CO"/>
        </w:rPr>
        <w:t xml:space="preserve">             EDGAR EDUARDO ROMERO BOHORQUEZ</w:t>
      </w:r>
    </w:p>
    <w:p w:rsidR="0070784E" w:rsidRDefault="00C50378">
      <w:pPr>
        <w:tabs>
          <w:tab w:val="left" w:pos="1701"/>
        </w:tabs>
        <w:jc w:val="both"/>
      </w:pPr>
      <w:r>
        <w:rPr>
          <w:rFonts w:ascii="Helvetica" w:hAnsi="Helvetica"/>
          <w:color w:val="202124"/>
          <w:spacing w:val="3"/>
          <w:sz w:val="21"/>
          <w:szCs w:val="21"/>
          <w:shd w:val="clear" w:color="auto" w:fill="FFFFFF"/>
        </w:rPr>
        <w:t xml:space="preserve">            Jefe Oficina de Tecnología</w:t>
      </w:r>
    </w:p>
    <w:p w:rsidR="0070784E" w:rsidRDefault="0070784E">
      <w:pPr>
        <w:tabs>
          <w:tab w:val="left" w:pos="1701"/>
        </w:tabs>
        <w:jc w:val="both"/>
        <w:rPr>
          <w:rFonts w:ascii="Arial" w:hAnsi="Arial" w:cs="Arial"/>
          <w:b/>
          <w:sz w:val="20"/>
          <w:lang w:val="es-CO"/>
        </w:rPr>
      </w:pPr>
    </w:p>
    <w:p w:rsidR="0070784E" w:rsidRDefault="00C50378">
      <w:pPr>
        <w:tabs>
          <w:tab w:val="left" w:pos="1701"/>
        </w:tabs>
        <w:jc w:val="both"/>
        <w:rPr>
          <w:rFonts w:ascii="Arial" w:hAnsi="Arial" w:cs="Arial"/>
          <w:b/>
          <w:sz w:val="20"/>
          <w:lang w:val="es-CO"/>
        </w:rPr>
      </w:pPr>
      <w:r>
        <w:rPr>
          <w:rFonts w:ascii="Arial" w:hAnsi="Arial" w:cs="Arial"/>
          <w:b/>
          <w:sz w:val="20"/>
          <w:lang w:val="es-CO"/>
        </w:rPr>
        <w:t xml:space="preserve">REFERENCIA: Concepto </w:t>
      </w:r>
      <w:r>
        <w:rPr>
          <w:rFonts w:ascii="Arial" w:hAnsi="Arial" w:cs="Arial"/>
          <w:b/>
          <w:sz w:val="20"/>
          <w:lang w:val="es-CO"/>
        </w:rPr>
        <w:t>suspensión contrato de concesión del juego novedoso SUPER astro No. C1725 de 2019</w:t>
      </w:r>
    </w:p>
    <w:p w:rsidR="0070784E" w:rsidRDefault="0070784E">
      <w:pPr>
        <w:ind w:left="1416" w:firstLine="708"/>
        <w:jc w:val="both"/>
        <w:rPr>
          <w:rFonts w:ascii="Arial" w:hAnsi="Arial" w:cs="Arial"/>
          <w:b/>
          <w:sz w:val="20"/>
          <w:lang w:val="es-CO"/>
        </w:rPr>
      </w:pPr>
    </w:p>
    <w:p w:rsidR="0070784E" w:rsidRDefault="00C50378">
      <w:pPr>
        <w:jc w:val="both"/>
        <w:rPr>
          <w:rFonts w:ascii="Arial" w:hAnsi="Arial" w:cs="Arial"/>
          <w:sz w:val="20"/>
          <w:lang w:val="es-CO"/>
        </w:rPr>
      </w:pPr>
      <w:r>
        <w:rPr>
          <w:rFonts w:ascii="Arial" w:hAnsi="Arial" w:cs="Arial"/>
          <w:sz w:val="20"/>
          <w:lang w:val="es-CO"/>
        </w:rPr>
        <w:t>Estimada doctora Claudia Isabel:</w:t>
      </w:r>
    </w:p>
    <w:p w:rsidR="0070784E" w:rsidRDefault="0070784E">
      <w:pPr>
        <w:pStyle w:val="Default"/>
        <w:jc w:val="both"/>
        <w:rPr>
          <w:color w:val="auto"/>
          <w:sz w:val="20"/>
          <w:szCs w:val="20"/>
          <w:lang w:eastAsia="es-ES"/>
        </w:rPr>
      </w:pPr>
    </w:p>
    <w:p w:rsidR="0070784E" w:rsidRDefault="00C50378">
      <w:pPr>
        <w:pStyle w:val="Default"/>
        <w:suppressAutoHyphens/>
        <w:jc w:val="both"/>
        <w:rPr>
          <w:color w:val="auto"/>
          <w:sz w:val="20"/>
          <w:szCs w:val="20"/>
          <w:lang w:eastAsia="es-ES"/>
        </w:rPr>
      </w:pPr>
      <w:r>
        <w:rPr>
          <w:color w:val="auto"/>
          <w:sz w:val="20"/>
          <w:szCs w:val="20"/>
          <w:lang w:eastAsia="es-ES"/>
        </w:rPr>
        <w:t>En atención a la solicitud realizada por el concesionario Corredor Empresarial S.A. mediante la cual solicita la suspensión del contrato de</w:t>
      </w:r>
      <w:r>
        <w:rPr>
          <w:color w:val="auto"/>
          <w:sz w:val="20"/>
          <w:szCs w:val="20"/>
          <w:lang w:eastAsia="es-ES"/>
        </w:rPr>
        <w:t xml:space="preserve"> concesión No. C1725 de 2019, en razón a circunstancias de orden público y medidas sanitarias tomadas por el gobierno frente a las acciones de control del virus COVID – 19, de manera atenta se indica:</w:t>
      </w:r>
    </w:p>
    <w:p w:rsidR="0070784E" w:rsidRDefault="0070784E">
      <w:pPr>
        <w:pStyle w:val="Default"/>
        <w:suppressAutoHyphens/>
        <w:jc w:val="both"/>
        <w:rPr>
          <w:color w:val="auto"/>
          <w:sz w:val="20"/>
          <w:szCs w:val="20"/>
          <w:lang w:eastAsia="es-ES"/>
        </w:rPr>
      </w:pPr>
    </w:p>
    <w:p w:rsidR="0070784E" w:rsidRDefault="00C50378">
      <w:pPr>
        <w:pStyle w:val="Default"/>
        <w:suppressAutoHyphens/>
        <w:jc w:val="both"/>
      </w:pPr>
      <w:r>
        <w:rPr>
          <w:color w:val="auto"/>
          <w:sz w:val="20"/>
          <w:szCs w:val="20"/>
          <w:lang w:eastAsia="es-ES"/>
        </w:rPr>
        <w:t xml:space="preserve">Como supervisores del contrato de concesión C1725, en </w:t>
      </w:r>
      <w:r>
        <w:rPr>
          <w:color w:val="auto"/>
          <w:sz w:val="20"/>
          <w:szCs w:val="20"/>
          <w:lang w:eastAsia="es-ES"/>
        </w:rPr>
        <w:t xml:space="preserve">concordancia con la designación realizada en la cláusula </w:t>
      </w:r>
      <w:r>
        <w:rPr>
          <w:iCs/>
          <w:color w:val="222222"/>
          <w:sz w:val="20"/>
          <w:szCs w:val="20"/>
          <w:shd w:val="clear" w:color="auto" w:fill="FFFFFF"/>
        </w:rPr>
        <w:t>VIGÉSIMA PRIMERA</w:t>
      </w:r>
      <w:r>
        <w:rPr>
          <w:rStyle w:val="Refdenotaalpie"/>
          <w:iCs/>
          <w:color w:val="222222"/>
          <w:sz w:val="20"/>
          <w:szCs w:val="20"/>
          <w:shd w:val="clear" w:color="auto" w:fill="FFFFFF"/>
        </w:rPr>
        <w:footnoteReference w:id="1"/>
      </w:r>
      <w:r>
        <w:rPr>
          <w:iCs/>
          <w:color w:val="222222"/>
          <w:sz w:val="20"/>
          <w:szCs w:val="20"/>
          <w:shd w:val="clear" w:color="auto" w:fill="FFFFFF"/>
        </w:rPr>
        <w:t xml:space="preserve"> </w:t>
      </w:r>
      <w:r>
        <w:rPr>
          <w:iCs/>
          <w:color w:val="222222"/>
          <w:sz w:val="20"/>
          <w:szCs w:val="20"/>
          <w:shd w:val="clear" w:color="auto" w:fill="FFFFFF"/>
        </w:rPr>
        <w:t>del contrato en cuestión, se emite concepto previo las siguientes consideraciones:</w:t>
      </w:r>
    </w:p>
    <w:p w:rsidR="0070784E" w:rsidRDefault="0070784E">
      <w:pPr>
        <w:pStyle w:val="Default"/>
        <w:suppressAutoHyphens/>
        <w:jc w:val="both"/>
        <w:rPr>
          <w:i/>
          <w:iCs/>
          <w:color w:val="222222"/>
          <w:sz w:val="20"/>
          <w:szCs w:val="20"/>
          <w:shd w:val="clear" w:color="auto" w:fill="FFFFFF"/>
        </w:rPr>
      </w:pPr>
    </w:p>
    <w:p w:rsidR="0070784E" w:rsidRDefault="00C50378">
      <w:pPr>
        <w:pStyle w:val="Default"/>
        <w:suppressAutoHyphens/>
        <w:jc w:val="both"/>
      </w:pPr>
      <w:r>
        <w:rPr>
          <w:sz w:val="20"/>
          <w:szCs w:val="20"/>
        </w:rPr>
        <w:t xml:space="preserve">El Ministerio de Salud y Protección Social mediante la Resolución 385 del 12 de marzo de 2020, declaró la emergencia sanitaria por causa del Coronavirus COVID 19, hasta el </w:t>
      </w:r>
      <w:r>
        <w:rPr>
          <w:sz w:val="20"/>
          <w:szCs w:val="20"/>
        </w:rPr>
        <w:t xml:space="preserve">30 de mayo de 2020 y adoptó medidas sanitarias con el objeto de prevenir y controlar la propagación en el territorio nacional y mitigar sus efectos. Por </w:t>
      </w:r>
      <w:r>
        <w:rPr>
          <w:sz w:val="20"/>
          <w:szCs w:val="20"/>
        </w:rPr>
        <w:lastRenderedPageBreak/>
        <w:t xml:space="preserve">su parte, la Alcadesa Mayor de Bogotá, expidió el Decreto 081 de 2020, “Por el cual se adoptan medidas </w:t>
      </w:r>
      <w:r>
        <w:rPr>
          <w:sz w:val="20"/>
          <w:szCs w:val="20"/>
        </w:rPr>
        <w:t>sanitarias y acciones transitorias de policía para la preservación de la vida y mitigación del riesgo”. Adoptando medidas de cuidado personal como colectivo. Ante la situación y la propagación de virus, el Gobierno Nacional expidió una serie de decretos, e</w:t>
      </w:r>
      <w:r>
        <w:rPr>
          <w:sz w:val="20"/>
          <w:szCs w:val="20"/>
        </w:rPr>
        <w:t>ntre ellos el Decreto 420 de 2020, en el cual el Presidente de la República impartió instrucciones para expedir normas en materia de orden público en virtud de la emergencia. En concordancia con el Decreto 420 de 2020, la Alcaldesa expidió el Decreto Distr</w:t>
      </w:r>
      <w:r>
        <w:rPr>
          <w:sz w:val="20"/>
          <w:szCs w:val="20"/>
        </w:rPr>
        <w:t>ital No 90 de 2020, "Por el cual se adoptan medidas</w:t>
      </w:r>
      <w:r>
        <w:t xml:space="preserve"> </w:t>
      </w:r>
      <w:r>
        <w:rPr>
          <w:sz w:val="20"/>
          <w:szCs w:val="20"/>
        </w:rPr>
        <w:t>transitorias pare garantizar el orden público en el Distrito Capital, con ocasión de la declaratoria de calamidad pública efectuada mediante Decreto Distrital 087 del 2020", limitando totalmente la circul</w:t>
      </w:r>
      <w:r>
        <w:rPr>
          <w:sz w:val="20"/>
          <w:szCs w:val="20"/>
        </w:rPr>
        <w:t>ación de vehículos y personas en el territorio del Distrito Capital de Bogotá entre el día jueves 19 de marzo de 2020 a las 23:59 horas hasta el lunes 23 de marzo de 2020 a las 23:59 horas, con 5 excepciones. Así mismo, en diferentes partes del país los Go</w:t>
      </w:r>
      <w:r>
        <w:rPr>
          <w:sz w:val="20"/>
          <w:szCs w:val="20"/>
        </w:rPr>
        <w:t xml:space="preserve">bernadores y Alcaldes, decretaron medidas para la prevención y evitar el contagio del coronavirus como toque de queda y cuarentena, durante el viernes 20 al 23 de marzo de 2020. </w:t>
      </w:r>
    </w:p>
    <w:p w:rsidR="0070784E" w:rsidRDefault="0070784E">
      <w:pPr>
        <w:pStyle w:val="Default"/>
        <w:suppressAutoHyphens/>
        <w:jc w:val="both"/>
        <w:rPr>
          <w:sz w:val="20"/>
          <w:szCs w:val="20"/>
        </w:rPr>
      </w:pPr>
    </w:p>
    <w:p w:rsidR="0070784E" w:rsidRDefault="00C50378">
      <w:pPr>
        <w:pStyle w:val="Default"/>
        <w:suppressAutoHyphens/>
        <w:jc w:val="both"/>
        <w:rPr>
          <w:sz w:val="20"/>
          <w:szCs w:val="20"/>
        </w:rPr>
      </w:pPr>
      <w:r>
        <w:rPr>
          <w:sz w:val="20"/>
          <w:szCs w:val="20"/>
        </w:rPr>
        <w:t xml:space="preserve">Por la propagación del virus a nivel mundial y con el fin de proteger la </w:t>
      </w:r>
      <w:r>
        <w:rPr>
          <w:sz w:val="20"/>
          <w:szCs w:val="20"/>
        </w:rPr>
        <w:t xml:space="preserve">vida y la salud de los colombianos y evitar la propagación a nivel nacional, el Presidente de la Republica consideró necesario ordenar un asilamiento preventivo obligatorio para todos los habitantes de la Republica de Colombia y para tal efecto expidió el </w:t>
      </w:r>
      <w:r>
        <w:rPr>
          <w:sz w:val="20"/>
          <w:szCs w:val="20"/>
        </w:rPr>
        <w:t>Decreto 457 de 2020, “por el cual se imparten instrucciones en virtud de la emergencia sanitaria generada por la pandemia del Coronavirus COVID 19 y el mantenimiento del orden público”, ordenando el aislamiento preventivo obligatorio para todas las persona</w:t>
      </w:r>
      <w:r>
        <w:rPr>
          <w:sz w:val="20"/>
          <w:szCs w:val="20"/>
        </w:rPr>
        <w:t>s habitantes en Colombia a partir de las cero horas (00:00 a.m.) del día 25 de marzo de 2020, hasta las cero horas (00:00a.m.) del 13 de abril de 2020, con excepciones, para garantizar el derecho a la vida y la salud de los colombianos.</w:t>
      </w:r>
    </w:p>
    <w:p w:rsidR="0070784E" w:rsidRDefault="0070784E">
      <w:pPr>
        <w:pStyle w:val="Default"/>
        <w:suppressAutoHyphens/>
        <w:jc w:val="both"/>
        <w:rPr>
          <w:sz w:val="20"/>
          <w:szCs w:val="20"/>
        </w:rPr>
      </w:pPr>
    </w:p>
    <w:p w:rsidR="0070784E" w:rsidRDefault="00C50378">
      <w:pPr>
        <w:pStyle w:val="Default"/>
        <w:suppressAutoHyphens/>
        <w:jc w:val="both"/>
      </w:pPr>
      <w:r>
        <w:rPr>
          <w:sz w:val="20"/>
          <w:szCs w:val="20"/>
        </w:rPr>
        <w:t xml:space="preserve">De otra parte, es </w:t>
      </w:r>
      <w:r>
        <w:rPr>
          <w:sz w:val="20"/>
          <w:szCs w:val="20"/>
        </w:rPr>
        <w:t>importante aclarar que el plazo de ejecución del contrato de concesión C1725 de 2019</w:t>
      </w:r>
      <w:r>
        <w:rPr>
          <w:b/>
          <w:bCs/>
          <w:sz w:val="20"/>
          <w:szCs w:val="20"/>
        </w:rPr>
        <w:t xml:space="preserve"> </w:t>
      </w:r>
      <w:r>
        <w:rPr>
          <w:sz w:val="20"/>
          <w:szCs w:val="20"/>
        </w:rPr>
        <w:t xml:space="preserve"> está compuesto por el término de implementación (Etapa preoperativa) más el término de operación del juego (Etapa Operativa). El término para implementar el juego (Etapa </w:t>
      </w:r>
      <w:r>
        <w:rPr>
          <w:sz w:val="20"/>
          <w:szCs w:val="20"/>
        </w:rPr>
        <w:t>preoperativa) contempla la adecuación técnica, comercial, financiera y tecnológica necesaria para iniciar la operación del juego.</w:t>
      </w:r>
    </w:p>
    <w:p w:rsidR="0070784E" w:rsidRDefault="0070784E">
      <w:pPr>
        <w:pStyle w:val="Default"/>
        <w:suppressAutoHyphens/>
        <w:jc w:val="both"/>
        <w:rPr>
          <w:sz w:val="20"/>
          <w:szCs w:val="20"/>
        </w:rPr>
      </w:pPr>
    </w:p>
    <w:p w:rsidR="0070784E" w:rsidRDefault="00C50378">
      <w:pPr>
        <w:pStyle w:val="Default"/>
        <w:suppressAutoHyphens/>
        <w:jc w:val="both"/>
        <w:rPr>
          <w:sz w:val="20"/>
          <w:szCs w:val="20"/>
        </w:rPr>
      </w:pPr>
      <w:r>
        <w:rPr>
          <w:sz w:val="20"/>
          <w:szCs w:val="20"/>
        </w:rPr>
        <w:t>Este término se cuenta a partir del cumplimiento de los requisitos de ejecución, el cual se dio el 13/01/2020 y finaliza el 2</w:t>
      </w:r>
      <w:r>
        <w:rPr>
          <w:sz w:val="20"/>
          <w:szCs w:val="20"/>
        </w:rPr>
        <w:t>4 de abril de 2020.</w:t>
      </w:r>
    </w:p>
    <w:p w:rsidR="0070784E" w:rsidRDefault="0070784E">
      <w:pPr>
        <w:pStyle w:val="Default"/>
        <w:suppressAutoHyphens/>
        <w:jc w:val="both"/>
        <w:rPr>
          <w:sz w:val="20"/>
          <w:szCs w:val="20"/>
        </w:rPr>
      </w:pPr>
    </w:p>
    <w:p w:rsidR="0070784E" w:rsidRDefault="00C50378">
      <w:pPr>
        <w:pStyle w:val="Default"/>
        <w:suppressAutoHyphens/>
        <w:jc w:val="both"/>
        <w:rPr>
          <w:sz w:val="20"/>
          <w:szCs w:val="20"/>
        </w:rPr>
      </w:pPr>
      <w:r>
        <w:rPr>
          <w:sz w:val="20"/>
          <w:szCs w:val="20"/>
        </w:rPr>
        <w:t>La Etapa Operativa del juego SUPER astro será de cinco (5) años, en concordancia con el inciso 3 del artículo 7 de la Ley 643 de 2001; dicho término iniciará a partir del 25 de abril de 2020 y finalizará el 24 de abril de 2025.</w:t>
      </w:r>
    </w:p>
    <w:p w:rsidR="0070784E" w:rsidRDefault="0070784E">
      <w:pPr>
        <w:pStyle w:val="Default"/>
        <w:suppressAutoHyphens/>
        <w:jc w:val="both"/>
        <w:rPr>
          <w:sz w:val="20"/>
          <w:szCs w:val="20"/>
        </w:rPr>
      </w:pPr>
    </w:p>
    <w:p w:rsidR="0070784E" w:rsidRDefault="00C50378">
      <w:pPr>
        <w:pStyle w:val="Default"/>
        <w:suppressAutoHyphens/>
        <w:jc w:val="both"/>
        <w:rPr>
          <w:sz w:val="20"/>
          <w:szCs w:val="20"/>
        </w:rPr>
      </w:pPr>
      <w:r>
        <w:rPr>
          <w:sz w:val="20"/>
          <w:szCs w:val="20"/>
        </w:rPr>
        <w:t>No obs</w:t>
      </w:r>
      <w:r>
        <w:rPr>
          <w:sz w:val="20"/>
          <w:szCs w:val="20"/>
        </w:rPr>
        <w:t>tante, a pesar de que a la fecha el contrato no se encuentra en etapa operativa, las medidas tomadas por la presidencia de la republica encaminadas a evitar la progagación del coronavirus COVID 19, afectan la implementación y adecuación técnica, comercial,</w:t>
      </w:r>
      <w:r>
        <w:rPr>
          <w:sz w:val="20"/>
          <w:szCs w:val="20"/>
        </w:rPr>
        <w:t xml:space="preserve"> financiera y tecnológica del juego para iniciar de manera oportuna la operación del juego el 25 de abril de 2020, tal como indica Corredor Empresarial en su solicitud, en la que se detallan puntualmente las obligaciones a las cuales no podría dar cabal cu</w:t>
      </w:r>
      <w:r>
        <w:rPr>
          <w:sz w:val="20"/>
          <w:szCs w:val="20"/>
        </w:rPr>
        <w:t>mplimiento.</w:t>
      </w:r>
    </w:p>
    <w:p w:rsidR="0070784E" w:rsidRDefault="0070784E">
      <w:pPr>
        <w:pStyle w:val="Default"/>
        <w:suppressAutoHyphens/>
        <w:jc w:val="both"/>
        <w:rPr>
          <w:sz w:val="20"/>
          <w:szCs w:val="20"/>
        </w:rPr>
      </w:pPr>
    </w:p>
    <w:p w:rsidR="0070784E" w:rsidRDefault="00C50378">
      <w:pPr>
        <w:pStyle w:val="Default"/>
        <w:suppressAutoHyphens/>
        <w:jc w:val="both"/>
        <w:rPr>
          <w:sz w:val="20"/>
          <w:szCs w:val="20"/>
        </w:rPr>
      </w:pPr>
      <w:r>
        <w:rPr>
          <w:sz w:val="20"/>
          <w:szCs w:val="20"/>
        </w:rPr>
        <w:t xml:space="preserve">Así mismo, vale la pena mencionar que el operador Corredor Empresarial S.A. también tiene en concesión el contrato de C1277 de 2015, el cual  se encuentra en etapa operativa y tiene vigencia hasta el 24 de abril de 2020 al cual se le otorgará </w:t>
      </w:r>
      <w:r>
        <w:rPr>
          <w:sz w:val="20"/>
          <w:szCs w:val="20"/>
        </w:rPr>
        <w:t>la suspensión del contrato, basados en el concepto emitido por la interventoría Consorcio Juegos 2015 mediante comunicado CJ-1748-2020 de 24/03/2020.</w:t>
      </w:r>
    </w:p>
    <w:p w:rsidR="0070784E" w:rsidRDefault="0070784E">
      <w:pPr>
        <w:pStyle w:val="Default"/>
        <w:suppressAutoHyphens/>
        <w:jc w:val="both"/>
        <w:rPr>
          <w:sz w:val="20"/>
          <w:szCs w:val="20"/>
        </w:rPr>
      </w:pPr>
    </w:p>
    <w:p w:rsidR="0070784E" w:rsidRDefault="00C50378">
      <w:pPr>
        <w:pStyle w:val="Default"/>
        <w:suppressAutoHyphens/>
        <w:jc w:val="both"/>
        <w:rPr>
          <w:sz w:val="20"/>
          <w:szCs w:val="20"/>
        </w:rPr>
      </w:pPr>
      <w:r>
        <w:rPr>
          <w:sz w:val="20"/>
          <w:szCs w:val="20"/>
        </w:rPr>
        <w:t>En este sentido, la suspensión del contrato de concesión C1725 de 2019 es necesaria, pues de no hacerlo s</w:t>
      </w:r>
      <w:r>
        <w:rPr>
          <w:sz w:val="20"/>
          <w:szCs w:val="20"/>
        </w:rPr>
        <w:t xml:space="preserve">e tendría en etapa operativa dos contratos de concesión de un mismo juego, lo cual no es procedente desde ningún punto de vista.     </w:t>
      </w:r>
    </w:p>
    <w:p w:rsidR="0070784E" w:rsidRDefault="0070784E">
      <w:pPr>
        <w:pStyle w:val="Default"/>
        <w:suppressAutoHyphens/>
        <w:jc w:val="both"/>
        <w:rPr>
          <w:sz w:val="20"/>
          <w:szCs w:val="20"/>
        </w:rPr>
      </w:pPr>
    </w:p>
    <w:p w:rsidR="0070784E" w:rsidRDefault="00C50378">
      <w:pPr>
        <w:pStyle w:val="Default"/>
        <w:suppressAutoHyphens/>
        <w:jc w:val="both"/>
        <w:rPr>
          <w:sz w:val="20"/>
          <w:szCs w:val="20"/>
        </w:rPr>
      </w:pPr>
      <w:r>
        <w:rPr>
          <w:sz w:val="20"/>
          <w:szCs w:val="20"/>
        </w:rPr>
        <w:t>Dicha suspensión estaría prevista desde el día 24 de marzo de 2020 a las 22:15 (hora del cierre de ventas y hasta la hora</w:t>
      </w:r>
      <w:r>
        <w:rPr>
          <w:sz w:val="20"/>
          <w:szCs w:val="20"/>
        </w:rPr>
        <w:t xml:space="preserve"> en que efectivamente se realice el sorteo 22:40, de SUPER astro Luna, hasta las cero (00:00 a.m.) del 13 de abril de 2020.</w:t>
      </w:r>
    </w:p>
    <w:p w:rsidR="0070784E" w:rsidRDefault="0070784E">
      <w:pPr>
        <w:pStyle w:val="Default"/>
        <w:suppressAutoHyphens/>
        <w:jc w:val="both"/>
        <w:rPr>
          <w:sz w:val="20"/>
          <w:szCs w:val="20"/>
        </w:rPr>
      </w:pPr>
    </w:p>
    <w:p w:rsidR="0070784E" w:rsidRDefault="00C50378">
      <w:pPr>
        <w:pStyle w:val="Default"/>
        <w:suppressAutoHyphens/>
        <w:jc w:val="both"/>
        <w:rPr>
          <w:sz w:val="20"/>
          <w:szCs w:val="20"/>
        </w:rPr>
      </w:pPr>
      <w:r>
        <w:rPr>
          <w:sz w:val="20"/>
          <w:szCs w:val="20"/>
        </w:rPr>
        <w:t>Por consiguiente y en el mismo sentido, los supervisores del contrato de concesión C1725 de 2019, están de acuerdo con otorgar la s</w:t>
      </w:r>
      <w:r>
        <w:rPr>
          <w:sz w:val="20"/>
          <w:szCs w:val="20"/>
        </w:rPr>
        <w:t>uspensión del contrato de concesión en los mismos términos de la suspensión del contrato de concesión C1277 de 2015.</w:t>
      </w:r>
    </w:p>
    <w:p w:rsidR="0070784E" w:rsidRDefault="0070784E">
      <w:pPr>
        <w:pStyle w:val="Default"/>
        <w:suppressAutoHyphens/>
        <w:jc w:val="both"/>
        <w:rPr>
          <w:sz w:val="20"/>
          <w:szCs w:val="20"/>
        </w:rPr>
      </w:pPr>
    </w:p>
    <w:p w:rsidR="0070784E" w:rsidRDefault="00C50378">
      <w:pPr>
        <w:pStyle w:val="Default"/>
        <w:suppressAutoHyphens/>
        <w:jc w:val="both"/>
        <w:rPr>
          <w:sz w:val="20"/>
          <w:szCs w:val="20"/>
        </w:rPr>
      </w:pPr>
      <w:r>
        <w:rPr>
          <w:sz w:val="20"/>
          <w:szCs w:val="20"/>
        </w:rPr>
        <w:t>Con lo cual se daría continuidad a la operación del juego SUPER astro, entre la finalización de un contrato e inicio del siguiente.</w:t>
      </w:r>
    </w:p>
    <w:p w:rsidR="0070784E" w:rsidRDefault="0070784E">
      <w:pPr>
        <w:pStyle w:val="Default"/>
        <w:suppressAutoHyphens/>
        <w:jc w:val="both"/>
        <w:rPr>
          <w:sz w:val="20"/>
          <w:szCs w:val="20"/>
        </w:rPr>
      </w:pPr>
    </w:p>
    <w:p w:rsidR="0070784E" w:rsidRDefault="0070784E">
      <w:pPr>
        <w:jc w:val="both"/>
        <w:rPr>
          <w:rFonts w:ascii="Arial" w:hAnsi="Arial" w:cs="Arial"/>
          <w:sz w:val="20"/>
          <w:lang w:val="es-CO"/>
        </w:rPr>
      </w:pPr>
    </w:p>
    <w:p w:rsidR="0070784E" w:rsidRDefault="0070784E">
      <w:pPr>
        <w:jc w:val="both"/>
        <w:rPr>
          <w:rFonts w:ascii="Arial" w:hAnsi="Arial" w:cs="Arial"/>
          <w:sz w:val="20"/>
          <w:lang w:val="es-CO"/>
        </w:rPr>
      </w:pPr>
    </w:p>
    <w:p w:rsidR="0070784E" w:rsidRDefault="00C50378">
      <w:pPr>
        <w:jc w:val="both"/>
      </w:pPr>
      <w:r>
        <w:rPr>
          <w:rFonts w:ascii="Arial" w:hAnsi="Arial" w:cs="Arial"/>
          <w:sz w:val="20"/>
          <w:lang w:val="es-CO"/>
        </w:rPr>
        <w:t>Cor</w:t>
      </w:r>
      <w:r>
        <w:rPr>
          <w:rFonts w:ascii="Arial" w:hAnsi="Arial" w:cs="Arial"/>
          <w:sz w:val="20"/>
          <w:lang w:val="es-CO"/>
        </w:rPr>
        <w:t>dialmente,</w:t>
      </w:r>
    </w:p>
    <w:p w:rsidR="0070784E" w:rsidRDefault="00C50378">
      <w:pPr>
        <w:pStyle w:val="Default"/>
        <w:suppressAutoHyphens/>
        <w:jc w:val="both"/>
        <w:rPr>
          <w:i/>
          <w:sz w:val="20"/>
          <w:szCs w:val="20"/>
        </w:rPr>
      </w:pPr>
      <w:r>
        <w:rPr>
          <w:i/>
          <w:sz w:val="20"/>
          <w:szCs w:val="20"/>
        </w:rPr>
        <w:t xml:space="preserve"> </w:t>
      </w:r>
    </w:p>
    <w:p w:rsidR="0070784E" w:rsidRDefault="0070784E">
      <w:pPr>
        <w:pStyle w:val="Default"/>
        <w:suppressAutoHyphens/>
        <w:jc w:val="both"/>
        <w:rPr>
          <w:i/>
          <w:sz w:val="20"/>
          <w:szCs w:val="20"/>
        </w:rPr>
      </w:pPr>
    </w:p>
    <w:p w:rsidR="0070784E" w:rsidRPr="00014BA6" w:rsidRDefault="00014BA6">
      <w:pPr>
        <w:pStyle w:val="Default"/>
        <w:suppressAutoHyphens/>
        <w:jc w:val="both"/>
        <w:rPr>
          <w:b/>
          <w:sz w:val="20"/>
          <w:szCs w:val="20"/>
        </w:rPr>
      </w:pPr>
      <w:r w:rsidRPr="00014BA6">
        <w:rPr>
          <w:b/>
          <w:sz w:val="20"/>
          <w:szCs w:val="20"/>
        </w:rPr>
        <w:t>ORIGINAL FIRMADO</w:t>
      </w:r>
    </w:p>
    <w:p w:rsidR="0070784E" w:rsidRDefault="00C50378">
      <w:pPr>
        <w:jc w:val="both"/>
      </w:pPr>
      <w:r>
        <w:rPr>
          <w:rFonts w:ascii="Arial" w:hAnsi="Arial" w:cs="Arial"/>
          <w:b/>
          <w:sz w:val="20"/>
          <w:lang w:val="es-CO"/>
        </w:rPr>
        <w:t>JOSE MAURICIO VEGA LOPERA</w:t>
      </w:r>
    </w:p>
    <w:p w:rsidR="0070784E" w:rsidRDefault="00C50378">
      <w:pPr>
        <w:jc w:val="both"/>
      </w:pPr>
      <w:r>
        <w:rPr>
          <w:rFonts w:ascii="Arial" w:hAnsi="Arial" w:cs="Arial"/>
          <w:sz w:val="20"/>
          <w:lang w:val="es-CO"/>
        </w:rPr>
        <w:t>Gerente de Fiscalización</w:t>
      </w:r>
    </w:p>
    <w:p w:rsidR="0070784E" w:rsidRDefault="0070784E">
      <w:pPr>
        <w:rPr>
          <w:rFonts w:ascii="Arial" w:hAnsi="Arial" w:cs="Arial"/>
          <w:sz w:val="22"/>
          <w:szCs w:val="22"/>
          <w:lang w:val="es-CO"/>
        </w:rPr>
      </w:pPr>
    </w:p>
    <w:p w:rsidR="0070784E" w:rsidRDefault="0070784E">
      <w:pPr>
        <w:rPr>
          <w:rFonts w:ascii="Arial" w:hAnsi="Arial" w:cs="Arial"/>
          <w:sz w:val="22"/>
          <w:szCs w:val="22"/>
          <w:lang w:val="es-CO"/>
        </w:rPr>
      </w:pPr>
    </w:p>
    <w:p w:rsidR="0070784E" w:rsidRDefault="00C50378">
      <w:pPr>
        <w:shd w:val="clear" w:color="auto" w:fill="FFFFFF"/>
        <w:jc w:val="both"/>
      </w:pPr>
      <w:r>
        <w:rPr>
          <w:rFonts w:ascii="Arial" w:hAnsi="Arial" w:cs="Arial"/>
          <w:sz w:val="16"/>
          <w:szCs w:val="16"/>
        </w:rPr>
        <w:t>Folios:   Dos (2) Folio</w:t>
      </w:r>
    </w:p>
    <w:p w:rsidR="0070784E" w:rsidRDefault="00C50378">
      <w:pPr>
        <w:shd w:val="clear" w:color="auto" w:fill="FFFFFF"/>
        <w:jc w:val="both"/>
        <w:rPr>
          <w:rFonts w:ascii="Arial" w:hAnsi="Arial" w:cs="Arial"/>
          <w:sz w:val="16"/>
          <w:szCs w:val="16"/>
        </w:rPr>
      </w:pPr>
      <w:r>
        <w:rPr>
          <w:rFonts w:ascii="Arial" w:hAnsi="Arial" w:cs="Arial"/>
          <w:sz w:val="16"/>
          <w:szCs w:val="16"/>
        </w:rPr>
        <w:t xml:space="preserve">Anexos: </w:t>
      </w:r>
    </w:p>
    <w:p w:rsidR="0070784E" w:rsidRDefault="00C50378">
      <w:pPr>
        <w:jc w:val="both"/>
      </w:pPr>
      <w:r>
        <w:rPr>
          <w:rFonts w:ascii="Arial" w:hAnsi="Arial" w:cs="Arial"/>
          <w:sz w:val="16"/>
          <w:szCs w:val="16"/>
        </w:rPr>
        <w:t xml:space="preserve">Revisó:   </w:t>
      </w:r>
      <w:r>
        <w:rPr>
          <w:rFonts w:ascii="Arial" w:hAnsi="Arial" w:cs="Arial"/>
          <w:sz w:val="16"/>
          <w:szCs w:val="16"/>
          <w:lang w:val="es-CO"/>
        </w:rPr>
        <w:t>Iván Darío Rodríguez Murillo -  Gerente Financiero</w:t>
      </w:r>
    </w:p>
    <w:p w:rsidR="0070784E" w:rsidRDefault="00C50378">
      <w:pPr>
        <w:jc w:val="both"/>
      </w:pPr>
      <w:r>
        <w:rPr>
          <w:rFonts w:ascii="Arial" w:hAnsi="Arial" w:cs="Arial"/>
          <w:sz w:val="16"/>
          <w:szCs w:val="16"/>
          <w:lang w:val="es-CO"/>
        </w:rPr>
        <w:t xml:space="preserve">               Edgar Eduardo Romero Bohórquez - </w:t>
      </w:r>
      <w:r>
        <w:rPr>
          <w:rFonts w:ascii="Helvetica" w:hAnsi="Helvetica"/>
          <w:color w:val="202124"/>
          <w:spacing w:val="3"/>
          <w:sz w:val="16"/>
          <w:szCs w:val="16"/>
          <w:shd w:val="clear" w:color="auto" w:fill="FFFFFF"/>
        </w:rPr>
        <w:t>Jefe Oficina De Tecnología</w:t>
      </w:r>
    </w:p>
    <w:p w:rsidR="0070784E" w:rsidRDefault="00C50378">
      <w:pPr>
        <w:shd w:val="clear" w:color="auto" w:fill="FFFFFF"/>
        <w:jc w:val="both"/>
        <w:rPr>
          <w:rFonts w:ascii="Arial" w:hAnsi="Arial" w:cs="Arial"/>
          <w:sz w:val="16"/>
          <w:szCs w:val="16"/>
        </w:rPr>
      </w:pPr>
      <w:r>
        <w:rPr>
          <w:rFonts w:ascii="Arial" w:hAnsi="Arial" w:cs="Arial"/>
          <w:sz w:val="16"/>
          <w:szCs w:val="16"/>
        </w:rPr>
        <w:t xml:space="preserve">Elaboro: Adriana </w:t>
      </w:r>
      <w:r>
        <w:rPr>
          <w:rFonts w:ascii="Arial" w:hAnsi="Arial" w:cs="Arial"/>
          <w:sz w:val="16"/>
          <w:szCs w:val="16"/>
        </w:rPr>
        <w:t xml:space="preserve">Soche Gordillo – Profesional 2 </w:t>
      </w:r>
    </w:p>
    <w:p w:rsidR="0070784E" w:rsidRDefault="00C50378">
      <w:pPr>
        <w:shd w:val="clear" w:color="auto" w:fill="FFFFFF"/>
        <w:jc w:val="both"/>
      </w:pPr>
      <w:r>
        <w:rPr>
          <w:rFonts w:ascii="Arial" w:hAnsi="Arial" w:cs="Arial"/>
          <w:sz w:val="16"/>
          <w:szCs w:val="16"/>
        </w:rPr>
        <w:t>Expediente: 20194000190300001E</w:t>
      </w:r>
    </w:p>
    <w:sectPr w:rsidR="0070784E">
      <w:headerReference w:type="default" r:id="rId6"/>
      <w:footerReference w:type="default" r:id="rId7"/>
      <w:pgSz w:w="12242" w:h="15842"/>
      <w:pgMar w:top="1525" w:right="1134" w:bottom="1134" w:left="1134" w:header="227" w:footer="62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0378" w:rsidRDefault="00C50378">
      <w:r>
        <w:separator/>
      </w:r>
    </w:p>
  </w:endnote>
  <w:endnote w:type="continuationSeparator" w:id="0">
    <w:p w:rsidR="00C50378" w:rsidRDefault="00C50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de3of9">
    <w:panose1 w:val="00000000000000000000"/>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B27" w:rsidRDefault="00C50378">
    <w:pPr>
      <w:pStyle w:val="Piedepgina"/>
      <w:tabs>
        <w:tab w:val="clear" w:pos="8504"/>
        <w:tab w:val="left" w:pos="8647"/>
        <w:tab w:val="right" w:pos="9072"/>
        <w:tab w:val="left" w:pos="9214"/>
        <w:tab w:val="left" w:pos="9781"/>
      </w:tabs>
      <w:ind w:left="-142" w:right="-232"/>
      <w:jc w:val="right"/>
    </w:pPr>
    <w:r>
      <w:rPr>
        <w:noProof/>
        <w:lang w:eastAsia="es-CO"/>
      </w:rPr>
      <w:drawing>
        <wp:anchor distT="0" distB="0" distL="114300" distR="114300" simplePos="0" relativeHeight="251659264" behindDoc="0" locked="0" layoutInCell="1" allowOverlap="1">
          <wp:simplePos x="0" y="0"/>
          <wp:positionH relativeFrom="margin">
            <wp:posOffset>-628650</wp:posOffset>
          </wp:positionH>
          <wp:positionV relativeFrom="page">
            <wp:posOffset>9154799</wp:posOffset>
          </wp:positionV>
          <wp:extent cx="7752082" cy="942975"/>
          <wp:effectExtent l="0" t="0" r="1268" b="9525"/>
          <wp:wrapSquare wrapText="bothSides"/>
          <wp:docPr id="2" name="Imagen 4" descr="Descripción: C:\Users\fcastro.COLJUEGOS\AppData\Local\Microsoft\Windows\Temporary Internet Files\Content.Outlook\PNBYWUNK\LogosPlaneación-10.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t="13913"/>
                  <a:stretch>
                    <a:fillRect/>
                  </a:stretch>
                </pic:blipFill>
                <pic:spPr>
                  <a:xfrm>
                    <a:off x="0" y="0"/>
                    <a:ext cx="7752082" cy="942975"/>
                  </a:xfrm>
                  <a:prstGeom prst="rect">
                    <a:avLst/>
                  </a:prstGeom>
                  <a:noFill/>
                  <a:ln>
                    <a:noFill/>
                    <a:prstDash/>
                  </a:ln>
                </pic:spPr>
              </pic:pic>
            </a:graphicData>
          </a:graphic>
        </wp:anchor>
      </w:drawing>
    </w:r>
    <w:r>
      <w:rPr>
        <w:rStyle w:val="Nmerodepgina"/>
        <w:sz w:val="18"/>
      </w:rPr>
      <w:t xml:space="preserve">Página </w:t>
    </w:r>
    <w:r>
      <w:rPr>
        <w:rStyle w:val="Nmerodepgina"/>
        <w:sz w:val="18"/>
      </w:rPr>
      <w:fldChar w:fldCharType="begin"/>
    </w:r>
    <w:r>
      <w:rPr>
        <w:rStyle w:val="Nmerodepgina"/>
        <w:sz w:val="18"/>
      </w:rPr>
      <w:instrText xml:space="preserve"> PAGE </w:instrText>
    </w:r>
    <w:r>
      <w:rPr>
        <w:rStyle w:val="Nmerodepgina"/>
        <w:sz w:val="18"/>
      </w:rPr>
      <w:fldChar w:fldCharType="separate"/>
    </w:r>
    <w:r w:rsidR="00014BA6">
      <w:rPr>
        <w:rStyle w:val="Nmerodepgina"/>
        <w:noProof/>
        <w:sz w:val="18"/>
      </w:rPr>
      <w:t>2</w:t>
    </w:r>
    <w:r>
      <w:rPr>
        <w:rStyle w:val="Nmerodepgina"/>
        <w:sz w:val="18"/>
      </w:rPr>
      <w:fldChar w:fldCharType="end"/>
    </w:r>
    <w:r>
      <w:rPr>
        <w:rStyle w:val="Nmerodepgina"/>
        <w:sz w:val="18"/>
      </w:rPr>
      <w:t xml:space="preserve"> de </w:t>
    </w:r>
    <w:r>
      <w:rPr>
        <w:rStyle w:val="Nmerodepgina"/>
        <w:sz w:val="18"/>
      </w:rPr>
      <w:fldChar w:fldCharType="begin"/>
    </w:r>
    <w:r>
      <w:rPr>
        <w:rStyle w:val="Nmerodepgina"/>
        <w:sz w:val="18"/>
      </w:rPr>
      <w:instrText xml:space="preserve"> NUMPAGES </w:instrText>
    </w:r>
    <w:r>
      <w:rPr>
        <w:rStyle w:val="Nmerodepgina"/>
        <w:sz w:val="18"/>
      </w:rPr>
      <w:fldChar w:fldCharType="separate"/>
    </w:r>
    <w:r w:rsidR="00014BA6">
      <w:rPr>
        <w:rStyle w:val="Nmerodepgina"/>
        <w:noProof/>
        <w:sz w:val="18"/>
      </w:rPr>
      <w:t>3</w:t>
    </w:r>
    <w:r>
      <w:rPr>
        <w:rStyle w:val="Nmerodepgina"/>
        <w:sz w:val="18"/>
      </w:rPr>
      <w:fldChar w:fldCharType="end"/>
    </w:r>
  </w:p>
  <w:p w:rsidR="008B2B27" w:rsidRDefault="00C50378">
    <w:pPr>
      <w:pStyle w:val="Piedepgina"/>
      <w:jc w:val="both"/>
    </w:pPr>
  </w:p>
  <w:p w:rsidR="008B2B27" w:rsidRDefault="00C50378">
    <w:pPr>
      <w:pStyle w:val="Piedepgina"/>
    </w:pPr>
  </w:p>
  <w:p w:rsidR="008B2B27" w:rsidRDefault="00C5037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0378" w:rsidRDefault="00C50378">
      <w:r>
        <w:rPr>
          <w:color w:val="000000"/>
        </w:rPr>
        <w:separator/>
      </w:r>
    </w:p>
  </w:footnote>
  <w:footnote w:type="continuationSeparator" w:id="0">
    <w:p w:rsidR="00C50378" w:rsidRDefault="00C50378">
      <w:r>
        <w:continuationSeparator/>
      </w:r>
    </w:p>
  </w:footnote>
  <w:footnote w:id="1">
    <w:p w:rsidR="0070784E" w:rsidRDefault="00C50378">
      <w:pPr>
        <w:pStyle w:val="Default"/>
        <w:suppressAutoHyphens/>
        <w:jc w:val="both"/>
      </w:pPr>
      <w:r>
        <w:rPr>
          <w:rStyle w:val="Refdenotaalpie"/>
        </w:rPr>
        <w:footnoteRef/>
      </w:r>
      <w:r>
        <w:t xml:space="preserve"> "</w:t>
      </w:r>
      <w:r>
        <w:rPr>
          <w:i/>
          <w:iCs/>
          <w:color w:val="222222"/>
          <w:sz w:val="16"/>
          <w:szCs w:val="16"/>
          <w:shd w:val="clear" w:color="auto" w:fill="FFFFFF"/>
        </w:rPr>
        <w:t>VIGÉSIMA PRIMERA. SUPERVISIÓN. - En los períodos contractuales en que el Interventor no ejerza sus funciones, la supervisión de las obligaciones financieras estará a cargo del Ge</w:t>
      </w:r>
      <w:r>
        <w:rPr>
          <w:i/>
          <w:iCs/>
          <w:color w:val="222222"/>
          <w:sz w:val="16"/>
          <w:szCs w:val="16"/>
          <w:shd w:val="clear" w:color="auto" w:fill="FFFFFF"/>
        </w:rPr>
        <w:t>rente Financiero de la Vicepresidencia de Desarrollo Organizacional de Coljuegos o quien haga sus veces; las obligaciones tecnológicas estará a cargo del Jefe de la Oficina de Tecnología de la Información de Coljuegos o quien haga sus veces y las demás obl</w:t>
      </w:r>
      <w:r>
        <w:rPr>
          <w:i/>
          <w:iCs/>
          <w:color w:val="222222"/>
          <w:sz w:val="16"/>
          <w:szCs w:val="16"/>
          <w:shd w:val="clear" w:color="auto" w:fill="FFFFFF"/>
        </w:rPr>
        <w:t>igaciones estarán a cargo del Gerente de Seguimiento Contractual de Coljuegos o quien haga sus veces. Lo anterior sin perjuicio de que el Presidente de Coljuegos pueda designar personas diferentes a las aquí enunciadas para la supervisión del contrato</w:t>
      </w:r>
      <w:r>
        <w:rPr>
          <w:color w:val="222222"/>
          <w:sz w:val="16"/>
          <w:szCs w:val="16"/>
          <w:shd w:val="clear" w:color="auto" w:fill="FFFFFF"/>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B27" w:rsidRDefault="00C50378">
    <w:pPr>
      <w:pStyle w:val="Encabezado"/>
      <w:ind w:left="-1134"/>
      <w:jc w:val="right"/>
      <w:rPr>
        <w:lang w:eastAsia="es-CO"/>
      </w:rPr>
    </w:pPr>
  </w:p>
  <w:p w:rsidR="008B2B27" w:rsidRDefault="00C50378">
    <w:pPr>
      <w:pStyle w:val="Encabezado"/>
      <w:ind w:left="-1134"/>
      <w:jc w:val="center"/>
    </w:pPr>
    <w:r>
      <w:rPr>
        <w:noProof/>
        <w:lang w:eastAsia="es-CO"/>
      </w:rPr>
      <w:drawing>
        <wp:inline distT="0" distB="0" distL="0" distR="0">
          <wp:extent cx="3972610" cy="533488"/>
          <wp:effectExtent l="0" t="0" r="8840" b="0"/>
          <wp:docPr id="1" name="Imagen 3" descr="C:\Users\lguerrero\Downloads\Cabezote-manual-de-gobierno-de-Colombia.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972610" cy="533488"/>
                  </a:xfrm>
                  <a:prstGeom prst="rect">
                    <a:avLst/>
                  </a:prstGeom>
                  <a:noFill/>
                  <a:ln>
                    <a:noFill/>
                    <a:prstDash/>
                  </a:ln>
                </pic:spPr>
              </pic:pic>
            </a:graphicData>
          </a:graphic>
        </wp:inline>
      </w:drawing>
    </w:r>
  </w:p>
  <w:p w:rsidR="008B2B27" w:rsidRDefault="00C50378">
    <w:pPr>
      <w:pStyle w:val="Encabezado"/>
      <w:ind w:left="-1134"/>
      <w:jc w:val="right"/>
    </w:pPr>
    <w:r>
      <w:rPr>
        <w:rFonts w:cs="Bookman Old Style"/>
        <w:sz w:val="12"/>
        <w:szCs w:val="16"/>
        <w:lang w:eastAsia="es-CO"/>
      </w:rPr>
      <w:t>V9, 24-01-2020</w:t>
    </w:r>
    <w:r>
      <w:rPr>
        <w:rFonts w:cs="Bookman Old Style"/>
        <w:sz w:val="12"/>
        <w:szCs w:val="16"/>
        <w:lang w:eastAsia="es-CO"/>
      </w:rPr>
      <w:br/>
    </w:r>
    <w:r>
      <w:rPr>
        <w:rFonts w:cs="Bookman Old Style"/>
        <w:sz w:val="12"/>
        <w:szCs w:val="16"/>
        <w:lang w:eastAsia="es-CO"/>
      </w:rPr>
      <w:t>TRD: 1-100</w:t>
    </w:r>
  </w:p>
  <w:p w:rsidR="008B2B27" w:rsidRDefault="00C50378">
    <w:pPr>
      <w:pStyle w:val="Encabezado"/>
      <w:ind w:left="-1134"/>
      <w:jc w:val="right"/>
      <w:rPr>
        <w:rFonts w:cs="Bookman Old Style"/>
        <w:sz w:val="12"/>
        <w:szCs w:val="16"/>
        <w:lang w:eastAsia="es-CO"/>
      </w:rPr>
    </w:pPr>
  </w:p>
  <w:p w:rsidR="008B2B27" w:rsidRDefault="00C50378">
    <w:pPr>
      <w:pStyle w:val="Encabezado"/>
      <w:ind w:left="-1134"/>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
  <w:rsids>
    <w:rsidRoot w:val="0070784E"/>
    <w:rsid w:val="00014BA6"/>
    <w:rsid w:val="0070784E"/>
    <w:rsid w:val="00C503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4E4A63-2AC4-49CA-9F3B-2C656ED4F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rFonts w:ascii="Bookman Old Style" w:hAnsi="Bookman Old Style"/>
      <w:sz w:val="24"/>
      <w:lang w:val="es-ES" w:eastAsia="es-ES"/>
    </w:rPr>
  </w:style>
  <w:style w:type="paragraph" w:styleId="Ttulo1">
    <w:name w:val="heading 1"/>
    <w:basedOn w:val="Normal"/>
    <w:next w:val="Normal"/>
    <w:pPr>
      <w:keepNext/>
      <w:outlineLvl w:val="0"/>
    </w:pPr>
    <w:rPr>
      <w:rFonts w:ascii="Arial" w:hAnsi="Arial" w:cs="Arial"/>
      <w:b/>
      <w:caps/>
      <w:sz w:val="28"/>
      <w:szCs w:val="24"/>
      <w:lang w:val="es-CO"/>
    </w:rPr>
  </w:style>
  <w:style w:type="paragraph" w:styleId="Ttulo2">
    <w:name w:val="heading 2"/>
    <w:basedOn w:val="Normal"/>
    <w:next w:val="Normal"/>
    <w:pPr>
      <w:keepNext/>
      <w:outlineLvl w:val="1"/>
    </w:pPr>
    <w:rPr>
      <w:rFonts w:ascii="Arial" w:hAnsi="Arial" w:cs="Arial"/>
      <w:b/>
      <w:caps/>
      <w:sz w:val="28"/>
      <w:szCs w:val="24"/>
      <w:lang w:val="es-CO"/>
    </w:rPr>
  </w:style>
  <w:style w:type="paragraph" w:styleId="Ttulo3">
    <w:name w:val="heading 3"/>
    <w:basedOn w:val="Normal"/>
    <w:next w:val="Normal"/>
    <w:pPr>
      <w:keepNext/>
      <w:jc w:val="center"/>
      <w:outlineLvl w:val="2"/>
    </w:pPr>
    <w:rPr>
      <w:rFonts w:ascii="Arial" w:hAnsi="Arial"/>
      <w:b/>
      <w:bCs/>
      <w:sz w:val="20"/>
      <w:szCs w:val="24"/>
      <w:lang w:val="es-CO"/>
    </w:rPr>
  </w:style>
  <w:style w:type="paragraph" w:styleId="Ttulo4">
    <w:name w:val="heading 4"/>
    <w:basedOn w:val="Normal"/>
    <w:next w:val="Normal"/>
    <w:pPr>
      <w:keepNext/>
      <w:jc w:val="center"/>
      <w:outlineLvl w:val="3"/>
    </w:pPr>
    <w:rPr>
      <w:rFonts w:ascii="Arial" w:hAnsi="Arial"/>
      <w:b/>
      <w:bCs/>
      <w:sz w:val="32"/>
      <w:szCs w:val="24"/>
      <w:lang w:val="es-CO"/>
    </w:rPr>
  </w:style>
  <w:style w:type="paragraph" w:styleId="Ttulo5">
    <w:name w:val="heading 5"/>
    <w:basedOn w:val="Normal"/>
    <w:next w:val="Normal"/>
    <w:pPr>
      <w:keepNext/>
      <w:outlineLvl w:val="4"/>
    </w:pPr>
    <w:rPr>
      <w:rFonts w:ascii="Tahoma" w:hAnsi="Tahoma" w:cs="Tahoma"/>
      <w:b/>
      <w:bCs/>
      <w:sz w:val="20"/>
      <w:szCs w:val="24"/>
      <w:lang w:val="es-CO"/>
    </w:rPr>
  </w:style>
  <w:style w:type="paragraph" w:styleId="Ttulo6">
    <w:name w:val="heading 6"/>
    <w:basedOn w:val="Normal"/>
    <w:next w:val="Normal"/>
    <w:pPr>
      <w:keepNext/>
      <w:jc w:val="center"/>
      <w:outlineLvl w:val="5"/>
    </w:pPr>
    <w:rPr>
      <w:rFonts w:ascii="Tahoma" w:hAnsi="Tahoma" w:cs="Tahoma"/>
      <w:b/>
      <w:sz w:val="14"/>
      <w:szCs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
    <w:name w:val="Título"/>
    <w:basedOn w:val="Normal"/>
    <w:pPr>
      <w:jc w:val="center"/>
    </w:pPr>
    <w:rPr>
      <w:rFonts w:ascii="Arial" w:hAnsi="Arial"/>
      <w:b/>
      <w:bCs/>
      <w:sz w:val="32"/>
      <w:szCs w:val="24"/>
      <w:lang w:val="es-CO"/>
    </w:rPr>
  </w:style>
  <w:style w:type="paragraph" w:styleId="Encabezado">
    <w:name w:val="header"/>
    <w:basedOn w:val="Normal"/>
    <w:pPr>
      <w:tabs>
        <w:tab w:val="center" w:pos="4252"/>
        <w:tab w:val="right" w:pos="8504"/>
      </w:tabs>
    </w:pPr>
    <w:rPr>
      <w:rFonts w:ascii="Arial" w:hAnsi="Arial"/>
      <w:szCs w:val="24"/>
      <w:lang w:val="es-CO"/>
    </w:rPr>
  </w:style>
  <w:style w:type="paragraph" w:styleId="Piedepgina">
    <w:name w:val="footer"/>
    <w:basedOn w:val="Normal"/>
    <w:pPr>
      <w:tabs>
        <w:tab w:val="center" w:pos="4252"/>
        <w:tab w:val="right" w:pos="8504"/>
      </w:tabs>
    </w:pPr>
    <w:rPr>
      <w:rFonts w:ascii="Arial" w:hAnsi="Arial"/>
      <w:szCs w:val="24"/>
      <w:lang w:val="es-CO"/>
    </w:rPr>
  </w:style>
  <w:style w:type="character" w:styleId="Nmerodepgina">
    <w:name w:val="page number"/>
    <w:basedOn w:val="Fuentedeprrafopredeter"/>
  </w:style>
  <w:style w:type="paragraph" w:styleId="Textoindependiente">
    <w:name w:val="Body Text"/>
    <w:basedOn w:val="Normal"/>
    <w:pPr>
      <w:spacing w:before="120" w:after="120"/>
      <w:jc w:val="both"/>
    </w:pPr>
    <w:rPr>
      <w:rFonts w:ascii="Arial" w:hAnsi="Arial"/>
      <w:sz w:val="16"/>
      <w:szCs w:val="24"/>
      <w:lang w:val="es-CO"/>
    </w:rPr>
  </w:style>
  <w:style w:type="paragraph" w:styleId="Sangradetextonormal">
    <w:name w:val="Body Text Indent"/>
    <w:basedOn w:val="Normal"/>
    <w:pPr>
      <w:ind w:left="340"/>
      <w:jc w:val="both"/>
    </w:pPr>
    <w:rPr>
      <w:rFonts w:ascii="Tahoma" w:hAnsi="Tahoma" w:cs="Tahoma"/>
      <w:sz w:val="16"/>
      <w:szCs w:val="24"/>
      <w:lang w:val="es-CO"/>
    </w:rPr>
  </w:style>
  <w:style w:type="paragraph" w:styleId="Sangra2detindependiente">
    <w:name w:val="Body Text Indent 2"/>
    <w:basedOn w:val="Normal"/>
    <w:pPr>
      <w:spacing w:before="120" w:after="120"/>
      <w:ind w:left="580"/>
      <w:jc w:val="both"/>
    </w:pPr>
    <w:rPr>
      <w:rFonts w:ascii="Tahoma" w:hAnsi="Tahoma"/>
      <w:sz w:val="20"/>
      <w:szCs w:val="24"/>
      <w:lang w:val="es-CO"/>
    </w:rPr>
  </w:style>
  <w:style w:type="paragraph" w:styleId="Sangra3detindependiente">
    <w:name w:val="Body Text Indent 3"/>
    <w:basedOn w:val="Normal"/>
    <w:pPr>
      <w:spacing w:before="120" w:after="120"/>
      <w:ind w:left="340"/>
    </w:pPr>
    <w:rPr>
      <w:rFonts w:ascii="Tahoma" w:hAnsi="Tahoma"/>
      <w:sz w:val="20"/>
      <w:szCs w:val="24"/>
      <w:lang w:val="es-CO"/>
    </w:rPr>
  </w:style>
  <w:style w:type="paragraph" w:styleId="Textoindependiente2">
    <w:name w:val="Body Text 2"/>
    <w:basedOn w:val="Normal"/>
    <w:pPr>
      <w:spacing w:before="120" w:after="120"/>
      <w:jc w:val="both"/>
    </w:pPr>
    <w:rPr>
      <w:rFonts w:ascii="Tahoma" w:hAnsi="Tahoma"/>
      <w:sz w:val="20"/>
      <w:szCs w:val="24"/>
      <w:lang w:val="es-CO"/>
    </w:rPr>
  </w:style>
  <w:style w:type="character" w:styleId="Hipervnculo">
    <w:name w:val="Hyperlink"/>
    <w:rPr>
      <w:color w:val="0000FF"/>
      <w:u w:val="single"/>
    </w:rPr>
  </w:style>
  <w:style w:type="character" w:styleId="Refdecomentario">
    <w:name w:val="annotation reference"/>
    <w:rPr>
      <w:sz w:val="16"/>
      <w:szCs w:val="16"/>
    </w:rPr>
  </w:style>
  <w:style w:type="paragraph" w:styleId="Textocomentario">
    <w:name w:val="annotation text"/>
    <w:basedOn w:val="Normal"/>
    <w:rPr>
      <w:rFonts w:ascii="Times New Roman" w:hAnsi="Times New Roman"/>
      <w:sz w:val="20"/>
    </w:rPr>
  </w:style>
  <w:style w:type="paragraph" w:styleId="Textodeglobo">
    <w:name w:val="Balloon Text"/>
    <w:basedOn w:val="Normal"/>
    <w:rPr>
      <w:rFonts w:ascii="Tahoma" w:hAnsi="Tahoma" w:cs="Tahoma"/>
      <w:sz w:val="16"/>
      <w:szCs w:val="16"/>
    </w:rPr>
  </w:style>
  <w:style w:type="paragraph" w:styleId="Textonotapie">
    <w:name w:val="footnote text"/>
    <w:basedOn w:val="Normal"/>
    <w:rPr>
      <w:rFonts w:ascii="Arial" w:hAnsi="Arial"/>
      <w:sz w:val="20"/>
      <w:lang w:val="es-CO"/>
    </w:rPr>
  </w:style>
  <w:style w:type="character" w:styleId="Refdenotaalpie">
    <w:name w:val="footnote reference"/>
    <w:rPr>
      <w:position w:val="0"/>
      <w:vertAlign w:val="superscript"/>
    </w:rPr>
  </w:style>
  <w:style w:type="paragraph" w:customStyle="1" w:styleId="Style1">
    <w:name w:val="Style1"/>
    <w:basedOn w:val="Normal"/>
    <w:pPr>
      <w:widowControl w:val="0"/>
      <w:autoSpaceDE w:val="0"/>
      <w:spacing w:line="211" w:lineRule="exact"/>
      <w:jc w:val="center"/>
    </w:pPr>
    <w:rPr>
      <w:rFonts w:ascii="Arial Narrow" w:hAnsi="Arial Narrow"/>
      <w:szCs w:val="24"/>
      <w:lang w:val="es-CO" w:eastAsia="es-CO"/>
    </w:rPr>
  </w:style>
  <w:style w:type="character" w:customStyle="1" w:styleId="FontStyle12">
    <w:name w:val="Font Style12"/>
    <w:rPr>
      <w:rFonts w:ascii="Arial Narrow" w:hAnsi="Arial Narrow" w:cs="Arial Narrow"/>
      <w:b/>
      <w:bCs/>
      <w:color w:val="000000"/>
      <w:sz w:val="16"/>
      <w:szCs w:val="16"/>
    </w:rPr>
  </w:style>
  <w:style w:type="character" w:customStyle="1" w:styleId="EncabezadoCar">
    <w:name w:val="Encabezado Car"/>
    <w:rPr>
      <w:rFonts w:ascii="Arial" w:hAnsi="Arial"/>
      <w:sz w:val="24"/>
      <w:szCs w:val="24"/>
      <w:lang w:val="es-CO" w:eastAsia="es-ES"/>
    </w:rPr>
  </w:style>
  <w:style w:type="character" w:customStyle="1" w:styleId="PiedepginaCar">
    <w:name w:val="Pie de página Car"/>
    <w:rPr>
      <w:rFonts w:ascii="Arial" w:hAnsi="Arial"/>
      <w:sz w:val="24"/>
      <w:szCs w:val="24"/>
      <w:lang w:val="es-CO"/>
    </w:rPr>
  </w:style>
  <w:style w:type="paragraph" w:customStyle="1" w:styleId="Standard">
    <w:name w:val="Standard"/>
    <w:pPr>
      <w:suppressAutoHyphens/>
    </w:pPr>
    <w:rPr>
      <w:rFonts w:ascii="Bookman Old Style" w:hAnsi="Bookman Old Style" w:cs="Bookman Old Style"/>
      <w:kern w:val="3"/>
      <w:sz w:val="24"/>
      <w:lang w:val="es-ES" w:eastAsia="zh-CN"/>
    </w:rPr>
  </w:style>
  <w:style w:type="paragraph" w:customStyle="1" w:styleId="Default">
    <w:name w:val="Default"/>
    <w:pPr>
      <w:autoSpaceDE w:val="0"/>
    </w:pPr>
    <w:rPr>
      <w:rFonts w:ascii="Arial" w:hAnsi="Arial" w:cs="Arial"/>
      <w:color w:val="000000"/>
      <w:sz w:val="24"/>
      <w:szCs w:val="24"/>
    </w:rPr>
  </w:style>
  <w:style w:type="paragraph" w:styleId="Prrafodelista">
    <w:name w:val="List Paragraph"/>
    <w:basedOn w:val="Normal"/>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ORMATO%20DOC%20COLJUEG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FORMATO%20DOC%20COLJUEGOS</Template>
  <TotalTime>1</TotalTime>
  <Pages>3</Pages>
  <Words>996</Words>
  <Characters>5479</Characters>
  <Application>Microsoft Office Word</Application>
  <DocSecurity>0</DocSecurity>
  <Lines>45</Lines>
  <Paragraphs>12</Paragraphs>
  <ScaleCrop>false</ScaleCrop>
  <Company>Hewlett-Packard Company</Company>
  <LinksUpToDate>false</LinksUpToDate>
  <CharactersWithSpaces>6463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COMITE DE REVICIOS DE PROCESOS</dc:title>
  <dc:subject/>
  <dc:creator>FERNANDO  CASTRO CORAL</dc:creator>
  <cp:lastModifiedBy>Oficina Jurídica</cp:lastModifiedBy>
  <cp:revision>2</cp:revision>
  <cp:lastPrinted>2013-07-23T15:40:00Z</cp:lastPrinted>
  <dcterms:created xsi:type="dcterms:W3CDTF">2020-03-24T23:20:00Z</dcterms:created>
  <dcterms:modified xsi:type="dcterms:W3CDTF">2020-03-24T23:20:00Z</dcterms:modified>
</cp:coreProperties>
</file>