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211" w:rsidRPr="00D1297D" w:rsidRDefault="00406211" w:rsidP="00406211">
      <w:pPr>
        <w:pStyle w:val="Ttulo2"/>
        <w:spacing w:before="0" w:after="0"/>
        <w:jc w:val="center"/>
        <w:rPr>
          <w:rFonts w:ascii="Arial Narrow" w:eastAsia="Calibri" w:hAnsi="Arial Narrow"/>
          <w:i w:val="0"/>
          <w:sz w:val="20"/>
        </w:rPr>
      </w:pPr>
      <w:bookmarkStart w:id="0" w:name="_Toc3452892"/>
      <w:bookmarkStart w:id="1" w:name="_Toc5095155"/>
      <w:r w:rsidRPr="00D1297D">
        <w:rPr>
          <w:rFonts w:ascii="Arial Narrow" w:eastAsia="Calibri" w:hAnsi="Arial Narrow"/>
          <w:i w:val="0"/>
          <w:sz w:val="20"/>
        </w:rPr>
        <w:t>ANEXO No. 1 - MODELO DE CARTA DE PRESENTACIÓN DE LA OFERTA</w:t>
      </w:r>
      <w:bookmarkEnd w:id="0"/>
      <w:bookmarkEnd w:id="1"/>
    </w:p>
    <w:p w:rsidR="00406211" w:rsidRPr="00D1297D" w:rsidRDefault="00406211" w:rsidP="00406211">
      <w:pPr>
        <w:spacing w:after="0" w:line="240" w:lineRule="auto"/>
        <w:contextualSpacing/>
        <w:jc w:val="both"/>
        <w:rPr>
          <w:rFonts w:ascii="Arial Narrow" w:eastAsia="Calibri" w:hAnsi="Arial Narrow"/>
          <w:sz w:val="20"/>
          <w:szCs w:val="20"/>
        </w:rPr>
      </w:pPr>
      <w:r w:rsidRPr="00D1297D">
        <w:rPr>
          <w:rFonts w:ascii="Arial Narrow" w:eastAsia="Calibri" w:hAnsi="Arial Narrow"/>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406211" w:rsidRPr="00D1297D" w:rsidTr="006A05F3">
        <w:trPr>
          <w:trHeight w:val="103"/>
        </w:trPr>
        <w:tc>
          <w:tcPr>
            <w:tcW w:w="6438" w:type="dxa"/>
          </w:tcPr>
          <w:p w:rsidR="00406211" w:rsidRPr="00D1297D" w:rsidRDefault="00406211" w:rsidP="006A05F3">
            <w:pPr>
              <w:spacing w:after="0" w:line="240" w:lineRule="auto"/>
              <w:contextualSpacing/>
              <w:jc w:val="both"/>
              <w:rPr>
                <w:rFonts w:ascii="Arial Narrow" w:eastAsia="Calibri" w:hAnsi="Arial Narrow"/>
                <w:sz w:val="20"/>
                <w:szCs w:val="20"/>
              </w:rPr>
            </w:pPr>
            <w:r w:rsidRPr="00D1297D">
              <w:rPr>
                <w:rFonts w:ascii="Arial Narrow" w:eastAsia="Calibri" w:hAnsi="Arial Narrow"/>
                <w:sz w:val="20"/>
                <w:szCs w:val="20"/>
              </w:rPr>
              <w:t xml:space="preserve">Señores: </w:t>
            </w:r>
          </w:p>
        </w:tc>
      </w:tr>
      <w:tr w:rsidR="00406211" w:rsidRPr="00D1297D" w:rsidTr="006A05F3">
        <w:trPr>
          <w:trHeight w:val="103"/>
        </w:trPr>
        <w:tc>
          <w:tcPr>
            <w:tcW w:w="6438" w:type="dxa"/>
          </w:tcPr>
          <w:p w:rsidR="00406211" w:rsidRPr="00D1297D" w:rsidRDefault="00406211" w:rsidP="006A05F3">
            <w:pPr>
              <w:spacing w:after="0" w:line="240" w:lineRule="auto"/>
              <w:contextualSpacing/>
              <w:jc w:val="both"/>
              <w:rPr>
                <w:rFonts w:ascii="Arial Narrow" w:eastAsia="Calibri" w:hAnsi="Arial Narrow"/>
                <w:sz w:val="20"/>
                <w:szCs w:val="20"/>
              </w:rPr>
            </w:pPr>
            <w:r w:rsidRPr="00D1297D">
              <w:rPr>
                <w:rFonts w:ascii="Arial Narrow" w:eastAsia="Calibri" w:hAnsi="Arial Narrow"/>
                <w:sz w:val="20"/>
                <w:szCs w:val="20"/>
              </w:rPr>
              <w:t xml:space="preserve">Oficina_______________________ </w:t>
            </w:r>
          </w:p>
        </w:tc>
      </w:tr>
      <w:tr w:rsidR="00406211" w:rsidRPr="00D1297D" w:rsidTr="006A05F3">
        <w:trPr>
          <w:trHeight w:val="74"/>
        </w:trPr>
        <w:tc>
          <w:tcPr>
            <w:tcW w:w="6438" w:type="dxa"/>
          </w:tcPr>
          <w:p w:rsidR="00406211" w:rsidRPr="00D1297D" w:rsidRDefault="00406211" w:rsidP="006A05F3">
            <w:pPr>
              <w:spacing w:after="0" w:line="240" w:lineRule="auto"/>
              <w:contextualSpacing/>
              <w:jc w:val="both"/>
              <w:rPr>
                <w:rFonts w:ascii="Arial Narrow" w:eastAsia="Calibri" w:hAnsi="Arial Narrow"/>
                <w:sz w:val="20"/>
                <w:szCs w:val="20"/>
              </w:rPr>
            </w:pPr>
            <w:r w:rsidRPr="00D1297D">
              <w:rPr>
                <w:rFonts w:ascii="Arial Narrow" w:eastAsia="Calibri" w:hAnsi="Arial Narrow"/>
                <w:sz w:val="20"/>
                <w:szCs w:val="20"/>
              </w:rPr>
              <w:t xml:space="preserve">Neiva </w:t>
            </w:r>
          </w:p>
        </w:tc>
      </w:tr>
    </w:tbl>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 xml:space="preserve">(El) o (Los) suscrito (s): _____________________________ de acuerdo con el Pliego de Condiciones, presento (presentamos) Oferta para el objeto de la referencia y, en caso que nos sea aceptada, nos comprometemos a cumplir. </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Declaro (Declaramos) que ostento (ostentamos) capacidad para comprometerme (comprometernos) o comprometer la sociedad que represento o la modalidad de asociación:</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 xml:space="preserve">Que ninguna entidad o persona distinta a los firmantes tiene interés comercial en esta Oferta ni en el Contrato probable que de ella se derive. </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Que conozco (conocemos) la información general y demás documentos de las bases de contratación del presente proceso y que acepto (aceptamos) los requisitos en ellos contenidos, en cuanto al plazo, condiciones y especificaciones técnicas y en general todo lo solicitado en el Pliego de Condiciones.</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Que no me (nos) hallo (hallamos) incursos en causal alguna de inhabilidad o incompatibilidad señaladas en la ley y que no me (nos) encuentro (encontramos) en ninguno de los eventos de prohibiciones especiales para contratar.</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 xml:space="preserve">Que he (hemos) leído los documentos publicados en el portal de contratación relacionados con el presente proceso y que acepto (aceptamos) su contenido. </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Que de llegar a obtener la Adjudicación del Contrato, existe compromiso de ejecutar el mismo en el plazo contenido en los estudios previos y el Pliego de Condiciones, el cual desde ya acepto (aceptamos), y me (nos) obligo (obligamos) a constituir las pólizas y/o garantías requeridas y a suscribir éstas y aquel dentro de los términos señalados para ello.</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Atentamente,</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Nombre del Proponente o de su Representante legal_____________________________</w:t>
      </w: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C. C. No. _____________________ De ______________</w:t>
      </w: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Matrícula Profesional No. ____________________________ (anexar copia)</w:t>
      </w: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Dirección de correo _________________________________</w:t>
      </w: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Dirección electrónica ____________________________</w:t>
      </w: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Telefax _______________________________________</w:t>
      </w: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Ciudad _______________________________________</w:t>
      </w: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________________________________________________</w:t>
      </w: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(Firma del proponente o de su Representante Legal)</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after="0" w:line="240" w:lineRule="auto"/>
        <w:contextualSpacing/>
        <w:jc w:val="both"/>
        <w:rPr>
          <w:rFonts w:ascii="Arial Narrow" w:hAnsi="Arial Narrow"/>
          <w:sz w:val="20"/>
          <w:szCs w:val="20"/>
        </w:rPr>
      </w:pPr>
      <w:r w:rsidRPr="00D1297D">
        <w:rPr>
          <w:rFonts w:ascii="Arial Narrow" w:hAnsi="Arial Narrow"/>
          <w:sz w:val="20"/>
          <w:szCs w:val="20"/>
        </w:rPr>
        <w:t>Autoriza para que las notificaciones y comunicaciones sean efectuadas por medio del correo electrónico, conforme el artículo 67 numeral primero de la Ley 1437 de 2011. SI ________   NO _________</w:t>
      </w:r>
    </w:p>
    <w:p w:rsidR="00406211" w:rsidRPr="00D1297D" w:rsidRDefault="00406211" w:rsidP="00406211">
      <w:pPr>
        <w:spacing w:after="0" w:line="240" w:lineRule="auto"/>
        <w:contextualSpacing/>
        <w:jc w:val="both"/>
        <w:rPr>
          <w:rFonts w:ascii="Arial Narrow" w:hAnsi="Arial Narrow"/>
          <w:sz w:val="20"/>
          <w:szCs w:val="20"/>
        </w:rPr>
      </w:pPr>
    </w:p>
    <w:p w:rsidR="00406211" w:rsidRPr="00D1297D" w:rsidRDefault="00406211" w:rsidP="00406211">
      <w:pPr>
        <w:spacing w:line="240" w:lineRule="auto"/>
        <w:contextualSpacing/>
        <w:rPr>
          <w:rFonts w:ascii="Arial Narrow" w:hAnsi="Arial Narrow"/>
          <w:b/>
          <w:color w:val="000000"/>
          <w:sz w:val="20"/>
          <w:szCs w:val="20"/>
          <w:u w:val="single"/>
        </w:rPr>
      </w:pPr>
      <w:r w:rsidRPr="00D1297D">
        <w:rPr>
          <w:rFonts w:ascii="Arial Narrow" w:hAnsi="Arial Narrow"/>
          <w:b/>
          <w:color w:val="000000"/>
          <w:sz w:val="20"/>
          <w:szCs w:val="20"/>
          <w:u w:val="single"/>
        </w:rPr>
        <w:t>NOTA: Indicar la calidad en que suscribe el documento.</w:t>
      </w:r>
    </w:p>
    <w:p w:rsidR="00406211" w:rsidRPr="00D1297D" w:rsidRDefault="00406211" w:rsidP="001B5DE4">
      <w:pPr>
        <w:spacing w:after="0" w:line="240" w:lineRule="auto"/>
        <w:contextualSpacing/>
        <w:jc w:val="center"/>
        <w:rPr>
          <w:rFonts w:ascii="Arial Narrow" w:eastAsia="Calibri" w:hAnsi="Arial Narrow"/>
          <w:b/>
          <w:sz w:val="20"/>
          <w:szCs w:val="20"/>
        </w:rPr>
      </w:pPr>
      <w:r w:rsidRPr="00D1297D">
        <w:rPr>
          <w:rFonts w:ascii="Arial Narrow" w:hAnsi="Arial Narrow"/>
          <w:sz w:val="20"/>
          <w:szCs w:val="20"/>
        </w:rPr>
        <w:br w:type="page"/>
      </w:r>
      <w:r w:rsidRPr="00D1297D">
        <w:rPr>
          <w:rFonts w:ascii="Arial Narrow" w:eastAsia="Calibri" w:hAnsi="Arial Narrow"/>
          <w:b/>
          <w:sz w:val="20"/>
          <w:szCs w:val="20"/>
        </w:rPr>
        <w:lastRenderedPageBreak/>
        <w:t>ANEXO No. 2 - MODELO DE CARTA DE CONFORMACIÓN DE CONSORCIO O UNIÓN TEMPORAL</w:t>
      </w:r>
    </w:p>
    <w:p w:rsidR="00406211" w:rsidRPr="00D1297D" w:rsidRDefault="00406211" w:rsidP="00406211">
      <w:pPr>
        <w:autoSpaceDE w:val="0"/>
        <w:autoSpaceDN w:val="0"/>
        <w:adjustRightInd w:val="0"/>
        <w:spacing w:after="0" w:line="240" w:lineRule="auto"/>
        <w:jc w:val="center"/>
        <w:rPr>
          <w:rFonts w:ascii="Arial Narrow" w:eastAsia="Calibri" w:hAnsi="Arial Narrow" w:cs="Arial"/>
          <w:b/>
          <w:bCs/>
          <w:color w:val="000000"/>
          <w:sz w:val="20"/>
          <w:szCs w:val="20"/>
          <w:lang w:eastAsia="es-CO"/>
        </w:rPr>
      </w:pPr>
    </w:p>
    <w:p w:rsidR="00406211" w:rsidRPr="00D1297D" w:rsidRDefault="00406211" w:rsidP="00406211">
      <w:pPr>
        <w:autoSpaceDE w:val="0"/>
        <w:autoSpaceDN w:val="0"/>
        <w:adjustRightInd w:val="0"/>
        <w:spacing w:after="0" w:line="240" w:lineRule="auto"/>
        <w:rPr>
          <w:rFonts w:ascii="Arial Narrow" w:eastAsia="Calibri" w:hAnsi="Arial Narrow" w:cs="Arial"/>
          <w:color w:val="000000"/>
          <w:sz w:val="20"/>
          <w:szCs w:val="20"/>
          <w:lang w:eastAsia="es-CO"/>
        </w:rPr>
      </w:pPr>
      <w:r w:rsidRPr="00D1297D">
        <w:rPr>
          <w:rFonts w:ascii="Arial Narrow" w:eastAsia="Calibri" w:hAnsi="Arial Narrow" w:cs="Arial"/>
          <w:bCs/>
          <w:color w:val="000000"/>
          <w:sz w:val="20"/>
          <w:szCs w:val="20"/>
          <w:lang w:eastAsia="es-CO"/>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406211" w:rsidRPr="00D1297D" w:rsidTr="006A05F3">
        <w:trPr>
          <w:trHeight w:val="103"/>
        </w:trPr>
        <w:tc>
          <w:tcPr>
            <w:tcW w:w="4551" w:type="dxa"/>
          </w:tcPr>
          <w:p w:rsidR="00406211" w:rsidRPr="00D1297D" w:rsidRDefault="00406211" w:rsidP="006A05F3">
            <w:pPr>
              <w:autoSpaceDE w:val="0"/>
              <w:autoSpaceDN w:val="0"/>
              <w:adjustRightInd w:val="0"/>
              <w:spacing w:after="0" w:line="240" w:lineRule="auto"/>
              <w:rPr>
                <w:rFonts w:ascii="Arial Narrow" w:eastAsia="Calibri" w:hAnsi="Arial Narrow" w:cs="Arial"/>
                <w:color w:val="000000"/>
                <w:sz w:val="20"/>
                <w:szCs w:val="20"/>
                <w:lang w:eastAsia="es-CO"/>
              </w:rPr>
            </w:pPr>
            <w:r w:rsidRPr="00D1297D">
              <w:rPr>
                <w:rFonts w:ascii="Arial Narrow" w:eastAsia="Calibri" w:hAnsi="Arial Narrow" w:cs="Arial"/>
                <w:color w:val="000000"/>
                <w:sz w:val="20"/>
                <w:szCs w:val="20"/>
                <w:lang w:eastAsia="es-CO"/>
              </w:rPr>
              <w:t xml:space="preserve">Señores: </w:t>
            </w:r>
          </w:p>
        </w:tc>
      </w:tr>
      <w:tr w:rsidR="00406211" w:rsidRPr="00D1297D" w:rsidTr="006A05F3">
        <w:trPr>
          <w:trHeight w:val="355"/>
        </w:trPr>
        <w:tc>
          <w:tcPr>
            <w:tcW w:w="4551" w:type="dxa"/>
          </w:tcPr>
          <w:p w:rsidR="00406211" w:rsidRPr="00D1297D" w:rsidRDefault="00406211" w:rsidP="006A05F3">
            <w:pPr>
              <w:autoSpaceDE w:val="0"/>
              <w:autoSpaceDN w:val="0"/>
              <w:adjustRightInd w:val="0"/>
              <w:spacing w:after="0" w:line="240" w:lineRule="auto"/>
              <w:rPr>
                <w:rFonts w:ascii="Arial Narrow" w:eastAsia="Calibri" w:hAnsi="Arial Narrow" w:cs="Arial"/>
                <w:color w:val="000000"/>
                <w:sz w:val="20"/>
                <w:szCs w:val="20"/>
                <w:lang w:eastAsia="es-CO"/>
              </w:rPr>
            </w:pPr>
            <w:r w:rsidRPr="00D1297D">
              <w:rPr>
                <w:rFonts w:ascii="Arial Narrow" w:eastAsia="Calibri" w:hAnsi="Arial Narrow" w:cs="Arial"/>
                <w:color w:val="000000"/>
                <w:sz w:val="20"/>
                <w:szCs w:val="20"/>
                <w:lang w:eastAsia="es-CO"/>
              </w:rPr>
              <w:t>Oficina__________________________</w:t>
            </w:r>
          </w:p>
          <w:p w:rsidR="00406211" w:rsidRPr="00D1297D" w:rsidRDefault="00406211" w:rsidP="006A05F3">
            <w:pPr>
              <w:autoSpaceDE w:val="0"/>
              <w:autoSpaceDN w:val="0"/>
              <w:adjustRightInd w:val="0"/>
              <w:spacing w:after="0" w:line="240" w:lineRule="auto"/>
              <w:rPr>
                <w:rFonts w:ascii="Arial Narrow" w:eastAsia="Calibri" w:hAnsi="Arial Narrow" w:cs="Arial"/>
                <w:color w:val="000000"/>
                <w:sz w:val="20"/>
                <w:szCs w:val="20"/>
                <w:lang w:eastAsia="es-CO"/>
              </w:rPr>
            </w:pPr>
            <w:r w:rsidRPr="00D1297D">
              <w:rPr>
                <w:rFonts w:ascii="Arial Narrow" w:eastAsia="Calibri" w:hAnsi="Arial Narrow" w:cs="Arial"/>
                <w:color w:val="000000"/>
                <w:sz w:val="20"/>
                <w:szCs w:val="20"/>
                <w:lang w:eastAsia="es-CO"/>
              </w:rPr>
              <w:t>Neiva</w:t>
            </w:r>
          </w:p>
        </w:tc>
      </w:tr>
      <w:tr w:rsidR="00406211" w:rsidRPr="00D1297D" w:rsidTr="006A05F3">
        <w:trPr>
          <w:trHeight w:val="103"/>
        </w:trPr>
        <w:tc>
          <w:tcPr>
            <w:tcW w:w="4551" w:type="dxa"/>
          </w:tcPr>
          <w:p w:rsidR="00406211" w:rsidRPr="00D1297D" w:rsidRDefault="00406211" w:rsidP="006A05F3">
            <w:pPr>
              <w:autoSpaceDE w:val="0"/>
              <w:autoSpaceDN w:val="0"/>
              <w:adjustRightInd w:val="0"/>
              <w:spacing w:after="0" w:line="240" w:lineRule="auto"/>
              <w:rPr>
                <w:rFonts w:ascii="Arial Narrow" w:eastAsia="Calibri" w:hAnsi="Arial Narrow" w:cs="Arial"/>
                <w:color w:val="000000"/>
                <w:sz w:val="20"/>
                <w:szCs w:val="20"/>
                <w:lang w:eastAsia="es-CO"/>
              </w:rPr>
            </w:pPr>
          </w:p>
        </w:tc>
      </w:tr>
    </w:tbl>
    <w:p w:rsidR="00406211" w:rsidRPr="00D1297D" w:rsidRDefault="00406211" w:rsidP="00406211">
      <w:pPr>
        <w:spacing w:after="0" w:line="240" w:lineRule="auto"/>
        <w:rPr>
          <w:rFonts w:ascii="Arial Narrow" w:hAnsi="Arial Narrow"/>
          <w:sz w:val="20"/>
          <w:szCs w:val="20"/>
        </w:rPr>
      </w:pPr>
      <w:bookmarkStart w:id="2" w:name="_Toc473131032"/>
      <w:bookmarkStart w:id="3" w:name="_Toc473132440"/>
      <w:r w:rsidRPr="00D1297D">
        <w:rPr>
          <w:rFonts w:ascii="Arial Narrow" w:hAnsi="Arial Narrow"/>
          <w:sz w:val="20"/>
          <w:szCs w:val="20"/>
        </w:rPr>
        <w:t>Apreciados señores:</w:t>
      </w:r>
      <w:bookmarkEnd w:id="2"/>
      <w:bookmarkEnd w:id="3"/>
    </w:p>
    <w:p w:rsidR="00406211" w:rsidRPr="00D1297D" w:rsidRDefault="00406211" w:rsidP="00406211">
      <w:pPr>
        <w:spacing w:after="0" w:line="240" w:lineRule="auto"/>
        <w:jc w:val="both"/>
        <w:rPr>
          <w:rFonts w:ascii="Arial Narrow" w:hAnsi="Arial Narrow"/>
          <w:sz w:val="20"/>
          <w:szCs w:val="20"/>
        </w:rPr>
      </w:pPr>
      <w:bookmarkStart w:id="4" w:name="_Toc473131033"/>
      <w:bookmarkStart w:id="5" w:name="_Toc473132441"/>
      <w:r w:rsidRPr="00D1297D">
        <w:rPr>
          <w:rFonts w:ascii="Arial Narrow" w:hAnsi="Arial Narrow"/>
          <w:sz w:val="20"/>
          <w:szCs w:val="20"/>
        </w:rPr>
        <w:t xml:space="preserve">Los abajo firmantes manifestamos a través de este documento, hemos convenido conformar Consorcio ( ) Unión Temporal ( ), cuyo objeto es______________________ para participar en el proceso de selección de concurso de méritos abierto ______________. </w:t>
      </w:r>
      <w:bookmarkEnd w:id="4"/>
      <w:bookmarkEnd w:id="5"/>
    </w:p>
    <w:p w:rsidR="00406211" w:rsidRPr="00D1297D" w:rsidRDefault="00406211" w:rsidP="00406211">
      <w:pPr>
        <w:spacing w:after="0" w:line="240" w:lineRule="auto"/>
        <w:rPr>
          <w:rFonts w:ascii="Arial Narrow" w:hAnsi="Arial Narrow"/>
          <w:sz w:val="20"/>
          <w:szCs w:val="20"/>
        </w:rPr>
      </w:pPr>
      <w:r w:rsidRPr="00D1297D">
        <w:rPr>
          <w:rFonts w:ascii="Arial Narrow" w:hAnsi="Arial Narrow"/>
          <w:sz w:val="20"/>
          <w:szCs w:val="20"/>
        </w:rPr>
        <w:t>Por lo anterior, expresamos lo siguiente:</w:t>
      </w:r>
    </w:p>
    <w:p w:rsidR="00406211" w:rsidRPr="00D1297D" w:rsidRDefault="00406211" w:rsidP="00406211">
      <w:pPr>
        <w:spacing w:after="0" w:line="240" w:lineRule="auto"/>
        <w:rPr>
          <w:rFonts w:ascii="Arial Narrow" w:hAnsi="Arial Narrow"/>
          <w:sz w:val="20"/>
          <w:szCs w:val="20"/>
        </w:rPr>
      </w:pPr>
      <w:r w:rsidRPr="00D1297D">
        <w:rPr>
          <w:rFonts w:ascii="Arial Narrow" w:hAnsi="Arial Narrow"/>
          <w:sz w:val="20"/>
          <w:szCs w:val="20"/>
        </w:rPr>
        <w:t xml:space="preserve"> 1. La duración de este Consorcio ( ) Unión Temporal ( ) será igual a la del término de ejecución y liquidación del contrato y un año más. </w:t>
      </w:r>
    </w:p>
    <w:p w:rsidR="00406211" w:rsidRPr="00D1297D" w:rsidRDefault="00406211" w:rsidP="00406211">
      <w:pPr>
        <w:spacing w:after="0" w:line="240" w:lineRule="auto"/>
        <w:rPr>
          <w:rFonts w:ascii="Arial Narrow" w:hAnsi="Arial Narrow"/>
          <w:sz w:val="20"/>
          <w:szCs w:val="20"/>
        </w:rPr>
      </w:pPr>
      <w:r w:rsidRPr="00D1297D">
        <w:rPr>
          <w:rFonts w:ascii="Arial Narrow" w:hAnsi="Arial Narrow"/>
          <w:sz w:val="20"/>
          <w:szCs w:val="20"/>
        </w:rPr>
        <w:t xml:space="preserve">2. El Consorcio ( ) Unión Temporal ( ) está integrado por: </w:t>
      </w:r>
    </w:p>
    <w:p w:rsidR="00406211" w:rsidRPr="00D1297D" w:rsidRDefault="00406211" w:rsidP="00406211">
      <w:pPr>
        <w:pStyle w:val="Titulo2"/>
        <w:rPr>
          <w:rFonts w:ascii="Arial Narrow" w:hAnsi="Arial Narrow"/>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2239"/>
        <w:gridCol w:w="2176"/>
        <w:gridCol w:w="2234"/>
      </w:tblGrid>
      <w:tr w:rsidR="00406211" w:rsidRPr="00D1297D" w:rsidTr="006A05F3">
        <w:tc>
          <w:tcPr>
            <w:tcW w:w="2230" w:type="dxa"/>
            <w:shd w:val="clear" w:color="auto" w:fill="auto"/>
          </w:tcPr>
          <w:p w:rsidR="00406211" w:rsidRPr="00D1297D" w:rsidRDefault="00406211" w:rsidP="006A05F3">
            <w:pPr>
              <w:pStyle w:val="Ttulo4"/>
              <w:rPr>
                <w:rFonts w:ascii="Arial Narrow" w:hAnsi="Arial Narrow"/>
                <w:sz w:val="20"/>
              </w:rPr>
            </w:pPr>
            <w:bookmarkStart w:id="6" w:name="_Toc473131034"/>
            <w:bookmarkStart w:id="7" w:name="_Toc473132442"/>
            <w:r w:rsidRPr="00D1297D">
              <w:rPr>
                <w:rFonts w:ascii="Arial Narrow" w:hAnsi="Arial Narrow"/>
                <w:sz w:val="20"/>
              </w:rPr>
              <w:t>NOMBRE</w:t>
            </w:r>
            <w:bookmarkEnd w:id="6"/>
            <w:bookmarkEnd w:id="7"/>
          </w:p>
        </w:tc>
        <w:tc>
          <w:tcPr>
            <w:tcW w:w="2338" w:type="dxa"/>
            <w:shd w:val="clear" w:color="auto" w:fill="auto"/>
          </w:tcPr>
          <w:p w:rsidR="00406211" w:rsidRPr="00D1297D" w:rsidRDefault="00406211" w:rsidP="006A05F3">
            <w:pPr>
              <w:pStyle w:val="Ttulo4"/>
              <w:rPr>
                <w:rFonts w:ascii="Arial Narrow" w:hAnsi="Arial Narrow"/>
                <w:sz w:val="20"/>
              </w:rPr>
            </w:pPr>
            <w:bookmarkStart w:id="8" w:name="_Toc473131035"/>
            <w:bookmarkStart w:id="9" w:name="_Toc473132443"/>
            <w:r w:rsidRPr="00D1297D">
              <w:rPr>
                <w:rFonts w:ascii="Arial Narrow" w:hAnsi="Arial Narrow"/>
                <w:sz w:val="20"/>
              </w:rPr>
              <w:t>IDENTIFICACIÓN O NIT</w:t>
            </w:r>
            <w:bookmarkEnd w:id="8"/>
            <w:bookmarkEnd w:id="9"/>
          </w:p>
        </w:tc>
        <w:tc>
          <w:tcPr>
            <w:tcW w:w="2338" w:type="dxa"/>
            <w:shd w:val="clear" w:color="auto" w:fill="auto"/>
          </w:tcPr>
          <w:p w:rsidR="00406211" w:rsidRPr="00D1297D" w:rsidRDefault="00406211" w:rsidP="006A05F3">
            <w:pPr>
              <w:pStyle w:val="Ttulo4"/>
              <w:rPr>
                <w:rFonts w:ascii="Arial Narrow" w:hAnsi="Arial Narrow"/>
                <w:sz w:val="20"/>
              </w:rPr>
            </w:pPr>
            <w:bookmarkStart w:id="10" w:name="_Toc473131036"/>
            <w:bookmarkStart w:id="11" w:name="_Toc473132444"/>
            <w:r w:rsidRPr="00D1297D">
              <w:rPr>
                <w:rFonts w:ascii="Arial Narrow" w:hAnsi="Arial Narrow"/>
                <w:sz w:val="20"/>
              </w:rPr>
              <w:t>OBJETO A REALIZAR</w:t>
            </w:r>
            <w:bookmarkEnd w:id="10"/>
            <w:bookmarkEnd w:id="11"/>
          </w:p>
        </w:tc>
        <w:tc>
          <w:tcPr>
            <w:tcW w:w="2338" w:type="dxa"/>
            <w:shd w:val="clear" w:color="auto" w:fill="auto"/>
          </w:tcPr>
          <w:p w:rsidR="00406211" w:rsidRPr="00D1297D" w:rsidRDefault="00406211" w:rsidP="006A05F3">
            <w:pPr>
              <w:pStyle w:val="Ttulo4"/>
              <w:rPr>
                <w:rFonts w:ascii="Arial Narrow" w:hAnsi="Arial Narrow"/>
                <w:sz w:val="20"/>
              </w:rPr>
            </w:pPr>
            <w:bookmarkStart w:id="12" w:name="_Toc473131037"/>
            <w:bookmarkStart w:id="13" w:name="_Toc473132445"/>
            <w:r w:rsidRPr="00D1297D">
              <w:rPr>
                <w:rFonts w:ascii="Arial Narrow" w:hAnsi="Arial Narrow"/>
                <w:sz w:val="20"/>
              </w:rPr>
              <w:t>PORCENTAJE DE PARTICIPACIÓN</w:t>
            </w:r>
            <w:bookmarkEnd w:id="12"/>
            <w:bookmarkEnd w:id="13"/>
          </w:p>
        </w:tc>
      </w:tr>
      <w:tr w:rsidR="00406211" w:rsidRPr="00D1297D" w:rsidTr="006A05F3">
        <w:tc>
          <w:tcPr>
            <w:tcW w:w="2230" w:type="dxa"/>
            <w:shd w:val="clear" w:color="auto" w:fill="auto"/>
          </w:tcPr>
          <w:p w:rsidR="00406211" w:rsidRPr="00D1297D" w:rsidRDefault="00406211" w:rsidP="006A05F3">
            <w:pPr>
              <w:pStyle w:val="Titulo2"/>
              <w:rPr>
                <w:rFonts w:ascii="Arial Narrow" w:hAnsi="Arial Narrow"/>
                <w:sz w:val="20"/>
                <w:szCs w:val="20"/>
              </w:rPr>
            </w:pPr>
          </w:p>
        </w:tc>
        <w:tc>
          <w:tcPr>
            <w:tcW w:w="2338" w:type="dxa"/>
            <w:shd w:val="clear" w:color="auto" w:fill="auto"/>
          </w:tcPr>
          <w:p w:rsidR="00406211" w:rsidRPr="00D1297D" w:rsidRDefault="00406211" w:rsidP="006A05F3">
            <w:pPr>
              <w:pStyle w:val="Titulo2"/>
              <w:rPr>
                <w:rFonts w:ascii="Arial Narrow" w:hAnsi="Arial Narrow"/>
                <w:sz w:val="20"/>
                <w:szCs w:val="20"/>
              </w:rPr>
            </w:pPr>
          </w:p>
        </w:tc>
        <w:tc>
          <w:tcPr>
            <w:tcW w:w="2338" w:type="dxa"/>
            <w:shd w:val="clear" w:color="auto" w:fill="auto"/>
          </w:tcPr>
          <w:p w:rsidR="00406211" w:rsidRPr="00D1297D" w:rsidRDefault="00406211" w:rsidP="006A05F3">
            <w:pPr>
              <w:pStyle w:val="Titulo2"/>
              <w:rPr>
                <w:rFonts w:ascii="Arial Narrow" w:hAnsi="Arial Narrow"/>
                <w:sz w:val="20"/>
                <w:szCs w:val="20"/>
              </w:rPr>
            </w:pPr>
          </w:p>
        </w:tc>
        <w:tc>
          <w:tcPr>
            <w:tcW w:w="2338" w:type="dxa"/>
            <w:shd w:val="clear" w:color="auto" w:fill="auto"/>
          </w:tcPr>
          <w:p w:rsidR="00406211" w:rsidRPr="00D1297D" w:rsidRDefault="00406211" w:rsidP="006A05F3">
            <w:pPr>
              <w:pStyle w:val="Titulo2"/>
              <w:rPr>
                <w:rFonts w:ascii="Arial Narrow" w:hAnsi="Arial Narrow"/>
                <w:sz w:val="20"/>
                <w:szCs w:val="20"/>
              </w:rPr>
            </w:pPr>
          </w:p>
        </w:tc>
      </w:tr>
      <w:tr w:rsidR="00406211" w:rsidRPr="00D1297D" w:rsidTr="006A05F3">
        <w:tc>
          <w:tcPr>
            <w:tcW w:w="2230" w:type="dxa"/>
            <w:shd w:val="clear" w:color="auto" w:fill="auto"/>
          </w:tcPr>
          <w:p w:rsidR="00406211" w:rsidRPr="00D1297D" w:rsidRDefault="00406211" w:rsidP="006A05F3">
            <w:pPr>
              <w:pStyle w:val="Titulo2"/>
              <w:rPr>
                <w:rFonts w:ascii="Arial Narrow" w:hAnsi="Arial Narrow"/>
                <w:sz w:val="20"/>
                <w:szCs w:val="20"/>
              </w:rPr>
            </w:pPr>
          </w:p>
        </w:tc>
        <w:tc>
          <w:tcPr>
            <w:tcW w:w="2338" w:type="dxa"/>
            <w:shd w:val="clear" w:color="auto" w:fill="auto"/>
          </w:tcPr>
          <w:p w:rsidR="00406211" w:rsidRPr="00D1297D" w:rsidRDefault="00406211" w:rsidP="006A05F3">
            <w:pPr>
              <w:pStyle w:val="Titulo2"/>
              <w:rPr>
                <w:rFonts w:ascii="Arial Narrow" w:hAnsi="Arial Narrow"/>
                <w:sz w:val="20"/>
                <w:szCs w:val="20"/>
              </w:rPr>
            </w:pPr>
          </w:p>
        </w:tc>
        <w:tc>
          <w:tcPr>
            <w:tcW w:w="2338" w:type="dxa"/>
            <w:shd w:val="clear" w:color="auto" w:fill="auto"/>
          </w:tcPr>
          <w:p w:rsidR="00406211" w:rsidRPr="00D1297D" w:rsidRDefault="00406211" w:rsidP="006A05F3">
            <w:pPr>
              <w:pStyle w:val="Titulo2"/>
              <w:rPr>
                <w:rFonts w:ascii="Arial Narrow" w:hAnsi="Arial Narrow"/>
                <w:sz w:val="20"/>
                <w:szCs w:val="20"/>
              </w:rPr>
            </w:pPr>
          </w:p>
        </w:tc>
        <w:tc>
          <w:tcPr>
            <w:tcW w:w="2338" w:type="dxa"/>
            <w:shd w:val="clear" w:color="auto" w:fill="auto"/>
          </w:tcPr>
          <w:p w:rsidR="00406211" w:rsidRPr="00D1297D" w:rsidRDefault="00406211" w:rsidP="006A05F3">
            <w:pPr>
              <w:pStyle w:val="Titulo2"/>
              <w:rPr>
                <w:rFonts w:ascii="Arial Narrow" w:hAnsi="Arial Narrow"/>
                <w:sz w:val="20"/>
                <w:szCs w:val="20"/>
              </w:rPr>
            </w:pPr>
          </w:p>
        </w:tc>
      </w:tr>
    </w:tbl>
    <w:p w:rsidR="00406211" w:rsidRPr="00D1297D" w:rsidRDefault="00406211" w:rsidP="00406211">
      <w:pPr>
        <w:pStyle w:val="Titulo2"/>
        <w:rPr>
          <w:rFonts w:ascii="Arial Narrow" w:hAnsi="Arial Narrow"/>
          <w:sz w:val="20"/>
          <w:szCs w:val="20"/>
        </w:rPr>
      </w:pPr>
    </w:p>
    <w:p w:rsidR="00406211" w:rsidRPr="00D1297D" w:rsidRDefault="00406211" w:rsidP="00406211">
      <w:pPr>
        <w:spacing w:after="0" w:line="240" w:lineRule="auto"/>
        <w:jc w:val="both"/>
        <w:rPr>
          <w:rFonts w:ascii="Arial Narrow" w:hAnsi="Arial Narrow"/>
          <w:sz w:val="20"/>
          <w:szCs w:val="20"/>
        </w:rPr>
      </w:pPr>
      <w:r w:rsidRPr="00D1297D">
        <w:rPr>
          <w:rFonts w:ascii="Arial Narrow" w:hAnsi="Arial Narrow"/>
          <w:sz w:val="20"/>
          <w:szCs w:val="20"/>
        </w:rPr>
        <w:t xml:space="preserve">3. El representante del Consorcio ( ) Unión Temporal ( ) es ___________________________________, identificado con la cedula de ciudadanía No._______________, quien está expresamente facultado para presentar la Oferta, realizar la revisión </w:t>
      </w:r>
      <w:r w:rsidRPr="00D1297D">
        <w:rPr>
          <w:rFonts w:ascii="Arial Narrow" w:hAnsi="Arial Narrow"/>
          <w:color w:val="1F4E79"/>
          <w:sz w:val="20"/>
          <w:szCs w:val="20"/>
        </w:rPr>
        <w:t>de la</w:t>
      </w:r>
      <w:r w:rsidRPr="00D1297D">
        <w:rPr>
          <w:rFonts w:ascii="Arial Narrow" w:hAnsi="Arial Narrow"/>
          <w:sz w:val="20"/>
          <w:szCs w:val="20"/>
        </w:rPr>
        <w:t xml:space="preserve"> oferta económica, celebrar, ejecutar y liquidar el Contrato</w:t>
      </w:r>
      <w:proofErr w:type="gramStart"/>
      <w:r w:rsidRPr="00D1297D">
        <w:rPr>
          <w:rFonts w:ascii="Arial Narrow" w:hAnsi="Arial Narrow"/>
          <w:sz w:val="20"/>
          <w:szCs w:val="20"/>
        </w:rPr>
        <w:t>..</w:t>
      </w:r>
      <w:proofErr w:type="gramEnd"/>
      <w:r w:rsidRPr="00D1297D">
        <w:rPr>
          <w:rFonts w:ascii="Arial Narrow" w:hAnsi="Arial Narrow"/>
          <w:sz w:val="20"/>
          <w:szCs w:val="20"/>
        </w:rPr>
        <w:t xml:space="preserve"> El representante suplente es ___________________________________, identificado con la cedula de ciudadanía No._______________ el cual ostenta las mismas facultades del principal.</w:t>
      </w:r>
    </w:p>
    <w:p w:rsidR="00406211" w:rsidRPr="00D1297D" w:rsidRDefault="00406211" w:rsidP="00406211">
      <w:pPr>
        <w:spacing w:after="0" w:line="240" w:lineRule="auto"/>
        <w:jc w:val="both"/>
        <w:rPr>
          <w:rFonts w:ascii="Arial Narrow" w:hAnsi="Arial Narrow"/>
          <w:sz w:val="20"/>
          <w:szCs w:val="20"/>
        </w:rPr>
      </w:pPr>
      <w:r w:rsidRPr="00D1297D">
        <w:rPr>
          <w:rFonts w:ascii="Arial Narrow" w:hAnsi="Arial Narrow"/>
          <w:sz w:val="20"/>
          <w:szCs w:val="20"/>
        </w:rPr>
        <w:t xml:space="preserve">4. La responsabilidad de los integrantes del Consorcio ( ) Unión Temporal ( ) es solidaria. </w:t>
      </w:r>
    </w:p>
    <w:p w:rsidR="00406211" w:rsidRPr="00D1297D" w:rsidRDefault="00406211" w:rsidP="00406211">
      <w:pPr>
        <w:spacing w:after="0" w:line="240" w:lineRule="auto"/>
        <w:jc w:val="both"/>
        <w:rPr>
          <w:rFonts w:ascii="Arial Narrow" w:hAnsi="Arial Narrow"/>
          <w:sz w:val="20"/>
          <w:szCs w:val="20"/>
        </w:rPr>
      </w:pPr>
      <w:r w:rsidRPr="00D1297D">
        <w:rPr>
          <w:rFonts w:ascii="Arial Narrow" w:hAnsi="Arial Narrow"/>
          <w:sz w:val="20"/>
          <w:szCs w:val="20"/>
        </w:rPr>
        <w:t xml:space="preserve">5.  Las reglas básicas que regulan las relaciones entre los miembros son: </w:t>
      </w:r>
    </w:p>
    <w:p w:rsidR="00406211" w:rsidRPr="00D1297D" w:rsidRDefault="00406211" w:rsidP="00406211">
      <w:pPr>
        <w:spacing w:after="0" w:line="240" w:lineRule="auto"/>
        <w:contextualSpacing/>
        <w:rPr>
          <w:rFonts w:ascii="Arial Narrow" w:hAnsi="Arial Narrow"/>
          <w:color w:val="000000"/>
          <w:sz w:val="20"/>
          <w:szCs w:val="20"/>
        </w:rPr>
      </w:pPr>
    </w:p>
    <w:p w:rsidR="00406211" w:rsidRPr="00D1297D" w:rsidRDefault="00406211" w:rsidP="00406211">
      <w:pPr>
        <w:spacing w:after="0" w:line="240" w:lineRule="auto"/>
        <w:contextualSpacing/>
        <w:rPr>
          <w:rFonts w:ascii="Arial Narrow" w:hAnsi="Arial Narrow"/>
          <w:b/>
          <w:color w:val="000000"/>
          <w:sz w:val="20"/>
          <w:szCs w:val="20"/>
        </w:rPr>
      </w:pPr>
      <w:r w:rsidRPr="00D1297D">
        <w:rPr>
          <w:rFonts w:ascii="Arial Narrow" w:hAnsi="Arial Narrow"/>
          <w:b/>
          <w:color w:val="000000"/>
          <w:sz w:val="20"/>
          <w:szCs w:val="20"/>
        </w:rPr>
        <w:t xml:space="preserve">(Deberá ser suscrito por todos los integrantes del proponente conjunto y, por el representante legal principal y </w:t>
      </w:r>
      <w:proofErr w:type="gramStart"/>
      <w:r w:rsidRPr="00D1297D">
        <w:rPr>
          <w:rFonts w:ascii="Arial Narrow" w:hAnsi="Arial Narrow"/>
          <w:b/>
          <w:color w:val="000000"/>
          <w:sz w:val="20"/>
          <w:szCs w:val="20"/>
        </w:rPr>
        <w:t>suplente designados</w:t>
      </w:r>
      <w:proofErr w:type="gramEnd"/>
      <w:r w:rsidRPr="00D1297D">
        <w:rPr>
          <w:rFonts w:ascii="Arial Narrow" w:hAnsi="Arial Narrow"/>
          <w:b/>
          <w:color w:val="000000"/>
          <w:sz w:val="20"/>
          <w:szCs w:val="20"/>
        </w:rPr>
        <w:t>).</w:t>
      </w:r>
    </w:p>
    <w:p w:rsidR="00406211" w:rsidRPr="00D1297D" w:rsidRDefault="00406211" w:rsidP="00406211">
      <w:pPr>
        <w:spacing w:after="0" w:line="240" w:lineRule="auto"/>
        <w:rPr>
          <w:rFonts w:ascii="Arial Narrow" w:hAnsi="Arial Narrow"/>
          <w:sz w:val="20"/>
          <w:szCs w:val="20"/>
        </w:rPr>
      </w:pPr>
    </w:p>
    <w:p w:rsidR="00406211" w:rsidRPr="00D1297D" w:rsidRDefault="00406211" w:rsidP="00406211">
      <w:pPr>
        <w:spacing w:after="0" w:line="240" w:lineRule="auto"/>
        <w:rPr>
          <w:rFonts w:ascii="Arial Narrow" w:hAnsi="Arial Narrow"/>
          <w:sz w:val="20"/>
          <w:szCs w:val="20"/>
        </w:rPr>
      </w:pPr>
      <w:r w:rsidRPr="00D1297D">
        <w:rPr>
          <w:rFonts w:ascii="Arial Narrow" w:hAnsi="Arial Narrow"/>
          <w:sz w:val="20"/>
          <w:szCs w:val="20"/>
        </w:rPr>
        <w:t xml:space="preserve">Para constancia se firma en _________________ a los _________ días de _____. </w:t>
      </w:r>
      <w:r w:rsidRPr="00D1297D">
        <w:rPr>
          <w:rFonts w:ascii="Arial Narrow" w:hAnsi="Arial Narrow"/>
          <w:sz w:val="20"/>
          <w:szCs w:val="20"/>
        </w:rPr>
        <w:tab/>
      </w:r>
    </w:p>
    <w:p w:rsidR="00406211" w:rsidRPr="00D1297D" w:rsidRDefault="00406211" w:rsidP="00406211">
      <w:pPr>
        <w:spacing w:after="0" w:line="240" w:lineRule="auto"/>
        <w:rPr>
          <w:rFonts w:ascii="Arial Narrow" w:hAnsi="Arial Narrow"/>
          <w:sz w:val="20"/>
          <w:szCs w:val="20"/>
        </w:rPr>
      </w:pPr>
      <w:r w:rsidRPr="00D1297D">
        <w:rPr>
          <w:rFonts w:ascii="Arial Narrow" w:hAnsi="Arial Narrow"/>
          <w:sz w:val="20"/>
          <w:szCs w:val="20"/>
        </w:rPr>
        <w:t xml:space="preserve">Atentamente, _____________________________________ </w:t>
      </w:r>
    </w:p>
    <w:p w:rsidR="00406211" w:rsidRPr="00D1297D" w:rsidRDefault="00406211" w:rsidP="00406211">
      <w:pPr>
        <w:spacing w:after="0" w:line="240" w:lineRule="auto"/>
        <w:rPr>
          <w:rFonts w:ascii="Arial Narrow" w:hAnsi="Arial Narrow"/>
          <w:sz w:val="20"/>
          <w:szCs w:val="20"/>
        </w:rPr>
      </w:pPr>
      <w:bookmarkStart w:id="14" w:name="_Toc473131038"/>
      <w:bookmarkStart w:id="15" w:name="_Toc473132446"/>
      <w:r w:rsidRPr="00D1297D">
        <w:rPr>
          <w:rFonts w:ascii="Arial Narrow" w:hAnsi="Arial Narrow"/>
          <w:sz w:val="20"/>
          <w:szCs w:val="20"/>
        </w:rPr>
        <w:t>Firmas</w:t>
      </w:r>
      <w:bookmarkEnd w:id="14"/>
      <w:bookmarkEnd w:id="15"/>
    </w:p>
    <w:p w:rsidR="00406211" w:rsidRPr="00D1297D" w:rsidRDefault="00406211" w:rsidP="00406211">
      <w:pPr>
        <w:spacing w:after="0" w:line="240" w:lineRule="auto"/>
        <w:rPr>
          <w:rFonts w:ascii="Arial Narrow" w:hAnsi="Arial Narrow"/>
          <w:sz w:val="20"/>
          <w:szCs w:val="20"/>
        </w:rPr>
      </w:pPr>
    </w:p>
    <w:p w:rsidR="00406211" w:rsidRPr="00D1297D" w:rsidRDefault="00406211" w:rsidP="00406211">
      <w:pPr>
        <w:spacing w:line="240" w:lineRule="auto"/>
        <w:contextualSpacing/>
        <w:rPr>
          <w:rFonts w:ascii="Arial Narrow" w:hAnsi="Arial Narrow"/>
          <w:b/>
          <w:color w:val="000000"/>
          <w:sz w:val="20"/>
          <w:szCs w:val="20"/>
          <w:u w:val="single"/>
        </w:rPr>
      </w:pPr>
      <w:r w:rsidRPr="00D1297D">
        <w:rPr>
          <w:rFonts w:ascii="Arial Narrow" w:hAnsi="Arial Narrow"/>
          <w:b/>
          <w:color w:val="000000"/>
          <w:sz w:val="20"/>
          <w:szCs w:val="20"/>
          <w:u w:val="single"/>
        </w:rPr>
        <w:t>NOTA: Indicar la calidad en que suscriben el documento de conformación.</w:t>
      </w:r>
    </w:p>
    <w:p w:rsidR="00406211" w:rsidRPr="00D1297D" w:rsidRDefault="00406211" w:rsidP="00406211">
      <w:pPr>
        <w:spacing w:after="0" w:line="240" w:lineRule="auto"/>
        <w:rPr>
          <w:rFonts w:ascii="Arial Narrow" w:hAnsi="Arial Narrow"/>
          <w:sz w:val="20"/>
          <w:szCs w:val="20"/>
        </w:rPr>
      </w:pPr>
    </w:p>
    <w:p w:rsidR="00406211" w:rsidRPr="00D1297D" w:rsidRDefault="00406211" w:rsidP="00406211">
      <w:pPr>
        <w:pStyle w:val="Ttulo2"/>
        <w:spacing w:before="0" w:after="0"/>
        <w:jc w:val="center"/>
        <w:rPr>
          <w:rFonts w:ascii="Arial Narrow" w:hAnsi="Arial Narrow"/>
          <w:i w:val="0"/>
          <w:sz w:val="20"/>
        </w:rPr>
      </w:pPr>
      <w:r w:rsidRPr="00D1297D">
        <w:rPr>
          <w:rFonts w:ascii="Arial Narrow" w:hAnsi="Arial Narrow"/>
          <w:i w:val="0"/>
          <w:sz w:val="20"/>
        </w:rPr>
        <w:br w:type="page"/>
      </w:r>
      <w:bookmarkStart w:id="16" w:name="_Toc3452893"/>
      <w:bookmarkStart w:id="17" w:name="_Toc5095156"/>
      <w:r w:rsidRPr="00D1297D">
        <w:rPr>
          <w:rFonts w:ascii="Arial Narrow" w:hAnsi="Arial Narrow"/>
          <w:i w:val="0"/>
          <w:sz w:val="20"/>
        </w:rPr>
        <w:lastRenderedPageBreak/>
        <w:t>ANEXO No. 3 -OFERTA ECONÓMICA</w:t>
      </w:r>
      <w:bookmarkEnd w:id="16"/>
      <w:bookmarkEnd w:id="17"/>
    </w:p>
    <w:p w:rsidR="00AA6ACE" w:rsidRPr="00D1297D" w:rsidRDefault="00AA6ACE" w:rsidP="00AA6ACE">
      <w:pPr>
        <w:spacing w:after="0" w:line="240" w:lineRule="auto"/>
        <w:jc w:val="both"/>
        <w:rPr>
          <w:rFonts w:ascii="Arial Narrow" w:hAnsi="Arial Narrow" w:cs="Arial"/>
          <w:sz w:val="20"/>
          <w:szCs w:val="20"/>
        </w:rPr>
      </w:pPr>
    </w:p>
    <w:p w:rsidR="00AA6ACE" w:rsidRPr="00D1297D" w:rsidRDefault="00AA6ACE" w:rsidP="00AA6ACE">
      <w:pPr>
        <w:spacing w:after="0" w:line="240" w:lineRule="auto"/>
        <w:jc w:val="both"/>
        <w:rPr>
          <w:rFonts w:ascii="Arial Narrow" w:hAnsi="Arial Narrow" w:cs="Arial"/>
          <w:sz w:val="20"/>
          <w:szCs w:val="20"/>
        </w:rPr>
      </w:pPr>
      <w:r w:rsidRPr="00D1297D">
        <w:rPr>
          <w:rFonts w:ascii="Arial Narrow" w:hAnsi="Arial Narrow" w:cs="Arial"/>
          <w:sz w:val="20"/>
          <w:szCs w:val="20"/>
        </w:rPr>
        <w:t>La oferta económica es la utilidad que se le entrega al Departamento y que está representada en el mayor porcentaje del precio público al distribuidor detallista, que el Departamento se reserva de la concesión y que el concesionario recibe y lo transfiere.</w:t>
      </w:r>
    </w:p>
    <w:p w:rsidR="00AA6ACE" w:rsidRPr="00D1297D" w:rsidRDefault="00AA6ACE" w:rsidP="00AA6ACE">
      <w:pPr>
        <w:spacing w:after="0" w:line="240" w:lineRule="auto"/>
        <w:jc w:val="both"/>
        <w:rPr>
          <w:rFonts w:ascii="Arial Narrow" w:hAnsi="Arial Narrow" w:cs="Arial"/>
          <w:sz w:val="20"/>
          <w:szCs w:val="20"/>
        </w:rPr>
      </w:pPr>
    </w:p>
    <w:p w:rsidR="00AA6ACE" w:rsidRPr="00D1297D" w:rsidRDefault="00AA6ACE" w:rsidP="00AA6ACE">
      <w:pPr>
        <w:spacing w:after="0" w:line="240" w:lineRule="auto"/>
        <w:jc w:val="both"/>
        <w:rPr>
          <w:rFonts w:ascii="Arial Narrow" w:hAnsi="Arial Narrow" w:cs="Arial"/>
          <w:sz w:val="20"/>
          <w:szCs w:val="20"/>
        </w:rPr>
      </w:pPr>
      <w:r w:rsidRPr="00D1297D">
        <w:rPr>
          <w:rFonts w:ascii="Arial Narrow" w:hAnsi="Arial Narrow" w:cs="Arial"/>
          <w:sz w:val="20"/>
          <w:szCs w:val="20"/>
        </w:rPr>
        <w:t xml:space="preserve">El porcentaje de utilidades para el Departamento, el cual como mínimo será del dieciocho por ciento (18%) sobre el precio de venta al minorista, por cada botella convertida a 750 ml. </w:t>
      </w:r>
    </w:p>
    <w:p w:rsidR="00AA6ACE" w:rsidRPr="00D1297D" w:rsidRDefault="00AA6ACE" w:rsidP="00AA6ACE">
      <w:pPr>
        <w:spacing w:after="0" w:line="240" w:lineRule="auto"/>
        <w:jc w:val="both"/>
        <w:rPr>
          <w:rFonts w:ascii="Arial Narrow" w:hAnsi="Arial Narrow" w:cs="Arial"/>
          <w:sz w:val="20"/>
          <w:szCs w:val="20"/>
        </w:rPr>
      </w:pPr>
    </w:p>
    <w:p w:rsidR="00AA6ACE" w:rsidRPr="00D1297D" w:rsidRDefault="00AA6ACE" w:rsidP="00AA6ACE">
      <w:pPr>
        <w:spacing w:after="0" w:line="240" w:lineRule="auto"/>
        <w:jc w:val="both"/>
        <w:rPr>
          <w:rFonts w:ascii="Arial Narrow" w:hAnsi="Arial Narrow" w:cs="Arial"/>
          <w:sz w:val="20"/>
          <w:szCs w:val="20"/>
        </w:rPr>
      </w:pPr>
      <w:r w:rsidRPr="00D1297D">
        <w:rPr>
          <w:rFonts w:ascii="Arial Narrow" w:hAnsi="Arial Narrow" w:cs="Arial"/>
          <w:sz w:val="20"/>
          <w:szCs w:val="20"/>
        </w:rPr>
        <w:t xml:space="preserve">Las ofertas deben hacerse en porcentajes con número entero y un decimal. Por ejemplo 19,5% o 20,1%. </w:t>
      </w:r>
    </w:p>
    <w:p w:rsidR="00AA6ACE" w:rsidRPr="00D1297D" w:rsidRDefault="00AA6ACE" w:rsidP="00AA6ACE">
      <w:pPr>
        <w:spacing w:after="0" w:line="240" w:lineRule="auto"/>
        <w:jc w:val="both"/>
        <w:rPr>
          <w:rFonts w:ascii="Arial Narrow" w:hAnsi="Arial Narrow" w:cs="Arial"/>
          <w:sz w:val="20"/>
          <w:szCs w:val="20"/>
        </w:rPr>
      </w:pPr>
    </w:p>
    <w:p w:rsidR="00AA6ACE" w:rsidRPr="00D1297D" w:rsidRDefault="00AA6ACE" w:rsidP="00AA6ACE">
      <w:pPr>
        <w:spacing w:after="0" w:line="240" w:lineRule="auto"/>
        <w:jc w:val="both"/>
        <w:rPr>
          <w:rFonts w:ascii="Arial Narrow" w:hAnsi="Arial Narrow" w:cs="Arial"/>
          <w:sz w:val="20"/>
          <w:szCs w:val="20"/>
        </w:rPr>
      </w:pPr>
      <w:r w:rsidRPr="00D1297D">
        <w:rPr>
          <w:rFonts w:ascii="Arial Narrow" w:hAnsi="Arial Narrow" w:cs="Arial"/>
          <w:sz w:val="20"/>
          <w:szCs w:val="20"/>
        </w:rPr>
        <w:t xml:space="preserve">El proponente acepta con la presentación de la Oferta la siguiente regla: </w:t>
      </w:r>
    </w:p>
    <w:p w:rsidR="00AA6ACE" w:rsidRPr="00D1297D" w:rsidRDefault="00AA6ACE" w:rsidP="00AA6ACE">
      <w:pPr>
        <w:spacing w:after="0" w:line="240" w:lineRule="auto"/>
        <w:jc w:val="both"/>
        <w:rPr>
          <w:rFonts w:ascii="Arial Narrow" w:hAnsi="Arial Narrow" w:cs="Arial"/>
          <w:sz w:val="20"/>
          <w:szCs w:val="20"/>
        </w:rPr>
      </w:pPr>
    </w:p>
    <w:p w:rsidR="00AA6ACE" w:rsidRPr="00D1297D" w:rsidRDefault="00AA6ACE" w:rsidP="00AA6ACE">
      <w:pPr>
        <w:numPr>
          <w:ilvl w:val="0"/>
          <w:numId w:val="1"/>
        </w:numPr>
        <w:spacing w:after="0" w:line="240" w:lineRule="auto"/>
        <w:jc w:val="both"/>
        <w:rPr>
          <w:rFonts w:ascii="Arial Narrow" w:hAnsi="Arial Narrow" w:cs="Arial"/>
          <w:sz w:val="20"/>
          <w:szCs w:val="20"/>
        </w:rPr>
      </w:pPr>
      <w:r w:rsidRPr="00D1297D">
        <w:rPr>
          <w:rFonts w:ascii="Arial Narrow" w:hAnsi="Arial Narrow" w:cs="Arial"/>
          <w:sz w:val="20"/>
          <w:szCs w:val="20"/>
        </w:rPr>
        <w:t>En caso de que la propuesta sea presentada con más de un decimal, no se tendrán en cuenta los decimales adicionales diferentes al primero.</w:t>
      </w:r>
    </w:p>
    <w:p w:rsidR="00AA6ACE" w:rsidRPr="00D1297D" w:rsidRDefault="00AA6ACE" w:rsidP="00AA6ACE">
      <w:pPr>
        <w:spacing w:after="0" w:line="240" w:lineRule="auto"/>
        <w:jc w:val="both"/>
        <w:rPr>
          <w:rFonts w:ascii="Arial Narrow" w:hAnsi="Arial Narrow" w:cs="Arial"/>
          <w:sz w:val="20"/>
          <w:szCs w:val="20"/>
        </w:rPr>
      </w:pPr>
    </w:p>
    <w:p w:rsidR="00AA6ACE" w:rsidRPr="00D1297D" w:rsidRDefault="00AA6ACE" w:rsidP="00AA6ACE">
      <w:pPr>
        <w:numPr>
          <w:ilvl w:val="0"/>
          <w:numId w:val="1"/>
        </w:numPr>
        <w:spacing w:after="0" w:line="240" w:lineRule="auto"/>
        <w:jc w:val="both"/>
        <w:rPr>
          <w:rFonts w:ascii="Arial Narrow" w:hAnsi="Arial Narrow" w:cs="Arial"/>
          <w:sz w:val="20"/>
          <w:szCs w:val="20"/>
        </w:rPr>
      </w:pPr>
      <w:r w:rsidRPr="00D1297D">
        <w:rPr>
          <w:rFonts w:ascii="Arial Narrow" w:hAnsi="Arial Narrow" w:cs="Arial"/>
          <w:sz w:val="20"/>
          <w:szCs w:val="20"/>
        </w:rPr>
        <w:t>La presentación de ofertas económicas por debajo del referido mínimo dieciocho por ciento (18%) será causal de rechazo de la oferta.</w:t>
      </w:r>
    </w:p>
    <w:p w:rsidR="00AA6ACE" w:rsidRPr="00D1297D" w:rsidRDefault="00AA6ACE" w:rsidP="00AA6ACE">
      <w:pPr>
        <w:spacing w:after="0" w:line="240" w:lineRule="auto"/>
        <w:jc w:val="both"/>
        <w:rPr>
          <w:rFonts w:ascii="Arial Narrow" w:hAnsi="Arial Narrow" w:cs="Arial"/>
          <w:sz w:val="20"/>
          <w:szCs w:val="20"/>
        </w:rPr>
      </w:pPr>
    </w:p>
    <w:p w:rsidR="00AA6ACE" w:rsidRPr="00D1297D" w:rsidRDefault="00AA6ACE" w:rsidP="00AA6ACE">
      <w:pPr>
        <w:numPr>
          <w:ilvl w:val="0"/>
          <w:numId w:val="1"/>
        </w:numPr>
        <w:spacing w:after="0" w:line="240" w:lineRule="auto"/>
        <w:jc w:val="both"/>
        <w:rPr>
          <w:rFonts w:ascii="Arial Narrow" w:hAnsi="Arial Narrow" w:cs="Arial"/>
          <w:sz w:val="20"/>
          <w:szCs w:val="20"/>
        </w:rPr>
      </w:pPr>
      <w:r w:rsidRPr="00D1297D">
        <w:rPr>
          <w:rFonts w:ascii="Arial Narrow" w:hAnsi="Arial Narrow" w:cs="Arial"/>
          <w:sz w:val="20"/>
          <w:szCs w:val="20"/>
        </w:rPr>
        <w:t>El oferente acepta que están a su cargo todos los costos y gastos, directos e indirectos de la concesión, así como que estarán a su cargo todos los impuestos, tasas y contribuciones establecidos por las diferentes autoridades nacionales, departamentales o municipales que hayan de causarse por la celebración y ejecución del contrato, así como todos los demás gastos en los que deba incurrir en caso de adjudicársele el contrato tales como la constitución de pólizas y publicación.</w:t>
      </w:r>
    </w:p>
    <w:p w:rsidR="00AA6ACE" w:rsidRPr="00D1297D" w:rsidRDefault="00AA6ACE" w:rsidP="00AA6ACE">
      <w:pPr>
        <w:spacing w:after="0" w:line="240" w:lineRule="auto"/>
        <w:jc w:val="both"/>
        <w:rPr>
          <w:rFonts w:ascii="Arial Narrow" w:hAnsi="Arial Narrow" w:cs="Arial"/>
          <w:sz w:val="20"/>
          <w:szCs w:val="20"/>
        </w:rPr>
      </w:pPr>
    </w:p>
    <w:p w:rsidR="00AA6ACE" w:rsidRPr="00D1297D" w:rsidRDefault="00AA6ACE" w:rsidP="00AA6ACE">
      <w:pPr>
        <w:numPr>
          <w:ilvl w:val="0"/>
          <w:numId w:val="1"/>
        </w:numPr>
        <w:spacing w:after="0" w:line="240" w:lineRule="auto"/>
        <w:jc w:val="both"/>
        <w:rPr>
          <w:rFonts w:ascii="Arial Narrow" w:hAnsi="Arial Narrow" w:cs="Arial"/>
          <w:sz w:val="20"/>
          <w:szCs w:val="20"/>
        </w:rPr>
      </w:pPr>
      <w:r w:rsidRPr="00D1297D">
        <w:rPr>
          <w:rFonts w:ascii="Arial Narrow" w:hAnsi="Arial Narrow" w:cs="Arial"/>
          <w:sz w:val="20"/>
          <w:szCs w:val="20"/>
        </w:rPr>
        <w:t xml:space="preserve">Igualmente, deberá tener en cuenta, entre otros aspectos, el plazo del contrato, la información contenida en las especificaciones técnicas del proyecto, la distribución de riesgos, las condiciones y especificaciones señaladas en este estudio, así como prever las fluctuaciones del mercado y los cambios de hábitos de los consumidores de licores. </w:t>
      </w:r>
    </w:p>
    <w:p w:rsidR="00AA6ACE" w:rsidRPr="00D1297D" w:rsidRDefault="00AA6ACE" w:rsidP="00AA6ACE">
      <w:pPr>
        <w:spacing w:after="0" w:line="240" w:lineRule="auto"/>
        <w:jc w:val="both"/>
        <w:rPr>
          <w:rFonts w:ascii="Arial Narrow" w:hAnsi="Arial Narrow" w:cs="Arial"/>
          <w:sz w:val="20"/>
          <w:szCs w:val="20"/>
        </w:rPr>
      </w:pPr>
    </w:p>
    <w:p w:rsidR="00AA6ACE" w:rsidRPr="00D1297D" w:rsidRDefault="00AA6ACE" w:rsidP="00AA6ACE">
      <w:pPr>
        <w:numPr>
          <w:ilvl w:val="0"/>
          <w:numId w:val="1"/>
        </w:numPr>
        <w:spacing w:after="0" w:line="240" w:lineRule="auto"/>
        <w:jc w:val="both"/>
        <w:rPr>
          <w:rFonts w:ascii="Arial Narrow" w:hAnsi="Arial Narrow" w:cs="Arial"/>
          <w:sz w:val="20"/>
          <w:szCs w:val="20"/>
        </w:rPr>
      </w:pPr>
      <w:r w:rsidRPr="00D1297D">
        <w:rPr>
          <w:rFonts w:ascii="Arial Narrow" w:hAnsi="Arial Narrow" w:cs="Arial"/>
          <w:sz w:val="20"/>
          <w:szCs w:val="20"/>
        </w:rPr>
        <w:t>Con la presentación de la oferta se entiende que el proponente conoce las reglas de participación y todos los documentos técnicos, de tal manera que el valor total de la propuesta se ajusta a todo lo requerido para la ejecución a satisfacción de cada una de las actividades.</w:t>
      </w:r>
    </w:p>
    <w:p w:rsidR="00AA6ACE" w:rsidRPr="00D1297D" w:rsidRDefault="00AA6ACE" w:rsidP="00AA6ACE">
      <w:pPr>
        <w:pStyle w:val="Default"/>
        <w:jc w:val="both"/>
        <w:rPr>
          <w:rFonts w:ascii="Arial Narrow" w:hAnsi="Arial Narrow" w:cs="Tahoma"/>
          <w:b/>
          <w:color w:val="auto"/>
          <w:sz w:val="20"/>
          <w:szCs w:val="20"/>
          <w:lang w:val="es-ES_tradnl"/>
        </w:rPr>
      </w:pPr>
    </w:p>
    <w:p w:rsidR="00AA6ACE" w:rsidRPr="00D1297D" w:rsidRDefault="00AA6ACE" w:rsidP="00AA6ACE">
      <w:pPr>
        <w:pStyle w:val="Default"/>
        <w:jc w:val="both"/>
        <w:rPr>
          <w:rFonts w:ascii="Arial Narrow" w:hAnsi="Arial Narrow" w:cs="Tahoma"/>
          <w:color w:val="auto"/>
          <w:sz w:val="20"/>
          <w:szCs w:val="20"/>
          <w:lang w:val="es-ES_tradnl"/>
        </w:rPr>
      </w:pPr>
      <w:r w:rsidRPr="00D1297D">
        <w:rPr>
          <w:rFonts w:ascii="Arial Narrow" w:hAnsi="Arial Narrow" w:cs="Tahoma"/>
          <w:b/>
          <w:color w:val="auto"/>
          <w:sz w:val="20"/>
          <w:szCs w:val="20"/>
          <w:lang w:val="es-ES_tradnl"/>
        </w:rPr>
        <w:t>NOTA 1</w:t>
      </w:r>
      <w:r w:rsidRPr="00D1297D">
        <w:rPr>
          <w:rFonts w:ascii="Arial Narrow" w:hAnsi="Arial Narrow" w:cs="Tahoma"/>
          <w:color w:val="auto"/>
          <w:sz w:val="20"/>
          <w:szCs w:val="20"/>
          <w:lang w:val="es-ES_tradnl"/>
        </w:rPr>
        <w:t xml:space="preserve">: En el caso de los consorcios o uniones temporales, cada uno de los integrantes deberá acreditar experiencia. </w:t>
      </w:r>
    </w:p>
    <w:p w:rsidR="00AA6ACE" w:rsidRPr="00D1297D" w:rsidRDefault="00AA6ACE" w:rsidP="00AA6ACE">
      <w:pPr>
        <w:autoSpaceDE w:val="0"/>
        <w:autoSpaceDN w:val="0"/>
        <w:adjustRightInd w:val="0"/>
        <w:spacing w:after="0" w:line="240" w:lineRule="auto"/>
        <w:ind w:left="7"/>
        <w:contextualSpacing/>
        <w:jc w:val="both"/>
        <w:rPr>
          <w:rFonts w:ascii="Arial Narrow" w:hAnsi="Arial Narrow" w:cs="Tahoma"/>
          <w:b/>
          <w:sz w:val="20"/>
          <w:szCs w:val="20"/>
          <w:lang w:val="es-ES_tradnl"/>
        </w:rPr>
      </w:pPr>
    </w:p>
    <w:p w:rsidR="00AA6ACE" w:rsidRPr="00D1297D" w:rsidRDefault="00AA6ACE" w:rsidP="00AA6ACE">
      <w:pPr>
        <w:autoSpaceDE w:val="0"/>
        <w:autoSpaceDN w:val="0"/>
        <w:adjustRightInd w:val="0"/>
        <w:spacing w:after="0" w:line="240" w:lineRule="auto"/>
        <w:ind w:left="7"/>
        <w:contextualSpacing/>
        <w:jc w:val="both"/>
        <w:rPr>
          <w:rFonts w:ascii="Arial Narrow" w:hAnsi="Arial Narrow" w:cs="Tahoma"/>
          <w:sz w:val="20"/>
          <w:szCs w:val="20"/>
          <w:lang w:val="es-ES_tradnl"/>
        </w:rPr>
      </w:pPr>
      <w:r w:rsidRPr="00D1297D">
        <w:rPr>
          <w:rFonts w:ascii="Arial Narrow" w:hAnsi="Arial Narrow" w:cs="Tahoma"/>
          <w:b/>
          <w:sz w:val="20"/>
          <w:szCs w:val="20"/>
          <w:lang w:val="es-ES_tradnl"/>
        </w:rPr>
        <w:t>NOTA 2</w:t>
      </w:r>
      <w:r w:rsidRPr="00D1297D">
        <w:rPr>
          <w:rFonts w:ascii="Arial Narrow" w:hAnsi="Arial Narrow" w:cs="Tahoma"/>
          <w:sz w:val="20"/>
          <w:szCs w:val="20"/>
          <w:lang w:val="es-ES_tradnl"/>
        </w:rPr>
        <w:t>: De conformidad con el artículo 9 del Decreto Ley 019 de 2012: “</w:t>
      </w:r>
      <w:r w:rsidRPr="00D1297D">
        <w:rPr>
          <w:rFonts w:ascii="Arial Narrow" w:hAnsi="Arial Narrow" w:cs="Tahoma"/>
          <w:sz w:val="20"/>
          <w:szCs w:val="20"/>
          <w:shd w:val="clear" w:color="auto" w:fill="FFFFFF"/>
          <w:lang w:val="es-ES_tradnl"/>
        </w:rPr>
        <w:t>Cuando se esté adelantando un trámite ante la administración, se prohíbe exigir actos administrativos, constancias, certificaciones o documentos que ya reposen en la entidad ante la cual se está tramitando la respectiva actuación”.</w:t>
      </w:r>
    </w:p>
    <w:p w:rsidR="00AA6ACE" w:rsidRPr="00D1297D" w:rsidRDefault="00AA6ACE" w:rsidP="00AA6ACE">
      <w:pPr>
        <w:pStyle w:val="Default"/>
        <w:jc w:val="both"/>
        <w:rPr>
          <w:rFonts w:ascii="Arial Narrow" w:hAnsi="Arial Narrow" w:cs="Tahoma"/>
          <w:b/>
          <w:color w:val="auto"/>
          <w:sz w:val="20"/>
          <w:szCs w:val="20"/>
          <w:lang w:val="es-ES_tradnl"/>
        </w:rPr>
      </w:pPr>
    </w:p>
    <w:p w:rsidR="00AA6ACE" w:rsidRPr="00D1297D" w:rsidRDefault="00AA6ACE" w:rsidP="00AA6ACE">
      <w:pPr>
        <w:pStyle w:val="Default"/>
        <w:jc w:val="both"/>
        <w:rPr>
          <w:rFonts w:ascii="Arial Narrow" w:hAnsi="Arial Narrow" w:cs="Tahoma"/>
          <w:color w:val="auto"/>
          <w:sz w:val="20"/>
          <w:szCs w:val="20"/>
          <w:lang w:val="es-ES_tradnl"/>
        </w:rPr>
      </w:pPr>
      <w:r w:rsidRPr="00D1297D">
        <w:rPr>
          <w:rFonts w:ascii="Arial Narrow" w:hAnsi="Arial Narrow" w:cs="Tahoma"/>
          <w:b/>
          <w:color w:val="auto"/>
          <w:sz w:val="20"/>
          <w:szCs w:val="20"/>
          <w:lang w:val="es-ES_tradnl"/>
        </w:rPr>
        <w:t>NOTA 3</w:t>
      </w:r>
      <w:r w:rsidRPr="00D1297D">
        <w:rPr>
          <w:rFonts w:ascii="Arial Narrow" w:hAnsi="Arial Narrow" w:cs="Tahoma"/>
          <w:color w:val="auto"/>
          <w:sz w:val="20"/>
          <w:szCs w:val="20"/>
          <w:lang w:val="es-ES_tradnl"/>
        </w:rPr>
        <w:t>: En el caso que el proponente haya participado en procesos de fusión, escisión empresarial, debe tomar para estos efectos, exclusivamente los contratos o el porcentaje de los mismos, que le hayan asignado en el respectivo proceso de fusión, escisión, para ello debe aportar el certificado del contador público o del revisor fiscal (si la persona jurídica tiene revisor fiscal) que así lo acredite).</w:t>
      </w:r>
    </w:p>
    <w:p w:rsidR="00AA6ACE" w:rsidRPr="00D1297D" w:rsidRDefault="00AA6ACE" w:rsidP="00AA6ACE">
      <w:pPr>
        <w:pStyle w:val="Default"/>
        <w:jc w:val="both"/>
        <w:rPr>
          <w:rFonts w:ascii="Arial Narrow" w:hAnsi="Arial Narrow" w:cs="Tahoma"/>
          <w:color w:val="auto"/>
          <w:sz w:val="20"/>
          <w:szCs w:val="20"/>
          <w:lang w:val="es-ES_tradnl"/>
        </w:rPr>
      </w:pPr>
    </w:p>
    <w:p w:rsidR="00AA6ACE" w:rsidRPr="00D1297D" w:rsidRDefault="00AA6ACE" w:rsidP="00AA6ACE">
      <w:pPr>
        <w:spacing w:after="0" w:line="240" w:lineRule="auto"/>
        <w:jc w:val="both"/>
        <w:rPr>
          <w:rFonts w:ascii="Arial Narrow" w:hAnsi="Arial Narrow" w:cs="Tahoma"/>
          <w:sz w:val="20"/>
          <w:szCs w:val="20"/>
          <w:lang w:val="es-ES_tradnl"/>
        </w:rPr>
      </w:pPr>
      <w:r w:rsidRPr="00D1297D">
        <w:rPr>
          <w:rFonts w:ascii="Arial Narrow" w:hAnsi="Arial Narrow" w:cs="Tahoma"/>
          <w:b/>
          <w:bCs/>
          <w:sz w:val="20"/>
          <w:szCs w:val="20"/>
          <w:lang w:val="es-ES_tradnl"/>
        </w:rPr>
        <w:t xml:space="preserve">NOTA 4: </w:t>
      </w:r>
      <w:r w:rsidRPr="00D1297D">
        <w:rPr>
          <w:rFonts w:ascii="Arial Narrow" w:hAnsi="Arial Narrow" w:cs="Tahoma"/>
          <w:bCs/>
          <w:sz w:val="20"/>
          <w:szCs w:val="20"/>
          <w:lang w:val="es-ES_tradnl"/>
        </w:rPr>
        <w:t>De conformidad con el numeral 2.5 del artículo 2.2.1.1.1.5.2 del Decreto 1082 de 2015 si la constitución de la sociedad interesada “es menor a tres años, puede acreditar la experiencia de sus accionistas, socios o constituyentes”.</w:t>
      </w:r>
    </w:p>
    <w:p w:rsidR="00406211" w:rsidRPr="00D1297D" w:rsidRDefault="00406211" w:rsidP="00406211">
      <w:pPr>
        <w:spacing w:after="0" w:line="240" w:lineRule="auto"/>
        <w:jc w:val="center"/>
        <w:rPr>
          <w:rFonts w:ascii="Arial Narrow" w:hAnsi="Arial Narrow"/>
          <w:sz w:val="20"/>
          <w:szCs w:val="20"/>
          <w:lang w:val="es-ES_tradnl"/>
        </w:rPr>
      </w:pPr>
    </w:p>
    <w:p w:rsidR="00D1297D" w:rsidRDefault="005271A6" w:rsidP="00D1297D">
      <w:pPr>
        <w:spacing w:after="0" w:line="240" w:lineRule="auto"/>
        <w:jc w:val="center"/>
        <w:rPr>
          <w:rFonts w:ascii="Arial Narrow" w:hAnsi="Arial Narrow"/>
          <w:sz w:val="20"/>
          <w:szCs w:val="20"/>
        </w:rPr>
      </w:pPr>
      <w:r w:rsidRPr="00D1297D">
        <w:rPr>
          <w:rFonts w:ascii="Arial Narrow" w:hAnsi="Arial Narrow"/>
          <w:noProof/>
          <w:sz w:val="20"/>
          <w:szCs w:val="20"/>
          <w:lang w:eastAsia="es-CO"/>
        </w:rPr>
        <mc:AlternateContent>
          <mc:Choice Requires="wps">
            <w:drawing>
              <wp:anchor distT="0" distB="0" distL="114300" distR="114300" simplePos="0" relativeHeight="251659264" behindDoc="0" locked="0" layoutInCell="1" allowOverlap="1">
                <wp:simplePos x="0" y="0"/>
                <wp:positionH relativeFrom="column">
                  <wp:posOffset>3710940</wp:posOffset>
                </wp:positionH>
                <wp:positionV relativeFrom="paragraph">
                  <wp:posOffset>211455</wp:posOffset>
                </wp:positionV>
                <wp:extent cx="1590675" cy="542925"/>
                <wp:effectExtent l="19050" t="19050" r="47625" b="47625"/>
                <wp:wrapNone/>
                <wp:docPr id="2" name="Rectángulo 2"/>
                <wp:cNvGraphicFramePr/>
                <a:graphic xmlns:a="http://schemas.openxmlformats.org/drawingml/2006/main">
                  <a:graphicData uri="http://schemas.microsoft.com/office/word/2010/wordprocessingShape">
                    <wps:wsp>
                      <wps:cNvSpPr/>
                      <wps:spPr>
                        <a:xfrm>
                          <a:off x="0" y="0"/>
                          <a:ext cx="1590675" cy="542925"/>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4CAEA1" id="Rectángulo 2" o:spid="_x0000_s1026" style="position:absolute;margin-left:292.2pt;margin-top:16.65pt;width:125.25pt;height:4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" filled="f" strokecolor="black [3213]" strokeweight="4.5pt"/>
            </w:pict>
          </mc:Fallback>
        </mc:AlternateContent>
      </w:r>
      <w:r w:rsidRPr="00D1297D">
        <w:rPr>
          <w:rFonts w:ascii="Arial Narrow" w:hAnsi="Arial Narrow"/>
          <w:sz w:val="20"/>
          <w:szCs w:val="20"/>
        </w:rPr>
        <w:t>LA OFERTA ECONÓMICA DE UTILIDAD SOBRE EL PRECIO DE VENTA AL MINORISTA, POR CADA B</w:t>
      </w:r>
      <w:r w:rsidR="00D1297D">
        <w:rPr>
          <w:rFonts w:ascii="Arial Narrow" w:hAnsi="Arial Narrow"/>
          <w:sz w:val="20"/>
          <w:szCs w:val="20"/>
        </w:rPr>
        <w:t>OTELLA CONVERTIDA A 750CC ES DE</w:t>
      </w:r>
    </w:p>
    <w:p w:rsidR="00D1297D" w:rsidRDefault="00D1297D" w:rsidP="00D1297D">
      <w:pPr>
        <w:spacing w:after="0" w:line="240" w:lineRule="auto"/>
        <w:jc w:val="center"/>
        <w:rPr>
          <w:rFonts w:ascii="Arial Narrow" w:hAnsi="Arial Narrow"/>
          <w:sz w:val="20"/>
          <w:szCs w:val="20"/>
        </w:rPr>
      </w:pPr>
    </w:p>
    <w:p w:rsidR="00406211" w:rsidRPr="00D1297D" w:rsidRDefault="00D1297D" w:rsidP="00D1297D">
      <w:pPr>
        <w:spacing w:after="0" w:line="240" w:lineRule="auto"/>
        <w:jc w:val="center"/>
        <w:rPr>
          <w:rFonts w:ascii="Arial Narrow" w:hAnsi="Arial Narrow"/>
          <w:b/>
          <w:sz w:val="20"/>
          <w:szCs w:val="20"/>
        </w:rPr>
      </w:pPr>
      <w:r>
        <w:rPr>
          <w:rFonts w:ascii="Arial Narrow" w:hAnsi="Arial Narrow"/>
          <w:sz w:val="20"/>
          <w:szCs w:val="20"/>
        </w:rPr>
        <w:t xml:space="preserve">                                                                                                                                               </w:t>
      </w:r>
      <w:r w:rsidRPr="00D1297D">
        <w:rPr>
          <w:rFonts w:ascii="Arial Narrow" w:hAnsi="Arial Narrow"/>
          <w:b/>
          <w:sz w:val="32"/>
          <w:szCs w:val="20"/>
        </w:rPr>
        <w:t>%</w:t>
      </w:r>
    </w:p>
    <w:p w:rsidR="00406211" w:rsidRPr="00D1297D" w:rsidRDefault="00406211" w:rsidP="00406211">
      <w:pPr>
        <w:spacing w:after="0" w:line="240" w:lineRule="auto"/>
        <w:jc w:val="both"/>
        <w:rPr>
          <w:rFonts w:ascii="Arial Narrow" w:hAnsi="Arial Narrow"/>
          <w:sz w:val="20"/>
          <w:szCs w:val="20"/>
        </w:rPr>
      </w:pPr>
    </w:p>
    <w:p w:rsidR="00406211" w:rsidRPr="00D1297D" w:rsidRDefault="00406211" w:rsidP="00406211">
      <w:pPr>
        <w:spacing w:after="0" w:line="240" w:lineRule="auto"/>
        <w:contextualSpacing/>
        <w:jc w:val="center"/>
        <w:rPr>
          <w:rFonts w:ascii="Arial Narrow" w:eastAsia="Batang" w:hAnsi="Arial Narrow"/>
          <w:sz w:val="20"/>
          <w:szCs w:val="20"/>
        </w:rPr>
      </w:pPr>
      <w:r w:rsidRPr="00D1297D">
        <w:rPr>
          <w:rFonts w:ascii="Arial Narrow" w:eastAsia="Batang" w:hAnsi="Arial Narrow"/>
          <w:sz w:val="20"/>
          <w:szCs w:val="20"/>
        </w:rPr>
        <w:t>Firma del Proponente____________________________________________</w:t>
      </w:r>
    </w:p>
    <w:p w:rsidR="00406211" w:rsidRPr="00D1297D" w:rsidRDefault="00406211" w:rsidP="00406211">
      <w:pPr>
        <w:spacing w:after="0" w:line="240" w:lineRule="auto"/>
        <w:contextualSpacing/>
        <w:jc w:val="center"/>
        <w:rPr>
          <w:rFonts w:ascii="Arial Narrow" w:eastAsia="Batang" w:hAnsi="Arial Narrow"/>
          <w:sz w:val="20"/>
          <w:szCs w:val="20"/>
        </w:rPr>
      </w:pPr>
      <w:r w:rsidRPr="00D1297D">
        <w:rPr>
          <w:rFonts w:ascii="Arial Narrow" w:eastAsia="Batang" w:hAnsi="Arial Narrow"/>
          <w:sz w:val="20"/>
          <w:szCs w:val="20"/>
        </w:rPr>
        <w:t>Identificación No. ____________________________________________</w:t>
      </w:r>
    </w:p>
    <w:p w:rsidR="00406211" w:rsidRPr="00D1297D" w:rsidRDefault="00406211" w:rsidP="00406211">
      <w:pPr>
        <w:spacing w:after="0" w:line="240" w:lineRule="auto"/>
        <w:contextualSpacing/>
        <w:jc w:val="center"/>
        <w:rPr>
          <w:rFonts w:ascii="Arial Narrow" w:eastAsia="Batang" w:hAnsi="Arial Narrow"/>
          <w:b/>
          <w:sz w:val="20"/>
          <w:szCs w:val="20"/>
        </w:rPr>
      </w:pPr>
      <w:r w:rsidRPr="00D1297D">
        <w:rPr>
          <w:rFonts w:ascii="Arial Narrow" w:eastAsia="Batang" w:hAnsi="Arial Narrow"/>
          <w:b/>
          <w:sz w:val="20"/>
          <w:szCs w:val="20"/>
        </w:rPr>
        <w:t>En calidad de _______________________________________________</w:t>
      </w:r>
    </w:p>
    <w:p w:rsidR="00406211" w:rsidRPr="00D1297D" w:rsidRDefault="00406211" w:rsidP="00406211">
      <w:pPr>
        <w:spacing w:after="0" w:line="240" w:lineRule="auto"/>
        <w:rPr>
          <w:rFonts w:ascii="Arial Narrow" w:hAnsi="Arial Narrow"/>
          <w:i/>
          <w:sz w:val="20"/>
          <w:szCs w:val="20"/>
        </w:rPr>
      </w:pPr>
    </w:p>
    <w:p w:rsidR="00406211" w:rsidRPr="00D1297D" w:rsidRDefault="00406211" w:rsidP="00406211">
      <w:pPr>
        <w:pStyle w:val="Ttulo2"/>
        <w:spacing w:before="0" w:after="0"/>
        <w:jc w:val="center"/>
        <w:rPr>
          <w:rFonts w:ascii="Arial Narrow" w:eastAsia="Batang" w:hAnsi="Arial Narrow"/>
          <w:i w:val="0"/>
          <w:sz w:val="20"/>
        </w:rPr>
      </w:pPr>
      <w:bookmarkStart w:id="18" w:name="_Toc3452894"/>
      <w:bookmarkStart w:id="19" w:name="_Toc5095157"/>
      <w:r w:rsidRPr="00D1297D">
        <w:rPr>
          <w:rFonts w:ascii="Arial Narrow" w:hAnsi="Arial Narrow"/>
          <w:i w:val="0"/>
          <w:sz w:val="20"/>
        </w:rPr>
        <w:t xml:space="preserve">ANEXO No. 4 - </w:t>
      </w:r>
      <w:r w:rsidRPr="00D1297D">
        <w:rPr>
          <w:rFonts w:ascii="Arial Narrow" w:eastAsia="Batang" w:hAnsi="Arial Narrow"/>
          <w:i w:val="0"/>
          <w:sz w:val="20"/>
        </w:rPr>
        <w:t>CERTIFICACIÓN DE CUMPLIMIENTO DEL ARTÍCULO 50 DE LA LEY 789 DE 2002</w:t>
      </w:r>
      <w:bookmarkEnd w:id="18"/>
      <w:bookmarkEnd w:id="19"/>
    </w:p>
    <w:p w:rsidR="00406211" w:rsidRPr="00D1297D" w:rsidRDefault="00406211" w:rsidP="00406211">
      <w:pPr>
        <w:spacing w:after="0" w:line="240" w:lineRule="auto"/>
        <w:contextualSpacing/>
        <w:jc w:val="both"/>
        <w:rPr>
          <w:rFonts w:ascii="Arial Narrow" w:eastAsia="Batang" w:hAnsi="Arial Narrow"/>
          <w:sz w:val="20"/>
          <w:szCs w:val="20"/>
        </w:rPr>
      </w:pPr>
    </w:p>
    <w:p w:rsidR="00406211" w:rsidRPr="00D1297D" w:rsidRDefault="00406211" w:rsidP="00406211">
      <w:pPr>
        <w:spacing w:after="0" w:line="240" w:lineRule="auto"/>
        <w:contextualSpacing/>
        <w:jc w:val="both"/>
        <w:rPr>
          <w:rFonts w:ascii="Arial Narrow" w:eastAsia="Batang" w:hAnsi="Arial Narrow"/>
          <w:sz w:val="20"/>
          <w:szCs w:val="20"/>
          <w:lang w:val="es-ES_tradnl"/>
        </w:rPr>
      </w:pPr>
      <w:r w:rsidRPr="00D1297D">
        <w:rPr>
          <w:rFonts w:ascii="Arial Narrow" w:eastAsia="Batang" w:hAnsi="Arial Narrow"/>
          <w:sz w:val="20"/>
          <w:szCs w:val="20"/>
          <w:lang w:val="es-ES_tradnl"/>
        </w:rPr>
        <w:t xml:space="preserve">El suscrito __________________________, identificado con la cédula de ciudadanía No. _________________________, actuando en nombre y representación de _______________________, </w:t>
      </w:r>
      <w:proofErr w:type="spellStart"/>
      <w:r w:rsidRPr="00D1297D">
        <w:rPr>
          <w:rFonts w:ascii="Arial Narrow" w:eastAsia="Batang" w:hAnsi="Arial Narrow"/>
          <w:sz w:val="20"/>
          <w:szCs w:val="20"/>
          <w:lang w:val="es-ES_tradnl"/>
        </w:rPr>
        <w:t>Nit</w:t>
      </w:r>
      <w:proofErr w:type="spellEnd"/>
      <w:r w:rsidRPr="00D1297D">
        <w:rPr>
          <w:rFonts w:ascii="Arial Narrow" w:eastAsia="Batang" w:hAnsi="Arial Narrow"/>
          <w:sz w:val="20"/>
          <w:szCs w:val="20"/>
          <w:lang w:val="es-ES_tradnl"/>
        </w:rPr>
        <w:t xml:space="preserve"> _________________________, bajo la gravedad de juramento, manifiesto que la sociedad ha cumplido durante los seis (6) meses anteriores a la fecha de la presentación de la presente oferta con los pagos al sistema de seguridad social en salud, pensiones y riesgos laborales y con los aportes parafiscales correspondientes a todos sus empleados vinculados por contrato de trabajo, asimismo que se encuentra a paz y salvo con las empresas promotoras de salud –EPS–, los Fondos de Pensiones, las Administradoras de Riesgos Laborales –ARL–, las Cajas de Compensación Familiar, el Instituto Colombiano de Bienestar Familiar –ICBF– y el Servicio Nacional de Aprendizaje –SENA.</w:t>
      </w:r>
    </w:p>
    <w:p w:rsidR="00406211" w:rsidRPr="00D1297D" w:rsidRDefault="00406211" w:rsidP="00406211">
      <w:pPr>
        <w:pStyle w:val="Ttulo6"/>
        <w:ind w:left="0"/>
        <w:contextualSpacing/>
        <w:jc w:val="left"/>
        <w:rPr>
          <w:rFonts w:ascii="Arial Narrow" w:eastAsia="Batang" w:hAnsi="Arial Narrow"/>
          <w:sz w:val="20"/>
        </w:rPr>
      </w:pPr>
      <w:r w:rsidRPr="00D1297D">
        <w:rPr>
          <w:rFonts w:ascii="Arial Narrow" w:eastAsia="Batang" w:hAnsi="Arial Narrow"/>
          <w:sz w:val="20"/>
        </w:rPr>
        <w:t xml:space="preserve">Dada en ______ a los __________ del mes de __________ </w:t>
      </w:r>
      <w:proofErr w:type="spellStart"/>
      <w:r w:rsidRPr="00D1297D">
        <w:rPr>
          <w:rFonts w:ascii="Arial Narrow" w:eastAsia="Batang" w:hAnsi="Arial Narrow"/>
          <w:sz w:val="20"/>
        </w:rPr>
        <w:t>de</w:t>
      </w:r>
      <w:proofErr w:type="spellEnd"/>
      <w:r w:rsidRPr="00D1297D">
        <w:rPr>
          <w:rFonts w:ascii="Arial Narrow" w:eastAsia="Batang" w:hAnsi="Arial Narrow"/>
          <w:sz w:val="20"/>
        </w:rPr>
        <w:t xml:space="preserve"> 20__</w:t>
      </w:r>
    </w:p>
    <w:p w:rsidR="00406211" w:rsidRPr="00D1297D" w:rsidRDefault="00406211" w:rsidP="00406211">
      <w:pPr>
        <w:spacing w:after="0" w:line="240" w:lineRule="auto"/>
        <w:contextualSpacing/>
        <w:jc w:val="both"/>
        <w:rPr>
          <w:rFonts w:ascii="Arial Narrow" w:eastAsia="Batang" w:hAnsi="Arial Narrow"/>
          <w:sz w:val="20"/>
          <w:szCs w:val="20"/>
          <w:lang w:val="es-ES_tradnl"/>
        </w:rPr>
      </w:pPr>
    </w:p>
    <w:p w:rsidR="00406211" w:rsidRPr="00D1297D" w:rsidRDefault="00406211" w:rsidP="00406211">
      <w:pPr>
        <w:spacing w:after="0" w:line="240" w:lineRule="auto"/>
        <w:contextualSpacing/>
        <w:jc w:val="both"/>
        <w:rPr>
          <w:rFonts w:ascii="Arial Narrow" w:eastAsia="Batang" w:hAnsi="Arial Narrow"/>
          <w:sz w:val="20"/>
          <w:szCs w:val="20"/>
          <w:lang w:val="es-ES_tradnl"/>
        </w:rPr>
      </w:pPr>
    </w:p>
    <w:p w:rsidR="00406211" w:rsidRPr="00D1297D" w:rsidRDefault="00406211" w:rsidP="00406211">
      <w:pPr>
        <w:spacing w:after="0" w:line="240" w:lineRule="auto"/>
        <w:contextualSpacing/>
        <w:jc w:val="both"/>
        <w:rPr>
          <w:rFonts w:ascii="Arial Narrow" w:eastAsia="Batang" w:hAnsi="Arial Narrow"/>
          <w:sz w:val="20"/>
          <w:szCs w:val="20"/>
          <w:lang w:val="es-ES_tradnl"/>
        </w:rPr>
      </w:pPr>
    </w:p>
    <w:p w:rsidR="00406211" w:rsidRPr="00D1297D" w:rsidRDefault="00406211" w:rsidP="00406211">
      <w:pPr>
        <w:spacing w:after="0" w:line="240" w:lineRule="auto"/>
        <w:contextualSpacing/>
        <w:jc w:val="center"/>
        <w:rPr>
          <w:rFonts w:ascii="Arial Narrow" w:eastAsia="Batang" w:hAnsi="Arial Narrow"/>
          <w:sz w:val="20"/>
          <w:szCs w:val="20"/>
          <w:lang w:val="es-ES_tradnl"/>
        </w:rPr>
      </w:pPr>
      <w:r w:rsidRPr="00D1297D">
        <w:rPr>
          <w:rFonts w:ascii="Arial Narrow" w:eastAsia="Batang" w:hAnsi="Arial Narrow"/>
          <w:sz w:val="20"/>
          <w:szCs w:val="20"/>
          <w:lang w:val="es-ES_tradnl"/>
        </w:rPr>
        <w:t>Firma ____________________________________________</w:t>
      </w:r>
    </w:p>
    <w:p w:rsidR="00406211" w:rsidRPr="00D1297D" w:rsidRDefault="00406211" w:rsidP="00406211">
      <w:pPr>
        <w:spacing w:after="0" w:line="240" w:lineRule="auto"/>
        <w:contextualSpacing/>
        <w:jc w:val="center"/>
        <w:rPr>
          <w:rFonts w:ascii="Arial Narrow" w:eastAsia="Batang" w:hAnsi="Arial Narrow"/>
          <w:sz w:val="20"/>
          <w:szCs w:val="20"/>
          <w:lang w:val="es-ES_tradnl"/>
        </w:rPr>
      </w:pPr>
      <w:r w:rsidRPr="00D1297D">
        <w:rPr>
          <w:rFonts w:ascii="Arial Narrow" w:eastAsia="Batang" w:hAnsi="Arial Narrow"/>
          <w:sz w:val="20"/>
          <w:szCs w:val="20"/>
          <w:lang w:val="es-ES_tradnl"/>
        </w:rPr>
        <w:t>Identificación No. ____________________________________________</w:t>
      </w:r>
    </w:p>
    <w:p w:rsidR="00406211" w:rsidRPr="00D1297D" w:rsidRDefault="00406211" w:rsidP="00406211">
      <w:pPr>
        <w:spacing w:after="0" w:line="240" w:lineRule="auto"/>
        <w:contextualSpacing/>
        <w:jc w:val="center"/>
        <w:rPr>
          <w:rFonts w:ascii="Arial Narrow" w:eastAsia="Batang" w:hAnsi="Arial Narrow"/>
          <w:sz w:val="20"/>
          <w:szCs w:val="20"/>
          <w:lang w:val="es-ES_tradnl"/>
        </w:rPr>
      </w:pPr>
      <w:r w:rsidRPr="00D1297D">
        <w:rPr>
          <w:rFonts w:ascii="Arial Narrow" w:eastAsia="Batang" w:hAnsi="Arial Narrow"/>
          <w:sz w:val="20"/>
          <w:szCs w:val="20"/>
          <w:lang w:val="es-ES_tradnl"/>
        </w:rPr>
        <w:t>En calidad de ___ ____________________________________________</w:t>
      </w:r>
    </w:p>
    <w:p w:rsidR="00406211" w:rsidRPr="00D1297D" w:rsidRDefault="00406211" w:rsidP="00406211">
      <w:pPr>
        <w:spacing w:after="0" w:line="240" w:lineRule="auto"/>
        <w:contextualSpacing/>
        <w:jc w:val="both"/>
        <w:rPr>
          <w:rFonts w:ascii="Arial Narrow" w:eastAsia="Batang" w:hAnsi="Arial Narrow"/>
          <w:sz w:val="20"/>
          <w:szCs w:val="20"/>
          <w:lang w:val="es-ES_tradnl"/>
        </w:rPr>
      </w:pPr>
    </w:p>
    <w:p w:rsidR="00406211" w:rsidRPr="00D1297D" w:rsidRDefault="00406211" w:rsidP="00406211">
      <w:pPr>
        <w:spacing w:after="0" w:line="240" w:lineRule="auto"/>
        <w:contextualSpacing/>
        <w:jc w:val="both"/>
        <w:rPr>
          <w:rFonts w:ascii="Arial Narrow" w:eastAsia="Batang" w:hAnsi="Arial Narrow"/>
          <w:sz w:val="20"/>
          <w:szCs w:val="20"/>
          <w:lang w:val="es-ES_tradnl"/>
        </w:rPr>
      </w:pPr>
    </w:p>
    <w:p w:rsidR="00406211" w:rsidRPr="00D1297D" w:rsidRDefault="00406211" w:rsidP="00406211">
      <w:pPr>
        <w:spacing w:after="0" w:line="240" w:lineRule="auto"/>
        <w:contextualSpacing/>
        <w:jc w:val="both"/>
        <w:rPr>
          <w:rFonts w:ascii="Arial Narrow" w:hAnsi="Arial Narrow" w:cs="Arial"/>
          <w:sz w:val="20"/>
          <w:szCs w:val="20"/>
          <w:shd w:val="clear" w:color="auto" w:fill="FFFFFF"/>
          <w:lang w:val="es-ES_tradnl" w:eastAsia="es-ES"/>
        </w:rPr>
      </w:pPr>
      <w:r w:rsidRPr="00D1297D">
        <w:rPr>
          <w:rFonts w:ascii="Arial Narrow" w:eastAsia="Batang" w:hAnsi="Arial Narrow"/>
          <w:sz w:val="20"/>
          <w:szCs w:val="20"/>
          <w:lang w:val="es-ES_tradnl"/>
        </w:rPr>
        <w:t>Nota 1:</w:t>
      </w:r>
      <w:r w:rsidRPr="00D1297D">
        <w:rPr>
          <w:rFonts w:ascii="Arial Narrow" w:eastAsia="Batang" w:hAnsi="Arial Narrow"/>
          <w:b/>
          <w:sz w:val="20"/>
          <w:szCs w:val="20"/>
          <w:lang w:val="es-ES_tradnl"/>
        </w:rPr>
        <w:t xml:space="preserve"> </w:t>
      </w:r>
      <w:r w:rsidRPr="00D1297D">
        <w:rPr>
          <w:rFonts w:ascii="Arial Narrow" w:hAnsi="Arial Narrow" w:cs="Arial"/>
          <w:sz w:val="20"/>
          <w:szCs w:val="20"/>
          <w:shd w:val="clear" w:color="auto" w:fill="FFFFFF"/>
          <w:lang w:val="es-ES_tradnl" w:eastAsia="es-ES"/>
        </w:rPr>
        <w:t xml:space="preserve">La certificación deberá venir suscrita por el </w:t>
      </w:r>
      <w:r w:rsidRPr="00D1297D">
        <w:rPr>
          <w:rFonts w:ascii="Arial Narrow" w:hAnsi="Arial Narrow" w:cs="Arial"/>
          <w:b/>
          <w:sz w:val="20"/>
          <w:szCs w:val="20"/>
          <w:u w:val="single"/>
          <w:shd w:val="clear" w:color="auto" w:fill="FFFFFF"/>
          <w:lang w:val="es-ES_tradnl" w:eastAsia="es-ES"/>
        </w:rPr>
        <w:t>revisor fiscal</w:t>
      </w:r>
      <w:r w:rsidRPr="00D1297D">
        <w:rPr>
          <w:rFonts w:ascii="Arial Narrow" w:hAnsi="Arial Narrow" w:cs="Arial"/>
          <w:sz w:val="20"/>
          <w:szCs w:val="20"/>
          <w:shd w:val="clear" w:color="auto" w:fill="FFFFFF"/>
          <w:lang w:val="es-ES_tradnl" w:eastAsia="es-ES"/>
        </w:rPr>
        <w:t xml:space="preserve"> de la sociedad, cuando este exista de acuerdo con los requerimientos de ley, o por el representante legal.</w:t>
      </w:r>
    </w:p>
    <w:p w:rsidR="00406211" w:rsidRPr="00D1297D" w:rsidRDefault="00406211" w:rsidP="00406211">
      <w:pPr>
        <w:spacing w:after="0" w:line="240" w:lineRule="auto"/>
        <w:contextualSpacing/>
        <w:jc w:val="both"/>
        <w:rPr>
          <w:rFonts w:ascii="Arial Narrow" w:eastAsia="Batang" w:hAnsi="Arial Narrow"/>
          <w:b/>
          <w:sz w:val="20"/>
          <w:szCs w:val="20"/>
          <w:lang w:val="es-ES_tradnl"/>
        </w:rPr>
      </w:pPr>
    </w:p>
    <w:p w:rsidR="00406211" w:rsidRPr="00D1297D" w:rsidRDefault="00406211" w:rsidP="00406211">
      <w:pPr>
        <w:spacing w:after="0" w:line="240" w:lineRule="auto"/>
        <w:contextualSpacing/>
        <w:jc w:val="both"/>
        <w:rPr>
          <w:rFonts w:ascii="Arial Narrow" w:eastAsia="Batang" w:hAnsi="Arial Narrow"/>
          <w:sz w:val="20"/>
          <w:szCs w:val="20"/>
          <w:lang w:val="es-ES_tradnl"/>
        </w:rPr>
      </w:pPr>
      <w:r w:rsidRPr="00D1297D">
        <w:rPr>
          <w:rFonts w:ascii="Arial Narrow" w:eastAsia="Batang" w:hAnsi="Arial Narrow"/>
          <w:sz w:val="20"/>
          <w:szCs w:val="20"/>
          <w:lang w:val="es-ES_tradnl"/>
        </w:rPr>
        <w:t>Si es certificado por el revisor fiscal, adjuntar copia de la tarjeta profesional y certificado de antecedentes disciplinarios, expedido por la Junta Central de Contadores, el cual deberá estar vigente para la fecha de presentación de la propuesta.</w:t>
      </w:r>
    </w:p>
    <w:p w:rsidR="00406211" w:rsidRPr="00D1297D" w:rsidRDefault="00406211" w:rsidP="00406211">
      <w:pPr>
        <w:spacing w:after="0" w:line="240" w:lineRule="auto"/>
        <w:contextualSpacing/>
        <w:jc w:val="both"/>
        <w:rPr>
          <w:rFonts w:ascii="Arial Narrow" w:eastAsia="Batang" w:hAnsi="Arial Narrow"/>
          <w:sz w:val="20"/>
          <w:szCs w:val="20"/>
          <w:lang w:val="es-ES_tradnl"/>
        </w:rPr>
      </w:pPr>
    </w:p>
    <w:p w:rsidR="00406211" w:rsidRPr="00D1297D" w:rsidRDefault="00406211" w:rsidP="00406211">
      <w:pPr>
        <w:spacing w:after="0" w:line="240" w:lineRule="auto"/>
        <w:contextualSpacing/>
        <w:jc w:val="both"/>
        <w:rPr>
          <w:rFonts w:ascii="Arial Narrow" w:eastAsia="Batang" w:hAnsi="Arial Narrow"/>
          <w:sz w:val="20"/>
          <w:szCs w:val="20"/>
          <w:lang w:val="es-ES_tradnl"/>
        </w:rPr>
      </w:pPr>
      <w:r w:rsidRPr="00D1297D">
        <w:rPr>
          <w:rFonts w:ascii="Arial Narrow" w:eastAsia="Batang" w:hAnsi="Arial Narrow"/>
          <w:sz w:val="20"/>
          <w:szCs w:val="20"/>
          <w:lang w:val="es-ES_tradnl"/>
        </w:rPr>
        <w:t>En el evento en que la sociedad no tenga más de seis (6) meses de constituida, deberá acreditar los pagos a partir de la fecha de su constitución.</w:t>
      </w:r>
    </w:p>
    <w:p w:rsidR="00406211" w:rsidRPr="00D1297D" w:rsidRDefault="00406211" w:rsidP="00406211">
      <w:pPr>
        <w:spacing w:after="0" w:line="240" w:lineRule="auto"/>
        <w:contextualSpacing/>
        <w:jc w:val="both"/>
        <w:rPr>
          <w:rFonts w:ascii="Arial Narrow" w:eastAsia="Batang" w:hAnsi="Arial Narrow"/>
          <w:sz w:val="20"/>
          <w:szCs w:val="20"/>
          <w:lang w:val="es-ES_tradnl"/>
        </w:rPr>
      </w:pPr>
    </w:p>
    <w:p w:rsidR="00406211" w:rsidRPr="00D1297D" w:rsidRDefault="00406211" w:rsidP="00406211">
      <w:pPr>
        <w:spacing w:after="0" w:line="240" w:lineRule="auto"/>
        <w:contextualSpacing/>
        <w:jc w:val="both"/>
        <w:rPr>
          <w:rFonts w:ascii="Arial Narrow" w:eastAsia="Batang" w:hAnsi="Arial Narrow"/>
          <w:sz w:val="20"/>
          <w:szCs w:val="20"/>
          <w:lang w:val="es-ES_tradnl"/>
        </w:rPr>
      </w:pPr>
      <w:r w:rsidRPr="00D1297D">
        <w:rPr>
          <w:rFonts w:ascii="Arial Narrow" w:eastAsia="Batang" w:hAnsi="Arial Narrow"/>
          <w:sz w:val="20"/>
          <w:szCs w:val="20"/>
          <w:lang w:val="es-ES_tradnl"/>
        </w:rPr>
        <w:t>Nota 2: En caso de que la sociedad no se encuentre obligada al pago de parafiscales por encontrarse sujeta al impuesto del CREE, deberá manifestarlo en la presente certificación.</w:t>
      </w:r>
    </w:p>
    <w:p w:rsidR="00406211" w:rsidRPr="00D1297D" w:rsidRDefault="00406211" w:rsidP="00406211">
      <w:pPr>
        <w:pStyle w:val="Titulo2"/>
        <w:rPr>
          <w:rFonts w:ascii="Arial Narrow" w:hAnsi="Arial Narrow"/>
          <w:sz w:val="20"/>
          <w:szCs w:val="20"/>
        </w:rPr>
      </w:pPr>
      <w:r w:rsidRPr="00D1297D">
        <w:rPr>
          <w:rFonts w:ascii="Arial Narrow" w:hAnsi="Arial Narrow"/>
          <w:sz w:val="20"/>
          <w:szCs w:val="20"/>
        </w:rPr>
        <w:br w:type="page"/>
      </w:r>
    </w:p>
    <w:p w:rsidR="00406211" w:rsidRPr="00D1297D" w:rsidRDefault="00406211" w:rsidP="00406211">
      <w:pPr>
        <w:pStyle w:val="Default"/>
        <w:jc w:val="center"/>
        <w:rPr>
          <w:rFonts w:ascii="Arial Narrow" w:hAnsi="Arial Narrow"/>
          <w:b/>
          <w:bCs/>
          <w:sz w:val="20"/>
          <w:szCs w:val="20"/>
          <w:lang w:val="es-ES_tradnl"/>
        </w:rPr>
      </w:pPr>
      <w:bookmarkStart w:id="20" w:name="_Toc3452895"/>
      <w:bookmarkStart w:id="21" w:name="_Toc5095158"/>
      <w:r w:rsidRPr="00D1297D">
        <w:rPr>
          <w:rStyle w:val="Ttulo2Car"/>
          <w:rFonts w:ascii="Arial Narrow" w:hAnsi="Arial Narrow"/>
          <w:sz w:val="20"/>
        </w:rPr>
        <w:lastRenderedPageBreak/>
        <w:t>ANEXO No. 5 - CERTIFICADO DE INHABILIDADES E INCOMPATIBILIDADES PARA EL PROCESO DE SELECCIÓN</w:t>
      </w:r>
      <w:bookmarkEnd w:id="20"/>
      <w:bookmarkEnd w:id="21"/>
    </w:p>
    <w:p w:rsidR="00406211" w:rsidRPr="00D1297D" w:rsidRDefault="00406211" w:rsidP="00406211">
      <w:pPr>
        <w:pStyle w:val="Default"/>
        <w:jc w:val="center"/>
        <w:rPr>
          <w:rFonts w:ascii="Arial Narrow" w:hAnsi="Arial Narrow"/>
          <w:b/>
          <w:bCs/>
          <w:sz w:val="20"/>
          <w:szCs w:val="20"/>
          <w:lang w:val="es-ES_tradnl"/>
        </w:rPr>
      </w:pPr>
    </w:p>
    <w:p w:rsidR="00406211" w:rsidRPr="00D1297D" w:rsidRDefault="00406211" w:rsidP="00406211">
      <w:pPr>
        <w:pStyle w:val="Default"/>
        <w:rPr>
          <w:rFonts w:ascii="Arial Narrow" w:hAnsi="Arial Narrow"/>
          <w:sz w:val="20"/>
          <w:szCs w:val="20"/>
          <w:lang w:val="es-ES_tradnl"/>
        </w:rPr>
      </w:pPr>
      <w:r w:rsidRPr="00D1297D">
        <w:rPr>
          <w:rFonts w:ascii="Arial Narrow" w:hAnsi="Arial Narrow"/>
          <w:sz w:val="20"/>
          <w:szCs w:val="20"/>
          <w:lang w:val="es-ES_tradnl"/>
        </w:rPr>
        <w:t xml:space="preserve">El suscrito declara que: </w:t>
      </w:r>
    </w:p>
    <w:p w:rsidR="00406211" w:rsidRPr="00D1297D" w:rsidRDefault="00406211" w:rsidP="00406211">
      <w:pPr>
        <w:pStyle w:val="Default"/>
        <w:rPr>
          <w:rFonts w:ascii="Arial Narrow" w:hAnsi="Arial Narrow"/>
          <w:sz w:val="20"/>
          <w:szCs w:val="20"/>
          <w:lang w:val="es-ES_tradnl"/>
        </w:rPr>
      </w:pPr>
    </w:p>
    <w:p w:rsidR="00406211" w:rsidRPr="00D1297D" w:rsidRDefault="00406211" w:rsidP="00406211">
      <w:pPr>
        <w:pStyle w:val="Default"/>
        <w:jc w:val="both"/>
        <w:rPr>
          <w:rFonts w:ascii="Arial Narrow" w:hAnsi="Arial Narrow"/>
          <w:sz w:val="20"/>
          <w:szCs w:val="20"/>
          <w:lang w:val="es-ES_tradnl"/>
        </w:rPr>
      </w:pPr>
      <w:r w:rsidRPr="00D1297D">
        <w:rPr>
          <w:rFonts w:ascii="Arial Narrow" w:hAnsi="Arial Narrow"/>
          <w:sz w:val="20"/>
          <w:szCs w:val="20"/>
          <w:lang w:val="es-ES_tradnl"/>
        </w:rPr>
        <w:t>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w:t>
      </w:r>
    </w:p>
    <w:p w:rsidR="00406211" w:rsidRPr="00D1297D" w:rsidRDefault="00406211" w:rsidP="00406211">
      <w:pPr>
        <w:pStyle w:val="Default"/>
        <w:jc w:val="both"/>
        <w:rPr>
          <w:rFonts w:ascii="Arial Narrow" w:hAnsi="Arial Narrow"/>
          <w:sz w:val="20"/>
          <w:szCs w:val="20"/>
          <w:lang w:val="es-ES_tradnl"/>
        </w:rPr>
      </w:pPr>
    </w:p>
    <w:p w:rsidR="00406211" w:rsidRPr="00D1297D" w:rsidRDefault="00406211" w:rsidP="00406211">
      <w:pPr>
        <w:pStyle w:val="Default"/>
        <w:jc w:val="both"/>
        <w:rPr>
          <w:rFonts w:ascii="Arial Narrow" w:hAnsi="Arial Narrow"/>
          <w:sz w:val="20"/>
          <w:szCs w:val="20"/>
          <w:lang w:val="es-ES_tradnl"/>
        </w:rPr>
      </w:pPr>
      <w:r w:rsidRPr="00D1297D">
        <w:rPr>
          <w:rFonts w:ascii="Arial Narrow" w:hAnsi="Arial Narrow"/>
          <w:sz w:val="20"/>
          <w:szCs w:val="20"/>
          <w:lang w:val="es-ES_tradnl"/>
        </w:rPr>
        <w:t>Dado en el municipio de _______________, a los _____ días, del mes _________, de 20_ _</w:t>
      </w:r>
    </w:p>
    <w:p w:rsidR="00406211" w:rsidRPr="00D1297D" w:rsidRDefault="00406211" w:rsidP="00406211">
      <w:pPr>
        <w:pStyle w:val="Default"/>
        <w:jc w:val="both"/>
        <w:rPr>
          <w:rFonts w:ascii="Arial Narrow" w:hAnsi="Arial Narrow"/>
          <w:sz w:val="20"/>
          <w:szCs w:val="20"/>
          <w:lang w:val="es-ES_tradnl"/>
        </w:rPr>
      </w:pPr>
    </w:p>
    <w:p w:rsidR="00406211" w:rsidRPr="00D1297D" w:rsidRDefault="00406211" w:rsidP="00406211">
      <w:pPr>
        <w:pStyle w:val="Default"/>
        <w:jc w:val="both"/>
        <w:rPr>
          <w:rFonts w:ascii="Arial Narrow" w:hAnsi="Arial Narrow"/>
          <w:sz w:val="20"/>
          <w:szCs w:val="20"/>
          <w:lang w:val="es-ES_tradnl"/>
        </w:rPr>
      </w:pPr>
    </w:p>
    <w:p w:rsidR="00406211" w:rsidRPr="00D1297D" w:rsidRDefault="00406211" w:rsidP="00406211">
      <w:pPr>
        <w:pStyle w:val="Default"/>
        <w:jc w:val="both"/>
        <w:rPr>
          <w:rFonts w:ascii="Arial Narrow" w:hAnsi="Arial Narrow"/>
          <w:sz w:val="20"/>
          <w:szCs w:val="20"/>
          <w:lang w:val="es-ES_tradnl"/>
        </w:rPr>
      </w:pPr>
    </w:p>
    <w:p w:rsidR="00406211" w:rsidRPr="00D1297D" w:rsidRDefault="00406211" w:rsidP="00406211">
      <w:pPr>
        <w:spacing w:after="0" w:line="240" w:lineRule="auto"/>
        <w:contextualSpacing/>
        <w:jc w:val="center"/>
        <w:rPr>
          <w:rFonts w:ascii="Arial Narrow" w:eastAsia="Batang" w:hAnsi="Arial Narrow"/>
          <w:sz w:val="20"/>
          <w:szCs w:val="20"/>
          <w:lang w:val="es-ES_tradnl"/>
        </w:rPr>
      </w:pPr>
      <w:r w:rsidRPr="00D1297D">
        <w:rPr>
          <w:rFonts w:ascii="Arial Narrow" w:eastAsia="Batang" w:hAnsi="Arial Narrow"/>
          <w:sz w:val="20"/>
          <w:szCs w:val="20"/>
          <w:lang w:val="es-ES_tradnl"/>
        </w:rPr>
        <w:t>Firma del proponente____________________________________________</w:t>
      </w:r>
    </w:p>
    <w:p w:rsidR="00406211" w:rsidRPr="00D1297D" w:rsidRDefault="00406211" w:rsidP="00406211">
      <w:pPr>
        <w:spacing w:after="0" w:line="240" w:lineRule="auto"/>
        <w:contextualSpacing/>
        <w:jc w:val="center"/>
        <w:rPr>
          <w:rFonts w:ascii="Arial Narrow" w:eastAsia="Batang" w:hAnsi="Arial Narrow"/>
          <w:sz w:val="20"/>
          <w:szCs w:val="20"/>
          <w:lang w:val="es-ES_tradnl"/>
        </w:rPr>
      </w:pPr>
      <w:r w:rsidRPr="00D1297D">
        <w:rPr>
          <w:rFonts w:ascii="Arial Narrow" w:eastAsia="Batang" w:hAnsi="Arial Narrow"/>
          <w:sz w:val="20"/>
          <w:szCs w:val="20"/>
          <w:lang w:val="es-ES_tradnl"/>
        </w:rPr>
        <w:t>Identificación No. ____________________________________________</w:t>
      </w:r>
    </w:p>
    <w:p w:rsidR="00406211" w:rsidRPr="00D1297D" w:rsidRDefault="00406211" w:rsidP="00406211">
      <w:pPr>
        <w:pStyle w:val="Default"/>
        <w:jc w:val="center"/>
        <w:rPr>
          <w:rFonts w:ascii="Arial Narrow" w:eastAsia="Batang" w:hAnsi="Arial Narrow"/>
          <w:sz w:val="20"/>
          <w:szCs w:val="20"/>
        </w:rPr>
      </w:pPr>
    </w:p>
    <w:p w:rsidR="00406211" w:rsidRPr="00D1297D" w:rsidRDefault="00406211" w:rsidP="00406211">
      <w:pPr>
        <w:spacing w:line="240" w:lineRule="auto"/>
        <w:contextualSpacing/>
        <w:rPr>
          <w:rFonts w:ascii="Arial Narrow" w:hAnsi="Arial Narrow"/>
          <w:b/>
          <w:color w:val="000000"/>
          <w:sz w:val="20"/>
          <w:szCs w:val="20"/>
          <w:u w:val="single"/>
        </w:rPr>
      </w:pPr>
      <w:r w:rsidRPr="00D1297D">
        <w:rPr>
          <w:rFonts w:ascii="Arial Narrow" w:hAnsi="Arial Narrow"/>
          <w:b/>
          <w:color w:val="000000"/>
          <w:sz w:val="20"/>
          <w:szCs w:val="20"/>
          <w:u w:val="single"/>
        </w:rPr>
        <w:t>NOTA: Indicar la calidad en que suscribe el documento.</w:t>
      </w: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pStyle w:val="Titulo2"/>
        <w:rPr>
          <w:rFonts w:ascii="Arial Narrow" w:hAnsi="Arial Narrow"/>
          <w:sz w:val="20"/>
          <w:szCs w:val="20"/>
        </w:rPr>
      </w:pPr>
    </w:p>
    <w:p w:rsidR="00406211" w:rsidRPr="00D1297D" w:rsidRDefault="00406211" w:rsidP="00406211">
      <w:pPr>
        <w:spacing w:after="0" w:line="240" w:lineRule="auto"/>
        <w:rPr>
          <w:rFonts w:ascii="Arial Narrow" w:eastAsia="Calibri" w:hAnsi="Arial Narrow" w:cs="Arial"/>
          <w:color w:val="000000"/>
          <w:sz w:val="20"/>
          <w:szCs w:val="20"/>
          <w:lang w:eastAsia="es-CO"/>
        </w:rPr>
      </w:pPr>
      <w:r w:rsidRPr="00D1297D">
        <w:rPr>
          <w:rFonts w:ascii="Arial Narrow" w:hAnsi="Arial Narrow"/>
          <w:sz w:val="20"/>
          <w:szCs w:val="20"/>
        </w:rPr>
        <w:br w:type="page"/>
      </w:r>
    </w:p>
    <w:p w:rsidR="00406211" w:rsidRPr="00D1297D" w:rsidRDefault="00406211" w:rsidP="00406211">
      <w:pPr>
        <w:pStyle w:val="Ttulo2"/>
        <w:spacing w:before="0" w:after="0"/>
        <w:jc w:val="center"/>
        <w:rPr>
          <w:rFonts w:ascii="Arial Narrow" w:hAnsi="Arial Narrow"/>
          <w:i w:val="0"/>
          <w:sz w:val="20"/>
        </w:rPr>
      </w:pPr>
      <w:bookmarkStart w:id="22" w:name="_Toc3452896"/>
      <w:bookmarkStart w:id="23" w:name="_Toc5095159"/>
      <w:r w:rsidRPr="00D1297D">
        <w:rPr>
          <w:rFonts w:ascii="Arial Narrow" w:hAnsi="Arial Narrow"/>
          <w:i w:val="0"/>
          <w:sz w:val="20"/>
        </w:rPr>
        <w:lastRenderedPageBreak/>
        <w:t>ANEXO No. 6 - INFORMACIÓN CONTRATOS CERTIFICADOS EN EL RUP</w:t>
      </w:r>
      <w:bookmarkEnd w:id="22"/>
      <w:bookmarkEnd w:id="23"/>
    </w:p>
    <w:p w:rsidR="00406211" w:rsidRPr="00D1297D" w:rsidRDefault="00406211" w:rsidP="00406211">
      <w:pPr>
        <w:pStyle w:val="Ttulo2"/>
        <w:spacing w:before="0" w:after="0"/>
        <w:jc w:val="center"/>
        <w:rPr>
          <w:rFonts w:ascii="Arial Narrow" w:hAnsi="Arial Narrow"/>
          <w:i w:val="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558"/>
        <w:gridCol w:w="760"/>
        <w:gridCol w:w="492"/>
        <w:gridCol w:w="728"/>
        <w:gridCol w:w="459"/>
        <w:gridCol w:w="663"/>
        <w:gridCol w:w="523"/>
        <w:gridCol w:w="517"/>
        <w:gridCol w:w="564"/>
        <w:gridCol w:w="606"/>
        <w:gridCol w:w="610"/>
        <w:gridCol w:w="577"/>
        <w:gridCol w:w="641"/>
        <w:gridCol w:w="577"/>
      </w:tblGrid>
      <w:tr w:rsidR="00406211" w:rsidRPr="00D1297D" w:rsidTr="006A05F3">
        <w:trPr>
          <w:trHeight w:val="1005"/>
        </w:trPr>
        <w:tc>
          <w:tcPr>
            <w:tcW w:w="604"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CONTRATO</w:t>
            </w:r>
          </w:p>
        </w:tc>
        <w:tc>
          <w:tcPr>
            <w:tcW w:w="609"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FOLIO DE UBICACIÓN EN EL RUP</w:t>
            </w:r>
          </w:p>
        </w:tc>
        <w:tc>
          <w:tcPr>
            <w:tcW w:w="909"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NÚMERO CONSECUTIVO DEL REPORTE DEL CONTRATO EJECUTADO (RUP)</w:t>
            </w:r>
          </w:p>
        </w:tc>
        <w:tc>
          <w:tcPr>
            <w:tcW w:w="512"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ENTIDAD CONTRATANTE</w:t>
            </w:r>
          </w:p>
        </w:tc>
        <w:tc>
          <w:tcPr>
            <w:tcW w:w="862"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CÓDIGO DEL CONTRATO SEGÚN CLASIFICADOR DE BIENES Y SERVICIOS</w:t>
            </w:r>
          </w:p>
        </w:tc>
        <w:tc>
          <w:tcPr>
            <w:tcW w:w="462"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NÚMERO CONTRATO Y OBJETO</w:t>
            </w:r>
          </w:p>
        </w:tc>
        <w:tc>
          <w:tcPr>
            <w:tcW w:w="765"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VALOR DEL CONTRATO EN PESOS (Incluidas adiciones)</w:t>
            </w:r>
          </w:p>
        </w:tc>
        <w:tc>
          <w:tcPr>
            <w:tcW w:w="557"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PLAZO DE EJECUCIÓN (Meses)</w:t>
            </w:r>
          </w:p>
        </w:tc>
        <w:tc>
          <w:tcPr>
            <w:tcW w:w="548"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VALOR DEL CONTRATO EXPRESADO EN S.M.M.L.V.</w:t>
            </w:r>
          </w:p>
        </w:tc>
        <w:tc>
          <w:tcPr>
            <w:tcW w:w="618"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FECHA DE INICIO DE EJECUCIÓN</w:t>
            </w:r>
          </w:p>
        </w:tc>
        <w:tc>
          <w:tcPr>
            <w:tcW w:w="681"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FECHA DE SUSCRIPCIÓN DEL CONTRATO</w:t>
            </w:r>
          </w:p>
        </w:tc>
        <w:tc>
          <w:tcPr>
            <w:tcW w:w="686"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FECHA DE LIQUIDACIÓN DEL CONTRATO</w:t>
            </w:r>
          </w:p>
        </w:tc>
        <w:tc>
          <w:tcPr>
            <w:tcW w:w="637"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EN CONSORCIO O UNIÓN TEMPORAL</w:t>
            </w:r>
          </w:p>
        </w:tc>
        <w:tc>
          <w:tcPr>
            <w:tcW w:w="733"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PORCENTAJE (%) DE PARTICIPACIÓN</w:t>
            </w:r>
          </w:p>
        </w:tc>
        <w:tc>
          <w:tcPr>
            <w:tcW w:w="637" w:type="dxa"/>
            <w:vMerge w:val="restart"/>
            <w:shd w:val="clear" w:color="auto" w:fill="auto"/>
            <w:textDirection w:val="btLr"/>
            <w:hideMark/>
          </w:tcPr>
          <w:p w:rsidR="00406211" w:rsidRPr="00D1297D" w:rsidRDefault="00406211" w:rsidP="006A05F3">
            <w:pPr>
              <w:autoSpaceDE w:val="0"/>
              <w:autoSpaceDN w:val="0"/>
              <w:adjustRightInd w:val="0"/>
              <w:spacing w:after="0" w:line="240" w:lineRule="auto"/>
              <w:ind w:left="113" w:right="113"/>
              <w:contextualSpacing/>
              <w:jc w:val="center"/>
              <w:rPr>
                <w:rFonts w:ascii="Arial Narrow" w:hAnsi="Arial Narrow" w:cs="Arial"/>
                <w:b/>
                <w:bCs/>
                <w:sz w:val="20"/>
                <w:szCs w:val="20"/>
                <w:u w:val="single"/>
              </w:rPr>
            </w:pPr>
            <w:r w:rsidRPr="00D1297D">
              <w:rPr>
                <w:rFonts w:ascii="Arial Narrow" w:hAnsi="Arial Narrow" w:cs="Arial"/>
                <w:b/>
                <w:bCs/>
                <w:sz w:val="20"/>
                <w:szCs w:val="20"/>
                <w:u w:val="single"/>
              </w:rPr>
              <w:t>VALOR EJECUTADO</w:t>
            </w:r>
          </w:p>
        </w:tc>
      </w:tr>
      <w:tr w:rsidR="00406211" w:rsidRPr="00D1297D" w:rsidTr="006A05F3">
        <w:trPr>
          <w:trHeight w:val="1963"/>
        </w:trPr>
        <w:tc>
          <w:tcPr>
            <w:tcW w:w="604"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609"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909"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512"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862"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462"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765"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557"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548"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618"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681"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686"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637"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733"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c>
          <w:tcPr>
            <w:tcW w:w="637" w:type="dxa"/>
            <w:vMerge/>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b/>
                <w:bCs/>
                <w:sz w:val="20"/>
                <w:szCs w:val="20"/>
              </w:rPr>
            </w:pPr>
          </w:p>
        </w:tc>
      </w:tr>
      <w:tr w:rsidR="00406211" w:rsidRPr="00D1297D" w:rsidTr="006A05F3">
        <w:trPr>
          <w:trHeight w:val="975"/>
        </w:trPr>
        <w:tc>
          <w:tcPr>
            <w:tcW w:w="604" w:type="dxa"/>
            <w:shd w:val="clear" w:color="auto" w:fill="auto"/>
            <w:hideMark/>
          </w:tcPr>
          <w:p w:rsidR="00406211" w:rsidRPr="00D1297D" w:rsidRDefault="00406211" w:rsidP="006A05F3">
            <w:pPr>
              <w:autoSpaceDE w:val="0"/>
              <w:autoSpaceDN w:val="0"/>
              <w:adjustRightInd w:val="0"/>
              <w:spacing w:after="0" w:line="240" w:lineRule="auto"/>
              <w:contextualSpacing/>
              <w:jc w:val="center"/>
              <w:rPr>
                <w:rFonts w:ascii="Arial Narrow" w:hAnsi="Arial Narrow" w:cs="Arial"/>
                <w:b/>
                <w:sz w:val="20"/>
                <w:szCs w:val="20"/>
                <w:u w:val="single"/>
              </w:rPr>
            </w:pPr>
            <w:r w:rsidRPr="00D1297D">
              <w:rPr>
                <w:rFonts w:ascii="Arial Narrow" w:hAnsi="Arial Narrow" w:cs="Arial"/>
                <w:b/>
                <w:sz w:val="20"/>
                <w:szCs w:val="20"/>
                <w:u w:val="single"/>
              </w:rPr>
              <w:t>1</w:t>
            </w:r>
          </w:p>
        </w:tc>
        <w:tc>
          <w:tcPr>
            <w:tcW w:w="609"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909"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512"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862"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462"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765"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557"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548"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18"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81"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86"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37"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733"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37"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r>
      <w:tr w:rsidR="00406211" w:rsidRPr="00D1297D" w:rsidTr="006A05F3">
        <w:trPr>
          <w:trHeight w:val="993"/>
        </w:trPr>
        <w:tc>
          <w:tcPr>
            <w:tcW w:w="604" w:type="dxa"/>
            <w:shd w:val="clear" w:color="auto" w:fill="auto"/>
            <w:hideMark/>
          </w:tcPr>
          <w:p w:rsidR="00406211" w:rsidRPr="00D1297D" w:rsidRDefault="00406211" w:rsidP="006A05F3">
            <w:pPr>
              <w:autoSpaceDE w:val="0"/>
              <w:autoSpaceDN w:val="0"/>
              <w:adjustRightInd w:val="0"/>
              <w:spacing w:after="0" w:line="240" w:lineRule="auto"/>
              <w:contextualSpacing/>
              <w:jc w:val="center"/>
              <w:rPr>
                <w:rFonts w:ascii="Arial Narrow" w:hAnsi="Arial Narrow" w:cs="Arial"/>
                <w:b/>
                <w:sz w:val="20"/>
                <w:szCs w:val="20"/>
                <w:u w:val="single"/>
              </w:rPr>
            </w:pPr>
            <w:r w:rsidRPr="00D1297D">
              <w:rPr>
                <w:rFonts w:ascii="Arial Narrow" w:hAnsi="Arial Narrow" w:cs="Arial"/>
                <w:b/>
                <w:sz w:val="20"/>
                <w:szCs w:val="20"/>
                <w:u w:val="single"/>
              </w:rPr>
              <w:t>2</w:t>
            </w:r>
          </w:p>
        </w:tc>
        <w:tc>
          <w:tcPr>
            <w:tcW w:w="609"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909"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512"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862"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462"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765"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557"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548"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18"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81"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86"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37"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733"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c>
          <w:tcPr>
            <w:tcW w:w="637" w:type="dxa"/>
            <w:shd w:val="clear" w:color="auto" w:fill="auto"/>
            <w:hideMark/>
          </w:tcPr>
          <w:p w:rsidR="00406211" w:rsidRPr="00D1297D" w:rsidRDefault="00406211" w:rsidP="006A05F3">
            <w:pPr>
              <w:autoSpaceDE w:val="0"/>
              <w:autoSpaceDN w:val="0"/>
              <w:adjustRightInd w:val="0"/>
              <w:spacing w:after="0" w:line="240" w:lineRule="auto"/>
              <w:contextualSpacing/>
              <w:jc w:val="both"/>
              <w:rPr>
                <w:rFonts w:ascii="Arial Narrow" w:hAnsi="Arial Narrow" w:cs="Arial"/>
                <w:sz w:val="20"/>
                <w:szCs w:val="20"/>
              </w:rPr>
            </w:pPr>
            <w:r w:rsidRPr="00D1297D">
              <w:rPr>
                <w:rFonts w:ascii="Arial Narrow" w:hAnsi="Arial Narrow" w:cs="Arial"/>
                <w:sz w:val="20"/>
                <w:szCs w:val="20"/>
              </w:rPr>
              <w:t> </w:t>
            </w:r>
          </w:p>
        </w:tc>
      </w:tr>
    </w:tbl>
    <w:p w:rsidR="00406211" w:rsidRPr="00D1297D" w:rsidRDefault="00406211" w:rsidP="00406211">
      <w:pPr>
        <w:autoSpaceDE w:val="0"/>
        <w:autoSpaceDN w:val="0"/>
        <w:adjustRightInd w:val="0"/>
        <w:spacing w:after="0" w:line="240" w:lineRule="auto"/>
        <w:jc w:val="both"/>
        <w:rPr>
          <w:rFonts w:ascii="Arial Narrow" w:hAnsi="Arial Narrow" w:cs="Arial"/>
          <w:sz w:val="20"/>
          <w:szCs w:val="20"/>
          <w:lang w:val="es-ES_tradnl"/>
        </w:rPr>
      </w:pPr>
    </w:p>
    <w:p w:rsidR="00406211" w:rsidRPr="00D1297D" w:rsidRDefault="00406211" w:rsidP="00406211">
      <w:pPr>
        <w:autoSpaceDE w:val="0"/>
        <w:autoSpaceDN w:val="0"/>
        <w:adjustRightInd w:val="0"/>
        <w:spacing w:after="0" w:line="240" w:lineRule="auto"/>
        <w:jc w:val="both"/>
        <w:rPr>
          <w:rFonts w:ascii="Arial Narrow" w:hAnsi="Arial Narrow" w:cs="Arial"/>
          <w:sz w:val="20"/>
          <w:szCs w:val="20"/>
          <w:lang w:val="es-ES_tradnl"/>
        </w:rPr>
      </w:pPr>
    </w:p>
    <w:p w:rsidR="00406211" w:rsidRPr="00D1297D" w:rsidRDefault="00406211" w:rsidP="00406211">
      <w:pPr>
        <w:autoSpaceDE w:val="0"/>
        <w:autoSpaceDN w:val="0"/>
        <w:adjustRightInd w:val="0"/>
        <w:spacing w:after="0" w:line="240" w:lineRule="auto"/>
        <w:jc w:val="both"/>
        <w:rPr>
          <w:rFonts w:ascii="Arial Narrow" w:hAnsi="Arial Narrow" w:cs="Arial"/>
          <w:sz w:val="20"/>
          <w:szCs w:val="20"/>
          <w:lang w:val="es-ES_tradnl"/>
        </w:rPr>
      </w:pPr>
    </w:p>
    <w:p w:rsidR="00406211" w:rsidRPr="00D1297D" w:rsidRDefault="00406211" w:rsidP="00406211">
      <w:pPr>
        <w:autoSpaceDE w:val="0"/>
        <w:autoSpaceDN w:val="0"/>
        <w:adjustRightInd w:val="0"/>
        <w:spacing w:after="0" w:line="240" w:lineRule="auto"/>
        <w:jc w:val="both"/>
        <w:rPr>
          <w:rFonts w:ascii="Arial Narrow" w:hAnsi="Arial Narrow" w:cs="Arial"/>
          <w:sz w:val="20"/>
          <w:szCs w:val="20"/>
          <w:lang w:val="es-ES_tradnl"/>
        </w:rPr>
      </w:pPr>
    </w:p>
    <w:p w:rsidR="00406211" w:rsidRPr="00D1297D" w:rsidRDefault="00406211" w:rsidP="00406211">
      <w:pPr>
        <w:autoSpaceDE w:val="0"/>
        <w:autoSpaceDN w:val="0"/>
        <w:adjustRightInd w:val="0"/>
        <w:spacing w:after="0" w:line="240" w:lineRule="auto"/>
        <w:jc w:val="center"/>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Firma del Proponente: _________________________________________</w:t>
      </w:r>
    </w:p>
    <w:p w:rsidR="00406211" w:rsidRPr="00D1297D" w:rsidRDefault="00406211" w:rsidP="00406211">
      <w:pPr>
        <w:autoSpaceDE w:val="0"/>
        <w:autoSpaceDN w:val="0"/>
        <w:adjustRightInd w:val="0"/>
        <w:spacing w:after="0" w:line="240" w:lineRule="auto"/>
        <w:jc w:val="center"/>
        <w:rPr>
          <w:rFonts w:ascii="Arial Narrow" w:hAnsi="Arial Narrow" w:cs="Arial"/>
          <w:sz w:val="20"/>
          <w:szCs w:val="20"/>
          <w:lang w:val="es-ES_tradnl"/>
        </w:rPr>
      </w:pPr>
      <w:r w:rsidRPr="00D1297D">
        <w:rPr>
          <w:rFonts w:ascii="Arial Narrow" w:hAnsi="Arial Narrow" w:cs="Arial"/>
          <w:color w:val="000000"/>
          <w:sz w:val="20"/>
          <w:szCs w:val="20"/>
          <w:lang w:val="es-ES_tradnl" w:eastAsia="es-CO"/>
        </w:rPr>
        <w:t>Identificación: ________________________________</w:t>
      </w:r>
    </w:p>
    <w:p w:rsidR="00406211" w:rsidRPr="00D1297D" w:rsidRDefault="00406211" w:rsidP="00406211">
      <w:pPr>
        <w:pStyle w:val="Ttulo2"/>
        <w:spacing w:before="0" w:after="0"/>
        <w:jc w:val="center"/>
        <w:rPr>
          <w:rFonts w:ascii="Arial Narrow" w:hAnsi="Arial Narrow"/>
          <w:i w:val="0"/>
          <w:sz w:val="20"/>
        </w:rPr>
      </w:pPr>
    </w:p>
    <w:p w:rsidR="00406211" w:rsidRPr="00D1297D" w:rsidRDefault="00406211" w:rsidP="00406211">
      <w:pPr>
        <w:pStyle w:val="Ttulo2"/>
        <w:spacing w:before="0" w:after="0"/>
        <w:jc w:val="center"/>
        <w:rPr>
          <w:rFonts w:ascii="Arial Narrow" w:hAnsi="Arial Narrow"/>
          <w:i w:val="0"/>
          <w:sz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406211" w:rsidRPr="00D1297D" w:rsidRDefault="00406211" w:rsidP="00406211">
      <w:pPr>
        <w:spacing w:after="0" w:line="240" w:lineRule="auto"/>
        <w:contextualSpacing/>
        <w:rPr>
          <w:rFonts w:ascii="Arial Narrow" w:hAnsi="Arial Narrow"/>
          <w:sz w:val="20"/>
          <w:szCs w:val="20"/>
        </w:rPr>
      </w:pPr>
    </w:p>
    <w:p w:rsidR="007846E5" w:rsidRPr="00D1297D" w:rsidRDefault="00406211" w:rsidP="007846E5">
      <w:pPr>
        <w:pStyle w:val="Ttulo2"/>
        <w:spacing w:before="0" w:after="0"/>
        <w:jc w:val="center"/>
        <w:rPr>
          <w:rFonts w:ascii="Arial Narrow" w:hAnsi="Arial Narrow"/>
          <w:i w:val="0"/>
          <w:sz w:val="20"/>
          <w:lang w:val="es-ES_tradnl"/>
        </w:rPr>
      </w:pPr>
      <w:r w:rsidRPr="00D1297D">
        <w:rPr>
          <w:rFonts w:ascii="Arial Narrow" w:hAnsi="Arial Narrow"/>
          <w:i w:val="0"/>
          <w:sz w:val="20"/>
        </w:rPr>
        <w:br w:type="page"/>
      </w:r>
      <w:bookmarkStart w:id="24" w:name="_Toc3452897"/>
      <w:bookmarkStart w:id="25" w:name="_Toc5095160"/>
      <w:r w:rsidRPr="00D1297D">
        <w:rPr>
          <w:rFonts w:ascii="Arial Narrow" w:hAnsi="Arial Narrow"/>
          <w:i w:val="0"/>
          <w:sz w:val="20"/>
        </w:rPr>
        <w:lastRenderedPageBreak/>
        <w:t xml:space="preserve">ANEXO No. 7 </w:t>
      </w:r>
      <w:bookmarkEnd w:id="24"/>
      <w:bookmarkEnd w:id="25"/>
      <w:r w:rsidR="007846E5" w:rsidRPr="00D1297D">
        <w:rPr>
          <w:rFonts w:ascii="Arial Narrow" w:hAnsi="Arial Narrow"/>
          <w:i w:val="0"/>
          <w:sz w:val="20"/>
        </w:rPr>
        <w:t xml:space="preserve">COMPONENTE FACTOR TÉCNICO DE PRODUCTO </w:t>
      </w:r>
    </w:p>
    <w:p w:rsidR="007846E5" w:rsidRPr="00D1297D" w:rsidRDefault="007846E5" w:rsidP="007846E5">
      <w:pPr>
        <w:autoSpaceDE w:val="0"/>
        <w:autoSpaceDN w:val="0"/>
        <w:adjustRightInd w:val="0"/>
        <w:spacing w:after="0" w:line="240" w:lineRule="auto"/>
        <w:jc w:val="both"/>
        <w:rPr>
          <w:rFonts w:ascii="Arial Narrow" w:hAnsi="Arial Narrow" w:cs="Arial"/>
          <w:color w:val="000000"/>
          <w:sz w:val="20"/>
          <w:szCs w:val="20"/>
          <w:lang w:val="es-ES_tradnl" w:eastAsia="es-CO"/>
        </w:rPr>
      </w:pPr>
    </w:p>
    <w:p w:rsidR="007846E5" w:rsidRPr="00D1297D" w:rsidRDefault="007846E5" w:rsidP="007846E5">
      <w:pPr>
        <w:autoSpaceDE w:val="0"/>
        <w:autoSpaceDN w:val="0"/>
        <w:adjustRightInd w:val="0"/>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El proponente deberá marcar con cualquier expresión (X, chulo, relleno del especio, etc.) si</w:t>
      </w:r>
      <w:r w:rsidR="00D1297D" w:rsidRPr="00D1297D">
        <w:rPr>
          <w:rFonts w:ascii="Arial Narrow" w:hAnsi="Arial Narrow" w:cs="Arial"/>
          <w:color w:val="000000"/>
          <w:sz w:val="20"/>
          <w:szCs w:val="20"/>
          <w:lang w:val="es-ES_tradnl" w:eastAsia="es-CO"/>
        </w:rPr>
        <w:t xml:space="preserve"> ofrece </w:t>
      </w:r>
      <w:r w:rsidRPr="00D1297D">
        <w:rPr>
          <w:rFonts w:ascii="Arial Narrow" w:hAnsi="Arial Narrow" w:cs="Arial"/>
          <w:color w:val="000000"/>
          <w:sz w:val="20"/>
          <w:szCs w:val="20"/>
          <w:lang w:val="es-ES_tradnl" w:eastAsia="es-CO"/>
        </w:rPr>
        <w:t>o no cada ítem del factor técnico del producto, y por tanto la marcación será la que impondrá el puntaje descrito dentro de los estudios previos</w:t>
      </w:r>
      <w:r w:rsidR="005C13A6" w:rsidRPr="00D1297D">
        <w:rPr>
          <w:rFonts w:ascii="Arial Narrow" w:hAnsi="Arial Narrow" w:cs="Arial"/>
          <w:color w:val="000000"/>
          <w:sz w:val="20"/>
          <w:szCs w:val="20"/>
          <w:lang w:val="es-ES_tradnl" w:eastAsia="es-CO"/>
        </w:rPr>
        <w:t>.</w:t>
      </w:r>
      <w:r w:rsidRPr="00D1297D">
        <w:rPr>
          <w:rFonts w:ascii="Arial Narrow" w:hAnsi="Arial Narrow" w:cs="Arial"/>
          <w:color w:val="000000"/>
          <w:sz w:val="20"/>
          <w:szCs w:val="20"/>
          <w:lang w:val="es-ES_tradnl" w:eastAsia="es-CO"/>
        </w:rPr>
        <w:t xml:space="preserve"> </w:t>
      </w:r>
    </w:p>
    <w:p w:rsidR="007846E5" w:rsidRPr="00D1297D" w:rsidRDefault="007846E5" w:rsidP="00406211">
      <w:pPr>
        <w:autoSpaceDE w:val="0"/>
        <w:autoSpaceDN w:val="0"/>
        <w:adjustRightInd w:val="0"/>
        <w:spacing w:after="0" w:line="240" w:lineRule="auto"/>
        <w:rPr>
          <w:rFonts w:ascii="Arial Narrow" w:hAnsi="Arial Narrow" w:cs="Arial"/>
          <w:color w:val="000000"/>
          <w:sz w:val="20"/>
          <w:szCs w:val="20"/>
          <w:lang w:val="es-ES_tradnl" w:eastAsia="es-CO"/>
        </w:rPr>
      </w:pPr>
    </w:p>
    <w:tbl>
      <w:tblPr>
        <w:tblW w:w="8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5068"/>
        <w:gridCol w:w="1134"/>
        <w:gridCol w:w="1044"/>
      </w:tblGrid>
      <w:tr w:rsidR="007846E5" w:rsidRPr="00D1297D" w:rsidTr="007846E5">
        <w:trPr>
          <w:trHeight w:val="63"/>
          <w:jc w:val="center"/>
        </w:trPr>
        <w:tc>
          <w:tcPr>
            <w:tcW w:w="1164" w:type="dxa"/>
            <w:tcBorders>
              <w:top w:val="single" w:sz="4" w:space="0" w:color="auto"/>
              <w:left w:val="single" w:sz="4" w:space="0" w:color="auto"/>
              <w:bottom w:val="single" w:sz="4" w:space="0" w:color="auto"/>
              <w:right w:val="single" w:sz="4" w:space="0" w:color="auto"/>
            </w:tcBorders>
            <w:shd w:val="clear" w:color="auto" w:fill="D9D9D9"/>
            <w:vAlign w:val="center"/>
          </w:tcPr>
          <w:p w:rsidR="007846E5" w:rsidRPr="00D1297D" w:rsidRDefault="007846E5" w:rsidP="007846E5">
            <w:pPr>
              <w:spacing w:after="0" w:line="240" w:lineRule="auto"/>
              <w:jc w:val="center"/>
              <w:rPr>
                <w:rFonts w:ascii="Arial Narrow" w:hAnsi="Arial Narrow" w:cs="Arial"/>
                <w:sz w:val="20"/>
                <w:szCs w:val="20"/>
              </w:rPr>
            </w:pPr>
            <w:r w:rsidRPr="00D1297D">
              <w:rPr>
                <w:rFonts w:ascii="Arial Narrow" w:hAnsi="Arial Narrow" w:cs="Arial"/>
                <w:sz w:val="20"/>
                <w:szCs w:val="20"/>
              </w:rPr>
              <w:t>No.</w:t>
            </w:r>
          </w:p>
        </w:tc>
        <w:tc>
          <w:tcPr>
            <w:tcW w:w="506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846E5" w:rsidRPr="00D1297D" w:rsidRDefault="007846E5" w:rsidP="007846E5">
            <w:pPr>
              <w:spacing w:after="0" w:line="240" w:lineRule="auto"/>
              <w:jc w:val="center"/>
              <w:rPr>
                <w:rFonts w:ascii="Arial Narrow" w:hAnsi="Arial Narrow" w:cs="Arial"/>
                <w:sz w:val="20"/>
                <w:szCs w:val="20"/>
              </w:rPr>
            </w:pPr>
            <w:r w:rsidRPr="00D1297D">
              <w:rPr>
                <w:rFonts w:ascii="Arial Narrow" w:hAnsi="Arial Narrow" w:cs="Arial"/>
                <w:sz w:val="20"/>
                <w:szCs w:val="20"/>
              </w:rPr>
              <w:t>COMPONENTE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846E5" w:rsidRPr="00D1297D" w:rsidRDefault="007846E5" w:rsidP="007846E5">
            <w:pPr>
              <w:spacing w:after="0" w:line="240" w:lineRule="auto"/>
              <w:jc w:val="center"/>
              <w:rPr>
                <w:rFonts w:ascii="Arial Narrow" w:hAnsi="Arial Narrow" w:cs="Arial"/>
                <w:sz w:val="20"/>
                <w:szCs w:val="20"/>
              </w:rPr>
            </w:pPr>
            <w:r w:rsidRPr="00D1297D">
              <w:rPr>
                <w:rFonts w:ascii="Arial Narrow" w:hAnsi="Arial Narrow" w:cs="Arial"/>
                <w:sz w:val="20"/>
                <w:szCs w:val="20"/>
              </w:rPr>
              <w:t>SI</w:t>
            </w:r>
          </w:p>
        </w:tc>
        <w:tc>
          <w:tcPr>
            <w:tcW w:w="1044" w:type="dxa"/>
            <w:tcBorders>
              <w:top w:val="single" w:sz="4" w:space="0" w:color="auto"/>
              <w:left w:val="single" w:sz="4" w:space="0" w:color="auto"/>
              <w:bottom w:val="single" w:sz="4" w:space="0" w:color="auto"/>
              <w:right w:val="single" w:sz="4" w:space="0" w:color="auto"/>
            </w:tcBorders>
            <w:shd w:val="clear" w:color="auto" w:fill="D9D9D9"/>
            <w:vAlign w:val="center"/>
          </w:tcPr>
          <w:p w:rsidR="007846E5" w:rsidRPr="00D1297D" w:rsidRDefault="007846E5" w:rsidP="007846E5">
            <w:pPr>
              <w:spacing w:after="0" w:line="240" w:lineRule="auto"/>
              <w:jc w:val="center"/>
              <w:rPr>
                <w:rFonts w:ascii="Arial Narrow" w:hAnsi="Arial Narrow" w:cs="Arial"/>
                <w:sz w:val="20"/>
                <w:szCs w:val="20"/>
              </w:rPr>
            </w:pPr>
            <w:r w:rsidRPr="00D1297D">
              <w:rPr>
                <w:rFonts w:ascii="Arial Narrow" w:hAnsi="Arial Narrow" w:cs="Arial"/>
                <w:sz w:val="20"/>
                <w:szCs w:val="20"/>
              </w:rPr>
              <w:t>NO</w:t>
            </w:r>
          </w:p>
        </w:tc>
      </w:tr>
      <w:tr w:rsidR="007846E5" w:rsidRPr="00D1297D" w:rsidTr="007846E5">
        <w:trPr>
          <w:trHeight w:val="63"/>
          <w:jc w:val="center"/>
        </w:trPr>
        <w:tc>
          <w:tcPr>
            <w:tcW w:w="1164"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rPr>
                <w:rFonts w:ascii="Arial Narrow" w:hAnsi="Arial Narrow" w:cs="Arial"/>
                <w:sz w:val="20"/>
                <w:szCs w:val="20"/>
              </w:rPr>
            </w:pPr>
            <w:r w:rsidRPr="00D1297D">
              <w:rPr>
                <w:rFonts w:ascii="Arial Narrow" w:hAnsi="Arial Narrow" w:cs="Arial"/>
                <w:sz w:val="20"/>
                <w:szCs w:val="20"/>
              </w:rPr>
              <w:t>1</w:t>
            </w:r>
          </w:p>
        </w:tc>
        <w:tc>
          <w:tcPr>
            <w:tcW w:w="5068" w:type="dxa"/>
            <w:tcBorders>
              <w:top w:val="single" w:sz="4" w:space="0" w:color="auto"/>
              <w:left w:val="single" w:sz="4" w:space="0" w:color="auto"/>
              <w:bottom w:val="single" w:sz="4" w:space="0" w:color="auto"/>
              <w:right w:val="single" w:sz="4" w:space="0" w:color="auto"/>
            </w:tcBorders>
            <w:vAlign w:val="center"/>
            <w:hideMark/>
          </w:tcPr>
          <w:p w:rsidR="007846E5" w:rsidRPr="00D1297D" w:rsidRDefault="007846E5" w:rsidP="006A05F3">
            <w:pPr>
              <w:spacing w:after="0" w:line="240" w:lineRule="auto"/>
              <w:rPr>
                <w:rFonts w:ascii="Arial Narrow" w:hAnsi="Arial Narrow" w:cs="Arial"/>
                <w:sz w:val="20"/>
                <w:szCs w:val="20"/>
              </w:rPr>
            </w:pPr>
            <w:r w:rsidRPr="00D1297D">
              <w:rPr>
                <w:rFonts w:ascii="Arial Narrow" w:hAnsi="Arial Narrow" w:cs="Arial"/>
                <w:sz w:val="20"/>
                <w:szCs w:val="20"/>
              </w:rPr>
              <w:t>Ofrecimiento de nueva presentación en botella de vidrio con capacidad superior a 750 ml y otra inferior a 375 ml para el producto aguardiente Doble Anís Tradicional</w:t>
            </w:r>
          </w:p>
        </w:tc>
        <w:tc>
          <w:tcPr>
            <w:tcW w:w="1134"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jc w:val="center"/>
              <w:rPr>
                <w:rFonts w:ascii="Arial Narrow" w:hAnsi="Arial Narrow" w:cs="Arial"/>
                <w:sz w:val="20"/>
                <w:szCs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jc w:val="center"/>
              <w:rPr>
                <w:rFonts w:ascii="Arial Narrow" w:hAnsi="Arial Narrow" w:cs="Arial"/>
                <w:sz w:val="20"/>
                <w:szCs w:val="20"/>
              </w:rPr>
            </w:pPr>
          </w:p>
        </w:tc>
      </w:tr>
      <w:tr w:rsidR="007846E5" w:rsidRPr="00D1297D" w:rsidTr="007846E5">
        <w:trPr>
          <w:trHeight w:val="63"/>
          <w:jc w:val="center"/>
        </w:trPr>
        <w:tc>
          <w:tcPr>
            <w:tcW w:w="11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6E5" w:rsidRPr="00D1297D" w:rsidRDefault="007846E5" w:rsidP="006A05F3">
            <w:pPr>
              <w:spacing w:after="0" w:line="240" w:lineRule="auto"/>
              <w:rPr>
                <w:rFonts w:ascii="Arial Narrow" w:hAnsi="Arial Narrow" w:cs="Arial"/>
                <w:sz w:val="20"/>
                <w:szCs w:val="20"/>
              </w:rPr>
            </w:pPr>
            <w:r w:rsidRPr="00D1297D">
              <w:rPr>
                <w:rFonts w:ascii="Arial Narrow" w:hAnsi="Arial Narrow" w:cs="Arial"/>
                <w:sz w:val="20"/>
                <w:szCs w:val="20"/>
              </w:rPr>
              <w:t>2</w:t>
            </w:r>
          </w:p>
        </w:tc>
        <w:tc>
          <w:tcPr>
            <w:tcW w:w="50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846E5" w:rsidRPr="00D1297D" w:rsidRDefault="007846E5" w:rsidP="006A05F3">
            <w:pPr>
              <w:spacing w:after="0" w:line="240" w:lineRule="auto"/>
              <w:rPr>
                <w:rFonts w:ascii="Arial Narrow" w:hAnsi="Arial Narrow" w:cs="Arial"/>
                <w:sz w:val="20"/>
                <w:szCs w:val="20"/>
              </w:rPr>
            </w:pPr>
            <w:r w:rsidRPr="00D1297D">
              <w:rPr>
                <w:rFonts w:ascii="Arial Narrow" w:hAnsi="Arial Narrow" w:cs="Arial"/>
                <w:sz w:val="20"/>
                <w:szCs w:val="20"/>
              </w:rPr>
              <w:t>Ofrecimiento de nueva presentación en botella de vidrio con capacidad superior a 750 ml y otra inferior a 375 ml para el producto aguardiente Doble Anís Sin Azúcar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6E5" w:rsidRPr="00D1297D" w:rsidRDefault="007846E5" w:rsidP="006A05F3">
            <w:pPr>
              <w:spacing w:after="0" w:line="240" w:lineRule="auto"/>
              <w:jc w:val="center"/>
              <w:rPr>
                <w:rFonts w:ascii="Arial Narrow" w:hAnsi="Arial Narrow" w:cs="Arial"/>
                <w:sz w:val="20"/>
                <w:szCs w:val="20"/>
              </w:rPr>
            </w:pP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6E5" w:rsidRPr="00D1297D" w:rsidRDefault="007846E5" w:rsidP="006A05F3">
            <w:pPr>
              <w:spacing w:after="0" w:line="240" w:lineRule="auto"/>
              <w:jc w:val="center"/>
              <w:rPr>
                <w:rFonts w:ascii="Arial Narrow" w:hAnsi="Arial Narrow" w:cs="Arial"/>
                <w:sz w:val="20"/>
                <w:szCs w:val="20"/>
              </w:rPr>
            </w:pPr>
          </w:p>
        </w:tc>
      </w:tr>
      <w:tr w:rsidR="007846E5" w:rsidRPr="00D1297D" w:rsidTr="007846E5">
        <w:trPr>
          <w:trHeight w:val="63"/>
          <w:jc w:val="center"/>
        </w:trPr>
        <w:tc>
          <w:tcPr>
            <w:tcW w:w="1164"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rPr>
                <w:rFonts w:ascii="Arial Narrow" w:hAnsi="Arial Narrow" w:cs="Arial"/>
                <w:sz w:val="20"/>
                <w:szCs w:val="20"/>
              </w:rPr>
            </w:pPr>
            <w:r w:rsidRPr="00D1297D">
              <w:rPr>
                <w:rFonts w:ascii="Arial Narrow" w:hAnsi="Arial Narrow" w:cs="Arial"/>
                <w:sz w:val="20"/>
                <w:szCs w:val="20"/>
              </w:rPr>
              <w:t>3</w:t>
            </w:r>
          </w:p>
        </w:tc>
        <w:tc>
          <w:tcPr>
            <w:tcW w:w="5068" w:type="dxa"/>
            <w:tcBorders>
              <w:top w:val="single" w:sz="4" w:space="0" w:color="auto"/>
              <w:left w:val="single" w:sz="4" w:space="0" w:color="auto"/>
              <w:bottom w:val="single" w:sz="4" w:space="0" w:color="auto"/>
              <w:right w:val="single" w:sz="4" w:space="0" w:color="auto"/>
            </w:tcBorders>
            <w:vAlign w:val="center"/>
            <w:hideMark/>
          </w:tcPr>
          <w:p w:rsidR="007846E5" w:rsidRPr="00D1297D" w:rsidRDefault="007846E5" w:rsidP="006A05F3">
            <w:pPr>
              <w:spacing w:after="0" w:line="240" w:lineRule="auto"/>
              <w:rPr>
                <w:rFonts w:ascii="Arial Narrow" w:hAnsi="Arial Narrow" w:cs="Arial"/>
                <w:sz w:val="20"/>
                <w:szCs w:val="20"/>
              </w:rPr>
            </w:pPr>
            <w:r w:rsidRPr="00D1297D">
              <w:rPr>
                <w:rFonts w:ascii="Arial Narrow" w:hAnsi="Arial Narrow" w:cs="Arial"/>
                <w:sz w:val="20"/>
                <w:szCs w:val="20"/>
              </w:rPr>
              <w:t xml:space="preserve">Oferta del desarrollo de un nuevo producto de Aguardiente Doble Anís con graduación </w:t>
            </w:r>
            <w:proofErr w:type="spellStart"/>
            <w:r w:rsidRPr="00D1297D">
              <w:rPr>
                <w:rFonts w:ascii="Arial Narrow" w:hAnsi="Arial Narrow" w:cs="Arial"/>
                <w:sz w:val="20"/>
                <w:szCs w:val="20"/>
              </w:rPr>
              <w:t>alcoholimétrica</w:t>
            </w:r>
            <w:proofErr w:type="spellEnd"/>
            <w:r w:rsidRPr="00D1297D">
              <w:rPr>
                <w:rFonts w:ascii="Arial Narrow" w:hAnsi="Arial Narrow" w:cs="Arial"/>
                <w:sz w:val="20"/>
                <w:szCs w:val="20"/>
              </w:rPr>
              <w:t xml:space="preserve"> menor de 30 grados, con sus respectiva producción y comercialización </w:t>
            </w:r>
          </w:p>
        </w:tc>
        <w:tc>
          <w:tcPr>
            <w:tcW w:w="1134"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jc w:val="center"/>
              <w:rPr>
                <w:rFonts w:ascii="Arial Narrow" w:hAnsi="Arial Narrow" w:cs="Arial"/>
                <w:sz w:val="20"/>
                <w:szCs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jc w:val="center"/>
              <w:rPr>
                <w:rFonts w:ascii="Arial Narrow" w:hAnsi="Arial Narrow" w:cs="Arial"/>
                <w:sz w:val="20"/>
                <w:szCs w:val="20"/>
              </w:rPr>
            </w:pPr>
          </w:p>
        </w:tc>
      </w:tr>
      <w:tr w:rsidR="007846E5" w:rsidRPr="00D1297D" w:rsidTr="007846E5">
        <w:trPr>
          <w:trHeight w:val="63"/>
          <w:jc w:val="center"/>
        </w:trPr>
        <w:tc>
          <w:tcPr>
            <w:tcW w:w="11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6E5" w:rsidRPr="00D1297D" w:rsidRDefault="007846E5" w:rsidP="006A05F3">
            <w:pPr>
              <w:spacing w:after="0" w:line="240" w:lineRule="auto"/>
              <w:rPr>
                <w:rFonts w:ascii="Arial Narrow" w:hAnsi="Arial Narrow" w:cs="Arial"/>
                <w:sz w:val="20"/>
                <w:szCs w:val="20"/>
              </w:rPr>
            </w:pPr>
            <w:r w:rsidRPr="00D1297D">
              <w:rPr>
                <w:rFonts w:ascii="Arial Narrow" w:hAnsi="Arial Narrow" w:cs="Arial"/>
                <w:sz w:val="20"/>
                <w:szCs w:val="20"/>
              </w:rPr>
              <w:t>4</w:t>
            </w:r>
          </w:p>
        </w:tc>
        <w:tc>
          <w:tcPr>
            <w:tcW w:w="50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6E5" w:rsidRPr="00D1297D" w:rsidRDefault="007846E5" w:rsidP="006A05F3">
            <w:pPr>
              <w:spacing w:after="0" w:line="240" w:lineRule="auto"/>
              <w:rPr>
                <w:rFonts w:ascii="Arial Narrow" w:hAnsi="Arial Narrow" w:cs="Arial"/>
                <w:sz w:val="20"/>
                <w:szCs w:val="20"/>
              </w:rPr>
            </w:pPr>
            <w:r w:rsidRPr="00D1297D">
              <w:rPr>
                <w:rFonts w:ascii="Arial Narrow" w:hAnsi="Arial Narrow" w:cs="Arial"/>
                <w:sz w:val="20"/>
                <w:szCs w:val="20"/>
              </w:rPr>
              <w:t>Tapa: Quien ofrezca tapa tipo guala de mayor calidad y presentación a la actual en las presentaciones existentes del tradicional y sin azúcar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6E5" w:rsidRPr="00D1297D" w:rsidRDefault="007846E5" w:rsidP="006A05F3">
            <w:pPr>
              <w:spacing w:after="0" w:line="240" w:lineRule="auto"/>
              <w:jc w:val="center"/>
              <w:rPr>
                <w:rFonts w:ascii="Arial Narrow" w:hAnsi="Arial Narrow" w:cs="Arial"/>
                <w:sz w:val="20"/>
                <w:szCs w:val="20"/>
              </w:rPr>
            </w:pPr>
          </w:p>
        </w:tc>
        <w:tc>
          <w:tcPr>
            <w:tcW w:w="1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846E5" w:rsidRPr="00D1297D" w:rsidRDefault="007846E5" w:rsidP="006A05F3">
            <w:pPr>
              <w:spacing w:after="0" w:line="240" w:lineRule="auto"/>
              <w:jc w:val="center"/>
              <w:rPr>
                <w:rFonts w:ascii="Arial Narrow" w:hAnsi="Arial Narrow" w:cs="Arial"/>
                <w:sz w:val="20"/>
                <w:szCs w:val="20"/>
              </w:rPr>
            </w:pPr>
          </w:p>
        </w:tc>
      </w:tr>
      <w:tr w:rsidR="007846E5" w:rsidRPr="00D1297D" w:rsidTr="007846E5">
        <w:trPr>
          <w:trHeight w:val="63"/>
          <w:jc w:val="center"/>
        </w:trPr>
        <w:tc>
          <w:tcPr>
            <w:tcW w:w="1164"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rPr>
                <w:rFonts w:ascii="Arial Narrow" w:hAnsi="Arial Narrow" w:cs="Arial"/>
                <w:sz w:val="20"/>
                <w:szCs w:val="20"/>
              </w:rPr>
            </w:pPr>
            <w:r w:rsidRPr="00D1297D">
              <w:rPr>
                <w:rFonts w:ascii="Arial Narrow" w:hAnsi="Arial Narrow" w:cs="Arial"/>
                <w:sz w:val="20"/>
                <w:szCs w:val="20"/>
              </w:rPr>
              <w:t>5</w:t>
            </w:r>
          </w:p>
        </w:tc>
        <w:tc>
          <w:tcPr>
            <w:tcW w:w="5068"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rPr>
                <w:rFonts w:ascii="Arial Narrow" w:hAnsi="Arial Narrow" w:cs="Arial"/>
                <w:sz w:val="20"/>
                <w:szCs w:val="20"/>
              </w:rPr>
            </w:pPr>
            <w:proofErr w:type="spellStart"/>
            <w:r w:rsidRPr="00D1297D">
              <w:rPr>
                <w:rFonts w:ascii="Arial Narrow" w:hAnsi="Arial Narrow" w:cs="Arial"/>
                <w:sz w:val="20"/>
                <w:szCs w:val="20"/>
              </w:rPr>
              <w:t>Termoencogido</w:t>
            </w:r>
            <w:proofErr w:type="spellEnd"/>
            <w:r w:rsidRPr="00D1297D">
              <w:rPr>
                <w:rFonts w:ascii="Arial Narrow" w:hAnsi="Arial Narrow" w:cs="Arial"/>
                <w:sz w:val="20"/>
                <w:szCs w:val="20"/>
              </w:rPr>
              <w:t xml:space="preserve">: Quien ofrezca que en la temporada de </w:t>
            </w:r>
            <w:proofErr w:type="spellStart"/>
            <w:r w:rsidRPr="00D1297D">
              <w:rPr>
                <w:rFonts w:ascii="Arial Narrow" w:hAnsi="Arial Narrow" w:cs="Arial"/>
                <w:sz w:val="20"/>
                <w:szCs w:val="20"/>
              </w:rPr>
              <w:t>sanpedro</w:t>
            </w:r>
            <w:proofErr w:type="spellEnd"/>
            <w:r w:rsidRPr="00D1297D">
              <w:rPr>
                <w:rFonts w:ascii="Arial Narrow" w:hAnsi="Arial Narrow" w:cs="Arial"/>
                <w:sz w:val="20"/>
                <w:szCs w:val="20"/>
              </w:rPr>
              <w:t xml:space="preserve"> de cada año de ejecución del contrato se mejore la presentación de la botella de Aguardiente doble </w:t>
            </w:r>
            <w:proofErr w:type="spellStart"/>
            <w:r w:rsidRPr="00D1297D">
              <w:rPr>
                <w:rFonts w:ascii="Arial Narrow" w:hAnsi="Arial Narrow" w:cs="Arial"/>
                <w:sz w:val="20"/>
                <w:szCs w:val="20"/>
              </w:rPr>
              <w:t>anis</w:t>
            </w:r>
            <w:proofErr w:type="spellEnd"/>
            <w:r w:rsidRPr="00D1297D">
              <w:rPr>
                <w:rFonts w:ascii="Arial Narrow" w:hAnsi="Arial Narrow" w:cs="Arial"/>
                <w:sz w:val="20"/>
                <w:szCs w:val="20"/>
              </w:rPr>
              <w:t xml:space="preserve"> con un termo encogido alusivo a las fiestas tradicionales en cualquiera de sus presentaciones.</w:t>
            </w:r>
          </w:p>
        </w:tc>
        <w:tc>
          <w:tcPr>
            <w:tcW w:w="1134"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jc w:val="center"/>
              <w:rPr>
                <w:rFonts w:ascii="Arial Narrow" w:hAnsi="Arial Narrow" w:cs="Arial"/>
                <w:sz w:val="20"/>
                <w:szCs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7846E5" w:rsidRPr="00D1297D" w:rsidRDefault="007846E5" w:rsidP="006A05F3">
            <w:pPr>
              <w:spacing w:after="0" w:line="240" w:lineRule="auto"/>
              <w:jc w:val="center"/>
              <w:rPr>
                <w:rFonts w:ascii="Arial Narrow" w:hAnsi="Arial Narrow" w:cs="Arial"/>
                <w:sz w:val="20"/>
                <w:szCs w:val="20"/>
              </w:rPr>
            </w:pPr>
          </w:p>
        </w:tc>
      </w:tr>
    </w:tbl>
    <w:p w:rsidR="007846E5" w:rsidRPr="00D1297D" w:rsidRDefault="007846E5" w:rsidP="00406211">
      <w:pPr>
        <w:autoSpaceDE w:val="0"/>
        <w:autoSpaceDN w:val="0"/>
        <w:adjustRightInd w:val="0"/>
        <w:spacing w:after="0" w:line="240" w:lineRule="auto"/>
        <w:rPr>
          <w:rFonts w:ascii="Arial Narrow" w:hAnsi="Arial Narrow" w:cs="Arial"/>
          <w:color w:val="000000"/>
          <w:sz w:val="20"/>
          <w:szCs w:val="20"/>
          <w:lang w:val="es-ES_tradnl" w:eastAsia="es-CO"/>
        </w:rPr>
      </w:pPr>
    </w:p>
    <w:p w:rsidR="005C13A6" w:rsidRPr="00D1297D" w:rsidRDefault="005C13A6" w:rsidP="005C13A6">
      <w:pPr>
        <w:spacing w:after="0" w:line="240" w:lineRule="auto"/>
        <w:rPr>
          <w:rFonts w:ascii="Arial Narrow" w:hAnsi="Arial Narrow" w:cs="Arial"/>
          <w:sz w:val="20"/>
          <w:szCs w:val="20"/>
        </w:rPr>
      </w:pPr>
      <w:r w:rsidRPr="00D1297D">
        <w:rPr>
          <w:rFonts w:ascii="Arial Narrow" w:hAnsi="Arial Narrow" w:cs="Arial"/>
          <w:b/>
          <w:sz w:val="20"/>
          <w:szCs w:val="20"/>
        </w:rPr>
        <w:t>Nota1:</w:t>
      </w:r>
      <w:r w:rsidRPr="00D1297D">
        <w:rPr>
          <w:rFonts w:ascii="Arial Narrow" w:hAnsi="Arial Narrow" w:cs="Arial"/>
          <w:sz w:val="20"/>
          <w:szCs w:val="20"/>
        </w:rPr>
        <w:t xml:space="preserve"> Todos los ofrecimientos previstos en la anterior tabla y que son objeto de puntuación, deberán estar implementados a más tardar durante el primer año de ejecución del contrato de concesión.</w:t>
      </w:r>
    </w:p>
    <w:p w:rsidR="005C13A6" w:rsidRPr="00D1297D" w:rsidRDefault="005C13A6" w:rsidP="005C13A6">
      <w:pPr>
        <w:spacing w:after="0" w:line="240" w:lineRule="auto"/>
        <w:rPr>
          <w:rFonts w:ascii="Arial Narrow" w:hAnsi="Arial Narrow" w:cs="Arial"/>
          <w:sz w:val="20"/>
          <w:szCs w:val="20"/>
        </w:rPr>
      </w:pPr>
    </w:p>
    <w:p w:rsidR="005C13A6" w:rsidRPr="00D1297D" w:rsidRDefault="005C13A6" w:rsidP="005C13A6">
      <w:pPr>
        <w:spacing w:after="0" w:line="240" w:lineRule="auto"/>
        <w:jc w:val="both"/>
        <w:rPr>
          <w:rFonts w:ascii="Arial Narrow" w:hAnsi="Arial Narrow" w:cs="Arial"/>
          <w:sz w:val="20"/>
          <w:szCs w:val="20"/>
        </w:rPr>
      </w:pPr>
      <w:r w:rsidRPr="00D1297D">
        <w:rPr>
          <w:rFonts w:ascii="Arial Narrow" w:hAnsi="Arial Narrow" w:cs="Arial"/>
          <w:b/>
          <w:sz w:val="20"/>
          <w:szCs w:val="20"/>
        </w:rPr>
        <w:t>Nota 2:</w:t>
      </w:r>
      <w:r w:rsidRPr="00D1297D">
        <w:rPr>
          <w:rFonts w:ascii="Arial Narrow" w:hAnsi="Arial Narrow" w:cs="Arial"/>
          <w:sz w:val="20"/>
          <w:szCs w:val="20"/>
        </w:rPr>
        <w:t xml:space="preserve"> En todo caso el oferente deberá garantizar en su ofrecimiento, el cual deberá quedar claramente expresado en el mismo, que durante la ejecución del contrato </w:t>
      </w:r>
      <w:r w:rsidRPr="00D1297D">
        <w:rPr>
          <w:rFonts w:ascii="Arial Narrow" w:hAnsi="Arial Narrow" w:cs="Arial"/>
          <w:b/>
          <w:sz w:val="20"/>
          <w:szCs w:val="20"/>
        </w:rPr>
        <w:t>NO PODRA</w:t>
      </w:r>
      <w:r w:rsidRPr="00D1297D">
        <w:rPr>
          <w:rFonts w:ascii="Arial Narrow" w:hAnsi="Arial Narrow" w:cs="Arial"/>
          <w:sz w:val="20"/>
          <w:szCs w:val="20"/>
        </w:rPr>
        <w:t xml:space="preserve"> desmejorar  las condiciones y características  de presentación, calidad y seguridad con que actualmente se producen y comercializan los productos de Aguardiente Doble Anís Tradicional y Sin Azúcar, en todas sus capacidades y presentaciones. </w:t>
      </w:r>
    </w:p>
    <w:p w:rsidR="005C13A6" w:rsidRPr="00D1297D" w:rsidRDefault="005C13A6" w:rsidP="005C13A6">
      <w:pPr>
        <w:spacing w:after="0" w:line="240" w:lineRule="auto"/>
        <w:jc w:val="both"/>
        <w:rPr>
          <w:rFonts w:ascii="Arial Narrow" w:hAnsi="Arial Narrow" w:cs="Arial"/>
          <w:sz w:val="20"/>
          <w:szCs w:val="20"/>
        </w:rPr>
      </w:pPr>
    </w:p>
    <w:p w:rsidR="005C13A6" w:rsidRPr="00D1297D" w:rsidRDefault="005C13A6" w:rsidP="005C13A6">
      <w:pPr>
        <w:spacing w:after="0" w:line="240" w:lineRule="auto"/>
        <w:jc w:val="both"/>
        <w:rPr>
          <w:rFonts w:ascii="Arial Narrow" w:hAnsi="Arial Narrow" w:cs="Arial"/>
          <w:sz w:val="20"/>
          <w:szCs w:val="20"/>
        </w:rPr>
      </w:pPr>
      <w:r w:rsidRPr="00D1297D">
        <w:rPr>
          <w:rFonts w:ascii="Arial Narrow" w:hAnsi="Arial Narrow" w:cs="Arial"/>
          <w:b/>
          <w:sz w:val="20"/>
          <w:szCs w:val="20"/>
        </w:rPr>
        <w:t xml:space="preserve">Nota 3: </w:t>
      </w:r>
      <w:r w:rsidRPr="00D1297D">
        <w:rPr>
          <w:rFonts w:ascii="Arial Narrow" w:hAnsi="Arial Narrow" w:cs="Arial"/>
          <w:sz w:val="20"/>
          <w:szCs w:val="20"/>
        </w:rPr>
        <w:t>En caso que existieren dos marcaciones en el mismo ítem, se entenderá como no marcado y su puntuación será cero (0).</w:t>
      </w:r>
    </w:p>
    <w:p w:rsidR="005C13A6" w:rsidRPr="00D1297D" w:rsidRDefault="005C13A6" w:rsidP="005C13A6">
      <w:pPr>
        <w:spacing w:after="0" w:line="240" w:lineRule="auto"/>
        <w:jc w:val="both"/>
        <w:rPr>
          <w:rFonts w:ascii="Arial Narrow" w:hAnsi="Arial Narrow" w:cs="Arial"/>
          <w:b/>
          <w:sz w:val="20"/>
          <w:szCs w:val="20"/>
        </w:rPr>
      </w:pPr>
    </w:p>
    <w:p w:rsidR="005C13A6" w:rsidRPr="00D1297D" w:rsidRDefault="005C13A6" w:rsidP="005C13A6">
      <w:pPr>
        <w:spacing w:after="0" w:line="240" w:lineRule="auto"/>
        <w:jc w:val="both"/>
        <w:rPr>
          <w:rFonts w:ascii="Arial Narrow" w:hAnsi="Arial Narrow" w:cs="Arial"/>
          <w:sz w:val="20"/>
          <w:szCs w:val="20"/>
        </w:rPr>
      </w:pPr>
      <w:r w:rsidRPr="00D1297D">
        <w:rPr>
          <w:rFonts w:ascii="Arial Narrow" w:hAnsi="Arial Narrow" w:cs="Arial"/>
          <w:b/>
          <w:sz w:val="20"/>
          <w:szCs w:val="20"/>
        </w:rPr>
        <w:t xml:space="preserve">Nota 4: </w:t>
      </w:r>
      <w:r w:rsidRPr="00D1297D">
        <w:rPr>
          <w:rFonts w:ascii="Arial Narrow" w:hAnsi="Arial Narrow" w:cs="Arial"/>
          <w:sz w:val="20"/>
          <w:szCs w:val="20"/>
        </w:rPr>
        <w:t>En caso que no existieren marcaciones en un ítem, se entenderá como no marcado y su puntuación será cero (0).</w:t>
      </w:r>
    </w:p>
    <w:p w:rsidR="005C13A6" w:rsidRPr="00D1297D" w:rsidRDefault="005C13A6" w:rsidP="005C13A6">
      <w:pPr>
        <w:spacing w:after="0" w:line="240" w:lineRule="auto"/>
        <w:jc w:val="both"/>
        <w:rPr>
          <w:rFonts w:ascii="Arial Narrow" w:hAnsi="Arial Narrow" w:cs="Arial"/>
          <w:b/>
          <w:color w:val="000000"/>
          <w:sz w:val="20"/>
          <w:szCs w:val="20"/>
          <w:lang w:eastAsia="es-CO"/>
        </w:rPr>
      </w:pPr>
    </w:p>
    <w:p w:rsidR="005C13A6" w:rsidRPr="00D1297D" w:rsidRDefault="005C13A6" w:rsidP="005C13A6">
      <w:pPr>
        <w:spacing w:after="0" w:line="240" w:lineRule="auto"/>
        <w:jc w:val="both"/>
        <w:rPr>
          <w:rFonts w:ascii="Arial Narrow" w:hAnsi="Arial Narrow" w:cs="Arial"/>
          <w:b/>
          <w:color w:val="000000"/>
          <w:sz w:val="20"/>
          <w:szCs w:val="20"/>
          <w:lang w:eastAsia="es-CO"/>
        </w:rPr>
      </w:pPr>
    </w:p>
    <w:p w:rsidR="005C13A6" w:rsidRPr="00D1297D" w:rsidRDefault="005C13A6" w:rsidP="005C13A6">
      <w:pPr>
        <w:spacing w:after="0" w:line="240" w:lineRule="auto"/>
        <w:jc w:val="both"/>
        <w:rPr>
          <w:rFonts w:ascii="Arial Narrow" w:hAnsi="Arial Narrow" w:cs="Arial"/>
          <w:b/>
          <w:color w:val="000000"/>
          <w:sz w:val="20"/>
          <w:szCs w:val="20"/>
          <w:lang w:eastAsia="es-CO"/>
        </w:rPr>
      </w:pPr>
    </w:p>
    <w:p w:rsidR="005C13A6" w:rsidRPr="00D1297D" w:rsidRDefault="005C13A6" w:rsidP="005C13A6">
      <w:pPr>
        <w:spacing w:after="0" w:line="240" w:lineRule="auto"/>
        <w:jc w:val="both"/>
        <w:rPr>
          <w:rFonts w:ascii="Arial Narrow" w:hAnsi="Arial Narrow" w:cs="Arial"/>
          <w:b/>
          <w:color w:val="000000"/>
          <w:sz w:val="20"/>
          <w:szCs w:val="20"/>
          <w:lang w:eastAsia="es-CO"/>
        </w:rPr>
      </w:pPr>
    </w:p>
    <w:p w:rsidR="005C13A6" w:rsidRPr="00D1297D" w:rsidRDefault="005C13A6" w:rsidP="005C13A6">
      <w:pPr>
        <w:spacing w:after="0" w:line="240" w:lineRule="auto"/>
        <w:jc w:val="both"/>
        <w:rPr>
          <w:rFonts w:ascii="Arial Narrow" w:hAnsi="Arial Narrow" w:cs="Arial"/>
          <w:b/>
          <w:color w:val="000000"/>
          <w:sz w:val="20"/>
          <w:szCs w:val="20"/>
          <w:lang w:eastAsia="es-CO"/>
        </w:rPr>
      </w:pPr>
    </w:p>
    <w:p w:rsidR="005C13A6" w:rsidRPr="00D1297D" w:rsidRDefault="005C13A6" w:rsidP="005C13A6">
      <w:pPr>
        <w:spacing w:after="0" w:line="240" w:lineRule="auto"/>
        <w:jc w:val="both"/>
        <w:rPr>
          <w:rFonts w:ascii="Arial Narrow" w:hAnsi="Arial Narrow" w:cs="Arial"/>
          <w:b/>
          <w:color w:val="000000"/>
          <w:sz w:val="20"/>
          <w:szCs w:val="20"/>
          <w:lang w:eastAsia="es-CO"/>
        </w:rPr>
      </w:pPr>
    </w:p>
    <w:p w:rsidR="005C13A6" w:rsidRPr="00D1297D" w:rsidRDefault="005C13A6" w:rsidP="005C13A6">
      <w:pPr>
        <w:spacing w:after="0" w:line="240" w:lineRule="auto"/>
        <w:jc w:val="both"/>
        <w:rPr>
          <w:rFonts w:ascii="Arial Narrow" w:hAnsi="Arial Narrow" w:cs="Arial"/>
          <w:b/>
          <w:color w:val="000000"/>
          <w:sz w:val="20"/>
          <w:szCs w:val="20"/>
          <w:lang w:eastAsia="es-CO"/>
        </w:rPr>
      </w:pPr>
    </w:p>
    <w:p w:rsidR="005C13A6" w:rsidRPr="00D1297D" w:rsidRDefault="005C13A6" w:rsidP="005C13A6">
      <w:pPr>
        <w:spacing w:after="0" w:line="240" w:lineRule="auto"/>
        <w:contextualSpacing/>
        <w:jc w:val="center"/>
        <w:rPr>
          <w:rFonts w:ascii="Arial Narrow" w:eastAsia="Batang" w:hAnsi="Arial Narrow"/>
          <w:sz w:val="20"/>
          <w:szCs w:val="20"/>
          <w:lang w:val="es-ES_tradnl"/>
        </w:rPr>
      </w:pPr>
      <w:r w:rsidRPr="00D1297D">
        <w:rPr>
          <w:rFonts w:ascii="Arial Narrow" w:eastAsia="Batang" w:hAnsi="Arial Narrow"/>
          <w:sz w:val="20"/>
          <w:szCs w:val="20"/>
          <w:lang w:val="es-ES_tradnl"/>
        </w:rPr>
        <w:t>Firma ____________________________________________</w:t>
      </w:r>
    </w:p>
    <w:p w:rsidR="005C13A6" w:rsidRPr="00D1297D" w:rsidRDefault="005C13A6" w:rsidP="005C13A6">
      <w:pPr>
        <w:spacing w:after="0" w:line="240" w:lineRule="auto"/>
        <w:contextualSpacing/>
        <w:jc w:val="center"/>
        <w:rPr>
          <w:rFonts w:ascii="Arial Narrow" w:eastAsia="Batang" w:hAnsi="Arial Narrow"/>
          <w:sz w:val="20"/>
          <w:szCs w:val="20"/>
          <w:lang w:val="es-ES_tradnl"/>
        </w:rPr>
      </w:pPr>
      <w:r w:rsidRPr="00D1297D">
        <w:rPr>
          <w:rFonts w:ascii="Arial Narrow" w:eastAsia="Batang" w:hAnsi="Arial Narrow"/>
          <w:sz w:val="20"/>
          <w:szCs w:val="20"/>
          <w:lang w:val="es-ES_tradnl"/>
        </w:rPr>
        <w:t>Identificación No. ____________________________________________</w:t>
      </w:r>
    </w:p>
    <w:p w:rsidR="005C13A6" w:rsidRPr="00D1297D" w:rsidRDefault="005C13A6" w:rsidP="005C13A6">
      <w:pPr>
        <w:spacing w:after="0" w:line="240" w:lineRule="auto"/>
        <w:contextualSpacing/>
        <w:jc w:val="center"/>
        <w:rPr>
          <w:rFonts w:ascii="Arial Narrow" w:eastAsia="Batang" w:hAnsi="Arial Narrow"/>
          <w:sz w:val="20"/>
          <w:szCs w:val="20"/>
          <w:lang w:val="es-ES_tradnl"/>
        </w:rPr>
      </w:pPr>
      <w:r w:rsidRPr="00D1297D">
        <w:rPr>
          <w:rFonts w:ascii="Arial Narrow" w:eastAsia="Batang" w:hAnsi="Arial Narrow"/>
          <w:sz w:val="20"/>
          <w:szCs w:val="20"/>
          <w:lang w:val="es-ES_tradnl"/>
        </w:rPr>
        <w:t>En calidad de ___ ____________________________________________</w:t>
      </w:r>
    </w:p>
    <w:p w:rsidR="005C13A6" w:rsidRPr="00D1297D" w:rsidRDefault="005C13A6" w:rsidP="005C13A6">
      <w:pPr>
        <w:spacing w:after="0" w:line="240" w:lineRule="auto"/>
        <w:contextualSpacing/>
        <w:jc w:val="both"/>
        <w:rPr>
          <w:rFonts w:ascii="Arial Narrow" w:eastAsia="Batang" w:hAnsi="Arial Narrow"/>
          <w:sz w:val="20"/>
          <w:szCs w:val="20"/>
          <w:lang w:val="es-ES_tradnl"/>
        </w:rPr>
      </w:pPr>
    </w:p>
    <w:p w:rsidR="005C13A6" w:rsidRPr="00D1297D" w:rsidRDefault="005C13A6" w:rsidP="005C13A6">
      <w:pPr>
        <w:spacing w:after="0" w:line="240" w:lineRule="auto"/>
        <w:jc w:val="both"/>
        <w:rPr>
          <w:rFonts w:ascii="Arial Narrow" w:hAnsi="Arial Narrow" w:cs="Arial"/>
          <w:b/>
          <w:color w:val="000000"/>
          <w:sz w:val="20"/>
          <w:szCs w:val="20"/>
          <w:lang w:val="es-ES_tradnl" w:eastAsia="es-CO"/>
        </w:rPr>
      </w:pPr>
    </w:p>
    <w:p w:rsidR="00D1297D" w:rsidRPr="00D1297D" w:rsidRDefault="00D1297D" w:rsidP="005C13A6">
      <w:pPr>
        <w:spacing w:after="0" w:line="240" w:lineRule="auto"/>
        <w:jc w:val="both"/>
        <w:rPr>
          <w:rFonts w:ascii="Arial Narrow" w:hAnsi="Arial Narrow" w:cs="Arial"/>
          <w:b/>
          <w:color w:val="000000"/>
          <w:sz w:val="20"/>
          <w:szCs w:val="20"/>
          <w:lang w:val="es-ES_tradnl" w:eastAsia="es-CO"/>
        </w:rPr>
      </w:pPr>
    </w:p>
    <w:p w:rsidR="00D1297D" w:rsidRPr="00D1297D" w:rsidRDefault="00D1297D" w:rsidP="005C13A6">
      <w:pPr>
        <w:spacing w:after="0" w:line="240" w:lineRule="auto"/>
        <w:jc w:val="both"/>
        <w:rPr>
          <w:rFonts w:ascii="Arial Narrow" w:hAnsi="Arial Narrow" w:cs="Arial"/>
          <w:b/>
          <w:color w:val="000000"/>
          <w:sz w:val="20"/>
          <w:szCs w:val="20"/>
          <w:lang w:val="es-ES_tradnl" w:eastAsia="es-CO"/>
        </w:rPr>
      </w:pPr>
    </w:p>
    <w:p w:rsidR="00D1297D" w:rsidRPr="00D1297D" w:rsidRDefault="00D1297D" w:rsidP="005C13A6">
      <w:pPr>
        <w:spacing w:after="0" w:line="240" w:lineRule="auto"/>
        <w:jc w:val="both"/>
        <w:rPr>
          <w:rFonts w:ascii="Arial Narrow" w:hAnsi="Arial Narrow" w:cs="Arial"/>
          <w:b/>
          <w:color w:val="000000"/>
          <w:sz w:val="20"/>
          <w:szCs w:val="20"/>
          <w:lang w:val="es-ES_tradnl" w:eastAsia="es-CO"/>
        </w:rPr>
      </w:pPr>
    </w:p>
    <w:p w:rsidR="00D1297D" w:rsidRDefault="00D1297D" w:rsidP="005C13A6">
      <w:pPr>
        <w:spacing w:after="0" w:line="240" w:lineRule="auto"/>
        <w:jc w:val="both"/>
        <w:rPr>
          <w:rFonts w:ascii="Arial Narrow" w:hAnsi="Arial Narrow" w:cs="Arial"/>
          <w:b/>
          <w:color w:val="000000"/>
          <w:sz w:val="20"/>
          <w:szCs w:val="20"/>
          <w:lang w:val="es-ES_tradnl" w:eastAsia="es-CO"/>
        </w:rPr>
      </w:pPr>
    </w:p>
    <w:p w:rsidR="00D1297D" w:rsidRDefault="00D1297D" w:rsidP="005C13A6">
      <w:pPr>
        <w:spacing w:after="0" w:line="240" w:lineRule="auto"/>
        <w:jc w:val="both"/>
        <w:rPr>
          <w:rFonts w:ascii="Arial Narrow" w:hAnsi="Arial Narrow" w:cs="Arial"/>
          <w:b/>
          <w:color w:val="000000"/>
          <w:sz w:val="20"/>
          <w:szCs w:val="20"/>
          <w:lang w:val="es-ES_tradnl" w:eastAsia="es-CO"/>
        </w:rPr>
      </w:pPr>
    </w:p>
    <w:p w:rsidR="00D1297D" w:rsidRDefault="00D1297D" w:rsidP="005C13A6">
      <w:pPr>
        <w:spacing w:after="0" w:line="240" w:lineRule="auto"/>
        <w:jc w:val="both"/>
        <w:rPr>
          <w:rFonts w:ascii="Arial Narrow" w:hAnsi="Arial Narrow" w:cs="Arial"/>
          <w:b/>
          <w:color w:val="000000"/>
          <w:sz w:val="20"/>
          <w:szCs w:val="20"/>
          <w:lang w:val="es-ES_tradnl" w:eastAsia="es-CO"/>
        </w:rPr>
      </w:pPr>
    </w:p>
    <w:p w:rsidR="00D1297D" w:rsidRDefault="00D1297D" w:rsidP="005C13A6">
      <w:pPr>
        <w:spacing w:after="0" w:line="240" w:lineRule="auto"/>
        <w:jc w:val="both"/>
        <w:rPr>
          <w:rFonts w:ascii="Arial Narrow" w:hAnsi="Arial Narrow" w:cs="Arial"/>
          <w:b/>
          <w:color w:val="000000"/>
          <w:sz w:val="20"/>
          <w:szCs w:val="20"/>
          <w:lang w:val="es-ES_tradnl" w:eastAsia="es-CO"/>
        </w:rPr>
      </w:pPr>
    </w:p>
    <w:p w:rsidR="00D1297D" w:rsidRDefault="00D1297D" w:rsidP="005C13A6">
      <w:pPr>
        <w:spacing w:after="0" w:line="240" w:lineRule="auto"/>
        <w:jc w:val="both"/>
        <w:rPr>
          <w:rFonts w:ascii="Arial Narrow" w:hAnsi="Arial Narrow" w:cs="Arial"/>
          <w:b/>
          <w:color w:val="000000"/>
          <w:sz w:val="20"/>
          <w:szCs w:val="20"/>
          <w:lang w:val="es-ES_tradnl" w:eastAsia="es-CO"/>
        </w:rPr>
      </w:pPr>
    </w:p>
    <w:p w:rsidR="00D1297D" w:rsidRPr="00D1297D" w:rsidRDefault="00D1297D" w:rsidP="005C13A6">
      <w:pPr>
        <w:spacing w:after="0" w:line="240" w:lineRule="auto"/>
        <w:jc w:val="both"/>
        <w:rPr>
          <w:rFonts w:ascii="Arial Narrow" w:hAnsi="Arial Narrow" w:cs="Arial"/>
          <w:b/>
          <w:color w:val="000000"/>
          <w:sz w:val="20"/>
          <w:szCs w:val="20"/>
          <w:lang w:val="es-ES_tradnl" w:eastAsia="es-CO"/>
        </w:rPr>
      </w:pPr>
    </w:p>
    <w:p w:rsidR="00D1297D" w:rsidRPr="00D1297D" w:rsidRDefault="00D1297D" w:rsidP="00D1297D">
      <w:pPr>
        <w:spacing w:after="0" w:line="240" w:lineRule="auto"/>
        <w:jc w:val="center"/>
        <w:rPr>
          <w:rFonts w:ascii="Arial Narrow" w:hAnsi="Arial Narrow" w:cs="Arial"/>
          <w:b/>
          <w:color w:val="000000"/>
          <w:sz w:val="20"/>
          <w:szCs w:val="20"/>
          <w:lang w:val="es-ES_tradnl" w:eastAsia="es-CO"/>
        </w:rPr>
      </w:pPr>
      <w:r w:rsidRPr="00D1297D">
        <w:rPr>
          <w:rFonts w:ascii="Arial Narrow" w:hAnsi="Arial Narrow" w:cs="Arial"/>
          <w:b/>
          <w:color w:val="000000"/>
          <w:sz w:val="20"/>
          <w:szCs w:val="20"/>
          <w:lang w:val="es-ES_tradnl" w:eastAsia="es-CO"/>
        </w:rPr>
        <w:t xml:space="preserve">ANEXO </w:t>
      </w:r>
      <w:r w:rsidRPr="00D1297D">
        <w:rPr>
          <w:rFonts w:ascii="Arial Narrow" w:hAnsi="Arial Narrow" w:cs="Arial"/>
          <w:b/>
          <w:color w:val="000000"/>
          <w:sz w:val="20"/>
          <w:szCs w:val="20"/>
          <w:lang w:val="es-ES_tradnl" w:eastAsia="es-CO"/>
        </w:rPr>
        <w:t>8</w:t>
      </w:r>
      <w:r w:rsidRPr="00D1297D">
        <w:rPr>
          <w:rFonts w:ascii="Arial Narrow" w:hAnsi="Arial Narrow" w:cs="Arial"/>
          <w:b/>
          <w:color w:val="000000"/>
          <w:sz w:val="20"/>
          <w:szCs w:val="20"/>
          <w:lang w:val="es-ES_tradnl" w:eastAsia="es-CO"/>
        </w:rPr>
        <w:t xml:space="preserve"> - COMPROMISO ANTICORRUPCIÓN</w:t>
      </w:r>
    </w:p>
    <w:p w:rsidR="00D1297D" w:rsidRPr="00D1297D" w:rsidRDefault="00D1297D" w:rsidP="00D1297D">
      <w:pPr>
        <w:spacing w:after="0" w:line="240" w:lineRule="auto"/>
        <w:jc w:val="both"/>
        <w:rPr>
          <w:rFonts w:ascii="Arial Narrow" w:hAnsi="Arial Narrow" w:cs="Arial"/>
          <w:b/>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Neiva, _____________________</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Señores</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GOBERNACIÓN DEL HUILA</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Secretaría de Educación</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Ciudad</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Ref. Proceso de Licitación Pública No. _______________</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[Nombre del representante legal o de la persona natural proponente], identificado como aparece al pie de mi firma, [obrando en mi propio nombre o en mi calidad de representante legal nombre del proponente], manifiesto que:</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 xml:space="preserve">1. Apoyamos la acción del Estado colombiano y de [Nombre de la Entidad Estatal] para fortalecer la transparencia y la rendición de cuentas de la administración pública. </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 xml:space="preserve">2. No estamos en causal de inhabilidad alguna para celebrar el contrato objeto del Proceso de Contratación [Insertar información]. </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 xml:space="preserve">4. Nos comprometemos a no efectuar acuerdos, o realizar actos o conductas que tengan por objeto o efecto la colusión en el Proceso de Contratación [Insertar información]. </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5. Nos comprometemos a revelar la información que sobre el Proceso de Contratación [Insertar información] nos soliciten los organismos de control de la República de Colombia.</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6. Nos comprometemos a comunicar a nuestros empleados y asesores el contenido del presente Compromiso Anticorrupción, explicar su importancia y las consecuencias de su incumplimiento por nuestra parte, y la de nuestros empleados o asesores.</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 xml:space="preserve">7. Conocemos las consecuencias derivadas del incumplimiento del presente compromiso anticorrupción. </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 xml:space="preserve">En constancia de lo anterior firmo este documento a los [Insertar información] días del mes de [Insertar información] de [Insertar información]. </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Firma del proponente____________________________________________</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r w:rsidRPr="00D1297D">
        <w:rPr>
          <w:rFonts w:ascii="Arial Narrow" w:hAnsi="Arial Narrow" w:cs="Arial"/>
          <w:color w:val="000000"/>
          <w:sz w:val="20"/>
          <w:szCs w:val="20"/>
          <w:lang w:val="es-ES_tradnl" w:eastAsia="es-CO"/>
        </w:rPr>
        <w:t>Identificación No. ___________________________________________ </w:t>
      </w: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spacing w:after="0" w:line="240" w:lineRule="auto"/>
        <w:jc w:val="both"/>
        <w:rPr>
          <w:rFonts w:ascii="Arial Narrow" w:hAnsi="Arial Narrow" w:cs="Arial"/>
          <w:color w:val="000000"/>
          <w:sz w:val="20"/>
          <w:szCs w:val="20"/>
          <w:lang w:val="es-ES_tradnl" w:eastAsia="es-CO"/>
        </w:rPr>
      </w:pPr>
    </w:p>
    <w:p w:rsidR="00D1297D" w:rsidRPr="00D1297D" w:rsidRDefault="00D1297D" w:rsidP="00D1297D">
      <w:pPr>
        <w:autoSpaceDE w:val="0"/>
        <w:autoSpaceDN w:val="0"/>
        <w:adjustRightInd w:val="0"/>
        <w:spacing w:after="0" w:line="240" w:lineRule="auto"/>
        <w:jc w:val="center"/>
        <w:rPr>
          <w:rFonts w:ascii="Arial Narrow" w:hAnsi="Arial Narrow" w:cs="Gill Sans MT"/>
          <w:b/>
          <w:sz w:val="20"/>
          <w:szCs w:val="20"/>
          <w:lang w:eastAsia="es-ES"/>
        </w:rPr>
      </w:pPr>
      <w:r w:rsidRPr="00D1297D">
        <w:rPr>
          <w:rFonts w:ascii="Arial Narrow" w:hAnsi="Arial Narrow" w:cs="Arial"/>
          <w:b/>
          <w:color w:val="000000"/>
          <w:sz w:val="20"/>
          <w:szCs w:val="20"/>
          <w:lang w:val="es-ES_tradnl" w:eastAsia="es-CO"/>
        </w:rPr>
        <w:t xml:space="preserve">ANEXO </w:t>
      </w:r>
      <w:r w:rsidRPr="00D1297D">
        <w:rPr>
          <w:rFonts w:ascii="Arial Narrow" w:hAnsi="Arial Narrow" w:cs="Arial"/>
          <w:b/>
          <w:color w:val="000000"/>
          <w:sz w:val="20"/>
          <w:szCs w:val="20"/>
          <w:lang w:val="es-ES_tradnl" w:eastAsia="es-CO"/>
        </w:rPr>
        <w:t xml:space="preserve">9 - </w:t>
      </w:r>
      <w:r w:rsidRPr="00D1297D">
        <w:rPr>
          <w:rFonts w:ascii="Arial Narrow" w:hAnsi="Arial Narrow" w:cs="Gill Sans MT"/>
          <w:b/>
          <w:sz w:val="20"/>
          <w:szCs w:val="20"/>
          <w:lang w:eastAsia="es-ES"/>
        </w:rPr>
        <w:t>ANALISIS DEL SECTOR E INDICADORES FINANCIEROS</w:t>
      </w:r>
    </w:p>
    <w:p w:rsidR="00D1297D" w:rsidRPr="00D1297D" w:rsidRDefault="00D1297D" w:rsidP="00D1297D">
      <w:pPr>
        <w:autoSpaceDE w:val="0"/>
        <w:autoSpaceDN w:val="0"/>
        <w:adjustRightInd w:val="0"/>
        <w:spacing w:after="0" w:line="240" w:lineRule="auto"/>
        <w:jc w:val="center"/>
        <w:rPr>
          <w:rFonts w:ascii="Arial Narrow" w:hAnsi="Arial Narrow" w:cs="Gill Sans MT"/>
          <w:sz w:val="20"/>
          <w:szCs w:val="20"/>
          <w:lang w:eastAsia="es-ES"/>
        </w:rPr>
      </w:pPr>
    </w:p>
    <w:p w:rsidR="00D1297D" w:rsidRPr="00D1297D" w:rsidRDefault="00D1297D" w:rsidP="00D1297D">
      <w:pPr>
        <w:autoSpaceDE w:val="0"/>
        <w:autoSpaceDN w:val="0"/>
        <w:adjustRightInd w:val="0"/>
        <w:spacing w:after="0" w:line="240" w:lineRule="auto"/>
        <w:jc w:val="both"/>
        <w:rPr>
          <w:rFonts w:ascii="Arial Narrow" w:hAnsi="Arial Narrow" w:cs="Gill Sans MT"/>
          <w:sz w:val="20"/>
          <w:szCs w:val="20"/>
          <w:lang w:eastAsia="es-ES"/>
        </w:rPr>
      </w:pPr>
    </w:p>
    <w:p w:rsidR="00D1297D" w:rsidRPr="00D1297D" w:rsidRDefault="00D1297D" w:rsidP="00D1297D">
      <w:pPr>
        <w:autoSpaceDE w:val="0"/>
        <w:autoSpaceDN w:val="0"/>
        <w:adjustRightInd w:val="0"/>
        <w:spacing w:after="0" w:line="240" w:lineRule="auto"/>
        <w:jc w:val="both"/>
        <w:rPr>
          <w:rFonts w:ascii="Arial Narrow" w:hAnsi="Arial Narrow" w:cs="Gill Sans MT"/>
          <w:sz w:val="20"/>
          <w:szCs w:val="20"/>
          <w:lang w:eastAsia="es-ES"/>
        </w:rPr>
      </w:pPr>
      <w:r w:rsidRPr="00D1297D">
        <w:rPr>
          <w:rFonts w:ascii="Arial Narrow" w:hAnsi="Arial Narrow" w:cs="Gill Sans MT"/>
          <w:sz w:val="20"/>
          <w:szCs w:val="20"/>
          <w:lang w:eastAsia="es-ES"/>
        </w:rPr>
        <w:t xml:space="preserve">El artículo 2.2.1.1.1.6.1 del Decreto 1082 de 2015 señala el deber de la entidad estatal de hacer el análisis necesario para conocer el sector relativo al objeto del proceso de Contratación desde la perspectiva legal, comercial, financiera, organizacional, técnica, y de análisis de Riesgo.  El punto de partida del análisis es el objeto del contrato y en consecuencia, de este depende el alcance del análisis.  </w:t>
      </w:r>
      <w:r w:rsidRPr="00D1297D">
        <w:rPr>
          <w:rFonts w:ascii="Arial Narrow" w:hAnsi="Arial Narrow" w:cs="Gill Sans MT"/>
          <w:bCs/>
          <w:sz w:val="20"/>
          <w:szCs w:val="20"/>
          <w:lang w:eastAsia="es-ES"/>
        </w:rPr>
        <w:t>Para el efecto, se realizará con base a las directrices establecidas en la Guía para la Elaboración de Estudios de Sector G-EES-02 de Colombia Compra Eficiente</w:t>
      </w:r>
      <w:r w:rsidRPr="00D1297D">
        <w:rPr>
          <w:rFonts w:ascii="Arial Narrow" w:hAnsi="Arial Narrow" w:cs="Gill Sans MT"/>
          <w:sz w:val="20"/>
          <w:szCs w:val="20"/>
          <w:lang w:eastAsia="es-ES"/>
        </w:rPr>
        <w:t>.</w:t>
      </w:r>
    </w:p>
    <w:p w:rsidR="00D1297D" w:rsidRPr="00D1297D" w:rsidRDefault="00D1297D" w:rsidP="00D1297D">
      <w:pPr>
        <w:autoSpaceDE w:val="0"/>
        <w:autoSpaceDN w:val="0"/>
        <w:adjustRightInd w:val="0"/>
        <w:spacing w:after="0" w:line="240" w:lineRule="auto"/>
        <w:jc w:val="both"/>
        <w:rPr>
          <w:rFonts w:ascii="Arial Narrow" w:hAnsi="Arial Narrow" w:cs="Gill Sans MT"/>
          <w:sz w:val="20"/>
          <w:szCs w:val="20"/>
          <w:lang w:eastAsia="es-ES"/>
        </w:rPr>
      </w:pPr>
    </w:p>
    <w:p w:rsidR="00D1297D" w:rsidRPr="00D1297D" w:rsidRDefault="00D1297D" w:rsidP="00D1297D">
      <w:pPr>
        <w:numPr>
          <w:ilvl w:val="0"/>
          <w:numId w:val="2"/>
        </w:numPr>
        <w:autoSpaceDE w:val="0"/>
        <w:autoSpaceDN w:val="0"/>
        <w:adjustRightInd w:val="0"/>
        <w:spacing w:after="0" w:line="240" w:lineRule="auto"/>
        <w:jc w:val="both"/>
        <w:rPr>
          <w:rFonts w:ascii="Arial Narrow" w:hAnsi="Arial Narrow" w:cs="Gill Sans MT"/>
          <w:sz w:val="20"/>
          <w:szCs w:val="20"/>
          <w:lang w:eastAsia="es-ES"/>
        </w:rPr>
      </w:pPr>
      <w:r w:rsidRPr="00D1297D">
        <w:rPr>
          <w:rFonts w:ascii="Arial Narrow" w:hAnsi="Arial Narrow" w:cs="Gill Sans MT"/>
          <w:b/>
          <w:sz w:val="20"/>
          <w:szCs w:val="20"/>
          <w:lang w:eastAsia="es-ES"/>
        </w:rPr>
        <w:t xml:space="preserve">ASPECTOS GENERALES: </w:t>
      </w:r>
      <w:r w:rsidRPr="00D1297D">
        <w:rPr>
          <w:rFonts w:ascii="Arial Narrow" w:hAnsi="Arial Narrow" w:cs="Gill Sans MT"/>
          <w:sz w:val="20"/>
          <w:szCs w:val="20"/>
          <w:lang w:eastAsia="es-ES"/>
        </w:rPr>
        <w:t>Sectores económicos del país:</w:t>
      </w:r>
    </w:p>
    <w:p w:rsidR="00D1297D" w:rsidRPr="00D1297D" w:rsidRDefault="00D1297D" w:rsidP="00D1297D">
      <w:pPr>
        <w:autoSpaceDE w:val="0"/>
        <w:autoSpaceDN w:val="0"/>
        <w:adjustRightInd w:val="0"/>
        <w:spacing w:after="0" w:line="240" w:lineRule="auto"/>
        <w:ind w:left="1080"/>
        <w:jc w:val="both"/>
        <w:rPr>
          <w:rFonts w:ascii="Arial Narrow" w:hAnsi="Arial Narrow" w:cs="Gill Sans MT"/>
          <w:sz w:val="20"/>
          <w:szCs w:val="20"/>
          <w:lang w:eastAsia="es-ES"/>
        </w:rPr>
      </w:pPr>
    </w:p>
    <w:p w:rsidR="00D1297D" w:rsidRPr="00D1297D" w:rsidRDefault="00D1297D" w:rsidP="00D1297D">
      <w:pPr>
        <w:autoSpaceDE w:val="0"/>
        <w:autoSpaceDN w:val="0"/>
        <w:adjustRightInd w:val="0"/>
        <w:spacing w:after="0" w:line="240" w:lineRule="auto"/>
        <w:jc w:val="both"/>
        <w:rPr>
          <w:rFonts w:ascii="Arial Narrow" w:hAnsi="Arial Narrow" w:cs="Gill Sans MT"/>
          <w:sz w:val="20"/>
          <w:szCs w:val="20"/>
          <w:lang w:eastAsia="es-ES"/>
        </w:rPr>
      </w:pPr>
    </w:p>
    <w:tbl>
      <w:tblPr>
        <w:tblW w:w="0" w:type="auto"/>
        <w:jc w:val="center"/>
        <w:tblCellMar>
          <w:left w:w="70" w:type="dxa"/>
          <w:right w:w="70" w:type="dxa"/>
        </w:tblCellMar>
        <w:tblLook w:val="04A0" w:firstRow="1" w:lastRow="0" w:firstColumn="1" w:lastColumn="0" w:noHBand="0" w:noVBand="1"/>
      </w:tblPr>
      <w:tblGrid>
        <w:gridCol w:w="1308"/>
        <w:gridCol w:w="2203"/>
        <w:gridCol w:w="2715"/>
        <w:gridCol w:w="2592"/>
      </w:tblGrid>
      <w:tr w:rsidR="00D1297D" w:rsidRPr="00D1297D" w:rsidTr="002018C4">
        <w:trPr>
          <w:trHeight w:val="423"/>
          <w:jc w:val="center"/>
        </w:trPr>
        <w:tc>
          <w:tcPr>
            <w:tcW w:w="1315" w:type="dxa"/>
            <w:tcBorders>
              <w:top w:val="single" w:sz="8" w:space="0" w:color="auto"/>
              <w:left w:val="single" w:sz="8" w:space="0" w:color="auto"/>
              <w:bottom w:val="single" w:sz="8" w:space="0" w:color="auto"/>
              <w:right w:val="single" w:sz="8" w:space="0" w:color="auto"/>
            </w:tcBorders>
            <w:shd w:val="clear" w:color="auto" w:fill="D5DCE4"/>
            <w:vAlign w:val="bottom"/>
            <w:hideMark/>
          </w:tcPr>
          <w:p w:rsidR="00D1297D" w:rsidRPr="00D1297D" w:rsidRDefault="00D1297D" w:rsidP="002018C4">
            <w:pPr>
              <w:spacing w:line="240" w:lineRule="auto"/>
              <w:jc w:val="center"/>
              <w:rPr>
                <w:rFonts w:ascii="Arial Narrow" w:hAnsi="Arial Narrow"/>
                <w:b/>
                <w:bCs/>
                <w:sz w:val="20"/>
                <w:szCs w:val="20"/>
              </w:rPr>
            </w:pPr>
            <w:r w:rsidRPr="00D1297D">
              <w:rPr>
                <w:rFonts w:ascii="Arial Narrow" w:hAnsi="Arial Narrow"/>
                <w:b/>
                <w:bCs/>
                <w:sz w:val="20"/>
                <w:szCs w:val="20"/>
              </w:rPr>
              <w:t>SECTORES ECONOMICOS</w:t>
            </w:r>
          </w:p>
        </w:tc>
        <w:tc>
          <w:tcPr>
            <w:tcW w:w="2362" w:type="dxa"/>
            <w:tcBorders>
              <w:top w:val="single" w:sz="8" w:space="0" w:color="auto"/>
              <w:left w:val="nil"/>
              <w:bottom w:val="single" w:sz="8" w:space="0" w:color="auto"/>
              <w:right w:val="single" w:sz="4" w:space="0" w:color="auto"/>
            </w:tcBorders>
            <w:shd w:val="clear" w:color="auto" w:fill="D5DCE4"/>
            <w:vAlign w:val="bottom"/>
            <w:hideMark/>
          </w:tcPr>
          <w:p w:rsidR="00D1297D" w:rsidRPr="00D1297D" w:rsidRDefault="00D1297D" w:rsidP="002018C4">
            <w:pPr>
              <w:spacing w:line="240" w:lineRule="auto"/>
              <w:jc w:val="center"/>
              <w:rPr>
                <w:rFonts w:ascii="Arial Narrow" w:hAnsi="Arial Narrow"/>
                <w:b/>
                <w:bCs/>
                <w:sz w:val="20"/>
                <w:szCs w:val="20"/>
              </w:rPr>
            </w:pPr>
            <w:r w:rsidRPr="00D1297D">
              <w:rPr>
                <w:rFonts w:ascii="Arial Narrow" w:hAnsi="Arial Narrow"/>
                <w:b/>
                <w:bCs/>
                <w:sz w:val="20"/>
                <w:szCs w:val="20"/>
              </w:rPr>
              <w:t>SECTOR PRIMARIO O AGROPECUARIO</w:t>
            </w:r>
          </w:p>
        </w:tc>
        <w:tc>
          <w:tcPr>
            <w:tcW w:w="2987" w:type="dxa"/>
            <w:tcBorders>
              <w:top w:val="single" w:sz="8" w:space="0" w:color="auto"/>
              <w:left w:val="single" w:sz="8" w:space="0" w:color="auto"/>
              <w:bottom w:val="single" w:sz="8" w:space="0" w:color="auto"/>
              <w:right w:val="single" w:sz="4" w:space="0" w:color="auto"/>
            </w:tcBorders>
            <w:shd w:val="clear" w:color="auto" w:fill="D5DCE4"/>
            <w:vAlign w:val="bottom"/>
            <w:hideMark/>
          </w:tcPr>
          <w:p w:rsidR="00D1297D" w:rsidRPr="00D1297D" w:rsidRDefault="00D1297D" w:rsidP="002018C4">
            <w:pPr>
              <w:spacing w:line="240" w:lineRule="auto"/>
              <w:jc w:val="center"/>
              <w:rPr>
                <w:rFonts w:ascii="Arial Narrow" w:hAnsi="Arial Narrow"/>
                <w:b/>
                <w:bCs/>
                <w:sz w:val="20"/>
                <w:szCs w:val="20"/>
              </w:rPr>
            </w:pPr>
            <w:r w:rsidRPr="00D1297D">
              <w:rPr>
                <w:rFonts w:ascii="Arial Narrow" w:hAnsi="Arial Narrow"/>
                <w:b/>
                <w:bCs/>
                <w:sz w:val="20"/>
                <w:szCs w:val="20"/>
              </w:rPr>
              <w:t>SECTOR SECUNDARIO O INDUSTRIAL</w:t>
            </w:r>
          </w:p>
        </w:tc>
        <w:tc>
          <w:tcPr>
            <w:tcW w:w="2870" w:type="dxa"/>
            <w:tcBorders>
              <w:top w:val="single" w:sz="8" w:space="0" w:color="auto"/>
              <w:left w:val="single" w:sz="8" w:space="0" w:color="auto"/>
              <w:bottom w:val="single" w:sz="8" w:space="0" w:color="auto"/>
              <w:right w:val="single" w:sz="8" w:space="0" w:color="auto"/>
            </w:tcBorders>
            <w:shd w:val="clear" w:color="auto" w:fill="D5DCE4"/>
            <w:vAlign w:val="bottom"/>
            <w:hideMark/>
          </w:tcPr>
          <w:p w:rsidR="00D1297D" w:rsidRPr="00D1297D" w:rsidRDefault="00D1297D" w:rsidP="002018C4">
            <w:pPr>
              <w:spacing w:line="240" w:lineRule="auto"/>
              <w:jc w:val="center"/>
              <w:rPr>
                <w:rFonts w:ascii="Arial Narrow" w:hAnsi="Arial Narrow"/>
                <w:b/>
                <w:bCs/>
                <w:sz w:val="20"/>
                <w:szCs w:val="20"/>
              </w:rPr>
            </w:pPr>
            <w:r w:rsidRPr="00D1297D">
              <w:rPr>
                <w:rFonts w:ascii="Arial Narrow" w:hAnsi="Arial Narrow"/>
                <w:b/>
                <w:bCs/>
                <w:sz w:val="20"/>
                <w:szCs w:val="20"/>
              </w:rPr>
              <w:t>SECTOR TERCIARIO O DE SERVICIOS</w:t>
            </w:r>
          </w:p>
        </w:tc>
      </w:tr>
      <w:tr w:rsidR="00D1297D" w:rsidRPr="00D1297D" w:rsidTr="002018C4">
        <w:trPr>
          <w:trHeight w:val="384"/>
          <w:jc w:val="center"/>
        </w:trPr>
        <w:tc>
          <w:tcPr>
            <w:tcW w:w="1315" w:type="dxa"/>
            <w:vMerge w:val="restart"/>
            <w:tcBorders>
              <w:top w:val="nil"/>
              <w:left w:val="single" w:sz="8" w:space="0" w:color="auto"/>
              <w:bottom w:val="single" w:sz="8" w:space="0" w:color="000000"/>
              <w:right w:val="nil"/>
            </w:tcBorders>
            <w:shd w:val="clear" w:color="auto" w:fill="D5DCE4"/>
            <w:vAlign w:val="center"/>
            <w:hideMark/>
          </w:tcPr>
          <w:p w:rsidR="00D1297D" w:rsidRPr="00D1297D" w:rsidRDefault="00D1297D" w:rsidP="002018C4">
            <w:pPr>
              <w:spacing w:after="0" w:line="240" w:lineRule="auto"/>
              <w:jc w:val="center"/>
              <w:rPr>
                <w:rFonts w:ascii="Arial Narrow" w:hAnsi="Arial Narrow"/>
                <w:b/>
                <w:bCs/>
                <w:sz w:val="20"/>
                <w:szCs w:val="20"/>
              </w:rPr>
            </w:pPr>
            <w:r w:rsidRPr="00D1297D">
              <w:rPr>
                <w:rFonts w:ascii="Arial Narrow" w:hAnsi="Arial Narrow"/>
                <w:b/>
                <w:bCs/>
                <w:sz w:val="20"/>
                <w:szCs w:val="20"/>
              </w:rPr>
              <w:t>CONCEPTO</w:t>
            </w:r>
          </w:p>
        </w:tc>
        <w:tc>
          <w:tcPr>
            <w:tcW w:w="2362" w:type="dxa"/>
            <w:vMerge w:val="restart"/>
            <w:tcBorders>
              <w:top w:val="nil"/>
              <w:left w:val="single" w:sz="8" w:space="0" w:color="auto"/>
              <w:bottom w:val="single" w:sz="8" w:space="0" w:color="000000"/>
              <w:right w:val="single" w:sz="8" w:space="0" w:color="auto"/>
            </w:tcBorders>
            <w:vAlign w:val="center"/>
            <w:hideMark/>
          </w:tcPr>
          <w:p w:rsidR="00D1297D" w:rsidRPr="00D1297D" w:rsidRDefault="00D1297D" w:rsidP="002018C4">
            <w:pPr>
              <w:spacing w:after="0" w:line="240" w:lineRule="auto"/>
              <w:jc w:val="both"/>
              <w:rPr>
                <w:rFonts w:ascii="Arial Narrow" w:hAnsi="Arial Narrow"/>
                <w:sz w:val="20"/>
                <w:szCs w:val="20"/>
              </w:rPr>
            </w:pPr>
            <w:r w:rsidRPr="00D1297D">
              <w:rPr>
                <w:rFonts w:ascii="Arial Narrow" w:hAnsi="Arial Narrow"/>
                <w:sz w:val="20"/>
                <w:szCs w:val="20"/>
              </w:rPr>
              <w:t xml:space="preserve">En este sector es donde se obtiene el producto de sus actividades directamente de la naturaleza, sin ningún proceso de transformación. Este comprende la agricultura, la ganadería, la caza, la pesca y la silvicultura, son productores de bienes tangibles. </w:t>
            </w:r>
          </w:p>
        </w:tc>
        <w:tc>
          <w:tcPr>
            <w:tcW w:w="2987" w:type="dxa"/>
            <w:vMerge w:val="restart"/>
            <w:tcBorders>
              <w:top w:val="nil"/>
              <w:left w:val="nil"/>
              <w:bottom w:val="single" w:sz="8" w:space="0" w:color="000000"/>
              <w:right w:val="nil"/>
            </w:tcBorders>
            <w:vAlign w:val="center"/>
            <w:hideMark/>
          </w:tcPr>
          <w:p w:rsidR="00D1297D" w:rsidRPr="00D1297D" w:rsidRDefault="00D1297D" w:rsidP="002018C4">
            <w:pPr>
              <w:spacing w:after="0" w:line="240" w:lineRule="auto"/>
              <w:jc w:val="both"/>
              <w:rPr>
                <w:rFonts w:ascii="Arial Narrow" w:hAnsi="Arial Narrow"/>
                <w:sz w:val="20"/>
                <w:szCs w:val="20"/>
              </w:rPr>
            </w:pPr>
            <w:r w:rsidRPr="00D1297D">
              <w:rPr>
                <w:rFonts w:ascii="Arial Narrow" w:hAnsi="Arial Narrow"/>
                <w:sz w:val="20"/>
                <w:szCs w:val="20"/>
              </w:rPr>
              <w:t>Este está compuesto por los sectores industrial, minero, energético y de construcción. Incluye todas las actividades de transformación de materias primas en productos manufacturados, ya sea para el consumo final o para ser utilizados en la producción de otros bienes. Industrial Extractivo: Extracción de petróleo y minera. Industrial de Transformación: Embotellado de refrescos, envasado de legumbres y frutas, fabricación de abonos y fertilizantes, vehículos, cementos y aparatos electrodomésticos, entre otros. Son productores de bienes tangibles.</w:t>
            </w:r>
          </w:p>
        </w:tc>
        <w:tc>
          <w:tcPr>
            <w:tcW w:w="2870" w:type="dxa"/>
            <w:vMerge w:val="restart"/>
            <w:tcBorders>
              <w:top w:val="nil"/>
              <w:left w:val="single" w:sz="8" w:space="0" w:color="auto"/>
              <w:bottom w:val="single" w:sz="8" w:space="0" w:color="000000"/>
              <w:right w:val="single" w:sz="8" w:space="0" w:color="auto"/>
            </w:tcBorders>
            <w:vAlign w:val="center"/>
            <w:hideMark/>
          </w:tcPr>
          <w:p w:rsidR="00D1297D" w:rsidRPr="00D1297D" w:rsidRDefault="00D1297D" w:rsidP="002018C4">
            <w:pPr>
              <w:spacing w:after="0" w:line="240" w:lineRule="auto"/>
              <w:jc w:val="both"/>
              <w:rPr>
                <w:rFonts w:ascii="Arial Narrow" w:hAnsi="Arial Narrow"/>
                <w:sz w:val="20"/>
                <w:szCs w:val="20"/>
              </w:rPr>
            </w:pPr>
            <w:r w:rsidRPr="00D1297D">
              <w:rPr>
                <w:rFonts w:ascii="Arial Narrow" w:hAnsi="Arial Narrow"/>
                <w:sz w:val="20"/>
                <w:szCs w:val="20"/>
              </w:rPr>
              <w:t>Comprende todas las actividades que no producen una mercancía en sí pero que son necesarias para el desarrollo de la economía como: transportes, servicios financieros, educación, hostelería o espectáculos, las comunicaciones, los servicios profesionales, el Gobierno entre otras. Este sector abarca una gran variedad de actividades. En general, todas aquellas que no quedan encuadradas dentro de los otros sectores. No produce bienes tangibles.</w:t>
            </w:r>
          </w:p>
        </w:tc>
      </w:tr>
      <w:tr w:rsidR="00D1297D" w:rsidRPr="00D1297D" w:rsidTr="002018C4">
        <w:trPr>
          <w:trHeight w:val="450"/>
          <w:jc w:val="center"/>
        </w:trPr>
        <w:tc>
          <w:tcPr>
            <w:tcW w:w="1315" w:type="dxa"/>
            <w:vMerge/>
            <w:tcBorders>
              <w:top w:val="nil"/>
              <w:left w:val="single" w:sz="8" w:space="0" w:color="auto"/>
              <w:bottom w:val="single" w:sz="8" w:space="0" w:color="000000"/>
              <w:right w:val="nil"/>
            </w:tcBorders>
            <w:vAlign w:val="center"/>
            <w:hideMark/>
          </w:tcPr>
          <w:p w:rsidR="00D1297D" w:rsidRPr="00D1297D" w:rsidRDefault="00D1297D" w:rsidP="002018C4">
            <w:pPr>
              <w:spacing w:after="0" w:line="240" w:lineRule="auto"/>
              <w:rPr>
                <w:rFonts w:ascii="Arial Narrow" w:hAnsi="Arial Narrow"/>
                <w:b/>
                <w:bCs/>
                <w:sz w:val="20"/>
                <w:szCs w:val="20"/>
              </w:rPr>
            </w:pPr>
          </w:p>
        </w:tc>
        <w:tc>
          <w:tcPr>
            <w:tcW w:w="2362" w:type="dxa"/>
            <w:vMerge/>
            <w:tcBorders>
              <w:top w:val="nil"/>
              <w:left w:val="single" w:sz="8" w:space="0" w:color="auto"/>
              <w:bottom w:val="single" w:sz="8" w:space="0" w:color="000000"/>
              <w:right w:val="single" w:sz="8" w:space="0" w:color="auto"/>
            </w:tcBorders>
            <w:vAlign w:val="center"/>
            <w:hideMark/>
          </w:tcPr>
          <w:p w:rsidR="00D1297D" w:rsidRPr="00D1297D" w:rsidRDefault="00D1297D" w:rsidP="002018C4">
            <w:pPr>
              <w:spacing w:after="0" w:line="240" w:lineRule="auto"/>
              <w:rPr>
                <w:rFonts w:ascii="Arial Narrow" w:hAnsi="Arial Narrow"/>
                <w:sz w:val="20"/>
                <w:szCs w:val="20"/>
              </w:rPr>
            </w:pPr>
          </w:p>
        </w:tc>
        <w:tc>
          <w:tcPr>
            <w:tcW w:w="2987" w:type="dxa"/>
            <w:vMerge/>
            <w:tcBorders>
              <w:top w:val="nil"/>
              <w:left w:val="nil"/>
              <w:bottom w:val="single" w:sz="8" w:space="0" w:color="000000"/>
              <w:right w:val="nil"/>
            </w:tcBorders>
            <w:vAlign w:val="center"/>
            <w:hideMark/>
          </w:tcPr>
          <w:p w:rsidR="00D1297D" w:rsidRPr="00D1297D" w:rsidRDefault="00D1297D" w:rsidP="002018C4">
            <w:pPr>
              <w:spacing w:after="0" w:line="240" w:lineRule="auto"/>
              <w:rPr>
                <w:rFonts w:ascii="Arial Narrow" w:hAnsi="Arial Narrow"/>
                <w:sz w:val="20"/>
                <w:szCs w:val="20"/>
              </w:rPr>
            </w:pPr>
          </w:p>
        </w:tc>
        <w:tc>
          <w:tcPr>
            <w:tcW w:w="2870" w:type="dxa"/>
            <w:vMerge/>
            <w:tcBorders>
              <w:top w:val="nil"/>
              <w:left w:val="single" w:sz="8" w:space="0" w:color="auto"/>
              <w:bottom w:val="single" w:sz="8" w:space="0" w:color="000000"/>
              <w:right w:val="single" w:sz="8" w:space="0" w:color="auto"/>
            </w:tcBorders>
            <w:vAlign w:val="center"/>
            <w:hideMark/>
          </w:tcPr>
          <w:p w:rsidR="00D1297D" w:rsidRPr="00D1297D" w:rsidRDefault="00D1297D" w:rsidP="002018C4">
            <w:pPr>
              <w:spacing w:after="0" w:line="240" w:lineRule="auto"/>
              <w:rPr>
                <w:rFonts w:ascii="Arial Narrow" w:hAnsi="Arial Narrow"/>
                <w:sz w:val="20"/>
                <w:szCs w:val="20"/>
              </w:rPr>
            </w:pPr>
          </w:p>
        </w:tc>
      </w:tr>
      <w:tr w:rsidR="00D1297D" w:rsidRPr="00D1297D" w:rsidTr="002018C4">
        <w:trPr>
          <w:trHeight w:val="450"/>
          <w:jc w:val="center"/>
        </w:trPr>
        <w:tc>
          <w:tcPr>
            <w:tcW w:w="1315" w:type="dxa"/>
            <w:vMerge/>
            <w:tcBorders>
              <w:top w:val="nil"/>
              <w:left w:val="single" w:sz="8" w:space="0" w:color="auto"/>
              <w:bottom w:val="single" w:sz="8" w:space="0" w:color="000000"/>
              <w:right w:val="nil"/>
            </w:tcBorders>
            <w:vAlign w:val="center"/>
            <w:hideMark/>
          </w:tcPr>
          <w:p w:rsidR="00D1297D" w:rsidRPr="00D1297D" w:rsidRDefault="00D1297D" w:rsidP="002018C4">
            <w:pPr>
              <w:spacing w:after="0" w:line="240" w:lineRule="auto"/>
              <w:rPr>
                <w:rFonts w:ascii="Arial Narrow" w:hAnsi="Arial Narrow"/>
                <w:b/>
                <w:bCs/>
                <w:sz w:val="20"/>
                <w:szCs w:val="20"/>
              </w:rPr>
            </w:pPr>
          </w:p>
        </w:tc>
        <w:tc>
          <w:tcPr>
            <w:tcW w:w="2362" w:type="dxa"/>
            <w:vMerge/>
            <w:tcBorders>
              <w:top w:val="nil"/>
              <w:left w:val="single" w:sz="8" w:space="0" w:color="auto"/>
              <w:bottom w:val="single" w:sz="8" w:space="0" w:color="000000"/>
              <w:right w:val="single" w:sz="8" w:space="0" w:color="auto"/>
            </w:tcBorders>
            <w:vAlign w:val="center"/>
            <w:hideMark/>
          </w:tcPr>
          <w:p w:rsidR="00D1297D" w:rsidRPr="00D1297D" w:rsidRDefault="00D1297D" w:rsidP="002018C4">
            <w:pPr>
              <w:spacing w:after="0" w:line="240" w:lineRule="auto"/>
              <w:rPr>
                <w:rFonts w:ascii="Arial Narrow" w:hAnsi="Arial Narrow"/>
                <w:sz w:val="20"/>
                <w:szCs w:val="20"/>
              </w:rPr>
            </w:pPr>
          </w:p>
        </w:tc>
        <w:tc>
          <w:tcPr>
            <w:tcW w:w="2987" w:type="dxa"/>
            <w:vMerge/>
            <w:tcBorders>
              <w:top w:val="nil"/>
              <w:left w:val="nil"/>
              <w:bottom w:val="single" w:sz="8" w:space="0" w:color="000000"/>
              <w:right w:val="nil"/>
            </w:tcBorders>
            <w:vAlign w:val="center"/>
            <w:hideMark/>
          </w:tcPr>
          <w:p w:rsidR="00D1297D" w:rsidRPr="00D1297D" w:rsidRDefault="00D1297D" w:rsidP="002018C4">
            <w:pPr>
              <w:spacing w:after="0" w:line="240" w:lineRule="auto"/>
              <w:rPr>
                <w:rFonts w:ascii="Arial Narrow" w:hAnsi="Arial Narrow"/>
                <w:sz w:val="20"/>
                <w:szCs w:val="20"/>
              </w:rPr>
            </w:pPr>
          </w:p>
        </w:tc>
        <w:tc>
          <w:tcPr>
            <w:tcW w:w="2870" w:type="dxa"/>
            <w:vMerge/>
            <w:tcBorders>
              <w:top w:val="nil"/>
              <w:left w:val="single" w:sz="8" w:space="0" w:color="auto"/>
              <w:bottom w:val="single" w:sz="8" w:space="0" w:color="000000"/>
              <w:right w:val="single" w:sz="8" w:space="0" w:color="auto"/>
            </w:tcBorders>
            <w:vAlign w:val="center"/>
            <w:hideMark/>
          </w:tcPr>
          <w:p w:rsidR="00D1297D" w:rsidRPr="00D1297D" w:rsidRDefault="00D1297D" w:rsidP="002018C4">
            <w:pPr>
              <w:spacing w:after="0" w:line="240" w:lineRule="auto"/>
              <w:rPr>
                <w:rFonts w:ascii="Arial Narrow" w:hAnsi="Arial Narrow"/>
                <w:sz w:val="20"/>
                <w:szCs w:val="20"/>
              </w:rPr>
            </w:pPr>
          </w:p>
        </w:tc>
      </w:tr>
      <w:tr w:rsidR="00D1297D" w:rsidRPr="00D1297D" w:rsidTr="002018C4">
        <w:trPr>
          <w:trHeight w:val="450"/>
          <w:jc w:val="center"/>
        </w:trPr>
        <w:tc>
          <w:tcPr>
            <w:tcW w:w="1315" w:type="dxa"/>
            <w:vMerge/>
            <w:tcBorders>
              <w:top w:val="nil"/>
              <w:left w:val="single" w:sz="8" w:space="0" w:color="auto"/>
              <w:bottom w:val="single" w:sz="8" w:space="0" w:color="000000"/>
              <w:right w:val="nil"/>
            </w:tcBorders>
            <w:vAlign w:val="center"/>
            <w:hideMark/>
          </w:tcPr>
          <w:p w:rsidR="00D1297D" w:rsidRPr="00D1297D" w:rsidRDefault="00D1297D" w:rsidP="002018C4">
            <w:pPr>
              <w:spacing w:after="0" w:line="240" w:lineRule="auto"/>
              <w:rPr>
                <w:rFonts w:ascii="Arial Narrow" w:hAnsi="Arial Narrow"/>
                <w:b/>
                <w:bCs/>
                <w:sz w:val="20"/>
                <w:szCs w:val="20"/>
              </w:rPr>
            </w:pPr>
          </w:p>
        </w:tc>
        <w:tc>
          <w:tcPr>
            <w:tcW w:w="2362" w:type="dxa"/>
            <w:vMerge/>
            <w:tcBorders>
              <w:top w:val="nil"/>
              <w:left w:val="single" w:sz="8" w:space="0" w:color="auto"/>
              <w:bottom w:val="single" w:sz="8" w:space="0" w:color="000000"/>
              <w:right w:val="single" w:sz="8" w:space="0" w:color="auto"/>
            </w:tcBorders>
            <w:vAlign w:val="center"/>
            <w:hideMark/>
          </w:tcPr>
          <w:p w:rsidR="00D1297D" w:rsidRPr="00D1297D" w:rsidRDefault="00D1297D" w:rsidP="002018C4">
            <w:pPr>
              <w:spacing w:after="0" w:line="240" w:lineRule="auto"/>
              <w:rPr>
                <w:rFonts w:ascii="Arial Narrow" w:hAnsi="Arial Narrow"/>
                <w:sz w:val="20"/>
                <w:szCs w:val="20"/>
              </w:rPr>
            </w:pPr>
          </w:p>
        </w:tc>
        <w:tc>
          <w:tcPr>
            <w:tcW w:w="2987" w:type="dxa"/>
            <w:vMerge/>
            <w:tcBorders>
              <w:top w:val="nil"/>
              <w:left w:val="nil"/>
              <w:bottom w:val="single" w:sz="8" w:space="0" w:color="000000"/>
              <w:right w:val="nil"/>
            </w:tcBorders>
            <w:vAlign w:val="center"/>
            <w:hideMark/>
          </w:tcPr>
          <w:p w:rsidR="00D1297D" w:rsidRPr="00D1297D" w:rsidRDefault="00D1297D" w:rsidP="002018C4">
            <w:pPr>
              <w:spacing w:after="0" w:line="240" w:lineRule="auto"/>
              <w:rPr>
                <w:rFonts w:ascii="Arial Narrow" w:hAnsi="Arial Narrow"/>
                <w:sz w:val="20"/>
                <w:szCs w:val="20"/>
              </w:rPr>
            </w:pPr>
          </w:p>
        </w:tc>
        <w:tc>
          <w:tcPr>
            <w:tcW w:w="2870" w:type="dxa"/>
            <w:vMerge/>
            <w:tcBorders>
              <w:top w:val="nil"/>
              <w:left w:val="single" w:sz="8" w:space="0" w:color="auto"/>
              <w:bottom w:val="single" w:sz="8" w:space="0" w:color="000000"/>
              <w:right w:val="single" w:sz="8" w:space="0" w:color="auto"/>
            </w:tcBorders>
            <w:vAlign w:val="center"/>
            <w:hideMark/>
          </w:tcPr>
          <w:p w:rsidR="00D1297D" w:rsidRPr="00D1297D" w:rsidRDefault="00D1297D" w:rsidP="002018C4">
            <w:pPr>
              <w:spacing w:after="0" w:line="240" w:lineRule="auto"/>
              <w:rPr>
                <w:rFonts w:ascii="Arial Narrow" w:hAnsi="Arial Narrow"/>
                <w:sz w:val="20"/>
                <w:szCs w:val="20"/>
              </w:rPr>
            </w:pPr>
          </w:p>
        </w:tc>
      </w:tr>
      <w:tr w:rsidR="00D1297D" w:rsidRPr="00D1297D" w:rsidTr="002018C4">
        <w:trPr>
          <w:trHeight w:val="46"/>
          <w:jc w:val="center"/>
        </w:trPr>
        <w:tc>
          <w:tcPr>
            <w:tcW w:w="1315" w:type="dxa"/>
            <w:tcBorders>
              <w:top w:val="nil"/>
              <w:left w:val="single" w:sz="8" w:space="0" w:color="auto"/>
              <w:bottom w:val="single" w:sz="8" w:space="0" w:color="auto"/>
              <w:right w:val="single" w:sz="8" w:space="0" w:color="auto"/>
            </w:tcBorders>
            <w:shd w:val="clear" w:color="auto" w:fill="D5DCE4"/>
            <w:vAlign w:val="center"/>
            <w:hideMark/>
          </w:tcPr>
          <w:p w:rsidR="00D1297D" w:rsidRPr="00D1297D" w:rsidRDefault="00D1297D" w:rsidP="002018C4">
            <w:pPr>
              <w:spacing w:after="0" w:line="240" w:lineRule="auto"/>
              <w:jc w:val="center"/>
              <w:rPr>
                <w:rFonts w:ascii="Arial Narrow" w:hAnsi="Arial Narrow"/>
                <w:b/>
                <w:bCs/>
                <w:sz w:val="20"/>
                <w:szCs w:val="20"/>
              </w:rPr>
            </w:pPr>
            <w:r w:rsidRPr="00D1297D">
              <w:rPr>
                <w:rFonts w:ascii="Arial Narrow" w:hAnsi="Arial Narrow"/>
                <w:b/>
                <w:bCs/>
                <w:sz w:val="20"/>
                <w:szCs w:val="20"/>
              </w:rPr>
              <w:t>ACTIVIDADES DEL SECTOR</w:t>
            </w:r>
          </w:p>
        </w:tc>
        <w:tc>
          <w:tcPr>
            <w:tcW w:w="2362" w:type="dxa"/>
            <w:tcBorders>
              <w:top w:val="nil"/>
              <w:left w:val="nil"/>
              <w:bottom w:val="single" w:sz="8" w:space="0" w:color="auto"/>
              <w:right w:val="single" w:sz="8" w:space="0" w:color="auto"/>
            </w:tcBorders>
            <w:vAlign w:val="center"/>
            <w:hideMark/>
          </w:tcPr>
          <w:p w:rsidR="00D1297D" w:rsidRPr="00D1297D" w:rsidRDefault="00D1297D" w:rsidP="002018C4">
            <w:pPr>
              <w:spacing w:after="0" w:line="240" w:lineRule="auto"/>
              <w:jc w:val="center"/>
              <w:rPr>
                <w:rFonts w:ascii="Arial Narrow" w:hAnsi="Arial Narrow"/>
                <w:sz w:val="20"/>
                <w:szCs w:val="20"/>
              </w:rPr>
            </w:pPr>
            <w:r w:rsidRPr="00D1297D">
              <w:rPr>
                <w:rFonts w:ascii="Arial Narrow" w:hAnsi="Arial Narrow"/>
                <w:sz w:val="20"/>
                <w:szCs w:val="20"/>
              </w:rPr>
              <w:t>Agropecuario, caza y pesca</w:t>
            </w:r>
          </w:p>
        </w:tc>
        <w:tc>
          <w:tcPr>
            <w:tcW w:w="2987" w:type="dxa"/>
            <w:tcBorders>
              <w:top w:val="nil"/>
              <w:left w:val="nil"/>
              <w:bottom w:val="single" w:sz="8" w:space="0" w:color="auto"/>
              <w:right w:val="single" w:sz="8" w:space="0" w:color="auto"/>
            </w:tcBorders>
            <w:vAlign w:val="center"/>
            <w:hideMark/>
          </w:tcPr>
          <w:p w:rsidR="00D1297D" w:rsidRPr="00D1297D" w:rsidRDefault="00D1297D" w:rsidP="002018C4">
            <w:pPr>
              <w:spacing w:after="0" w:line="240" w:lineRule="auto"/>
              <w:jc w:val="center"/>
              <w:rPr>
                <w:rFonts w:ascii="Arial Narrow" w:hAnsi="Arial Narrow"/>
                <w:sz w:val="20"/>
                <w:szCs w:val="20"/>
              </w:rPr>
            </w:pPr>
            <w:r w:rsidRPr="00D1297D">
              <w:rPr>
                <w:rFonts w:ascii="Arial Narrow" w:hAnsi="Arial Narrow"/>
                <w:sz w:val="20"/>
                <w:szCs w:val="20"/>
              </w:rPr>
              <w:t>Minería, construcción, industria manufacturera, eléctrico, gas y vapor</w:t>
            </w:r>
          </w:p>
        </w:tc>
        <w:tc>
          <w:tcPr>
            <w:tcW w:w="2870" w:type="dxa"/>
            <w:tcBorders>
              <w:top w:val="nil"/>
              <w:left w:val="nil"/>
              <w:bottom w:val="single" w:sz="8" w:space="0" w:color="auto"/>
              <w:right w:val="single" w:sz="8" w:space="0" w:color="auto"/>
            </w:tcBorders>
            <w:vAlign w:val="center"/>
            <w:hideMark/>
          </w:tcPr>
          <w:p w:rsidR="00D1297D" w:rsidRPr="00D1297D" w:rsidRDefault="00D1297D" w:rsidP="002018C4">
            <w:pPr>
              <w:spacing w:after="0" w:line="240" w:lineRule="auto"/>
              <w:jc w:val="center"/>
              <w:rPr>
                <w:rFonts w:ascii="Arial Narrow" w:hAnsi="Arial Narrow"/>
                <w:sz w:val="20"/>
                <w:szCs w:val="20"/>
              </w:rPr>
            </w:pPr>
            <w:r w:rsidRPr="00D1297D">
              <w:rPr>
                <w:rFonts w:ascii="Arial Narrow" w:hAnsi="Arial Narrow"/>
                <w:sz w:val="20"/>
                <w:szCs w:val="20"/>
              </w:rPr>
              <w:t>Transporte, comunicaciones, comercio, restaurante, hoteles, servicios financieros.</w:t>
            </w:r>
          </w:p>
        </w:tc>
      </w:tr>
    </w:tbl>
    <w:p w:rsidR="00D1297D" w:rsidRPr="00D1297D" w:rsidRDefault="00D1297D" w:rsidP="00D1297D">
      <w:pPr>
        <w:pStyle w:val="Style1"/>
        <w:tabs>
          <w:tab w:val="right" w:pos="9488"/>
        </w:tabs>
        <w:kinsoku w:val="0"/>
        <w:autoSpaceDE/>
        <w:adjustRightInd/>
        <w:jc w:val="both"/>
        <w:rPr>
          <w:rFonts w:ascii="Arial Narrow" w:hAnsi="Arial Narrow" w:cs="Tahoma"/>
          <w:lang w:val="es-CO" w:eastAsia="es-CO"/>
        </w:rPr>
      </w:pPr>
    </w:p>
    <w:p w:rsidR="00D1297D" w:rsidRPr="00D1297D" w:rsidRDefault="00D1297D" w:rsidP="00D1297D">
      <w:pPr>
        <w:pStyle w:val="Style1"/>
        <w:tabs>
          <w:tab w:val="right" w:pos="9488"/>
        </w:tabs>
        <w:kinsoku w:val="0"/>
        <w:autoSpaceDE/>
        <w:adjustRightInd/>
        <w:jc w:val="both"/>
        <w:rPr>
          <w:rFonts w:ascii="Arial Narrow" w:hAnsi="Arial Narrow" w:cs="Tahoma"/>
          <w:lang w:val="es-CO" w:eastAsia="es-CO"/>
        </w:rPr>
      </w:pPr>
    </w:p>
    <w:p w:rsidR="00D1297D" w:rsidRPr="00D1297D" w:rsidRDefault="00D1297D" w:rsidP="00D1297D">
      <w:pPr>
        <w:pStyle w:val="Style1"/>
        <w:tabs>
          <w:tab w:val="right" w:pos="9488"/>
        </w:tabs>
        <w:kinsoku w:val="0"/>
        <w:autoSpaceDE/>
        <w:adjustRightInd/>
        <w:jc w:val="both"/>
        <w:rPr>
          <w:rFonts w:ascii="Arial Narrow" w:hAnsi="Arial Narrow" w:cs="Arial"/>
          <w:lang w:val="es-CO"/>
        </w:rPr>
      </w:pPr>
      <w:r w:rsidRPr="00D1297D">
        <w:rPr>
          <w:rFonts w:ascii="Arial Narrow" w:hAnsi="Arial Narrow" w:cs="Tahoma"/>
          <w:lang w:val="es-CO" w:eastAsia="es-CO"/>
        </w:rPr>
        <w:t>Conforme a lo anterior e</w:t>
      </w:r>
      <w:r w:rsidRPr="00D1297D">
        <w:rPr>
          <w:rFonts w:ascii="Arial Narrow" w:hAnsi="Arial Narrow" w:cs="Arial"/>
          <w:lang w:val="es-CO"/>
        </w:rPr>
        <w:t xml:space="preserve">l objeto del presente proceso es: </w:t>
      </w:r>
      <w:r w:rsidRPr="00D1297D">
        <w:rPr>
          <w:rFonts w:ascii="Arial Narrow" w:hAnsi="Arial Narrow" w:cs="Arial"/>
          <w:lang w:val="es-ES_tradnl"/>
        </w:rPr>
        <w:t>CONCESIÓN LA PRODUCCIÓN, COMERCIALIZACIÓN, DISTRIBUCIÓN Y VENTA DEL AGUARDIENTE DOBLE ANÍS TRADICIONAL Y SIN AZÚCAR DEL DEPARTAMENTO DEL HUILA, EN SU CONDICIÓN DE TITULAR DEL MONOPOLIO DE LICORES DESTILADOS EN EL DEPARTAMENTO</w:t>
      </w:r>
      <w:r w:rsidRPr="00D1297D">
        <w:rPr>
          <w:rFonts w:ascii="Arial Narrow" w:eastAsia="Calibri" w:hAnsi="Arial Narrow" w:cs="Arial"/>
          <w:b/>
          <w:lang w:val="es-CO"/>
        </w:rPr>
        <w:t>,</w:t>
      </w:r>
      <w:r w:rsidRPr="00D1297D">
        <w:rPr>
          <w:rFonts w:ascii="Arial Narrow" w:eastAsia="Arial Unicode MS" w:hAnsi="Arial Narrow" w:cs="Arial"/>
          <w:lang w:val="es-ES"/>
        </w:rPr>
        <w:t xml:space="preserve"> el cual </w:t>
      </w:r>
      <w:r w:rsidRPr="00D1297D">
        <w:rPr>
          <w:rFonts w:ascii="Arial Narrow" w:hAnsi="Arial Narrow" w:cs="Arial"/>
          <w:lang w:val="es-CO"/>
        </w:rPr>
        <w:t>se</w:t>
      </w:r>
      <w:r w:rsidRPr="00D1297D">
        <w:rPr>
          <w:rFonts w:ascii="Arial Narrow" w:hAnsi="Arial Narrow" w:cs="Arial"/>
          <w:b/>
          <w:lang w:val="es-CO"/>
        </w:rPr>
        <w:t xml:space="preserve"> </w:t>
      </w:r>
      <w:r w:rsidRPr="00D1297D">
        <w:rPr>
          <w:rFonts w:ascii="Arial Narrow" w:hAnsi="Arial Narrow" w:cs="Arial"/>
          <w:lang w:val="es-CO"/>
        </w:rPr>
        <w:t>encuentra ubicado en el Sector Económico Industrial.</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 xml:space="preserve">Para satisfacer la necesidad requerida por el DEPARTAMENTO, se adelanta un proceso de contratación de </w:t>
      </w:r>
      <w:r w:rsidRPr="00D1297D">
        <w:rPr>
          <w:rFonts w:ascii="Arial Narrow" w:hAnsi="Arial Narrow" w:cs="Arial"/>
          <w:b/>
          <w:i/>
          <w:sz w:val="20"/>
          <w:szCs w:val="20"/>
        </w:rPr>
        <w:t>Licitación Pública</w:t>
      </w:r>
      <w:r w:rsidRPr="00D1297D">
        <w:rPr>
          <w:rFonts w:ascii="Arial Narrow" w:hAnsi="Arial Narrow" w:cs="Arial"/>
          <w:i/>
          <w:sz w:val="20"/>
          <w:szCs w:val="20"/>
        </w:rPr>
        <w:t xml:space="preserve"> </w:t>
      </w:r>
      <w:r w:rsidRPr="00D1297D">
        <w:rPr>
          <w:rFonts w:ascii="Arial Narrow" w:hAnsi="Arial Narrow" w:cs="Arial"/>
          <w:sz w:val="20"/>
          <w:szCs w:val="20"/>
        </w:rPr>
        <w:t>conforme a lo estipulado en el Decreto 1082 de 2015.</w:t>
      </w:r>
    </w:p>
    <w:p w:rsidR="00D1297D" w:rsidRPr="00D1297D" w:rsidRDefault="00D1297D" w:rsidP="00D1297D">
      <w:pPr>
        <w:spacing w:after="160" w:line="259" w:lineRule="auto"/>
        <w:rPr>
          <w:rFonts w:ascii="Arial Narrow" w:hAnsi="Arial Narrow" w:cs="Arial"/>
          <w:sz w:val="20"/>
          <w:szCs w:val="20"/>
        </w:rPr>
      </w:pPr>
      <w:r w:rsidRPr="00D1297D">
        <w:rPr>
          <w:rFonts w:ascii="Arial Narrow" w:hAnsi="Arial Narrow" w:cs="Arial"/>
          <w:sz w:val="20"/>
          <w:szCs w:val="20"/>
        </w:rPr>
        <w:br w:type="page"/>
      </w:r>
    </w:p>
    <w:p w:rsidR="00D1297D" w:rsidRPr="00D1297D" w:rsidRDefault="00D1297D" w:rsidP="00D1297D">
      <w:pPr>
        <w:autoSpaceDE w:val="0"/>
        <w:autoSpaceDN w:val="0"/>
        <w:adjustRightInd w:val="0"/>
        <w:spacing w:after="0" w:line="240" w:lineRule="auto"/>
        <w:jc w:val="center"/>
        <w:rPr>
          <w:rFonts w:ascii="Arial Narrow" w:hAnsi="Arial Narrow" w:cs="Gill Sans MT"/>
          <w:b/>
          <w:sz w:val="20"/>
          <w:szCs w:val="20"/>
          <w:u w:val="single"/>
          <w:lang w:val="es-ES" w:eastAsia="es-ES"/>
        </w:rPr>
      </w:pPr>
      <w:r w:rsidRPr="00D1297D">
        <w:rPr>
          <w:rFonts w:ascii="Arial Narrow" w:hAnsi="Arial Narrow" w:cs="Gill Sans MT"/>
          <w:b/>
          <w:sz w:val="20"/>
          <w:szCs w:val="20"/>
          <w:u w:val="single"/>
          <w:lang w:val="es-ES" w:eastAsia="es-ES"/>
        </w:rPr>
        <w:lastRenderedPageBreak/>
        <w:t>ECONOMICO</w:t>
      </w:r>
    </w:p>
    <w:p w:rsidR="00D1297D" w:rsidRPr="00D1297D" w:rsidRDefault="00D1297D" w:rsidP="00D1297D">
      <w:pPr>
        <w:autoSpaceDE w:val="0"/>
        <w:autoSpaceDN w:val="0"/>
        <w:adjustRightInd w:val="0"/>
        <w:spacing w:after="0" w:line="240" w:lineRule="auto"/>
        <w:jc w:val="both"/>
        <w:rPr>
          <w:rFonts w:ascii="Arial Narrow" w:hAnsi="Arial Narrow" w:cs="Gill Sans MT"/>
          <w:sz w:val="20"/>
          <w:szCs w:val="20"/>
          <w:lang w:val="es-ES" w:eastAsia="es-ES"/>
        </w:rPr>
      </w:pPr>
    </w:p>
    <w:p w:rsidR="00D1297D" w:rsidRPr="00D1297D" w:rsidRDefault="00D1297D" w:rsidP="00D1297D">
      <w:pPr>
        <w:autoSpaceDE w:val="0"/>
        <w:autoSpaceDN w:val="0"/>
        <w:adjustRightInd w:val="0"/>
        <w:spacing w:after="0" w:line="240" w:lineRule="auto"/>
        <w:jc w:val="both"/>
        <w:rPr>
          <w:rFonts w:ascii="Arial Narrow" w:hAnsi="Arial Narrow" w:cs="Gill Sans MT"/>
          <w:sz w:val="20"/>
          <w:szCs w:val="20"/>
          <w:lang w:val="es-ES" w:eastAsia="es-ES"/>
        </w:rPr>
      </w:pPr>
    </w:p>
    <w:p w:rsidR="00D1297D" w:rsidRPr="00D1297D" w:rsidRDefault="00D1297D" w:rsidP="00D1297D">
      <w:pPr>
        <w:autoSpaceDE w:val="0"/>
        <w:autoSpaceDN w:val="0"/>
        <w:adjustRightInd w:val="0"/>
        <w:spacing w:after="0" w:line="240" w:lineRule="auto"/>
        <w:jc w:val="both"/>
        <w:rPr>
          <w:rFonts w:ascii="Arial Narrow" w:hAnsi="Arial Narrow"/>
          <w:b/>
          <w:color w:val="000000"/>
          <w:sz w:val="20"/>
          <w:szCs w:val="20"/>
        </w:rPr>
      </w:pPr>
      <w:r w:rsidRPr="00D1297D">
        <w:rPr>
          <w:rFonts w:ascii="Arial Narrow" w:hAnsi="Arial Narrow" w:cs="Arial"/>
          <w:b/>
          <w:sz w:val="20"/>
          <w:szCs w:val="20"/>
        </w:rPr>
        <w:t xml:space="preserve">PERSPECTIVA NACIONAL </w:t>
      </w:r>
      <w:r w:rsidRPr="00D1297D">
        <w:rPr>
          <w:rFonts w:ascii="Arial Narrow" w:hAnsi="Arial Narrow"/>
          <w:b/>
          <w:color w:val="000000"/>
          <w:sz w:val="20"/>
          <w:szCs w:val="20"/>
        </w:rPr>
        <w:t xml:space="preserve"> </w:t>
      </w:r>
    </w:p>
    <w:p w:rsidR="00D1297D" w:rsidRPr="00D1297D" w:rsidRDefault="00D1297D" w:rsidP="00D1297D">
      <w:pPr>
        <w:autoSpaceDE w:val="0"/>
        <w:autoSpaceDN w:val="0"/>
        <w:adjustRightInd w:val="0"/>
        <w:spacing w:after="0" w:line="240" w:lineRule="auto"/>
        <w:jc w:val="both"/>
        <w:rPr>
          <w:rFonts w:ascii="Arial Narrow" w:hAnsi="Arial Narrow"/>
          <w:color w:val="000000"/>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El Fondo Monetario Internacional (FMI) </w:t>
      </w:r>
      <w:r w:rsidRPr="00D1297D">
        <w:rPr>
          <w:rFonts w:ascii="Arial Narrow" w:hAnsi="Arial Narrow" w:cs="Arial"/>
          <w:bCs/>
          <w:sz w:val="20"/>
          <w:szCs w:val="20"/>
        </w:rPr>
        <w:t>disminuyó la proyección del crecimiento económico del país </w:t>
      </w:r>
      <w:r w:rsidRPr="00D1297D">
        <w:rPr>
          <w:rFonts w:ascii="Arial Narrow" w:hAnsi="Arial Narrow" w:cs="Arial"/>
          <w:sz w:val="20"/>
          <w:szCs w:val="20"/>
        </w:rPr>
        <w:t>para este año, </w:t>
      </w:r>
      <w:r w:rsidRPr="00D1297D">
        <w:rPr>
          <w:rFonts w:ascii="Arial Narrow" w:hAnsi="Arial Narrow" w:cs="Arial"/>
          <w:bCs/>
          <w:sz w:val="20"/>
          <w:szCs w:val="20"/>
        </w:rPr>
        <w:t>al pasar de 3,5% a 3,4%,</w:t>
      </w:r>
      <w:r w:rsidRPr="00D1297D">
        <w:rPr>
          <w:rFonts w:ascii="Arial Narrow" w:hAnsi="Arial Narrow" w:cs="Arial"/>
          <w:sz w:val="20"/>
          <w:szCs w:val="20"/>
        </w:rPr>
        <w:t> debido a que se prevé una moderación en el consumo de los hogares, en parte, por el incremento en la tasa de desempleo.</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 xml:space="preserve">"Colombia tiene un mercado laboral relativamente débil y el aumento en el desempleo puede afectar los planes de gasto de los hogares, entonces no es sorprendente que veamos cierta moderación en el consumo", afirmó Hamid </w:t>
      </w:r>
      <w:proofErr w:type="spellStart"/>
      <w:r w:rsidRPr="00D1297D">
        <w:rPr>
          <w:rFonts w:ascii="Arial Narrow" w:hAnsi="Arial Narrow" w:cs="Arial"/>
          <w:sz w:val="20"/>
          <w:szCs w:val="20"/>
        </w:rPr>
        <w:t>Faruqee</w:t>
      </w:r>
      <w:proofErr w:type="spellEnd"/>
      <w:r w:rsidRPr="00D1297D">
        <w:rPr>
          <w:rFonts w:ascii="Arial Narrow" w:hAnsi="Arial Narrow" w:cs="Arial"/>
          <w:sz w:val="20"/>
          <w:szCs w:val="20"/>
        </w:rPr>
        <w:t>, jefe de la misión del FMI.</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El organismo internacional manifestó que </w:t>
      </w:r>
      <w:r w:rsidRPr="00D1297D">
        <w:rPr>
          <w:rFonts w:ascii="Arial Narrow" w:hAnsi="Arial Narrow" w:cs="Arial"/>
          <w:bCs/>
          <w:sz w:val="20"/>
          <w:szCs w:val="20"/>
        </w:rPr>
        <w:t>es necesario que Colombia aumente su recaudó en dos o tres puntos del Producto Interno Bruto (PIB) </w:t>
      </w:r>
      <w:r w:rsidRPr="00D1297D">
        <w:rPr>
          <w:rFonts w:ascii="Arial Narrow" w:hAnsi="Arial Narrow" w:cs="Arial"/>
          <w:sz w:val="20"/>
          <w:szCs w:val="20"/>
        </w:rPr>
        <w:t>en el mediano plazo, es decir, en 20 o 30 billones de pesos, ya que es bajo el nivel de tributación que hay en el país.</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"Este es parte de un ajuste que podría tomar varios años, pero si pensamos que una parte de esa financiación adicional podría venir a través de los impuestos", explicó el experto.</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En materia pensional, </w:t>
      </w:r>
      <w:r w:rsidRPr="00D1297D">
        <w:rPr>
          <w:rFonts w:ascii="Arial Narrow" w:hAnsi="Arial Narrow" w:cs="Arial"/>
          <w:bCs/>
          <w:sz w:val="20"/>
          <w:szCs w:val="20"/>
        </w:rPr>
        <w:t>el organismo internacional manifestó que es necesario reducir los subsidios que recibe la población con altos ingresos, </w:t>
      </w:r>
      <w:r w:rsidRPr="00D1297D">
        <w:rPr>
          <w:rFonts w:ascii="Arial Narrow" w:hAnsi="Arial Narrow" w:cs="Arial"/>
          <w:sz w:val="20"/>
          <w:szCs w:val="20"/>
        </w:rPr>
        <w:t>ampliar la cobertura y no descarta la posibilidad de aumentar la edad para jubilarse, que actualmente es de 62 años para los hombres y 57 años para las mujeres.</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 xml:space="preserve">"El sistema pensional es complejo, tiene una baja cobertura y hay ciertas características regresivas, entonces podemos ver muchas áreas donde el sistema pensional puede mejorar", señaló </w:t>
      </w:r>
      <w:proofErr w:type="spellStart"/>
      <w:r w:rsidRPr="00D1297D">
        <w:rPr>
          <w:rFonts w:ascii="Arial Narrow" w:hAnsi="Arial Narrow" w:cs="Arial"/>
          <w:sz w:val="20"/>
          <w:szCs w:val="20"/>
        </w:rPr>
        <w:t>Faruqee</w:t>
      </w:r>
      <w:proofErr w:type="spellEnd"/>
      <w:r w:rsidRPr="00D1297D">
        <w:rPr>
          <w:rFonts w:ascii="Arial Narrow" w:hAnsi="Arial Narrow" w:cs="Arial"/>
          <w:sz w:val="20"/>
          <w:szCs w:val="20"/>
        </w:rPr>
        <w:t>.</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Finalmente, el Fondo Monetario Internacional (FMI) </w:t>
      </w:r>
      <w:r w:rsidRPr="00D1297D">
        <w:rPr>
          <w:rFonts w:ascii="Arial Narrow" w:hAnsi="Arial Narrow" w:cs="Arial"/>
          <w:bCs/>
          <w:sz w:val="20"/>
          <w:szCs w:val="20"/>
        </w:rPr>
        <w:t>recomendó al Banco de la República aumentar el nivel de sus reservas internacionales,</w:t>
      </w:r>
      <w:r w:rsidRPr="00D1297D">
        <w:rPr>
          <w:rFonts w:ascii="Arial Narrow" w:hAnsi="Arial Narrow" w:cs="Arial"/>
          <w:sz w:val="20"/>
          <w:szCs w:val="20"/>
        </w:rPr>
        <w:t> para hacerle frente a un posible choque internacional por los efectos que pueda generar el coronavirus.</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Fuente: FMI</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ab/>
      </w:r>
    </w:p>
    <w:p w:rsidR="00D1297D" w:rsidRPr="00D1297D" w:rsidRDefault="00D1297D" w:rsidP="00D1297D">
      <w:pPr>
        <w:autoSpaceDE w:val="0"/>
        <w:autoSpaceDN w:val="0"/>
        <w:adjustRightInd w:val="0"/>
        <w:spacing w:after="0" w:line="240" w:lineRule="auto"/>
        <w:jc w:val="both"/>
        <w:rPr>
          <w:rFonts w:ascii="Arial Narrow" w:hAnsi="Arial Narrow" w:cs="Arial"/>
          <w:b/>
          <w:sz w:val="20"/>
          <w:szCs w:val="20"/>
        </w:rPr>
      </w:pPr>
      <w:r w:rsidRPr="00D1297D">
        <w:rPr>
          <w:rFonts w:ascii="Arial Narrow" w:hAnsi="Arial Narrow" w:cs="Arial"/>
          <w:b/>
          <w:sz w:val="20"/>
          <w:szCs w:val="20"/>
        </w:rPr>
        <w:t>PERSPECTIVA REGIONAL –HUILA</w:t>
      </w:r>
    </w:p>
    <w:p w:rsidR="00D1297D" w:rsidRPr="00D1297D" w:rsidRDefault="00D1297D" w:rsidP="00D1297D">
      <w:pPr>
        <w:autoSpaceDE w:val="0"/>
        <w:autoSpaceDN w:val="0"/>
        <w:adjustRightInd w:val="0"/>
        <w:spacing w:after="0" w:line="240" w:lineRule="auto"/>
        <w:jc w:val="both"/>
        <w:rPr>
          <w:rFonts w:ascii="Arial Narrow" w:hAnsi="Arial Narrow" w:cs="Arial"/>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bCs/>
          <w:sz w:val="20"/>
          <w:szCs w:val="20"/>
        </w:rPr>
      </w:pPr>
      <w:r w:rsidRPr="00D1297D">
        <w:rPr>
          <w:rFonts w:ascii="Arial Narrow" w:hAnsi="Arial Narrow"/>
          <w:b/>
          <w:bCs/>
          <w:sz w:val="20"/>
          <w:szCs w:val="20"/>
        </w:rPr>
        <w:t>Situación en el Huila</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A través de la Cámara de Comercio de Neiva, 1.727 empresarios formales (entre el 30 de marzo y el 17 de abril) respondieron la encuesta, los cuales pertenecen el 40.8% al comercio; Alojamiento y Servicios de Comida 16% y manufactura 10.1%.</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De ese total, un 98% refiere que desafortunadamente han disminuido sus ventas y  el 80%  expresa que el porcentaje de reducción ha sido superior al 50%; siendo las actividades Tiendas de Prendas de Vestir, Restaurantes, empresas de construcción, almacenes en general, bares y ferreterías, quienes más presentan afectaciones con una disminución del 100% en sus ventas.</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La encuesta indica igualmente que dentro de las principales preocupaciones de los empresarios se encuentra La disminución de sus ventas en un 17.6%, pagarle a proveedores y/o bancos 16.3%, desempleo 11.7% y aumento de casos de coronavirus el 11.2%.</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Evidencia también, que dentro de las medidas adoptadas, el 17.6% de los empresarios han suspendido contratos, el 16.9% redujo su planta de personal y el 65.5% están haciendo un esfuerzo para mantener al empleado.</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En cuanto a que las condiciones actuales del país se mantengan y las medidas se prolonguen indefinidamente, los empresarios manifestaron que podría subsistir su negocio con recursos propios entre 1 y 2 meses el 85%; entre 3 y 4 meses el 11%; entre 5 y 6 meses el 3% y entre 6 y 12 meses el 1%.</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lastRenderedPageBreak/>
        <w:t xml:space="preserve">“Hoy nos encontramos frente a una difícil situación económica en el Departamento del Huila, producto de los impactos generados por el Covid-19 y que afectan el tejido empresarial (…) el 60% de los empresarios encuestados manifiesta que de mantenerse la cuarentena el próximo trimestre, su planta de personal, puede disminuir en un 20% claramente significaría que tendríamos una reducción importante de ocupación en Neiva de cerca de 26 mil empleos </w:t>
      </w:r>
      <w:proofErr w:type="spellStart"/>
      <w:r w:rsidRPr="00D1297D">
        <w:rPr>
          <w:rFonts w:ascii="Arial Narrow" w:hAnsi="Arial Narrow"/>
          <w:sz w:val="20"/>
          <w:szCs w:val="20"/>
        </w:rPr>
        <w:t>osea</w:t>
      </w:r>
      <w:proofErr w:type="spellEnd"/>
      <w:r w:rsidRPr="00D1297D">
        <w:rPr>
          <w:rFonts w:ascii="Arial Narrow" w:hAnsi="Arial Narrow"/>
          <w:sz w:val="20"/>
          <w:szCs w:val="20"/>
        </w:rPr>
        <w:t xml:space="preserve"> 9.8 puntos porcentuales de abril a junio de 2020” dijo Lina Marcela Carrera, Directora Competitividad,  Innovación y Emprendimiento Cámara de Comercio de Neiva.</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ENCUESTA MENSUAL MANUFACTURERA CON ENFOQUE TERRITORIAL – EMMET</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 xml:space="preserve">La Encuesta Mensual Manufacturera con Enfoque Territorial (EMMET) es una investigación de carácter estadístico por medio de la cual el Departamento Administrativo Nacional de Estadística (DANE) obtiene la información de evolución de las principales variables económicas del sector fabril colombiano en el corto plazo. </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La EMMET mide la evolución mensual del sector manufacturero del país, a través de las variables de producción, ventas, empleo, sueldos y horas trabajadas; con ellas el DANE genera índices, variaciones y contribuciones; es también una herramienta importante para la elaboración de las estimaciones del Producto Interno Bruto (PIB) del sector industrial que realiza la Dirección Técnica de Síntesis y Cuentas Nacionales.</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drawing>
          <wp:anchor distT="0" distB="0" distL="114300" distR="114300" simplePos="0" relativeHeight="251662336" behindDoc="1" locked="0" layoutInCell="1" allowOverlap="1">
            <wp:simplePos x="0" y="0"/>
            <wp:positionH relativeFrom="column">
              <wp:posOffset>612140</wp:posOffset>
            </wp:positionH>
            <wp:positionV relativeFrom="paragraph">
              <wp:posOffset>-101600</wp:posOffset>
            </wp:positionV>
            <wp:extent cx="4491990" cy="2649220"/>
            <wp:effectExtent l="0" t="0" r="3810" b="0"/>
            <wp:wrapTight wrapText="bothSides">
              <wp:wrapPolygon edited="0">
                <wp:start x="0" y="0"/>
                <wp:lineTo x="0" y="21434"/>
                <wp:lineTo x="21527" y="21434"/>
                <wp:lineTo x="21527" y="0"/>
                <wp:lineTo x="0" y="0"/>
              </wp:wrapPolygon>
            </wp:wrapT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5" cstate="print">
                      <a:extLst>
                        <a:ext uri="{28A0092B-C50C-407E-A947-70E740481C1C}">
                          <a14:useLocalDpi xmlns:a14="http://schemas.microsoft.com/office/drawing/2010/main" val="0"/>
                        </a:ext>
                      </a:extLst>
                    </a:blip>
                    <a:srcRect l="13647" t="15048" r="16199" b="11386"/>
                    <a:stretch>
                      <a:fillRect/>
                    </a:stretch>
                  </pic:blipFill>
                  <pic:spPr bwMode="auto">
                    <a:xfrm>
                      <a:off x="0" y="0"/>
                      <a:ext cx="4491990" cy="2649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EVOLUCIÓN GENERAL DE LAS PRINCIPALES VARIABLES TOTAL NACIONAL FEBRERO 2020</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En febrero de 2020 frente a febrero de 2019, la producción real de la industria manufacturera presentó una variación de 4,6%, las ventas reales de 3,4% y el personal ocupado de -0,7%.</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anual de la producción real, ventas y personal ocupado de la industria manufacturera Total nacional Enero 2019 – febrero 2020p</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r w:rsidRPr="00D1297D">
        <w:rPr>
          <w:rFonts w:ascii="Arial Narrow" w:hAnsi="Arial Narrow"/>
          <w:noProof/>
          <w:sz w:val="20"/>
          <w:szCs w:val="20"/>
          <w:lang w:eastAsia="es-CO"/>
        </w:rPr>
        <w:lastRenderedPageBreak/>
        <w:drawing>
          <wp:inline distT="0" distB="0" distL="0" distR="0">
            <wp:extent cx="4191000" cy="20859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6" cstate="print">
                      <a:extLst>
                        <a:ext uri="{28A0092B-C50C-407E-A947-70E740481C1C}">
                          <a14:useLocalDpi xmlns:a14="http://schemas.microsoft.com/office/drawing/2010/main" val="0"/>
                        </a:ext>
                      </a:extLst>
                    </a:blip>
                    <a:srcRect l="15453" t="26521" r="18935" b="15344"/>
                    <a:stretch>
                      <a:fillRect/>
                    </a:stretch>
                  </pic:blipFill>
                  <pic:spPr bwMode="auto">
                    <a:xfrm>
                      <a:off x="0" y="0"/>
                      <a:ext cx="4191000" cy="2085975"/>
                    </a:xfrm>
                    <a:prstGeom prst="rect">
                      <a:avLst/>
                    </a:prstGeom>
                    <a:noFill/>
                    <a:ln>
                      <a:noFill/>
                    </a:ln>
                  </pic:spPr>
                </pic:pic>
              </a:graphicData>
            </a:graphic>
          </wp:inline>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año corrido (%) y contribución, del valor de la producción, ventas, y empleo total, según clase industrial Enero - febrero 2020/2019 P</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En lo corrido del año hasta febrero de 2020, la producción real de la industria manufacturera presentó una variación de 4,2%, las ventas reales de 3,9% y el personal ocupado de -0,6%.</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año corrido (%) y contribución, del valor de la producción, ventas, y empleo total, según clase industrial Enero - febrero 2020/2019 P</w:t>
      </w: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r w:rsidRPr="00D1297D">
        <w:rPr>
          <w:rFonts w:ascii="Arial Narrow" w:hAnsi="Arial Narrow"/>
          <w:noProof/>
          <w:sz w:val="20"/>
          <w:szCs w:val="20"/>
          <w:lang w:eastAsia="es-CO"/>
        </w:rPr>
        <w:drawing>
          <wp:anchor distT="0" distB="0" distL="114300" distR="114300" simplePos="0" relativeHeight="251671552" behindDoc="1" locked="0" layoutInCell="1" allowOverlap="1">
            <wp:simplePos x="0" y="0"/>
            <wp:positionH relativeFrom="column">
              <wp:posOffset>652145</wp:posOffset>
            </wp:positionH>
            <wp:positionV relativeFrom="paragraph">
              <wp:posOffset>75565</wp:posOffset>
            </wp:positionV>
            <wp:extent cx="4594225" cy="2226310"/>
            <wp:effectExtent l="0" t="0" r="0" b="2540"/>
            <wp:wrapTight wrapText="bothSides">
              <wp:wrapPolygon edited="0">
                <wp:start x="0" y="0"/>
                <wp:lineTo x="0" y="21440"/>
                <wp:lineTo x="21496" y="21440"/>
                <wp:lineTo x="21496" y="0"/>
                <wp:lineTo x="0" y="0"/>
              </wp:wrapPolygon>
            </wp:wrapT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7">
                      <a:extLst>
                        <a:ext uri="{28A0092B-C50C-407E-A947-70E740481C1C}">
                          <a14:useLocalDpi xmlns:a14="http://schemas.microsoft.com/office/drawing/2010/main" val="0"/>
                        </a:ext>
                      </a:extLst>
                    </a:blip>
                    <a:srcRect l="21732" t="36060" r="23082" b="16408"/>
                    <a:stretch>
                      <a:fillRect/>
                    </a:stretch>
                  </pic:blipFill>
                  <pic:spPr bwMode="auto">
                    <a:xfrm>
                      <a:off x="0" y="0"/>
                      <a:ext cx="4594225" cy="22263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De las 39 actividades industriales representadas por la encuesta, un total de 29 registraron variaciones positivas en su producción real, sumando 5,2 puntos porcentuales a la variación total año corrido y 10 subsectores con variaciones negativas restaron en conjunto 1,0 puntos porcentuales a la variación total.</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anual (%) y contribución, del valor de la producción, ventas, y empleo total, según clase industrial Febrero 2020/2019 P</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De las 39 actividades industriales representadas por la encuesta, un total de 28 registraron variaciones positivas en su producción real, sumando 5,9 puntos porcentuales a la variación total anual y 11 subsectores con variaciones negativas restaron en conjunto 1,3 puntos porcentuales a la variación total.</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lastRenderedPageBreak/>
        <w:drawing>
          <wp:anchor distT="0" distB="0" distL="114300" distR="114300" simplePos="0" relativeHeight="251663360" behindDoc="1" locked="0" layoutInCell="1" allowOverlap="1">
            <wp:simplePos x="0" y="0"/>
            <wp:positionH relativeFrom="column">
              <wp:posOffset>43180</wp:posOffset>
            </wp:positionH>
            <wp:positionV relativeFrom="paragraph">
              <wp:posOffset>222250</wp:posOffset>
            </wp:positionV>
            <wp:extent cx="5636260" cy="5509895"/>
            <wp:effectExtent l="0" t="0" r="2540" b="0"/>
            <wp:wrapTight wrapText="bothSides">
              <wp:wrapPolygon edited="0">
                <wp:start x="0" y="0"/>
                <wp:lineTo x="0" y="21508"/>
                <wp:lineTo x="21537" y="21508"/>
                <wp:lineTo x="21537" y="0"/>
                <wp:lineTo x="0" y="0"/>
              </wp:wrapPolygon>
            </wp:wrapTight>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8">
                      <a:extLst>
                        <a:ext uri="{28A0092B-C50C-407E-A947-70E740481C1C}">
                          <a14:useLocalDpi xmlns:a14="http://schemas.microsoft.com/office/drawing/2010/main" val="0"/>
                        </a:ext>
                      </a:extLst>
                    </a:blip>
                    <a:srcRect l="27155" t="14487" r="26930" b="5704"/>
                    <a:stretch>
                      <a:fillRect/>
                    </a:stretch>
                  </pic:blipFill>
                  <pic:spPr bwMode="auto">
                    <a:xfrm>
                      <a:off x="0" y="0"/>
                      <a:ext cx="5636260" cy="5509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año corrido y contribución de la producción real, ventas reales y personal ocupado, según actividad manufacturera Total nacional Enero – febrero (2020/2019) P</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lastRenderedPageBreak/>
        <w:drawing>
          <wp:inline distT="0" distB="0" distL="0" distR="0">
            <wp:extent cx="6143625" cy="510540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9">
                      <a:extLst>
                        <a:ext uri="{28A0092B-C50C-407E-A947-70E740481C1C}">
                          <a14:useLocalDpi xmlns:a14="http://schemas.microsoft.com/office/drawing/2010/main" val="0"/>
                        </a:ext>
                      </a:extLst>
                    </a:blip>
                    <a:srcRect l="21561" t="9203" r="19695" b="4034"/>
                    <a:stretch>
                      <a:fillRect/>
                    </a:stretch>
                  </pic:blipFill>
                  <pic:spPr bwMode="auto">
                    <a:xfrm>
                      <a:off x="0" y="0"/>
                      <a:ext cx="6143625" cy="5105400"/>
                    </a:xfrm>
                    <a:prstGeom prst="rect">
                      <a:avLst/>
                    </a:prstGeom>
                    <a:noFill/>
                    <a:ln>
                      <a:noFill/>
                    </a:ln>
                  </pic:spPr>
                </pic:pic>
              </a:graphicData>
            </a:graphic>
          </wp:inline>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doce meses (%) y contribución, del valor de la producción, ventas, y empleo total, según clase industrial Marzo 2019 – febrero 2020/ Marzo 2018 – febrero 2019P</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Durante los últimos doce meses hasta febrero 2020, la producción real de la industria manufacturera presentó una variación de 1,7%, las ventas reales de 2,1% y el personal ocupado de -0,5%.</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r w:rsidRPr="00D1297D">
        <w:rPr>
          <w:rFonts w:ascii="Arial Narrow" w:hAnsi="Arial Narrow"/>
          <w:noProof/>
          <w:sz w:val="20"/>
          <w:szCs w:val="20"/>
          <w:lang w:eastAsia="es-CO"/>
        </w:rPr>
        <w:lastRenderedPageBreak/>
        <w:drawing>
          <wp:inline distT="0" distB="0" distL="0" distR="0">
            <wp:extent cx="3895725" cy="19716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10" cstate="print">
                      <a:extLst>
                        <a:ext uri="{28A0092B-C50C-407E-A947-70E740481C1C}">
                          <a14:useLocalDpi xmlns:a14="http://schemas.microsoft.com/office/drawing/2010/main" val="0"/>
                        </a:ext>
                      </a:extLst>
                    </a:blip>
                    <a:srcRect l="21732" t="19914" r="26410" b="33162"/>
                    <a:stretch>
                      <a:fillRect/>
                    </a:stretch>
                  </pic:blipFill>
                  <pic:spPr bwMode="auto">
                    <a:xfrm>
                      <a:off x="0" y="0"/>
                      <a:ext cx="3895725" cy="1971675"/>
                    </a:xfrm>
                    <a:prstGeom prst="rect">
                      <a:avLst/>
                    </a:prstGeom>
                    <a:noFill/>
                    <a:ln>
                      <a:noFill/>
                    </a:ln>
                  </pic:spPr>
                </pic:pic>
              </a:graphicData>
            </a:graphic>
          </wp:inline>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sz w:val="20"/>
          <w:szCs w:val="20"/>
        </w:rPr>
        <w:t>De las 39 actividades industriales representadas por la encuesta, un total de 24 registraron variaciones positivas en su producción real, sumando 2,8 puntos porcentuales a la variación doce meses y 15 subsectores con variaciones negativas restaron en conjunto 1,1 puntos porcentuales a la variación total.</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VOLUCIÓN GENERAL DE LAS PRINCIPALES VARIABLES ENFOQUE TERRITORIAL FEBRERO 2020</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anual (%) y contribución, del valor de la producción, ventas, y empleo total, según departamentos Febrero 2020/2019 P</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 xml:space="preserve">De los 14 dominios de departamentos representados por la encuesta, 11 registraron variaciones positivas en su producción real, sumando 5,1 </w:t>
      </w:r>
      <w:proofErr w:type="spellStart"/>
      <w:r w:rsidRPr="00D1297D">
        <w:rPr>
          <w:rFonts w:ascii="Arial Narrow" w:hAnsi="Arial Narrow"/>
          <w:sz w:val="20"/>
          <w:szCs w:val="20"/>
        </w:rPr>
        <w:t>p.p</w:t>
      </w:r>
      <w:proofErr w:type="spellEnd"/>
      <w:r w:rsidRPr="00D1297D">
        <w:rPr>
          <w:rFonts w:ascii="Arial Narrow" w:hAnsi="Arial Narrow"/>
          <w:sz w:val="20"/>
          <w:szCs w:val="20"/>
        </w:rPr>
        <w:t xml:space="preserve"> a la variación total nacional y los 3 dominios restantes con variaciones negativas restaron en conjunto 0,5 puntos porcentuales a la variación total.</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drawing>
          <wp:anchor distT="0" distB="0" distL="114300" distR="114300" simplePos="0" relativeHeight="251664384" behindDoc="1" locked="0" layoutInCell="1" allowOverlap="1">
            <wp:simplePos x="0" y="0"/>
            <wp:positionH relativeFrom="column">
              <wp:posOffset>433705</wp:posOffset>
            </wp:positionH>
            <wp:positionV relativeFrom="paragraph">
              <wp:posOffset>55245</wp:posOffset>
            </wp:positionV>
            <wp:extent cx="4829175" cy="2785110"/>
            <wp:effectExtent l="0" t="0" r="9525" b="0"/>
            <wp:wrapTight wrapText="bothSides">
              <wp:wrapPolygon edited="0">
                <wp:start x="0" y="0"/>
                <wp:lineTo x="0" y="21423"/>
                <wp:lineTo x="21557" y="21423"/>
                <wp:lineTo x="21557"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1">
                      <a:extLst>
                        <a:ext uri="{28A0092B-C50C-407E-A947-70E740481C1C}">
                          <a14:useLocalDpi xmlns:a14="http://schemas.microsoft.com/office/drawing/2010/main" val="0"/>
                        </a:ext>
                      </a:extLst>
                    </a:blip>
                    <a:srcRect l="21140" t="28970" r="23692" b="14455"/>
                    <a:stretch>
                      <a:fillRect/>
                    </a:stretch>
                  </pic:blipFill>
                  <pic:spPr bwMode="auto">
                    <a:xfrm>
                      <a:off x="0" y="0"/>
                      <a:ext cx="4829175" cy="2785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anual (%) y contribución, del valor de la producción, ventas, y empleo total, según áreas metropolitanas Febrero 2020/2019</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 xml:space="preserve">En febrero de 2020 frente a febrero de 2019, el área metropolitana que más contribuye a la variación anual de la producción real es la del Valle de </w:t>
      </w:r>
      <w:proofErr w:type="spellStart"/>
      <w:r w:rsidRPr="00D1297D">
        <w:rPr>
          <w:rFonts w:ascii="Arial Narrow" w:hAnsi="Arial Narrow"/>
          <w:sz w:val="20"/>
          <w:szCs w:val="20"/>
        </w:rPr>
        <w:t>Aburrá</w:t>
      </w:r>
      <w:proofErr w:type="spellEnd"/>
      <w:r w:rsidRPr="00D1297D">
        <w:rPr>
          <w:rFonts w:ascii="Arial Narrow" w:hAnsi="Arial Narrow"/>
          <w:sz w:val="20"/>
          <w:szCs w:val="20"/>
        </w:rPr>
        <w:t xml:space="preserve"> con una variación de 3,7%, sumando 0,5 </w:t>
      </w:r>
      <w:proofErr w:type="spellStart"/>
      <w:r w:rsidRPr="00D1297D">
        <w:rPr>
          <w:rFonts w:ascii="Arial Narrow" w:hAnsi="Arial Narrow"/>
          <w:sz w:val="20"/>
          <w:szCs w:val="20"/>
        </w:rPr>
        <w:t>p.p</w:t>
      </w:r>
      <w:proofErr w:type="spellEnd"/>
      <w:r w:rsidRPr="00D1297D">
        <w:rPr>
          <w:rFonts w:ascii="Arial Narrow" w:hAnsi="Arial Narrow"/>
          <w:sz w:val="20"/>
          <w:szCs w:val="20"/>
        </w:rPr>
        <w:t xml:space="preserve"> a la variación total nacional (4,6%).</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lastRenderedPageBreak/>
        <w:drawing>
          <wp:anchor distT="0" distB="0" distL="114300" distR="114300" simplePos="0" relativeHeight="251665408" behindDoc="1" locked="0" layoutInCell="1" allowOverlap="1">
            <wp:simplePos x="0" y="0"/>
            <wp:positionH relativeFrom="column">
              <wp:posOffset>-55245</wp:posOffset>
            </wp:positionH>
            <wp:positionV relativeFrom="paragraph">
              <wp:posOffset>222250</wp:posOffset>
            </wp:positionV>
            <wp:extent cx="6052820" cy="2130425"/>
            <wp:effectExtent l="0" t="0" r="5080" b="3175"/>
            <wp:wrapTight wrapText="bothSides">
              <wp:wrapPolygon edited="0">
                <wp:start x="0" y="0"/>
                <wp:lineTo x="0" y="21439"/>
                <wp:lineTo x="21550" y="21439"/>
                <wp:lineTo x="21550" y="0"/>
                <wp:lineTo x="0" y="0"/>
              </wp:wrapPolygon>
            </wp:wrapTight>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a:picLocks noChangeAspect="1" noChangeArrowheads="1"/>
                    </pic:cNvPicPr>
                  </pic:nvPicPr>
                  <pic:blipFill>
                    <a:blip r:embed="rId12">
                      <a:extLst>
                        <a:ext uri="{28A0092B-C50C-407E-A947-70E740481C1C}">
                          <a14:useLocalDpi xmlns:a14="http://schemas.microsoft.com/office/drawing/2010/main" val="0"/>
                        </a:ext>
                      </a:extLst>
                    </a:blip>
                    <a:srcRect l="22081" t="35155" r="24881" b="31648"/>
                    <a:stretch>
                      <a:fillRect/>
                    </a:stretch>
                  </pic:blipFill>
                  <pic:spPr bwMode="auto">
                    <a:xfrm>
                      <a:off x="0" y="0"/>
                      <a:ext cx="6052820" cy="21304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anual (%) y contribución, del valor de la producción, ventas, y empleo total, según ciudades Febrero 2020/2019P</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 xml:space="preserve">En febrero de 2020 frente a febrero de 2019, de los 10 dominios de ciudades representados por la encuesta, 8 registraron variaciones positivas en su producción real, sumando 5,0 </w:t>
      </w:r>
      <w:proofErr w:type="spellStart"/>
      <w:r w:rsidRPr="00D1297D">
        <w:rPr>
          <w:rFonts w:ascii="Arial Narrow" w:hAnsi="Arial Narrow"/>
          <w:sz w:val="20"/>
          <w:szCs w:val="20"/>
        </w:rPr>
        <w:t>p.p</w:t>
      </w:r>
      <w:proofErr w:type="spellEnd"/>
      <w:r w:rsidRPr="00D1297D">
        <w:rPr>
          <w:rFonts w:ascii="Arial Narrow" w:hAnsi="Arial Narrow"/>
          <w:sz w:val="20"/>
          <w:szCs w:val="20"/>
        </w:rPr>
        <w:t xml:space="preserve"> a la variación total nacional y los dos dominios restantes con variación negativa restaron en conjunto 0,4 puntos porcentuales a la variación total.</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drawing>
          <wp:anchor distT="0" distB="0" distL="114300" distR="114300" simplePos="0" relativeHeight="251666432" behindDoc="1" locked="0" layoutInCell="1" allowOverlap="1">
            <wp:simplePos x="0" y="0"/>
            <wp:positionH relativeFrom="column">
              <wp:posOffset>374015</wp:posOffset>
            </wp:positionH>
            <wp:positionV relativeFrom="paragraph">
              <wp:posOffset>146050</wp:posOffset>
            </wp:positionV>
            <wp:extent cx="4957445" cy="2409190"/>
            <wp:effectExtent l="0" t="0" r="0" b="0"/>
            <wp:wrapTight wrapText="bothSides">
              <wp:wrapPolygon edited="0">
                <wp:start x="0" y="0"/>
                <wp:lineTo x="0" y="21349"/>
                <wp:lineTo x="21498" y="21349"/>
                <wp:lineTo x="21498"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13">
                      <a:extLst>
                        <a:ext uri="{28A0092B-C50C-407E-A947-70E740481C1C}">
                          <a14:useLocalDpi xmlns:a14="http://schemas.microsoft.com/office/drawing/2010/main" val="0"/>
                        </a:ext>
                      </a:extLst>
                    </a:blip>
                    <a:srcRect l="21815" t="19009" r="23524" b="33766"/>
                    <a:stretch>
                      <a:fillRect/>
                    </a:stretch>
                  </pic:blipFill>
                  <pic:spPr bwMode="auto">
                    <a:xfrm>
                      <a:off x="0" y="0"/>
                      <a:ext cx="4957445" cy="24091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año corrido y contribución de la producción real, ventas reales y personal ocupado Departamentos Enero – febrero 2020/2019p</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rPr>
        <w:tab/>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lastRenderedPageBreak/>
        <w:drawing>
          <wp:anchor distT="0" distB="0" distL="114300" distR="114300" simplePos="0" relativeHeight="251667456" behindDoc="1" locked="0" layoutInCell="1" allowOverlap="1">
            <wp:simplePos x="0" y="0"/>
            <wp:positionH relativeFrom="column">
              <wp:posOffset>1181735</wp:posOffset>
            </wp:positionH>
            <wp:positionV relativeFrom="paragraph">
              <wp:posOffset>34290</wp:posOffset>
            </wp:positionV>
            <wp:extent cx="3214370" cy="1804670"/>
            <wp:effectExtent l="0" t="0" r="5080" b="5080"/>
            <wp:wrapTight wrapText="bothSides">
              <wp:wrapPolygon edited="0">
                <wp:start x="0" y="0"/>
                <wp:lineTo x="0" y="21433"/>
                <wp:lineTo x="21506" y="21433"/>
                <wp:lineTo x="21506" y="0"/>
                <wp:lineTo x="0" y="0"/>
              </wp:wrapPolygon>
            </wp:wrapTight>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14" cstate="print">
                      <a:extLst>
                        <a:ext uri="{28A0092B-C50C-407E-A947-70E740481C1C}">
                          <a14:useLocalDpi xmlns:a14="http://schemas.microsoft.com/office/drawing/2010/main" val="0"/>
                        </a:ext>
                      </a:extLst>
                    </a:blip>
                    <a:srcRect l="21220" t="25044" r="21490" b="17773"/>
                    <a:stretch>
                      <a:fillRect/>
                    </a:stretch>
                  </pic:blipFill>
                  <pic:spPr bwMode="auto">
                    <a:xfrm>
                      <a:off x="0" y="0"/>
                      <a:ext cx="3214370" cy="1804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INDICADORES CONYUNTURALES</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Total nacional y total 13 ciudades y áreas metropolitanas Mensual (febrero) y trimestral (diciembre - febrero 2019)</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center"/>
        <w:rPr>
          <w:rFonts w:ascii="Arial Narrow" w:hAnsi="Arial Narrow"/>
          <w:sz w:val="20"/>
          <w:szCs w:val="20"/>
        </w:rPr>
      </w:pPr>
      <w:r w:rsidRPr="00D1297D">
        <w:rPr>
          <w:rFonts w:ascii="Arial Narrow" w:hAnsi="Arial Narrow"/>
          <w:noProof/>
          <w:sz w:val="20"/>
          <w:szCs w:val="20"/>
          <w:lang w:eastAsia="es-CO"/>
        </w:rPr>
        <w:drawing>
          <wp:inline distT="0" distB="0" distL="0" distR="0">
            <wp:extent cx="4076700" cy="18478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5" cstate="print">
                      <a:extLst>
                        <a:ext uri="{28A0092B-C50C-407E-A947-70E740481C1C}">
                          <a14:useLocalDpi xmlns:a14="http://schemas.microsoft.com/office/drawing/2010/main" val="0"/>
                        </a:ext>
                      </a:extLst>
                    </a:blip>
                    <a:srcRect l="21597" t="38937" r="22537" b="15910"/>
                    <a:stretch>
                      <a:fillRect/>
                    </a:stretch>
                  </pic:blipFill>
                  <pic:spPr bwMode="auto">
                    <a:xfrm>
                      <a:off x="0" y="0"/>
                      <a:ext cx="4076700" cy="1847850"/>
                    </a:xfrm>
                    <a:prstGeom prst="rect">
                      <a:avLst/>
                    </a:prstGeom>
                    <a:noFill/>
                    <a:ln>
                      <a:noFill/>
                    </a:ln>
                  </pic:spPr>
                </pic:pic>
              </a:graphicData>
            </a:graphic>
          </wp:inline>
        </w:drawing>
      </w:r>
    </w:p>
    <w:p w:rsidR="00D1297D" w:rsidRPr="00D1297D" w:rsidRDefault="00D1297D" w:rsidP="00D1297D">
      <w:pPr>
        <w:autoSpaceDE w:val="0"/>
        <w:autoSpaceDN w:val="0"/>
        <w:adjustRightInd w:val="0"/>
        <w:spacing w:after="0" w:line="240" w:lineRule="auto"/>
        <w:jc w:val="both"/>
        <w:rPr>
          <w:rFonts w:ascii="Arial Narrow" w:hAnsi="Arial Narrow"/>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drawing>
          <wp:anchor distT="0" distB="0" distL="114300" distR="114300" simplePos="0" relativeHeight="251668480" behindDoc="1" locked="0" layoutInCell="1" allowOverlap="1">
            <wp:simplePos x="0" y="0"/>
            <wp:positionH relativeFrom="column">
              <wp:posOffset>635</wp:posOffset>
            </wp:positionH>
            <wp:positionV relativeFrom="paragraph">
              <wp:posOffset>279400</wp:posOffset>
            </wp:positionV>
            <wp:extent cx="3564890" cy="1732280"/>
            <wp:effectExtent l="0" t="0" r="0" b="1270"/>
            <wp:wrapTight wrapText="bothSides">
              <wp:wrapPolygon edited="0">
                <wp:start x="0" y="0"/>
                <wp:lineTo x="0" y="21378"/>
                <wp:lineTo x="21469" y="21378"/>
                <wp:lineTo x="21469"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16">
                      <a:extLst>
                        <a:ext uri="{28A0092B-C50C-407E-A947-70E740481C1C}">
                          <a14:useLocalDpi xmlns:a14="http://schemas.microsoft.com/office/drawing/2010/main" val="0"/>
                        </a:ext>
                      </a:extLst>
                    </a:blip>
                    <a:srcRect l="17661" t="37569" r="21910" b="10220"/>
                    <a:stretch>
                      <a:fillRect/>
                    </a:stretch>
                  </pic:blipFill>
                  <pic:spPr bwMode="auto">
                    <a:xfrm>
                      <a:off x="0" y="0"/>
                      <a:ext cx="3564890" cy="1732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1297D">
        <w:rPr>
          <w:rFonts w:ascii="Arial Narrow" w:hAnsi="Arial Narrow"/>
          <w:b/>
          <w:sz w:val="20"/>
          <w:szCs w:val="20"/>
        </w:rPr>
        <w:t>Tasa global de participación, ocupación y desempleo Total nacional Mensual – Febrero (2003 - 2020)</w:t>
      </w:r>
      <w:r w:rsidRPr="00D1297D">
        <w:rPr>
          <w:rFonts w:ascii="Arial Narrow" w:hAnsi="Arial Narrow"/>
          <w:b/>
          <w:sz w:val="20"/>
          <w:szCs w:val="20"/>
        </w:rPr>
        <w:cr/>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Indicadores de mercado laboral por ciudad Trimestre diciembre - febrero 2020</w:t>
      </w:r>
    </w:p>
    <w:p w:rsidR="00D1297D" w:rsidRPr="00D1297D" w:rsidRDefault="00D1297D" w:rsidP="00D1297D">
      <w:pPr>
        <w:autoSpaceDE w:val="0"/>
        <w:autoSpaceDN w:val="0"/>
        <w:adjustRightInd w:val="0"/>
        <w:spacing w:after="0" w:line="240" w:lineRule="auto"/>
        <w:jc w:val="center"/>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lastRenderedPageBreak/>
        <w:drawing>
          <wp:anchor distT="0" distB="0" distL="114300" distR="114300" simplePos="0" relativeHeight="251669504" behindDoc="1" locked="0" layoutInCell="1" allowOverlap="1">
            <wp:simplePos x="0" y="0"/>
            <wp:positionH relativeFrom="column">
              <wp:posOffset>0</wp:posOffset>
            </wp:positionH>
            <wp:positionV relativeFrom="paragraph">
              <wp:posOffset>95250</wp:posOffset>
            </wp:positionV>
            <wp:extent cx="3307715" cy="3667760"/>
            <wp:effectExtent l="0" t="0" r="6985" b="8890"/>
            <wp:wrapTight wrapText="bothSides">
              <wp:wrapPolygon edited="0">
                <wp:start x="0" y="0"/>
                <wp:lineTo x="0" y="21540"/>
                <wp:lineTo x="21521" y="21540"/>
                <wp:lineTo x="21521" y="0"/>
                <wp:lineTo x="0"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17">
                      <a:extLst>
                        <a:ext uri="{28A0092B-C50C-407E-A947-70E740481C1C}">
                          <a14:useLocalDpi xmlns:a14="http://schemas.microsoft.com/office/drawing/2010/main" val="0"/>
                        </a:ext>
                      </a:extLst>
                    </a:blip>
                    <a:srcRect l="17403" t="22179" r="50682" b="14899"/>
                    <a:stretch>
                      <a:fillRect/>
                    </a:stretch>
                  </pic:blipFill>
                  <pic:spPr bwMode="auto">
                    <a:xfrm>
                      <a:off x="0" y="0"/>
                      <a:ext cx="3307715" cy="36677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b/>
          <w:sz w:val="20"/>
          <w:szCs w:val="20"/>
        </w:rPr>
        <w:t>Variación mensual, año corrido y anual del IPC Total nacional Marzo 2020</w:t>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r w:rsidRPr="00D1297D">
        <w:rPr>
          <w:rFonts w:ascii="Arial Narrow" w:hAnsi="Arial Narrow"/>
          <w:noProof/>
          <w:sz w:val="20"/>
          <w:szCs w:val="20"/>
          <w:lang w:eastAsia="es-CO"/>
        </w:rPr>
        <w:drawing>
          <wp:anchor distT="0" distB="0" distL="114300" distR="114300" simplePos="0" relativeHeight="251670528" behindDoc="1" locked="0" layoutInCell="1" allowOverlap="1">
            <wp:simplePos x="0" y="0"/>
            <wp:positionH relativeFrom="column">
              <wp:posOffset>32385</wp:posOffset>
            </wp:positionH>
            <wp:positionV relativeFrom="paragraph">
              <wp:posOffset>94615</wp:posOffset>
            </wp:positionV>
            <wp:extent cx="4667250" cy="2560320"/>
            <wp:effectExtent l="0" t="0" r="0" b="0"/>
            <wp:wrapTight wrapText="bothSides">
              <wp:wrapPolygon edited="0">
                <wp:start x="0" y="0"/>
                <wp:lineTo x="0" y="21375"/>
                <wp:lineTo x="21512" y="21375"/>
                <wp:lineTo x="21512"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8">
                      <a:extLst>
                        <a:ext uri="{28A0092B-C50C-407E-A947-70E740481C1C}">
                          <a14:useLocalDpi xmlns:a14="http://schemas.microsoft.com/office/drawing/2010/main" val="0"/>
                        </a:ext>
                      </a:extLst>
                    </a:blip>
                    <a:srcRect l="20540" t="33795" r="25475" b="13548"/>
                    <a:stretch>
                      <a:fillRect/>
                    </a:stretch>
                  </pic:blipFill>
                  <pic:spPr bwMode="auto">
                    <a:xfrm>
                      <a:off x="0" y="0"/>
                      <a:ext cx="4667250" cy="25603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r w:rsidRPr="00D1297D">
        <w:rPr>
          <w:rFonts w:ascii="Arial Narrow" w:hAnsi="Arial Narrow"/>
          <w:noProof/>
          <w:sz w:val="20"/>
          <w:szCs w:val="20"/>
          <w:lang w:eastAsia="es-CO"/>
        </w:rPr>
        <w:lastRenderedPageBreak/>
        <w:drawing>
          <wp:inline distT="0" distB="0" distL="0" distR="0">
            <wp:extent cx="5324475" cy="23431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9" cstate="print">
                      <a:extLst>
                        <a:ext uri="{28A0092B-C50C-407E-A947-70E740481C1C}">
                          <a14:useLocalDpi xmlns:a14="http://schemas.microsoft.com/office/drawing/2010/main" val="0"/>
                        </a:ext>
                      </a:extLst>
                    </a:blip>
                    <a:srcRect l="14516" t="18105" r="14699" b="26524"/>
                    <a:stretch>
                      <a:fillRect/>
                    </a:stretch>
                  </pic:blipFill>
                  <pic:spPr bwMode="auto">
                    <a:xfrm>
                      <a:off x="0" y="0"/>
                      <a:ext cx="5324475" cy="2343150"/>
                    </a:xfrm>
                    <a:prstGeom prst="rect">
                      <a:avLst/>
                    </a:prstGeom>
                    <a:noFill/>
                    <a:ln>
                      <a:noFill/>
                    </a:ln>
                  </pic:spPr>
                </pic:pic>
              </a:graphicData>
            </a:graphic>
          </wp:inline>
        </w:drawing>
      </w:r>
    </w:p>
    <w:p w:rsidR="00D1297D" w:rsidRPr="00D1297D" w:rsidRDefault="00D1297D" w:rsidP="00D1297D">
      <w:pPr>
        <w:autoSpaceDE w:val="0"/>
        <w:autoSpaceDN w:val="0"/>
        <w:adjustRightInd w:val="0"/>
        <w:spacing w:after="0" w:line="240" w:lineRule="auto"/>
        <w:jc w:val="both"/>
        <w:rPr>
          <w:rFonts w:ascii="Arial Narrow" w:hAnsi="Arial Narrow"/>
          <w:b/>
          <w:sz w:val="20"/>
          <w:szCs w:val="20"/>
          <w:highlight w:val="yellow"/>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Fuente: Boletín Técnico, Encuesta Mensual 2020 (DANE)</w:t>
      </w:r>
    </w:p>
    <w:p w:rsidR="00D1297D" w:rsidRPr="00D1297D" w:rsidRDefault="00D1297D" w:rsidP="00D1297D">
      <w:pPr>
        <w:autoSpaceDE w:val="0"/>
        <w:autoSpaceDN w:val="0"/>
        <w:adjustRightInd w:val="0"/>
        <w:spacing w:after="0" w:line="240" w:lineRule="auto"/>
        <w:jc w:val="both"/>
        <w:rPr>
          <w:rFonts w:ascii="Arial Narrow" w:hAnsi="Arial Narrow" w:cs="Gill Sans MT"/>
          <w:bCs/>
          <w:sz w:val="20"/>
          <w:szCs w:val="20"/>
          <w:lang w:eastAsia="es-ES"/>
        </w:rPr>
      </w:pPr>
    </w:p>
    <w:p w:rsidR="00D1297D" w:rsidRPr="00D1297D" w:rsidRDefault="00D1297D" w:rsidP="00D1297D">
      <w:pPr>
        <w:autoSpaceDE w:val="0"/>
        <w:autoSpaceDN w:val="0"/>
        <w:adjustRightInd w:val="0"/>
        <w:spacing w:after="0" w:line="240" w:lineRule="auto"/>
        <w:jc w:val="both"/>
        <w:rPr>
          <w:rFonts w:ascii="Arial Narrow" w:hAnsi="Arial Narrow" w:cs="Gill Sans MT"/>
          <w:bCs/>
          <w:sz w:val="20"/>
          <w:szCs w:val="20"/>
          <w:lang w:eastAsia="es-ES"/>
        </w:rPr>
      </w:pPr>
    </w:p>
    <w:p w:rsidR="00D1297D" w:rsidRPr="00D1297D" w:rsidRDefault="00D1297D" w:rsidP="00D1297D">
      <w:pPr>
        <w:spacing w:after="0" w:line="240" w:lineRule="auto"/>
        <w:rPr>
          <w:rFonts w:ascii="Arial Narrow" w:hAnsi="Arial Narrow"/>
          <w:b/>
          <w:sz w:val="20"/>
          <w:szCs w:val="20"/>
          <w:lang w:val="es-ES"/>
        </w:rPr>
      </w:pPr>
      <w:r w:rsidRPr="00D1297D">
        <w:rPr>
          <w:rFonts w:ascii="Arial Narrow" w:hAnsi="Arial Narrow"/>
          <w:b/>
          <w:sz w:val="20"/>
          <w:szCs w:val="20"/>
          <w:lang w:val="es-ES"/>
        </w:rPr>
        <w:t xml:space="preserve">II. ESTUDIO DE LA OFERTA </w:t>
      </w:r>
    </w:p>
    <w:p w:rsidR="00D1297D" w:rsidRPr="00D1297D" w:rsidRDefault="00D1297D" w:rsidP="00D1297D">
      <w:pPr>
        <w:spacing w:after="0" w:line="240" w:lineRule="auto"/>
        <w:jc w:val="both"/>
        <w:rPr>
          <w:rFonts w:ascii="Arial Narrow" w:hAnsi="Arial Narrow" w:cs="Gill Sans MT"/>
          <w:sz w:val="20"/>
          <w:szCs w:val="20"/>
          <w:lang w:val="es-ES" w:eastAsia="es-ES"/>
        </w:rPr>
      </w:pPr>
    </w:p>
    <w:p w:rsidR="00D1297D" w:rsidRPr="00D1297D" w:rsidRDefault="00D1297D" w:rsidP="00D1297D">
      <w:pPr>
        <w:spacing w:after="0" w:line="240" w:lineRule="auto"/>
        <w:jc w:val="both"/>
        <w:rPr>
          <w:rFonts w:ascii="Arial Narrow" w:hAnsi="Arial Narrow" w:cs="Gill Sans MT"/>
          <w:sz w:val="20"/>
          <w:szCs w:val="20"/>
          <w:lang w:val="es-ES" w:eastAsia="es-ES"/>
        </w:rPr>
      </w:pPr>
      <w:r w:rsidRPr="00D1297D">
        <w:rPr>
          <w:rFonts w:ascii="Arial Narrow" w:hAnsi="Arial Narrow" w:cs="Gill Sans MT"/>
          <w:sz w:val="20"/>
          <w:szCs w:val="20"/>
          <w:lang w:val="es-ES" w:eastAsia="es-ES"/>
        </w:rPr>
        <w:t xml:space="preserve">La Entidad Estatal identifico las empresas que pueden prestar el servicio requerido, encontrándose que existen 15 empresas y/o entidades que reportan información a través del  </w:t>
      </w:r>
      <w:proofErr w:type="spellStart"/>
      <w:r w:rsidRPr="00D1297D">
        <w:rPr>
          <w:rFonts w:ascii="Arial Narrow" w:hAnsi="Arial Narrow" w:cs="Gill Sans MT"/>
          <w:sz w:val="20"/>
          <w:szCs w:val="20"/>
          <w:lang w:eastAsia="es-ES"/>
        </w:rPr>
        <w:t>Consolidador</w:t>
      </w:r>
      <w:proofErr w:type="spellEnd"/>
      <w:r w:rsidRPr="00D1297D">
        <w:rPr>
          <w:rFonts w:ascii="Arial Narrow" w:hAnsi="Arial Narrow" w:cs="Gill Sans MT"/>
          <w:sz w:val="20"/>
          <w:szCs w:val="20"/>
          <w:lang w:eastAsia="es-ES"/>
        </w:rPr>
        <w:t xml:space="preserve"> de Hacienda e Información Pública – CHIP de la Contaduría y </w:t>
      </w:r>
      <w:r w:rsidRPr="00D1297D">
        <w:rPr>
          <w:rFonts w:ascii="Arial Narrow" w:hAnsi="Arial Narrow" w:cs="Gill Sans MT"/>
          <w:sz w:val="20"/>
          <w:szCs w:val="20"/>
          <w:lang w:val="es-ES" w:eastAsia="es-ES"/>
        </w:rPr>
        <w:t xml:space="preserve">a la Superintendencia de Sociedades en la página </w:t>
      </w:r>
      <w:hyperlink r:id="rId20" w:history="1">
        <w:r w:rsidRPr="00D1297D">
          <w:rPr>
            <w:rStyle w:val="Hipervnculo"/>
            <w:rFonts w:ascii="Arial Narrow" w:hAnsi="Arial Narrow" w:cs="Gill Sans MT"/>
            <w:sz w:val="20"/>
            <w:szCs w:val="20"/>
            <w:lang w:val="es-ES" w:eastAsia="es-ES"/>
          </w:rPr>
          <w:t>www.supersociedades.gov.co</w:t>
        </w:r>
      </w:hyperlink>
      <w:r w:rsidRPr="00D1297D">
        <w:rPr>
          <w:rFonts w:ascii="Arial Narrow" w:hAnsi="Arial Narrow" w:cs="Gill Sans MT"/>
          <w:sz w:val="20"/>
          <w:szCs w:val="20"/>
          <w:lang w:val="es-ES" w:eastAsia="es-ES"/>
        </w:rPr>
        <w:t xml:space="preserve"> </w:t>
      </w:r>
      <w:r w:rsidRPr="00D1297D">
        <w:rPr>
          <w:rFonts w:ascii="Arial Narrow" w:hAnsi="Arial Narrow" w:cs="Arial"/>
          <w:sz w:val="20"/>
          <w:szCs w:val="20"/>
        </w:rPr>
        <w:t xml:space="preserve">en la  página de la Superintendencia De Sociedades a través de la plataforma PIE- </w:t>
      </w:r>
      <w:hyperlink r:id="rId21" w:history="1">
        <w:r w:rsidRPr="00D1297D">
          <w:rPr>
            <w:rStyle w:val="Hipervnculo"/>
            <w:rFonts w:ascii="Arial Narrow" w:hAnsi="Arial Narrow" w:cs="Arial"/>
            <w:sz w:val="20"/>
            <w:szCs w:val="20"/>
          </w:rPr>
          <w:t>http://pie.supersociedades.gov.co/</w:t>
        </w:r>
      </w:hyperlink>
      <w:r w:rsidRPr="00D1297D">
        <w:rPr>
          <w:rFonts w:ascii="Arial Narrow" w:hAnsi="Arial Narrow" w:cs="Gill Sans MT"/>
          <w:sz w:val="20"/>
          <w:szCs w:val="20"/>
          <w:lang w:val="es-ES" w:eastAsia="es-ES"/>
        </w:rPr>
        <w:t xml:space="preserve"> ,   con los siguientes códigos CIIU Rev.4 A.C.:</w:t>
      </w:r>
    </w:p>
    <w:p w:rsidR="00D1297D" w:rsidRPr="00D1297D" w:rsidRDefault="00D1297D" w:rsidP="00D1297D">
      <w:pPr>
        <w:spacing w:after="0" w:line="240" w:lineRule="auto"/>
        <w:jc w:val="both"/>
        <w:rPr>
          <w:rFonts w:ascii="Arial Narrow" w:hAnsi="Arial Narrow" w:cs="Gill Sans MT"/>
          <w:sz w:val="20"/>
          <w:szCs w:val="20"/>
          <w:lang w:val="es-ES" w:eastAsia="es-ES"/>
        </w:rPr>
      </w:pPr>
    </w:p>
    <w:p w:rsidR="00D1297D" w:rsidRPr="00D1297D" w:rsidRDefault="00D1297D" w:rsidP="00D1297D">
      <w:pPr>
        <w:spacing w:after="0" w:line="240" w:lineRule="auto"/>
        <w:jc w:val="both"/>
        <w:rPr>
          <w:rFonts w:ascii="Arial Narrow" w:hAnsi="Arial Narrow" w:cs="Gill Sans MT"/>
          <w:sz w:val="20"/>
          <w:szCs w:val="20"/>
          <w:lang w:val="es-ES" w:eastAsia="es-ES"/>
        </w:rPr>
      </w:pPr>
      <w:r w:rsidRPr="00D1297D">
        <w:rPr>
          <w:rFonts w:ascii="Arial Narrow" w:hAnsi="Arial Narrow" w:cs="Gill Sans MT"/>
          <w:sz w:val="20"/>
          <w:szCs w:val="20"/>
          <w:lang w:val="es-ES" w:eastAsia="es-ES"/>
        </w:rPr>
        <w:t xml:space="preserve">Clase </w:t>
      </w:r>
      <w:r w:rsidRPr="00D1297D">
        <w:rPr>
          <w:rFonts w:ascii="Arial Narrow" w:hAnsi="Arial Narrow" w:cs="Gill Sans MT"/>
          <w:b/>
          <w:i/>
          <w:sz w:val="20"/>
          <w:szCs w:val="20"/>
          <w:lang w:val="es-ES" w:eastAsia="es-ES"/>
        </w:rPr>
        <w:t>C1101 - “</w:t>
      </w:r>
      <w:r w:rsidRPr="00D1297D">
        <w:rPr>
          <w:rFonts w:ascii="Arial Narrow" w:hAnsi="Arial Narrow" w:cs="Gill Sans MT"/>
          <w:b/>
          <w:i/>
          <w:sz w:val="20"/>
          <w:szCs w:val="20"/>
          <w:lang w:eastAsia="es-ES"/>
        </w:rPr>
        <w:t>Destilación, rectificación y mezcla de bebidas alcohólicas</w:t>
      </w:r>
      <w:r w:rsidRPr="00D1297D">
        <w:rPr>
          <w:rFonts w:ascii="Arial Narrow" w:hAnsi="Arial Narrow" w:cs="Gill Sans MT"/>
          <w:b/>
          <w:i/>
          <w:sz w:val="20"/>
          <w:szCs w:val="20"/>
          <w:lang w:val="es-ES" w:eastAsia="es-ES"/>
        </w:rPr>
        <w:t>”</w:t>
      </w:r>
      <w:r w:rsidRPr="00D1297D">
        <w:rPr>
          <w:rFonts w:ascii="Arial Narrow" w:hAnsi="Arial Narrow" w:cs="Gill Sans MT"/>
          <w:sz w:val="20"/>
          <w:szCs w:val="20"/>
          <w:lang w:val="es-ES" w:eastAsia="es-ES"/>
        </w:rPr>
        <w:t xml:space="preserve"> </w:t>
      </w:r>
    </w:p>
    <w:p w:rsidR="00D1297D" w:rsidRPr="00D1297D" w:rsidRDefault="00D1297D" w:rsidP="00D1297D">
      <w:pPr>
        <w:spacing w:after="0" w:line="240" w:lineRule="auto"/>
        <w:jc w:val="both"/>
        <w:rPr>
          <w:rFonts w:ascii="Arial Narrow" w:hAnsi="Arial Narrow" w:cs="Gill Sans MT"/>
          <w:sz w:val="20"/>
          <w:szCs w:val="20"/>
          <w:lang w:val="es-ES" w:eastAsia="es-ES"/>
        </w:rPr>
      </w:pPr>
      <w:r w:rsidRPr="00D1297D">
        <w:rPr>
          <w:rFonts w:ascii="Arial Narrow" w:hAnsi="Arial Narrow" w:cs="Gill Sans MT"/>
          <w:sz w:val="20"/>
          <w:szCs w:val="20"/>
          <w:lang w:val="es-ES" w:eastAsia="es-ES"/>
        </w:rPr>
        <w:t xml:space="preserve">Esta clase incluye: </w:t>
      </w:r>
    </w:p>
    <w:p w:rsidR="00D1297D" w:rsidRPr="00D1297D" w:rsidRDefault="00D1297D" w:rsidP="00D1297D">
      <w:pPr>
        <w:pStyle w:val="Prrafodelista"/>
        <w:numPr>
          <w:ilvl w:val="0"/>
          <w:numId w:val="3"/>
        </w:numPr>
        <w:contextualSpacing/>
        <w:rPr>
          <w:rFonts w:ascii="Arial Narrow" w:hAnsi="Arial Narrow" w:cs="Gill Sans MT"/>
          <w:sz w:val="20"/>
          <w:szCs w:val="20"/>
          <w:lang w:val="es-ES" w:eastAsia="es-ES"/>
        </w:rPr>
      </w:pPr>
      <w:r w:rsidRPr="00D1297D">
        <w:rPr>
          <w:rFonts w:ascii="Arial Narrow" w:hAnsi="Arial Narrow" w:cs="Gill Sans MT"/>
          <w:sz w:val="20"/>
          <w:szCs w:val="20"/>
          <w:lang w:eastAsia="es-ES"/>
        </w:rPr>
        <w:t>La elaboración de bebidas alcohólicas destiladas: whisky, coñac, ginebra, mezclas, etcétera.</w:t>
      </w:r>
    </w:p>
    <w:p w:rsidR="00D1297D" w:rsidRPr="00D1297D" w:rsidRDefault="00D1297D" w:rsidP="00D1297D">
      <w:pPr>
        <w:pStyle w:val="Prrafodelista"/>
        <w:numPr>
          <w:ilvl w:val="0"/>
          <w:numId w:val="3"/>
        </w:numPr>
        <w:contextualSpacing/>
        <w:rPr>
          <w:rFonts w:ascii="Arial Narrow" w:hAnsi="Arial Narrow" w:cs="Gill Sans MT"/>
          <w:sz w:val="20"/>
          <w:szCs w:val="20"/>
          <w:lang w:val="es-ES" w:eastAsia="es-ES"/>
        </w:rPr>
      </w:pPr>
      <w:r w:rsidRPr="00D1297D">
        <w:rPr>
          <w:rFonts w:ascii="Arial Narrow" w:hAnsi="Arial Narrow" w:cs="Gill Sans MT"/>
          <w:sz w:val="20"/>
          <w:szCs w:val="20"/>
          <w:lang w:eastAsia="es-ES"/>
        </w:rPr>
        <w:t>La mezcla de bebidas alcohólicas destiladas.</w:t>
      </w:r>
    </w:p>
    <w:p w:rsidR="00D1297D" w:rsidRPr="00D1297D" w:rsidRDefault="00D1297D" w:rsidP="00D1297D">
      <w:pPr>
        <w:pStyle w:val="Prrafodelista"/>
        <w:numPr>
          <w:ilvl w:val="0"/>
          <w:numId w:val="3"/>
        </w:numPr>
        <w:contextualSpacing/>
        <w:rPr>
          <w:rFonts w:ascii="Arial Narrow" w:hAnsi="Arial Narrow" w:cs="Gill Sans MT"/>
          <w:sz w:val="20"/>
          <w:szCs w:val="20"/>
          <w:lang w:val="es-ES" w:eastAsia="es-ES"/>
        </w:rPr>
      </w:pPr>
      <w:r w:rsidRPr="00D1297D">
        <w:rPr>
          <w:rFonts w:ascii="Arial Narrow" w:hAnsi="Arial Narrow" w:cs="Gill Sans MT"/>
          <w:sz w:val="20"/>
          <w:szCs w:val="20"/>
          <w:lang w:eastAsia="es-ES"/>
        </w:rPr>
        <w:t>La producción de aguardientes.</w:t>
      </w:r>
    </w:p>
    <w:p w:rsidR="00D1297D" w:rsidRPr="00D1297D" w:rsidRDefault="00D1297D" w:rsidP="00D1297D">
      <w:pPr>
        <w:pStyle w:val="Prrafodelista"/>
        <w:numPr>
          <w:ilvl w:val="0"/>
          <w:numId w:val="3"/>
        </w:numPr>
        <w:contextualSpacing/>
        <w:rPr>
          <w:rFonts w:ascii="Arial Narrow" w:hAnsi="Arial Narrow" w:cs="Gill Sans MT"/>
          <w:sz w:val="20"/>
          <w:szCs w:val="20"/>
          <w:lang w:val="es-ES" w:eastAsia="es-ES"/>
        </w:rPr>
      </w:pPr>
      <w:r w:rsidRPr="00D1297D">
        <w:rPr>
          <w:rFonts w:ascii="Arial Narrow" w:hAnsi="Arial Narrow" w:cs="Gill Sans MT"/>
          <w:sz w:val="20"/>
          <w:szCs w:val="20"/>
          <w:lang w:eastAsia="es-ES"/>
        </w:rPr>
        <w:t>El embotellado y etiquetado de bebidas alcohólicas destiladas, siempre y cuando se realice en la misma unidad de producción.</w:t>
      </w:r>
    </w:p>
    <w:p w:rsidR="00D1297D" w:rsidRPr="00D1297D" w:rsidRDefault="00D1297D" w:rsidP="00D1297D">
      <w:pPr>
        <w:autoSpaceDE w:val="0"/>
        <w:autoSpaceDN w:val="0"/>
        <w:adjustRightInd w:val="0"/>
        <w:spacing w:after="0" w:line="240" w:lineRule="auto"/>
        <w:jc w:val="both"/>
        <w:rPr>
          <w:rFonts w:ascii="Arial Narrow" w:hAnsi="Arial Narrow" w:cs="Gill Sans MT"/>
          <w:sz w:val="20"/>
          <w:szCs w:val="20"/>
          <w:lang w:val="es-ES" w:eastAsia="es-ES"/>
        </w:rPr>
      </w:pPr>
    </w:p>
    <w:p w:rsidR="00D1297D" w:rsidRPr="00D1297D" w:rsidRDefault="00D1297D" w:rsidP="00D1297D">
      <w:pPr>
        <w:autoSpaceDE w:val="0"/>
        <w:autoSpaceDN w:val="0"/>
        <w:adjustRightInd w:val="0"/>
        <w:spacing w:after="0" w:line="240" w:lineRule="auto"/>
        <w:jc w:val="both"/>
        <w:rPr>
          <w:rFonts w:ascii="Arial Narrow" w:hAnsi="Arial Narrow" w:cs="Gill Sans MT"/>
          <w:b/>
          <w:sz w:val="20"/>
          <w:szCs w:val="20"/>
          <w:lang w:val="es-ES" w:eastAsia="es-ES"/>
        </w:rPr>
      </w:pPr>
      <w:r w:rsidRPr="00D1297D">
        <w:rPr>
          <w:rFonts w:ascii="Arial Narrow" w:hAnsi="Arial Narrow" w:cs="Gill Sans MT"/>
          <w:b/>
          <w:sz w:val="20"/>
          <w:szCs w:val="20"/>
          <w:lang w:val="es-ES" w:eastAsia="es-ES"/>
        </w:rPr>
        <w:t>III. ESTUDIO DE LA DEMANDA</w:t>
      </w:r>
    </w:p>
    <w:p w:rsidR="00D1297D" w:rsidRPr="00D1297D" w:rsidRDefault="00D1297D" w:rsidP="00D1297D">
      <w:pPr>
        <w:autoSpaceDE w:val="0"/>
        <w:autoSpaceDN w:val="0"/>
        <w:adjustRightInd w:val="0"/>
        <w:spacing w:after="0" w:line="240" w:lineRule="auto"/>
        <w:jc w:val="both"/>
        <w:rPr>
          <w:rFonts w:ascii="Arial Narrow" w:hAnsi="Arial Narrow" w:cs="Gill Sans MT"/>
          <w:b/>
          <w:sz w:val="20"/>
          <w:szCs w:val="20"/>
          <w:lang w:val="es-ES" w:eastAsia="es-ES"/>
        </w:rPr>
      </w:pPr>
    </w:p>
    <w:p w:rsidR="00D1297D" w:rsidRPr="00D1297D" w:rsidRDefault="00D1297D" w:rsidP="00D1297D">
      <w:pPr>
        <w:autoSpaceDE w:val="0"/>
        <w:autoSpaceDN w:val="0"/>
        <w:adjustRightInd w:val="0"/>
        <w:spacing w:after="0" w:line="240" w:lineRule="auto"/>
        <w:jc w:val="both"/>
        <w:rPr>
          <w:rFonts w:ascii="Arial Narrow" w:hAnsi="Arial Narrow" w:cs="Gill Sans MT"/>
          <w:sz w:val="20"/>
          <w:szCs w:val="20"/>
          <w:lang w:eastAsia="es-ES"/>
        </w:rPr>
      </w:pPr>
      <w:r w:rsidRPr="00D1297D">
        <w:rPr>
          <w:rFonts w:ascii="Arial Narrow" w:hAnsi="Arial Narrow" w:cs="Gill Sans MT"/>
          <w:sz w:val="20"/>
          <w:szCs w:val="20"/>
          <w:lang w:eastAsia="es-ES"/>
        </w:rPr>
        <w:t>Tomando como base la información reportada en el SECOP, el Departamento ha adelantado un proceso contractual relacionado con el objeto, el cual se relaciona a continuación</w:t>
      </w:r>
    </w:p>
    <w:p w:rsidR="00D1297D" w:rsidRPr="00D1297D" w:rsidRDefault="00D1297D" w:rsidP="00D1297D">
      <w:pPr>
        <w:autoSpaceDE w:val="0"/>
        <w:autoSpaceDN w:val="0"/>
        <w:adjustRightInd w:val="0"/>
        <w:spacing w:after="0" w:line="240" w:lineRule="auto"/>
        <w:rPr>
          <w:rFonts w:ascii="Arial Narrow" w:hAnsi="Arial Narrow" w:cs="Gill Sans MT"/>
          <w:sz w:val="20"/>
          <w:szCs w:val="20"/>
          <w:lang w:val="es-ES" w:eastAsia="es-ES"/>
        </w:rPr>
      </w:pPr>
    </w:p>
    <w:tbl>
      <w:tblPr>
        <w:tblW w:w="5000" w:type="pct"/>
        <w:tblCellMar>
          <w:left w:w="70" w:type="dxa"/>
          <w:right w:w="70" w:type="dxa"/>
        </w:tblCellMar>
        <w:tblLook w:val="04A0" w:firstRow="1" w:lastRow="0" w:firstColumn="1" w:lastColumn="0" w:noHBand="0" w:noVBand="1"/>
      </w:tblPr>
      <w:tblGrid>
        <w:gridCol w:w="1536"/>
        <w:gridCol w:w="938"/>
        <w:gridCol w:w="1022"/>
        <w:gridCol w:w="1371"/>
        <w:gridCol w:w="2361"/>
        <w:gridCol w:w="1600"/>
      </w:tblGrid>
      <w:tr w:rsidR="00D1297D" w:rsidRPr="00D1297D" w:rsidTr="002018C4">
        <w:trPr>
          <w:trHeight w:val="956"/>
        </w:trPr>
        <w:tc>
          <w:tcPr>
            <w:tcW w:w="878" w:type="pct"/>
            <w:tcBorders>
              <w:top w:val="single" w:sz="4" w:space="0" w:color="auto"/>
              <w:left w:val="single" w:sz="4" w:space="0" w:color="auto"/>
              <w:bottom w:val="single" w:sz="4" w:space="0" w:color="auto"/>
              <w:right w:val="single" w:sz="4" w:space="0" w:color="auto"/>
            </w:tcBorders>
            <w:shd w:val="clear" w:color="000000" w:fill="D8D8D8"/>
            <w:vAlign w:val="center"/>
            <w:hideMark/>
          </w:tcPr>
          <w:p w:rsidR="00D1297D" w:rsidRPr="00D1297D" w:rsidRDefault="00D1297D" w:rsidP="002018C4">
            <w:pPr>
              <w:spacing w:after="0" w:line="240" w:lineRule="auto"/>
              <w:rPr>
                <w:rFonts w:ascii="Arial Narrow" w:hAnsi="Arial Narrow" w:cs="Arial"/>
                <w:b/>
                <w:bCs/>
                <w:sz w:val="20"/>
                <w:szCs w:val="20"/>
                <w:lang w:val="es-ES" w:eastAsia="es-ES"/>
              </w:rPr>
            </w:pPr>
            <w:r w:rsidRPr="00D1297D">
              <w:rPr>
                <w:rFonts w:ascii="Arial Narrow" w:hAnsi="Arial Narrow" w:cs="Arial"/>
                <w:b/>
                <w:bCs/>
                <w:sz w:val="20"/>
                <w:szCs w:val="20"/>
                <w:lang w:val="es-ES" w:eastAsia="es-ES"/>
              </w:rPr>
              <w:t>Número de Proceso</w:t>
            </w:r>
          </w:p>
        </w:tc>
        <w:tc>
          <w:tcPr>
            <w:tcW w:w="539" w:type="pct"/>
            <w:tcBorders>
              <w:top w:val="single" w:sz="4" w:space="0" w:color="auto"/>
              <w:left w:val="nil"/>
              <w:bottom w:val="single" w:sz="4" w:space="0" w:color="auto"/>
              <w:right w:val="single" w:sz="4" w:space="0" w:color="auto"/>
            </w:tcBorders>
            <w:shd w:val="clear" w:color="000000" w:fill="D8D8D8"/>
            <w:vAlign w:val="center"/>
            <w:hideMark/>
          </w:tcPr>
          <w:p w:rsidR="00D1297D" w:rsidRPr="00D1297D" w:rsidRDefault="00D1297D" w:rsidP="002018C4">
            <w:pPr>
              <w:spacing w:after="0" w:line="240" w:lineRule="auto"/>
              <w:rPr>
                <w:rFonts w:ascii="Arial Narrow" w:hAnsi="Arial Narrow" w:cs="Arial"/>
                <w:b/>
                <w:bCs/>
                <w:sz w:val="20"/>
                <w:szCs w:val="20"/>
                <w:lang w:val="es-ES" w:eastAsia="es-ES"/>
              </w:rPr>
            </w:pPr>
            <w:r w:rsidRPr="00D1297D">
              <w:rPr>
                <w:rFonts w:ascii="Arial Narrow" w:hAnsi="Arial Narrow" w:cs="Arial"/>
                <w:b/>
                <w:bCs/>
                <w:sz w:val="20"/>
                <w:szCs w:val="20"/>
                <w:lang w:val="es-ES" w:eastAsia="es-ES"/>
              </w:rPr>
              <w:t>Tipo de Proceso</w:t>
            </w:r>
          </w:p>
        </w:tc>
        <w:tc>
          <w:tcPr>
            <w:tcW w:w="587" w:type="pct"/>
            <w:tcBorders>
              <w:top w:val="single" w:sz="4" w:space="0" w:color="auto"/>
              <w:left w:val="nil"/>
              <w:bottom w:val="single" w:sz="4" w:space="0" w:color="auto"/>
              <w:right w:val="single" w:sz="4" w:space="0" w:color="auto"/>
            </w:tcBorders>
            <w:shd w:val="clear" w:color="000000" w:fill="D8D8D8"/>
            <w:vAlign w:val="center"/>
            <w:hideMark/>
          </w:tcPr>
          <w:p w:rsidR="00D1297D" w:rsidRPr="00D1297D" w:rsidRDefault="00D1297D" w:rsidP="002018C4">
            <w:pPr>
              <w:spacing w:after="0" w:line="240" w:lineRule="auto"/>
              <w:rPr>
                <w:rFonts w:ascii="Arial Narrow" w:hAnsi="Arial Narrow" w:cs="Arial"/>
                <w:b/>
                <w:bCs/>
                <w:sz w:val="20"/>
                <w:szCs w:val="20"/>
                <w:lang w:val="es-ES" w:eastAsia="es-ES"/>
              </w:rPr>
            </w:pPr>
            <w:r w:rsidRPr="00D1297D">
              <w:rPr>
                <w:rFonts w:ascii="Arial Narrow" w:hAnsi="Arial Narrow" w:cs="Arial"/>
                <w:b/>
                <w:bCs/>
                <w:sz w:val="20"/>
                <w:szCs w:val="20"/>
                <w:lang w:val="es-ES" w:eastAsia="es-ES"/>
              </w:rPr>
              <w:t>Estado</w:t>
            </w:r>
          </w:p>
        </w:tc>
        <w:tc>
          <w:tcPr>
            <w:tcW w:w="778" w:type="pct"/>
            <w:tcBorders>
              <w:top w:val="single" w:sz="4" w:space="0" w:color="auto"/>
              <w:left w:val="nil"/>
              <w:bottom w:val="single" w:sz="4" w:space="0" w:color="auto"/>
              <w:right w:val="single" w:sz="4" w:space="0" w:color="auto"/>
            </w:tcBorders>
            <w:shd w:val="clear" w:color="000000" w:fill="D8D8D8"/>
            <w:vAlign w:val="center"/>
            <w:hideMark/>
          </w:tcPr>
          <w:p w:rsidR="00D1297D" w:rsidRPr="00D1297D" w:rsidRDefault="00D1297D" w:rsidP="002018C4">
            <w:pPr>
              <w:spacing w:after="0" w:line="240" w:lineRule="auto"/>
              <w:rPr>
                <w:rFonts w:ascii="Arial Narrow" w:hAnsi="Arial Narrow" w:cs="Arial"/>
                <w:b/>
                <w:bCs/>
                <w:sz w:val="20"/>
                <w:szCs w:val="20"/>
                <w:lang w:val="es-ES" w:eastAsia="es-ES"/>
              </w:rPr>
            </w:pPr>
            <w:r w:rsidRPr="00D1297D">
              <w:rPr>
                <w:rFonts w:ascii="Arial Narrow" w:hAnsi="Arial Narrow" w:cs="Arial"/>
                <w:b/>
                <w:bCs/>
                <w:sz w:val="20"/>
                <w:szCs w:val="20"/>
                <w:lang w:val="es-ES" w:eastAsia="es-ES"/>
              </w:rPr>
              <w:t>Entidad</w:t>
            </w:r>
          </w:p>
        </w:tc>
        <w:tc>
          <w:tcPr>
            <w:tcW w:w="1351" w:type="pct"/>
            <w:tcBorders>
              <w:top w:val="single" w:sz="4" w:space="0" w:color="auto"/>
              <w:left w:val="nil"/>
              <w:bottom w:val="single" w:sz="4" w:space="0" w:color="auto"/>
              <w:right w:val="single" w:sz="4" w:space="0" w:color="auto"/>
            </w:tcBorders>
            <w:shd w:val="clear" w:color="000000" w:fill="D8D8D8"/>
            <w:vAlign w:val="center"/>
            <w:hideMark/>
          </w:tcPr>
          <w:p w:rsidR="00D1297D" w:rsidRPr="00D1297D" w:rsidRDefault="00D1297D" w:rsidP="002018C4">
            <w:pPr>
              <w:spacing w:after="0" w:line="240" w:lineRule="auto"/>
              <w:rPr>
                <w:rFonts w:ascii="Arial Narrow" w:hAnsi="Arial Narrow" w:cs="Arial"/>
                <w:b/>
                <w:bCs/>
                <w:sz w:val="20"/>
                <w:szCs w:val="20"/>
                <w:lang w:val="es-ES" w:eastAsia="es-ES"/>
              </w:rPr>
            </w:pPr>
            <w:r w:rsidRPr="00D1297D">
              <w:rPr>
                <w:rFonts w:ascii="Arial Narrow" w:hAnsi="Arial Narrow" w:cs="Arial"/>
                <w:b/>
                <w:bCs/>
                <w:sz w:val="20"/>
                <w:szCs w:val="20"/>
                <w:lang w:val="es-ES" w:eastAsia="es-ES"/>
              </w:rPr>
              <w:t>Objeto</w:t>
            </w:r>
          </w:p>
        </w:tc>
        <w:tc>
          <w:tcPr>
            <w:tcW w:w="867" w:type="pct"/>
            <w:tcBorders>
              <w:top w:val="single" w:sz="4" w:space="0" w:color="auto"/>
              <w:left w:val="nil"/>
              <w:bottom w:val="single" w:sz="4" w:space="0" w:color="auto"/>
              <w:right w:val="single" w:sz="4" w:space="0" w:color="auto"/>
            </w:tcBorders>
            <w:shd w:val="clear" w:color="000000" w:fill="D8D8D8"/>
            <w:vAlign w:val="center"/>
            <w:hideMark/>
          </w:tcPr>
          <w:p w:rsidR="00D1297D" w:rsidRPr="00D1297D" w:rsidRDefault="00D1297D" w:rsidP="002018C4">
            <w:pPr>
              <w:spacing w:after="0" w:line="240" w:lineRule="auto"/>
              <w:rPr>
                <w:rFonts w:ascii="Arial Narrow" w:hAnsi="Arial Narrow" w:cs="Arial"/>
                <w:b/>
                <w:bCs/>
                <w:sz w:val="20"/>
                <w:szCs w:val="20"/>
                <w:lang w:val="es-ES" w:eastAsia="es-ES"/>
              </w:rPr>
            </w:pPr>
            <w:r w:rsidRPr="00D1297D">
              <w:rPr>
                <w:rFonts w:ascii="Arial Narrow" w:hAnsi="Arial Narrow" w:cs="Arial"/>
                <w:b/>
                <w:bCs/>
                <w:sz w:val="20"/>
                <w:szCs w:val="20"/>
                <w:lang w:val="es-ES" w:eastAsia="es-ES"/>
              </w:rPr>
              <w:t>Cuantía</w:t>
            </w:r>
          </w:p>
        </w:tc>
      </w:tr>
      <w:tr w:rsidR="00D1297D" w:rsidRPr="00D1297D" w:rsidTr="002018C4">
        <w:trPr>
          <w:trHeight w:val="956"/>
        </w:trPr>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rsidR="00D1297D" w:rsidRPr="00D1297D" w:rsidRDefault="00D1297D" w:rsidP="002018C4">
            <w:pPr>
              <w:spacing w:after="0" w:line="240" w:lineRule="auto"/>
              <w:rPr>
                <w:rFonts w:ascii="Arial Narrow" w:hAnsi="Arial Narrow" w:cs="Arial"/>
                <w:bCs/>
                <w:sz w:val="20"/>
                <w:szCs w:val="20"/>
                <w:u w:val="single"/>
                <w:lang w:eastAsia="es-ES"/>
              </w:rPr>
            </w:pPr>
            <w:r w:rsidRPr="00D1297D">
              <w:rPr>
                <w:rFonts w:ascii="Arial Narrow" w:hAnsi="Arial Narrow" w:cs="Arial"/>
                <w:bCs/>
                <w:sz w:val="20"/>
                <w:szCs w:val="20"/>
                <w:u w:val="single"/>
                <w:lang w:eastAsia="es-ES"/>
              </w:rPr>
              <w:t>SHLPCO019-13</w:t>
            </w:r>
          </w:p>
          <w:p w:rsidR="00D1297D" w:rsidRPr="00D1297D" w:rsidRDefault="00D1297D" w:rsidP="002018C4">
            <w:pPr>
              <w:spacing w:after="0" w:line="240" w:lineRule="auto"/>
              <w:rPr>
                <w:rFonts w:ascii="Arial Narrow" w:hAnsi="Arial Narrow" w:cs="Arial"/>
                <w:bCs/>
                <w:sz w:val="20"/>
                <w:szCs w:val="20"/>
                <w:u w:val="single"/>
                <w:lang w:val="es-ES" w:eastAsia="es-ES"/>
              </w:rPr>
            </w:pPr>
          </w:p>
        </w:tc>
        <w:tc>
          <w:tcPr>
            <w:tcW w:w="539" w:type="pct"/>
            <w:tcBorders>
              <w:top w:val="single" w:sz="4" w:space="0" w:color="auto"/>
              <w:left w:val="nil"/>
              <w:bottom w:val="single" w:sz="4" w:space="0" w:color="auto"/>
              <w:right w:val="single" w:sz="4" w:space="0" w:color="auto"/>
            </w:tcBorders>
            <w:shd w:val="clear" w:color="auto" w:fill="auto"/>
            <w:vAlign w:val="center"/>
          </w:tcPr>
          <w:p w:rsidR="00D1297D" w:rsidRPr="00D1297D" w:rsidRDefault="00D1297D" w:rsidP="002018C4">
            <w:pPr>
              <w:spacing w:after="0" w:line="240" w:lineRule="auto"/>
              <w:rPr>
                <w:rFonts w:ascii="Arial Narrow" w:hAnsi="Arial Narrow" w:cs="Arial"/>
                <w:bCs/>
                <w:sz w:val="20"/>
                <w:szCs w:val="20"/>
                <w:lang w:val="es-ES" w:eastAsia="es-ES"/>
              </w:rPr>
            </w:pPr>
            <w:r w:rsidRPr="00D1297D">
              <w:rPr>
                <w:rFonts w:ascii="Arial Narrow" w:hAnsi="Arial Narrow" w:cs="Arial"/>
                <w:bCs/>
                <w:sz w:val="20"/>
                <w:szCs w:val="20"/>
                <w:lang w:val="es-ES" w:eastAsia="es-ES"/>
              </w:rPr>
              <w:t>Licitación Pública</w:t>
            </w:r>
          </w:p>
        </w:tc>
        <w:tc>
          <w:tcPr>
            <w:tcW w:w="587" w:type="pct"/>
            <w:tcBorders>
              <w:top w:val="single" w:sz="4" w:space="0" w:color="auto"/>
              <w:left w:val="nil"/>
              <w:bottom w:val="single" w:sz="4" w:space="0" w:color="auto"/>
              <w:right w:val="single" w:sz="4" w:space="0" w:color="auto"/>
            </w:tcBorders>
            <w:shd w:val="clear" w:color="auto" w:fill="auto"/>
            <w:vAlign w:val="center"/>
          </w:tcPr>
          <w:p w:rsidR="00D1297D" w:rsidRPr="00D1297D" w:rsidRDefault="00D1297D" w:rsidP="002018C4">
            <w:pPr>
              <w:spacing w:after="0" w:line="240" w:lineRule="auto"/>
              <w:rPr>
                <w:rFonts w:ascii="Arial Narrow" w:hAnsi="Arial Narrow" w:cs="Arial"/>
                <w:bCs/>
                <w:sz w:val="20"/>
                <w:szCs w:val="20"/>
                <w:lang w:val="es-ES" w:eastAsia="es-ES"/>
              </w:rPr>
            </w:pPr>
            <w:r w:rsidRPr="00D1297D">
              <w:rPr>
                <w:rFonts w:ascii="Arial Narrow" w:hAnsi="Arial Narrow" w:cs="Arial"/>
                <w:bCs/>
                <w:sz w:val="20"/>
                <w:szCs w:val="20"/>
                <w:lang w:val="es-ES" w:eastAsia="es-ES"/>
              </w:rPr>
              <w:t>Celebrado</w:t>
            </w:r>
          </w:p>
        </w:tc>
        <w:tc>
          <w:tcPr>
            <w:tcW w:w="778" w:type="pct"/>
            <w:tcBorders>
              <w:top w:val="single" w:sz="4" w:space="0" w:color="auto"/>
              <w:left w:val="nil"/>
              <w:bottom w:val="single" w:sz="4" w:space="0" w:color="auto"/>
              <w:right w:val="single" w:sz="4" w:space="0" w:color="auto"/>
            </w:tcBorders>
            <w:shd w:val="clear" w:color="auto" w:fill="auto"/>
            <w:vAlign w:val="center"/>
          </w:tcPr>
          <w:p w:rsidR="00D1297D" w:rsidRPr="00D1297D" w:rsidRDefault="00D1297D" w:rsidP="002018C4">
            <w:pPr>
              <w:spacing w:after="0" w:line="240" w:lineRule="auto"/>
              <w:rPr>
                <w:rFonts w:ascii="Arial Narrow" w:hAnsi="Arial Narrow" w:cs="Arial"/>
                <w:b/>
                <w:bCs/>
                <w:sz w:val="20"/>
                <w:szCs w:val="20"/>
                <w:lang w:val="es-ES" w:eastAsia="es-ES"/>
              </w:rPr>
            </w:pPr>
            <w:r w:rsidRPr="00D1297D">
              <w:rPr>
                <w:rFonts w:ascii="Arial Narrow" w:hAnsi="Arial Narrow" w:cs="Arial"/>
                <w:sz w:val="20"/>
                <w:szCs w:val="20"/>
                <w:lang w:val="es-ES" w:eastAsia="es-ES"/>
              </w:rPr>
              <w:t>HUILA - GOBERNACIÓN</w:t>
            </w:r>
          </w:p>
        </w:tc>
        <w:tc>
          <w:tcPr>
            <w:tcW w:w="1351" w:type="pct"/>
            <w:tcBorders>
              <w:top w:val="single" w:sz="4" w:space="0" w:color="auto"/>
              <w:left w:val="nil"/>
              <w:bottom w:val="single" w:sz="4" w:space="0" w:color="auto"/>
              <w:right w:val="single" w:sz="4" w:space="0" w:color="auto"/>
            </w:tcBorders>
            <w:shd w:val="clear" w:color="auto" w:fill="auto"/>
            <w:vAlign w:val="center"/>
          </w:tcPr>
          <w:p w:rsidR="00D1297D" w:rsidRPr="00D1297D" w:rsidRDefault="00D1297D" w:rsidP="002018C4">
            <w:pPr>
              <w:spacing w:after="0" w:line="240" w:lineRule="auto"/>
              <w:rPr>
                <w:rFonts w:ascii="Arial Narrow" w:hAnsi="Arial Narrow" w:cs="Arial"/>
                <w:bCs/>
                <w:sz w:val="20"/>
                <w:szCs w:val="20"/>
                <w:lang w:val="es-ES" w:eastAsia="es-ES"/>
              </w:rPr>
            </w:pPr>
            <w:r w:rsidRPr="00D1297D">
              <w:rPr>
                <w:rFonts w:ascii="Arial Narrow" w:hAnsi="Arial Narrow" w:cs="Arial"/>
                <w:bCs/>
                <w:sz w:val="20"/>
                <w:szCs w:val="20"/>
                <w:lang w:val="es-ES" w:eastAsia="es-ES"/>
              </w:rPr>
              <w:t xml:space="preserve">CONTRATAR BAJO LA MODALIDAD DE CONCESION DE LA PRODUCCION, DISTRIBUCION Y VENTA DEL AGUARDIENTE DOBLE ANÍS EN EL TERRITORIO DEL DEPARTAMENTO DEL HUILA, LA CUAL SE OTORGA POR PARTE DEL DEPARTAMENTO EN SU </w:t>
            </w:r>
            <w:r w:rsidRPr="00D1297D">
              <w:rPr>
                <w:rFonts w:ascii="Arial Narrow" w:hAnsi="Arial Narrow" w:cs="Arial"/>
                <w:bCs/>
                <w:sz w:val="20"/>
                <w:szCs w:val="20"/>
                <w:lang w:val="es-ES" w:eastAsia="es-ES"/>
              </w:rPr>
              <w:lastRenderedPageBreak/>
              <w:t>CONDICION DE TITULAR DEL MONOPOLIO DE LICORES DESTILADOS EN EL DEPARTAMENTO</w:t>
            </w:r>
          </w:p>
        </w:tc>
        <w:tc>
          <w:tcPr>
            <w:tcW w:w="867" w:type="pct"/>
            <w:tcBorders>
              <w:top w:val="single" w:sz="4" w:space="0" w:color="auto"/>
              <w:left w:val="nil"/>
              <w:bottom w:val="single" w:sz="4" w:space="0" w:color="auto"/>
              <w:right w:val="single" w:sz="4" w:space="0" w:color="auto"/>
            </w:tcBorders>
            <w:shd w:val="clear" w:color="auto" w:fill="auto"/>
            <w:vAlign w:val="center"/>
          </w:tcPr>
          <w:p w:rsidR="00D1297D" w:rsidRPr="00D1297D" w:rsidRDefault="00D1297D" w:rsidP="002018C4">
            <w:pPr>
              <w:spacing w:after="0" w:line="23" w:lineRule="atLeast"/>
              <w:jc w:val="both"/>
              <w:rPr>
                <w:rFonts w:ascii="Arial Narrow" w:eastAsia="Arial Unicode MS" w:hAnsi="Arial Narrow" w:cs="Arial"/>
                <w:color w:val="000000"/>
                <w:sz w:val="20"/>
                <w:szCs w:val="20"/>
                <w:lang w:val="es-ES"/>
              </w:rPr>
            </w:pPr>
            <w:r w:rsidRPr="00D1297D">
              <w:rPr>
                <w:rFonts w:ascii="Arial Narrow" w:eastAsia="Arial Unicode MS" w:hAnsi="Arial Narrow" w:cs="Arial"/>
                <w:color w:val="000000"/>
                <w:sz w:val="20"/>
                <w:szCs w:val="20"/>
                <w:lang w:val="es-ES"/>
              </w:rPr>
              <w:lastRenderedPageBreak/>
              <w:t>$73.403.827.528,00</w:t>
            </w:r>
          </w:p>
        </w:tc>
      </w:tr>
    </w:tbl>
    <w:p w:rsidR="00D1297D" w:rsidRPr="00D1297D" w:rsidRDefault="00D1297D" w:rsidP="00D1297D">
      <w:pPr>
        <w:spacing w:line="240" w:lineRule="auto"/>
        <w:jc w:val="both"/>
        <w:rPr>
          <w:rFonts w:ascii="Arial Narrow" w:hAnsi="Arial Narrow" w:cs="Arial"/>
          <w:bCs/>
          <w:sz w:val="20"/>
          <w:szCs w:val="20"/>
          <w:lang w:val="es-ES_tradnl"/>
        </w:rPr>
      </w:pPr>
    </w:p>
    <w:p w:rsidR="00D1297D" w:rsidRPr="00D1297D" w:rsidRDefault="00D1297D" w:rsidP="00D1297D">
      <w:pPr>
        <w:spacing w:line="240" w:lineRule="auto"/>
        <w:jc w:val="both"/>
        <w:rPr>
          <w:rFonts w:ascii="Arial Narrow" w:hAnsi="Arial Narrow"/>
          <w:b/>
          <w:sz w:val="20"/>
          <w:szCs w:val="20"/>
        </w:rPr>
      </w:pPr>
      <w:r w:rsidRPr="00D1297D">
        <w:rPr>
          <w:rFonts w:ascii="Arial Narrow" w:hAnsi="Arial Narrow" w:cs="Arial"/>
          <w:bCs/>
          <w:sz w:val="20"/>
          <w:szCs w:val="20"/>
          <w:lang w:val="es-ES_tradnl"/>
        </w:rPr>
        <w:t>De conformidad con lo establecido en el numeral 3 del artículo 2.2.1.1.1.5.3 del Decreto 1082 de 2015, los proponentes deberán acreditar su capacidad financiera.</w:t>
      </w:r>
    </w:p>
    <w:p w:rsidR="00D1297D" w:rsidRPr="00D1297D" w:rsidRDefault="00D1297D" w:rsidP="00D1297D">
      <w:pPr>
        <w:autoSpaceDE w:val="0"/>
        <w:autoSpaceDN w:val="0"/>
        <w:adjustRightInd w:val="0"/>
        <w:spacing w:after="0" w:line="240" w:lineRule="auto"/>
        <w:jc w:val="both"/>
        <w:rPr>
          <w:rFonts w:ascii="Arial Narrow" w:hAnsi="Arial Narrow" w:cs="Arial"/>
          <w:sz w:val="20"/>
          <w:szCs w:val="20"/>
        </w:rPr>
      </w:pPr>
      <w:r w:rsidRPr="00D1297D">
        <w:rPr>
          <w:rFonts w:ascii="Arial Narrow" w:hAnsi="Arial Narrow" w:cs="Arial"/>
          <w:sz w:val="20"/>
          <w:szCs w:val="20"/>
        </w:rPr>
        <w:t xml:space="preserve">Siendo consecuentes con lo manifestado en el análisis realizado en la perspectiva comercial, se tomaron como referencia únicamente los datos del informe del Sector Económico Industrial, específicamente </w:t>
      </w:r>
      <w:r w:rsidRPr="00D1297D">
        <w:rPr>
          <w:rFonts w:ascii="Arial Narrow" w:hAnsi="Arial Narrow" w:cs="Arial"/>
          <w:sz w:val="20"/>
          <w:szCs w:val="20"/>
          <w:lang w:val="es-ES"/>
        </w:rPr>
        <w:t>C1101 - “</w:t>
      </w:r>
      <w:r w:rsidRPr="00D1297D">
        <w:rPr>
          <w:rFonts w:ascii="Arial Narrow" w:hAnsi="Arial Narrow" w:cs="Arial"/>
          <w:sz w:val="20"/>
          <w:szCs w:val="20"/>
        </w:rPr>
        <w:t>Destilación, rectificación y mezcla de bebidas alcohólicas</w:t>
      </w:r>
      <w:r w:rsidRPr="00D1297D">
        <w:rPr>
          <w:rFonts w:ascii="Arial Narrow" w:hAnsi="Arial Narrow" w:cs="Arial"/>
          <w:sz w:val="20"/>
          <w:szCs w:val="20"/>
          <w:lang w:val="es-ES"/>
        </w:rPr>
        <w:t xml:space="preserve">”, </w:t>
      </w:r>
      <w:r w:rsidRPr="00D1297D">
        <w:rPr>
          <w:rFonts w:ascii="Arial Narrow" w:hAnsi="Arial Narrow" w:cs="Arial"/>
          <w:sz w:val="20"/>
          <w:szCs w:val="20"/>
        </w:rPr>
        <w:t xml:space="preserve">publicados en la  página de la Superintendencia De Sociedades a través de la plataforma PIE- </w:t>
      </w:r>
      <w:hyperlink r:id="rId22" w:history="1">
        <w:r w:rsidRPr="00D1297D">
          <w:rPr>
            <w:rStyle w:val="Hipervnculo"/>
            <w:rFonts w:ascii="Arial Narrow" w:hAnsi="Arial Narrow" w:cs="Arial"/>
            <w:sz w:val="20"/>
            <w:szCs w:val="20"/>
          </w:rPr>
          <w:t>http://pie.supersociedades.gov.co/</w:t>
        </w:r>
      </w:hyperlink>
      <w:r w:rsidRPr="00D1297D">
        <w:rPr>
          <w:rFonts w:ascii="Arial Narrow" w:hAnsi="Arial Narrow" w:cs="Arial"/>
          <w:sz w:val="20"/>
          <w:szCs w:val="20"/>
        </w:rPr>
        <w:t xml:space="preserve">; teniendo en cuenta que la </w:t>
      </w:r>
      <w:proofErr w:type="spellStart"/>
      <w:r w:rsidRPr="00D1297D">
        <w:rPr>
          <w:rFonts w:ascii="Arial Narrow" w:hAnsi="Arial Narrow" w:cs="Arial"/>
          <w:sz w:val="20"/>
          <w:szCs w:val="20"/>
        </w:rPr>
        <w:t>supersociedades</w:t>
      </w:r>
      <w:proofErr w:type="spellEnd"/>
      <w:r w:rsidRPr="00D1297D">
        <w:rPr>
          <w:rFonts w:ascii="Arial Narrow" w:hAnsi="Arial Narrow" w:cs="Arial"/>
          <w:sz w:val="20"/>
          <w:szCs w:val="20"/>
        </w:rPr>
        <w:t xml:space="preserve"> no publica informe financiero detallado de las empresas del sector a verificar, se consultó la información financiera en la página </w:t>
      </w:r>
      <w:hyperlink r:id="rId23" w:history="1">
        <w:r w:rsidRPr="00D1297D">
          <w:rPr>
            <w:rFonts w:ascii="Arial Narrow" w:hAnsi="Arial Narrow" w:cs="Arial"/>
            <w:sz w:val="20"/>
            <w:szCs w:val="20"/>
          </w:rPr>
          <w:t>de</w:t>
        </w:r>
      </w:hyperlink>
      <w:r w:rsidRPr="00D1297D">
        <w:rPr>
          <w:rFonts w:ascii="Arial Narrow" w:hAnsi="Arial Narrow" w:cs="Arial"/>
          <w:sz w:val="20"/>
          <w:szCs w:val="20"/>
        </w:rPr>
        <w:t xml:space="preserve"> la Contaduría en el </w:t>
      </w:r>
      <w:proofErr w:type="spellStart"/>
      <w:r w:rsidRPr="00D1297D">
        <w:rPr>
          <w:rFonts w:ascii="Arial Narrow" w:hAnsi="Arial Narrow" w:cs="Gill Sans MT"/>
          <w:sz w:val="20"/>
          <w:szCs w:val="20"/>
          <w:lang w:eastAsia="es-ES"/>
        </w:rPr>
        <w:t>Consolidador</w:t>
      </w:r>
      <w:proofErr w:type="spellEnd"/>
      <w:r w:rsidRPr="00D1297D">
        <w:rPr>
          <w:rFonts w:ascii="Arial Narrow" w:hAnsi="Arial Narrow" w:cs="Gill Sans MT"/>
          <w:sz w:val="20"/>
          <w:szCs w:val="20"/>
          <w:lang w:eastAsia="es-ES"/>
        </w:rPr>
        <w:t xml:space="preserve"> de Hacienda e Información Pública – CHIP </w:t>
      </w:r>
      <w:r w:rsidRPr="00D1297D">
        <w:rPr>
          <w:rFonts w:ascii="Arial Narrow" w:hAnsi="Arial Narrow" w:cs="Arial"/>
          <w:sz w:val="20"/>
          <w:szCs w:val="20"/>
        </w:rPr>
        <w:t xml:space="preserve">con información financiera a 31 de diciembre de 2019 del sector así: </w:t>
      </w:r>
    </w:p>
    <w:p w:rsidR="00D1297D" w:rsidRPr="00D1297D" w:rsidRDefault="00D1297D" w:rsidP="00D1297D">
      <w:pPr>
        <w:autoSpaceDE w:val="0"/>
        <w:autoSpaceDN w:val="0"/>
        <w:adjustRightInd w:val="0"/>
        <w:spacing w:line="240" w:lineRule="auto"/>
        <w:jc w:val="both"/>
        <w:rPr>
          <w:rFonts w:ascii="Arial Narrow" w:hAnsi="Arial Narrow"/>
          <w:b/>
          <w:sz w:val="20"/>
          <w:szCs w:val="20"/>
        </w:rPr>
      </w:pPr>
    </w:p>
    <w:p w:rsidR="00D1297D" w:rsidRPr="00D1297D" w:rsidRDefault="00D1297D" w:rsidP="00D1297D">
      <w:pPr>
        <w:autoSpaceDE w:val="0"/>
        <w:autoSpaceDN w:val="0"/>
        <w:adjustRightInd w:val="0"/>
        <w:spacing w:line="240" w:lineRule="auto"/>
        <w:jc w:val="both"/>
        <w:rPr>
          <w:rFonts w:ascii="Arial Narrow" w:hAnsi="Arial Narrow"/>
          <w:sz w:val="20"/>
          <w:szCs w:val="20"/>
        </w:rPr>
      </w:pPr>
      <w:r w:rsidRPr="00D1297D">
        <w:rPr>
          <w:rFonts w:ascii="Arial Narrow" w:hAnsi="Arial Narrow"/>
          <w:b/>
          <w:sz w:val="20"/>
          <w:szCs w:val="20"/>
        </w:rPr>
        <w:t>Indicador de Liquidez:</w:t>
      </w:r>
      <w:r w:rsidRPr="00D1297D">
        <w:rPr>
          <w:rFonts w:ascii="Arial Narrow" w:hAnsi="Arial Narrow"/>
          <w:sz w:val="20"/>
          <w:szCs w:val="20"/>
        </w:rPr>
        <w:t xml:space="preserve"> </w:t>
      </w:r>
    </w:p>
    <w:p w:rsidR="00D1297D" w:rsidRPr="00D1297D" w:rsidRDefault="00D1297D" w:rsidP="00D1297D">
      <w:pPr>
        <w:autoSpaceDE w:val="0"/>
        <w:autoSpaceDN w:val="0"/>
        <w:adjustRightInd w:val="0"/>
        <w:spacing w:line="240" w:lineRule="auto"/>
        <w:jc w:val="both"/>
        <w:rPr>
          <w:rFonts w:ascii="Arial Narrow" w:hAnsi="Arial Narrow"/>
          <w:sz w:val="20"/>
          <w:szCs w:val="20"/>
        </w:rPr>
      </w:pPr>
      <w:r w:rsidRPr="00D1297D">
        <w:rPr>
          <w:rFonts w:ascii="Arial Narrow" w:hAnsi="Arial Narrow"/>
          <w:sz w:val="20"/>
          <w:szCs w:val="20"/>
        </w:rPr>
        <w:t>Mide la capacidad que tiene la entidad de generar dinero efectivo para responder por sus compromisos y obligaciones con vencimientos a corto plazo. Además, sirven para determinar la solidez de la base financiera de un proponente, es decir, si cuenta con músculo financiero para dar respuesta oportuna al pago de sus obligaciones asumidas a corto plazo.</w:t>
      </w:r>
    </w:p>
    <w:p w:rsidR="00D1297D" w:rsidRPr="00D1297D" w:rsidRDefault="00D1297D" w:rsidP="00D1297D">
      <w:pPr>
        <w:autoSpaceDE w:val="0"/>
        <w:autoSpaceDN w:val="0"/>
        <w:adjustRightInd w:val="0"/>
        <w:spacing w:line="240" w:lineRule="auto"/>
        <w:jc w:val="both"/>
        <w:rPr>
          <w:rFonts w:ascii="Arial Narrow" w:hAnsi="Arial Narrow"/>
          <w:sz w:val="20"/>
          <w:szCs w:val="20"/>
        </w:rPr>
      </w:pPr>
      <w:r w:rsidRPr="00D1297D">
        <w:rPr>
          <w:rFonts w:ascii="Arial Narrow" w:hAnsi="Arial Narrow"/>
          <w:sz w:val="20"/>
          <w:szCs w:val="20"/>
        </w:rPr>
        <w:t>A mayor índice de liquidez, menor es la probabilidad de que el proponente incumpla sus obligaciones de corto plazo; el indicador se convierte en importante dada nuestra obligación de ejecución de recursos en un periodo fiscal.</w:t>
      </w:r>
    </w:p>
    <w:tbl>
      <w:tblPr>
        <w:tblW w:w="6420" w:type="dxa"/>
        <w:jc w:val="center"/>
        <w:tblCellMar>
          <w:left w:w="70" w:type="dxa"/>
          <w:right w:w="70" w:type="dxa"/>
        </w:tblCellMar>
        <w:tblLook w:val="04A0" w:firstRow="1" w:lastRow="0" w:firstColumn="1" w:lastColumn="0" w:noHBand="0" w:noVBand="1"/>
      </w:tblPr>
      <w:tblGrid>
        <w:gridCol w:w="1051"/>
        <w:gridCol w:w="1357"/>
        <w:gridCol w:w="1153"/>
        <w:gridCol w:w="1388"/>
        <w:gridCol w:w="1471"/>
      </w:tblGrid>
      <w:tr w:rsidR="00D1297D" w:rsidRPr="00D1297D" w:rsidTr="002018C4">
        <w:trPr>
          <w:trHeight w:val="315"/>
          <w:jc w:val="center"/>
        </w:trPr>
        <w:tc>
          <w:tcPr>
            <w:tcW w:w="6420" w:type="dxa"/>
            <w:gridSpan w:val="5"/>
            <w:tcBorders>
              <w:top w:val="single" w:sz="4" w:space="0" w:color="auto"/>
              <w:left w:val="single" w:sz="4" w:space="0" w:color="auto"/>
              <w:bottom w:val="double" w:sz="6" w:space="0" w:color="auto"/>
              <w:right w:val="single" w:sz="4" w:space="0" w:color="000000"/>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sz w:val="20"/>
                <w:szCs w:val="20"/>
              </w:rPr>
              <w:br w:type="page"/>
            </w:r>
            <w:r w:rsidRPr="00D1297D">
              <w:rPr>
                <w:rFonts w:ascii="Arial Narrow" w:hAnsi="Arial Narrow" w:cs="Calibri"/>
                <w:b/>
                <w:bCs/>
                <w:color w:val="000000"/>
                <w:sz w:val="20"/>
                <w:szCs w:val="20"/>
              </w:rPr>
              <w:t>LIQUIDEZ</w:t>
            </w:r>
          </w:p>
        </w:tc>
      </w:tr>
      <w:tr w:rsidR="00D1297D" w:rsidRPr="00D1297D" w:rsidTr="002018C4">
        <w:trPr>
          <w:trHeight w:val="540"/>
          <w:jc w:val="center"/>
        </w:trPr>
        <w:tc>
          <w:tcPr>
            <w:tcW w:w="2408" w:type="dxa"/>
            <w:gridSpan w:val="2"/>
            <w:tcBorders>
              <w:top w:val="single" w:sz="4" w:space="0" w:color="auto"/>
              <w:left w:val="single" w:sz="4" w:space="0" w:color="auto"/>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Rango</w:t>
            </w:r>
          </w:p>
        </w:tc>
        <w:tc>
          <w:tcPr>
            <w:tcW w:w="1153" w:type="dxa"/>
            <w:tcBorders>
              <w:top w:val="single" w:sz="4" w:space="0" w:color="auto"/>
              <w:left w:val="nil"/>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Frecuencia</w:t>
            </w:r>
          </w:p>
        </w:tc>
        <w:tc>
          <w:tcPr>
            <w:tcW w:w="1388" w:type="dxa"/>
            <w:tcBorders>
              <w:top w:val="single" w:sz="4" w:space="0" w:color="auto"/>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Relativa)</w:t>
            </w:r>
          </w:p>
        </w:tc>
        <w:tc>
          <w:tcPr>
            <w:tcW w:w="1471" w:type="dxa"/>
            <w:tcBorders>
              <w:top w:val="single" w:sz="4" w:space="0" w:color="auto"/>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Acumulada)</w:t>
            </w:r>
          </w:p>
        </w:tc>
      </w:tr>
      <w:tr w:rsidR="00D1297D" w:rsidRPr="00D1297D" w:rsidTr="002018C4">
        <w:trPr>
          <w:trHeight w:val="315"/>
          <w:jc w:val="center"/>
        </w:trPr>
        <w:tc>
          <w:tcPr>
            <w:tcW w:w="1051" w:type="dxa"/>
            <w:tcBorders>
              <w:top w:val="nil"/>
              <w:left w:val="single" w:sz="4" w:space="0" w:color="auto"/>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b/>
                <w:bCs/>
                <w:color w:val="000000"/>
                <w:sz w:val="20"/>
                <w:szCs w:val="20"/>
              </w:rPr>
            </w:pPr>
            <w:r w:rsidRPr="00D1297D">
              <w:rPr>
                <w:rFonts w:ascii="Arial Narrow" w:hAnsi="Arial Narrow" w:cs="Calibri"/>
                <w:b/>
                <w:bCs/>
                <w:color w:val="000000"/>
                <w:sz w:val="20"/>
                <w:szCs w:val="20"/>
              </w:rPr>
              <w:t> </w:t>
            </w:r>
          </w:p>
        </w:tc>
        <w:tc>
          <w:tcPr>
            <w:tcW w:w="1357"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153"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w:t>
            </w:r>
          </w:p>
        </w:tc>
        <w:tc>
          <w:tcPr>
            <w:tcW w:w="1388"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71"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100,00%</w:t>
            </w:r>
          </w:p>
        </w:tc>
      </w:tr>
      <w:tr w:rsidR="00D1297D" w:rsidRPr="00D1297D" w:rsidTr="002018C4">
        <w:trPr>
          <w:trHeight w:val="300"/>
          <w:jc w:val="center"/>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0,49 </w:t>
            </w: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w:t>
            </w:r>
          </w:p>
        </w:tc>
        <w:tc>
          <w:tcPr>
            <w:tcW w:w="1388"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100,00%</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0,50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0,99 </w:t>
            </w:r>
          </w:p>
        </w:tc>
        <w:tc>
          <w:tcPr>
            <w:tcW w:w="115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w:t>
            </w:r>
          </w:p>
        </w:tc>
        <w:tc>
          <w:tcPr>
            <w:tcW w:w="138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86,67%</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1,00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1,49 </w:t>
            </w:r>
          </w:p>
        </w:tc>
        <w:tc>
          <w:tcPr>
            <w:tcW w:w="115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w:t>
            </w:r>
          </w:p>
        </w:tc>
        <w:tc>
          <w:tcPr>
            <w:tcW w:w="138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86,67%</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1,50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1,99 </w:t>
            </w:r>
          </w:p>
        </w:tc>
        <w:tc>
          <w:tcPr>
            <w:tcW w:w="115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w:t>
            </w:r>
          </w:p>
        </w:tc>
        <w:tc>
          <w:tcPr>
            <w:tcW w:w="138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80,00%</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2,00 </w:t>
            </w:r>
          </w:p>
        </w:tc>
        <w:tc>
          <w:tcPr>
            <w:tcW w:w="1357" w:type="dxa"/>
            <w:tcBorders>
              <w:top w:val="nil"/>
              <w:left w:val="nil"/>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2,49 </w:t>
            </w:r>
          </w:p>
        </w:tc>
        <w:tc>
          <w:tcPr>
            <w:tcW w:w="1153" w:type="dxa"/>
            <w:tcBorders>
              <w:top w:val="nil"/>
              <w:left w:val="nil"/>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3</w:t>
            </w:r>
          </w:p>
        </w:tc>
        <w:tc>
          <w:tcPr>
            <w:tcW w:w="1388" w:type="dxa"/>
            <w:tcBorders>
              <w:top w:val="nil"/>
              <w:left w:val="nil"/>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20,00%</w:t>
            </w:r>
          </w:p>
        </w:tc>
        <w:tc>
          <w:tcPr>
            <w:tcW w:w="1471" w:type="dxa"/>
            <w:tcBorders>
              <w:top w:val="nil"/>
              <w:left w:val="nil"/>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66,67%</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000000" w:fill="FFFFFF"/>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2,50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2,99 </w:t>
            </w:r>
          </w:p>
        </w:tc>
        <w:tc>
          <w:tcPr>
            <w:tcW w:w="1153" w:type="dxa"/>
            <w:tcBorders>
              <w:top w:val="nil"/>
              <w:left w:val="nil"/>
              <w:bottom w:val="single" w:sz="4" w:space="0" w:color="auto"/>
              <w:right w:val="single" w:sz="4" w:space="0" w:color="auto"/>
            </w:tcBorders>
            <w:shd w:val="clear" w:color="000000" w:fill="FFFFFF"/>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w:t>
            </w:r>
          </w:p>
        </w:tc>
        <w:tc>
          <w:tcPr>
            <w:tcW w:w="1388" w:type="dxa"/>
            <w:tcBorders>
              <w:top w:val="nil"/>
              <w:left w:val="nil"/>
              <w:bottom w:val="single" w:sz="4" w:space="0" w:color="auto"/>
              <w:right w:val="single" w:sz="4" w:space="0" w:color="auto"/>
            </w:tcBorders>
            <w:shd w:val="clear" w:color="000000" w:fill="FFFFFF"/>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46,67%</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3,00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3,49 </w:t>
            </w:r>
          </w:p>
        </w:tc>
        <w:tc>
          <w:tcPr>
            <w:tcW w:w="115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w:t>
            </w:r>
          </w:p>
        </w:tc>
        <w:tc>
          <w:tcPr>
            <w:tcW w:w="138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33,33%</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3,50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3,99 </w:t>
            </w:r>
          </w:p>
        </w:tc>
        <w:tc>
          <w:tcPr>
            <w:tcW w:w="115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3</w:t>
            </w:r>
          </w:p>
        </w:tc>
        <w:tc>
          <w:tcPr>
            <w:tcW w:w="138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20,00%</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33,33%</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4,00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4,49 </w:t>
            </w:r>
          </w:p>
        </w:tc>
        <w:tc>
          <w:tcPr>
            <w:tcW w:w="115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w:t>
            </w:r>
          </w:p>
        </w:tc>
        <w:tc>
          <w:tcPr>
            <w:tcW w:w="138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4,50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4,99 </w:t>
            </w:r>
          </w:p>
        </w:tc>
        <w:tc>
          <w:tcPr>
            <w:tcW w:w="115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w:t>
            </w:r>
          </w:p>
        </w:tc>
        <w:tc>
          <w:tcPr>
            <w:tcW w:w="138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r>
      <w:tr w:rsidR="00D1297D" w:rsidRPr="00D1297D" w:rsidTr="002018C4">
        <w:trPr>
          <w:trHeight w:val="300"/>
          <w:jc w:val="center"/>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5,00 </w:t>
            </w:r>
          </w:p>
        </w:tc>
        <w:tc>
          <w:tcPr>
            <w:tcW w:w="135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10.000 </w:t>
            </w:r>
          </w:p>
        </w:tc>
        <w:tc>
          <w:tcPr>
            <w:tcW w:w="115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38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c>
          <w:tcPr>
            <w:tcW w:w="147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r>
    </w:tbl>
    <w:p w:rsidR="00D1297D" w:rsidRPr="00D1297D" w:rsidRDefault="00D1297D" w:rsidP="00D1297D">
      <w:pPr>
        <w:autoSpaceDE w:val="0"/>
        <w:autoSpaceDN w:val="0"/>
        <w:adjustRightInd w:val="0"/>
        <w:spacing w:after="0" w:line="240" w:lineRule="auto"/>
        <w:jc w:val="center"/>
        <w:rPr>
          <w:rFonts w:ascii="Arial Narrow" w:hAnsi="Arial Narrow"/>
          <w:noProof/>
          <w:sz w:val="20"/>
          <w:szCs w:val="20"/>
        </w:rPr>
      </w:pPr>
      <w:r w:rsidRPr="00D1297D">
        <w:rPr>
          <w:rFonts w:ascii="Arial Narrow" w:hAnsi="Arial Narrow"/>
          <w:noProof/>
          <w:sz w:val="20"/>
          <w:szCs w:val="20"/>
          <w:lang w:eastAsia="es-CO"/>
        </w:rPr>
        <w:lastRenderedPageBreak/>
        <w:drawing>
          <wp:inline distT="0" distB="0" distL="0" distR="0">
            <wp:extent cx="4503420" cy="2757170"/>
            <wp:effectExtent l="0" t="0" r="11430" b="5080"/>
            <wp:docPr id="5" name="Gráfico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1297D" w:rsidRPr="00D1297D" w:rsidRDefault="00D1297D" w:rsidP="00D1297D">
      <w:pPr>
        <w:autoSpaceDE w:val="0"/>
        <w:autoSpaceDN w:val="0"/>
        <w:adjustRightInd w:val="0"/>
        <w:spacing w:after="0" w:line="240" w:lineRule="auto"/>
        <w:jc w:val="both"/>
        <w:rPr>
          <w:rFonts w:ascii="Arial Narrow" w:hAnsi="Arial Narrow"/>
          <w:noProof/>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lang w:val="es-ES"/>
        </w:rPr>
      </w:pPr>
      <w:r w:rsidRPr="00D1297D">
        <w:rPr>
          <w:rFonts w:ascii="Arial Narrow" w:hAnsi="Arial Narrow"/>
          <w:iCs/>
          <w:sz w:val="20"/>
          <w:szCs w:val="20"/>
        </w:rPr>
        <w:t>De la muestra podemos analizar que el</w:t>
      </w:r>
      <w:r w:rsidRPr="00D1297D">
        <w:rPr>
          <w:rFonts w:ascii="Arial Narrow" w:hAnsi="Arial Narrow"/>
          <w:sz w:val="20"/>
          <w:szCs w:val="20"/>
          <w:lang w:val="es-ES"/>
        </w:rPr>
        <w:t xml:space="preserve"> rango más representativo es el establecido para el indicador de liquidez entre 2.00 y 3.99 con el 66.67% de participación; ahora bien, teniendo en cuenta el objeto del contrato determina que el oferente debe gozar de un alto grado de liquidez. Por lo que se establece el indicador en 2 veces con base al estudio realizado. Es decir, los proponentes que tengan un índice de Liquidez mayor o igual a 2 quedan habilitados con respecto a este indicador.</w:t>
      </w:r>
    </w:p>
    <w:p w:rsidR="00D1297D" w:rsidRPr="00D1297D" w:rsidRDefault="00D1297D" w:rsidP="00D1297D">
      <w:pPr>
        <w:autoSpaceDE w:val="0"/>
        <w:autoSpaceDN w:val="0"/>
        <w:adjustRightInd w:val="0"/>
        <w:spacing w:after="0" w:line="240" w:lineRule="auto"/>
        <w:jc w:val="both"/>
        <w:rPr>
          <w:rFonts w:ascii="Arial Narrow" w:hAnsi="Arial Narrow"/>
          <w:b/>
          <w:sz w:val="20"/>
          <w:szCs w:val="20"/>
          <w:lang w:val="es-ES" w:eastAsia="es-ES"/>
        </w:rPr>
      </w:pPr>
    </w:p>
    <w:p w:rsidR="00D1297D" w:rsidRPr="00D1297D" w:rsidRDefault="00D1297D" w:rsidP="00D1297D">
      <w:pPr>
        <w:autoSpaceDE w:val="0"/>
        <w:autoSpaceDN w:val="0"/>
        <w:adjustRightInd w:val="0"/>
        <w:spacing w:after="0" w:line="240" w:lineRule="auto"/>
        <w:jc w:val="both"/>
        <w:rPr>
          <w:rFonts w:ascii="Arial Narrow" w:hAnsi="Arial Narrow"/>
          <w:b/>
          <w:sz w:val="20"/>
          <w:szCs w:val="20"/>
          <w:lang w:val="es-ES" w:eastAsia="es-ES"/>
        </w:rPr>
      </w:pPr>
      <w:r w:rsidRPr="00D1297D">
        <w:rPr>
          <w:rFonts w:ascii="Arial Narrow" w:hAnsi="Arial Narrow"/>
          <w:b/>
          <w:sz w:val="20"/>
          <w:szCs w:val="20"/>
          <w:lang w:val="es-ES" w:eastAsia="es-ES"/>
        </w:rPr>
        <w:t xml:space="preserve">Indicador de Nivel de Endeudamiento: </w:t>
      </w:r>
    </w:p>
    <w:p w:rsidR="00D1297D" w:rsidRPr="00D1297D" w:rsidRDefault="00D1297D" w:rsidP="00D1297D">
      <w:pPr>
        <w:autoSpaceDE w:val="0"/>
        <w:autoSpaceDN w:val="0"/>
        <w:adjustRightInd w:val="0"/>
        <w:spacing w:after="0" w:line="240" w:lineRule="auto"/>
        <w:jc w:val="both"/>
        <w:rPr>
          <w:rFonts w:ascii="Arial Narrow" w:hAnsi="Arial Narrow"/>
          <w:b/>
          <w:sz w:val="20"/>
          <w:szCs w:val="20"/>
          <w:lang w:val="es-ES" w:eastAsia="es-ES"/>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lang w:val="es-ES" w:eastAsia="es-ES"/>
        </w:rPr>
      </w:pPr>
      <w:r w:rsidRPr="00D1297D">
        <w:rPr>
          <w:rFonts w:ascii="Arial Narrow" w:hAnsi="Arial Narrow"/>
          <w:sz w:val="20"/>
          <w:szCs w:val="20"/>
          <w:lang w:val="es-ES" w:eastAsia="es-ES"/>
        </w:rPr>
        <w:t>Mide la capacidad que tiene el proponente de contraer obligaciones para financiar sus operaciones e inversiones (Ejecución Contractual), y respaldar las mismas con su capital propio; es decir, evalúan la capacidad que tiene el proponente para responder a sus obligaciones, acudiendo al patrimonio.</w:t>
      </w:r>
    </w:p>
    <w:p w:rsidR="00D1297D" w:rsidRPr="00D1297D" w:rsidRDefault="00D1297D" w:rsidP="00D1297D">
      <w:pPr>
        <w:autoSpaceDE w:val="0"/>
        <w:autoSpaceDN w:val="0"/>
        <w:adjustRightInd w:val="0"/>
        <w:spacing w:after="0" w:line="240" w:lineRule="auto"/>
        <w:jc w:val="both"/>
        <w:rPr>
          <w:rFonts w:ascii="Arial Narrow" w:hAnsi="Arial Narrow"/>
          <w:sz w:val="20"/>
          <w:szCs w:val="20"/>
          <w:lang w:val="es-ES"/>
        </w:rPr>
      </w:pPr>
    </w:p>
    <w:tbl>
      <w:tblPr>
        <w:tblW w:w="6480" w:type="dxa"/>
        <w:jc w:val="center"/>
        <w:tblCellMar>
          <w:left w:w="70" w:type="dxa"/>
          <w:right w:w="70" w:type="dxa"/>
        </w:tblCellMar>
        <w:tblLook w:val="04A0" w:firstRow="1" w:lastRow="0" w:firstColumn="1" w:lastColumn="0" w:noHBand="0" w:noVBand="1"/>
      </w:tblPr>
      <w:tblGrid>
        <w:gridCol w:w="1138"/>
        <w:gridCol w:w="739"/>
        <w:gridCol w:w="1356"/>
        <w:gridCol w:w="1591"/>
        <w:gridCol w:w="1656"/>
      </w:tblGrid>
      <w:tr w:rsidR="00D1297D" w:rsidRPr="00D1297D" w:rsidTr="002018C4">
        <w:trPr>
          <w:trHeight w:val="300"/>
          <w:jc w:val="center"/>
        </w:trPr>
        <w:tc>
          <w:tcPr>
            <w:tcW w:w="6480"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ENDEUDAMIENTO</w:t>
            </w:r>
          </w:p>
        </w:tc>
      </w:tr>
      <w:tr w:rsidR="00D1297D" w:rsidRPr="00D1297D" w:rsidTr="002018C4">
        <w:trPr>
          <w:trHeight w:val="870"/>
          <w:jc w:val="center"/>
        </w:trPr>
        <w:tc>
          <w:tcPr>
            <w:tcW w:w="1877" w:type="dxa"/>
            <w:gridSpan w:val="2"/>
            <w:tcBorders>
              <w:top w:val="single" w:sz="4" w:space="0" w:color="auto"/>
              <w:left w:val="single" w:sz="4" w:space="0" w:color="auto"/>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Rango (%)</w:t>
            </w:r>
          </w:p>
        </w:tc>
        <w:tc>
          <w:tcPr>
            <w:tcW w:w="1356" w:type="dxa"/>
            <w:tcBorders>
              <w:top w:val="nil"/>
              <w:left w:val="nil"/>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Frecuencia</w:t>
            </w:r>
          </w:p>
        </w:tc>
        <w:tc>
          <w:tcPr>
            <w:tcW w:w="1591"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Relativa)</w:t>
            </w:r>
          </w:p>
        </w:tc>
        <w:tc>
          <w:tcPr>
            <w:tcW w:w="1656"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Acumulada)</w:t>
            </w:r>
          </w:p>
        </w:tc>
      </w:tr>
      <w:tr w:rsidR="00D1297D" w:rsidRPr="00D1297D" w:rsidTr="002018C4">
        <w:trPr>
          <w:trHeight w:val="315"/>
          <w:jc w:val="center"/>
        </w:trPr>
        <w:tc>
          <w:tcPr>
            <w:tcW w:w="1138"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73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w:t>
            </w:r>
          </w:p>
        </w:tc>
        <w:tc>
          <w:tcPr>
            <w:tcW w:w="13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59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656"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r>
      <w:tr w:rsidR="00D1297D" w:rsidRPr="00D1297D" w:rsidTr="002018C4">
        <w:trPr>
          <w:trHeight w:val="300"/>
          <w:jc w:val="center"/>
        </w:trPr>
        <w:tc>
          <w:tcPr>
            <w:tcW w:w="1138"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w:t>
            </w:r>
          </w:p>
        </w:tc>
        <w:tc>
          <w:tcPr>
            <w:tcW w:w="73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20,0%</w:t>
            </w:r>
          </w:p>
        </w:tc>
        <w:tc>
          <w:tcPr>
            <w:tcW w:w="13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59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6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r>
      <w:tr w:rsidR="00D1297D" w:rsidRPr="00D1297D" w:rsidTr="002018C4">
        <w:trPr>
          <w:trHeight w:val="300"/>
          <w:jc w:val="center"/>
        </w:trPr>
        <w:tc>
          <w:tcPr>
            <w:tcW w:w="1138"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20,0%</w:t>
            </w:r>
          </w:p>
        </w:tc>
        <w:tc>
          <w:tcPr>
            <w:tcW w:w="73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30,0%</w:t>
            </w:r>
          </w:p>
        </w:tc>
        <w:tc>
          <w:tcPr>
            <w:tcW w:w="13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59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6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r>
      <w:tr w:rsidR="00D1297D" w:rsidRPr="00D1297D" w:rsidTr="002018C4">
        <w:trPr>
          <w:trHeight w:val="300"/>
          <w:jc w:val="center"/>
        </w:trPr>
        <w:tc>
          <w:tcPr>
            <w:tcW w:w="1138"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30,0%</w:t>
            </w:r>
          </w:p>
        </w:tc>
        <w:tc>
          <w:tcPr>
            <w:tcW w:w="73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40,0%</w:t>
            </w:r>
          </w:p>
        </w:tc>
        <w:tc>
          <w:tcPr>
            <w:tcW w:w="13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59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c>
          <w:tcPr>
            <w:tcW w:w="16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26,67%</w:t>
            </w:r>
          </w:p>
        </w:tc>
      </w:tr>
      <w:tr w:rsidR="00D1297D" w:rsidRPr="00D1297D" w:rsidTr="002018C4">
        <w:trPr>
          <w:trHeight w:val="300"/>
          <w:jc w:val="center"/>
        </w:trPr>
        <w:tc>
          <w:tcPr>
            <w:tcW w:w="1138"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40,0%</w:t>
            </w:r>
          </w:p>
        </w:tc>
        <w:tc>
          <w:tcPr>
            <w:tcW w:w="73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50,0%</w:t>
            </w:r>
          </w:p>
        </w:tc>
        <w:tc>
          <w:tcPr>
            <w:tcW w:w="13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rPr>
                <w:rFonts w:ascii="Arial Narrow" w:hAnsi="Arial Narrow" w:cs="Calibri"/>
                <w:color w:val="000000"/>
                <w:sz w:val="20"/>
                <w:szCs w:val="20"/>
              </w:rPr>
            </w:pPr>
            <w:r w:rsidRPr="00D1297D">
              <w:rPr>
                <w:rFonts w:ascii="Arial Narrow" w:hAnsi="Arial Narrow" w:cs="Calibri"/>
                <w:color w:val="000000"/>
                <w:sz w:val="20"/>
                <w:szCs w:val="20"/>
              </w:rPr>
              <w:t xml:space="preserve">          3 </w:t>
            </w:r>
          </w:p>
        </w:tc>
        <w:tc>
          <w:tcPr>
            <w:tcW w:w="159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20,00%</w:t>
            </w:r>
          </w:p>
        </w:tc>
        <w:tc>
          <w:tcPr>
            <w:tcW w:w="16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46,67%</w:t>
            </w:r>
          </w:p>
        </w:tc>
      </w:tr>
      <w:tr w:rsidR="00D1297D" w:rsidRPr="00D1297D" w:rsidTr="002018C4">
        <w:trPr>
          <w:trHeight w:val="300"/>
          <w:jc w:val="center"/>
        </w:trPr>
        <w:tc>
          <w:tcPr>
            <w:tcW w:w="1138"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50,0%</w:t>
            </w:r>
          </w:p>
        </w:tc>
        <w:tc>
          <w:tcPr>
            <w:tcW w:w="73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60,0%</w:t>
            </w:r>
          </w:p>
        </w:tc>
        <w:tc>
          <w:tcPr>
            <w:tcW w:w="13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rPr>
                <w:rFonts w:ascii="Arial Narrow" w:hAnsi="Arial Narrow" w:cs="Calibri"/>
                <w:color w:val="000000"/>
                <w:sz w:val="20"/>
                <w:szCs w:val="20"/>
              </w:rPr>
            </w:pPr>
            <w:r w:rsidRPr="00D1297D">
              <w:rPr>
                <w:rFonts w:ascii="Arial Narrow" w:hAnsi="Arial Narrow" w:cs="Calibri"/>
                <w:color w:val="000000"/>
                <w:sz w:val="20"/>
                <w:szCs w:val="20"/>
              </w:rPr>
              <w:t xml:space="preserve">          3 </w:t>
            </w:r>
          </w:p>
        </w:tc>
        <w:tc>
          <w:tcPr>
            <w:tcW w:w="159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20,00%</w:t>
            </w:r>
          </w:p>
        </w:tc>
        <w:tc>
          <w:tcPr>
            <w:tcW w:w="16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66,67%</w:t>
            </w:r>
          </w:p>
        </w:tc>
      </w:tr>
      <w:tr w:rsidR="00D1297D" w:rsidRPr="00D1297D" w:rsidTr="002018C4">
        <w:trPr>
          <w:trHeight w:val="300"/>
          <w:jc w:val="center"/>
        </w:trPr>
        <w:tc>
          <w:tcPr>
            <w:tcW w:w="1138"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60,0%</w:t>
            </w:r>
          </w:p>
        </w:tc>
        <w:tc>
          <w:tcPr>
            <w:tcW w:w="73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70,0%</w:t>
            </w:r>
          </w:p>
        </w:tc>
        <w:tc>
          <w:tcPr>
            <w:tcW w:w="13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59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6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73,33%</w:t>
            </w:r>
          </w:p>
        </w:tc>
      </w:tr>
      <w:tr w:rsidR="00D1297D" w:rsidRPr="00D1297D" w:rsidTr="002018C4">
        <w:trPr>
          <w:trHeight w:val="300"/>
          <w:jc w:val="center"/>
        </w:trPr>
        <w:tc>
          <w:tcPr>
            <w:tcW w:w="1138" w:type="dxa"/>
            <w:tcBorders>
              <w:top w:val="nil"/>
              <w:left w:val="single" w:sz="4" w:space="0" w:color="auto"/>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70,0%</w:t>
            </w:r>
          </w:p>
        </w:tc>
        <w:tc>
          <w:tcPr>
            <w:tcW w:w="739" w:type="dxa"/>
            <w:tcBorders>
              <w:top w:val="nil"/>
              <w:left w:val="nil"/>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80,0%</w:t>
            </w:r>
          </w:p>
        </w:tc>
        <w:tc>
          <w:tcPr>
            <w:tcW w:w="1356" w:type="dxa"/>
            <w:tcBorders>
              <w:top w:val="nil"/>
              <w:left w:val="nil"/>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591" w:type="dxa"/>
            <w:tcBorders>
              <w:top w:val="nil"/>
              <w:left w:val="nil"/>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c>
          <w:tcPr>
            <w:tcW w:w="1656" w:type="dxa"/>
            <w:tcBorders>
              <w:top w:val="nil"/>
              <w:left w:val="nil"/>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86,67%</w:t>
            </w:r>
          </w:p>
        </w:tc>
      </w:tr>
      <w:tr w:rsidR="00D1297D" w:rsidRPr="00D1297D" w:rsidTr="002018C4">
        <w:trPr>
          <w:trHeight w:val="300"/>
          <w:jc w:val="center"/>
        </w:trPr>
        <w:tc>
          <w:tcPr>
            <w:tcW w:w="1138"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80,0%</w:t>
            </w:r>
          </w:p>
        </w:tc>
        <w:tc>
          <w:tcPr>
            <w:tcW w:w="73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w:t>
            </w:r>
          </w:p>
        </w:tc>
        <w:tc>
          <w:tcPr>
            <w:tcW w:w="13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59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65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86,67%</w:t>
            </w:r>
          </w:p>
        </w:tc>
      </w:tr>
    </w:tbl>
    <w:p w:rsidR="00D1297D" w:rsidRPr="00D1297D" w:rsidRDefault="00D1297D" w:rsidP="00D1297D">
      <w:pPr>
        <w:autoSpaceDE w:val="0"/>
        <w:autoSpaceDN w:val="0"/>
        <w:adjustRightInd w:val="0"/>
        <w:spacing w:after="0" w:line="240" w:lineRule="auto"/>
        <w:jc w:val="both"/>
        <w:rPr>
          <w:rFonts w:ascii="Arial Narrow" w:hAnsi="Arial Narrow"/>
          <w:sz w:val="20"/>
          <w:szCs w:val="20"/>
          <w:lang w:val="es-ES"/>
        </w:rPr>
      </w:pPr>
    </w:p>
    <w:p w:rsidR="00D1297D" w:rsidRPr="00D1297D" w:rsidRDefault="00D1297D" w:rsidP="00D1297D">
      <w:pPr>
        <w:autoSpaceDE w:val="0"/>
        <w:autoSpaceDN w:val="0"/>
        <w:adjustRightInd w:val="0"/>
        <w:spacing w:after="0" w:line="240" w:lineRule="auto"/>
        <w:jc w:val="center"/>
        <w:rPr>
          <w:rFonts w:ascii="Arial Narrow" w:hAnsi="Arial Narrow"/>
          <w:sz w:val="20"/>
          <w:szCs w:val="20"/>
          <w:lang w:val="es-ES"/>
        </w:rPr>
      </w:pPr>
      <w:r w:rsidRPr="00D1297D">
        <w:rPr>
          <w:rFonts w:ascii="Arial Narrow" w:hAnsi="Arial Narrow"/>
          <w:noProof/>
          <w:sz w:val="20"/>
          <w:szCs w:val="20"/>
          <w:lang w:eastAsia="es-CO"/>
        </w:rPr>
        <w:lastRenderedPageBreak/>
        <w:drawing>
          <wp:inline distT="0" distB="0" distL="0" distR="0">
            <wp:extent cx="4591050" cy="2852420"/>
            <wp:effectExtent l="0" t="0" r="0" b="5080"/>
            <wp:docPr id="4"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D1297D" w:rsidRPr="00D1297D" w:rsidRDefault="00D1297D" w:rsidP="00D1297D">
      <w:pPr>
        <w:autoSpaceDE w:val="0"/>
        <w:autoSpaceDN w:val="0"/>
        <w:adjustRightInd w:val="0"/>
        <w:spacing w:after="0" w:line="240" w:lineRule="auto"/>
        <w:jc w:val="both"/>
        <w:rPr>
          <w:rFonts w:ascii="Arial Narrow" w:hAnsi="Arial Narrow"/>
          <w:sz w:val="20"/>
          <w:szCs w:val="20"/>
          <w:lang w:val="es-ES"/>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lang w:val="es-ES"/>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lang w:val="es-ES"/>
        </w:rPr>
      </w:pPr>
      <w:r w:rsidRPr="00D1297D">
        <w:rPr>
          <w:rFonts w:ascii="Arial Narrow" w:hAnsi="Arial Narrow"/>
          <w:sz w:val="20"/>
          <w:szCs w:val="20"/>
          <w:lang w:val="es-ES"/>
        </w:rPr>
        <w:t xml:space="preserve">De acuerdo a la muestra tomada, se observa que existe un dispersión en los datos de la muestra que oscila entre el 10.00% y 80,00%, encontrando un total de 15 empresas las cuales representan un 100%, del total de la muestra; a nivel general se observa que las empresas clasificadas en esta actividad económica presentan un endeudamiento favorable lo cual traduce el cumplimiento de sus obligaciones en el largo plazo, o que su patrimonio satisface el cumplimiento de las obligaciones totales del futuros proponentes; se establece para el presente proceso un índice de endeudamiento menor o igual al </w:t>
      </w:r>
      <w:r w:rsidRPr="00D1297D">
        <w:rPr>
          <w:rFonts w:ascii="Arial Narrow" w:hAnsi="Arial Narrow"/>
          <w:b/>
          <w:sz w:val="20"/>
          <w:szCs w:val="20"/>
          <w:lang w:val="es-ES"/>
        </w:rPr>
        <w:t>75%</w:t>
      </w:r>
      <w:r w:rsidRPr="00D1297D">
        <w:rPr>
          <w:rFonts w:ascii="Arial Narrow" w:hAnsi="Arial Narrow"/>
          <w:sz w:val="20"/>
          <w:szCs w:val="20"/>
          <w:lang w:val="es-ES"/>
        </w:rPr>
        <w:t xml:space="preserve">, el cual representa un total de 15 empresas analizadas es decir el 100% de la muestra. </w:t>
      </w:r>
    </w:p>
    <w:p w:rsidR="00D1297D" w:rsidRPr="00D1297D" w:rsidRDefault="00D1297D" w:rsidP="00D1297D">
      <w:pPr>
        <w:autoSpaceDE w:val="0"/>
        <w:autoSpaceDN w:val="0"/>
        <w:adjustRightInd w:val="0"/>
        <w:spacing w:after="0" w:line="240" w:lineRule="auto"/>
        <w:jc w:val="both"/>
        <w:rPr>
          <w:rFonts w:ascii="Arial Narrow" w:hAnsi="Arial Narrow"/>
          <w:sz w:val="20"/>
          <w:szCs w:val="20"/>
          <w:lang w:val="es-ES"/>
        </w:rPr>
      </w:pPr>
    </w:p>
    <w:p w:rsidR="00D1297D" w:rsidRPr="00D1297D" w:rsidRDefault="00D1297D" w:rsidP="00D1297D">
      <w:pPr>
        <w:spacing w:after="160" w:line="259" w:lineRule="auto"/>
        <w:rPr>
          <w:rFonts w:ascii="Arial Narrow" w:hAnsi="Arial Narrow"/>
          <w:b/>
          <w:bCs/>
          <w:sz w:val="20"/>
          <w:szCs w:val="20"/>
        </w:rPr>
      </w:pPr>
      <w:r w:rsidRPr="00D1297D">
        <w:rPr>
          <w:rFonts w:ascii="Arial Narrow" w:hAnsi="Arial Narrow"/>
          <w:b/>
          <w:bCs/>
          <w:sz w:val="20"/>
          <w:szCs w:val="20"/>
        </w:rPr>
        <w:t xml:space="preserve">Indicador de Razón de Cobertura de Intereses: </w:t>
      </w:r>
    </w:p>
    <w:p w:rsidR="00D1297D" w:rsidRPr="00D1297D" w:rsidRDefault="00D1297D" w:rsidP="00D1297D">
      <w:pPr>
        <w:spacing w:line="240" w:lineRule="auto"/>
        <w:jc w:val="both"/>
        <w:rPr>
          <w:rFonts w:ascii="Arial Narrow" w:hAnsi="Arial Narrow"/>
          <w:sz w:val="20"/>
          <w:szCs w:val="20"/>
        </w:rPr>
      </w:pPr>
      <w:r w:rsidRPr="00D1297D">
        <w:rPr>
          <w:rFonts w:ascii="Arial Narrow" w:hAnsi="Arial Narrow"/>
          <w:sz w:val="20"/>
          <w:szCs w:val="20"/>
        </w:rPr>
        <w:t>Este indicador establece una relación entre las utilidades operacionales de la empresa y los gastos por intereses, refleja la capacidad del proponente de cumplir con sus gastos originados por la consecución de obligaciones financieras. A mayor cobertura de intereses, menor es la probabilidad de que el proponente incumpla con el pago de las obligaciones financieras contraídas al corto y largo plazo.</w:t>
      </w:r>
    </w:p>
    <w:tbl>
      <w:tblPr>
        <w:tblW w:w="6438" w:type="dxa"/>
        <w:jc w:val="center"/>
        <w:tblCellMar>
          <w:left w:w="70" w:type="dxa"/>
          <w:right w:w="70" w:type="dxa"/>
        </w:tblCellMar>
        <w:tblLook w:val="04A0" w:firstRow="1" w:lastRow="0" w:firstColumn="1" w:lastColumn="0" w:noHBand="0" w:noVBand="1"/>
      </w:tblPr>
      <w:tblGrid>
        <w:gridCol w:w="1215"/>
        <w:gridCol w:w="1216"/>
        <w:gridCol w:w="1274"/>
        <w:gridCol w:w="1347"/>
        <w:gridCol w:w="1386"/>
      </w:tblGrid>
      <w:tr w:rsidR="00D1297D" w:rsidRPr="00D1297D" w:rsidTr="002018C4">
        <w:trPr>
          <w:trHeight w:val="240"/>
          <w:jc w:val="center"/>
        </w:trPr>
        <w:tc>
          <w:tcPr>
            <w:tcW w:w="6438"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COBERTURA DE INTERESES</w:t>
            </w:r>
          </w:p>
        </w:tc>
      </w:tr>
      <w:tr w:rsidR="00D1297D" w:rsidRPr="00D1297D" w:rsidTr="002018C4">
        <w:trPr>
          <w:trHeight w:val="974"/>
          <w:jc w:val="center"/>
        </w:trPr>
        <w:tc>
          <w:tcPr>
            <w:tcW w:w="2431" w:type="dxa"/>
            <w:gridSpan w:val="2"/>
            <w:tcBorders>
              <w:top w:val="single" w:sz="4" w:space="0" w:color="auto"/>
              <w:left w:val="single" w:sz="4" w:space="0" w:color="auto"/>
              <w:bottom w:val="nil"/>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Rango</w:t>
            </w:r>
          </w:p>
        </w:tc>
        <w:tc>
          <w:tcPr>
            <w:tcW w:w="1274" w:type="dxa"/>
            <w:tcBorders>
              <w:top w:val="nil"/>
              <w:left w:val="nil"/>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Frecuencia</w:t>
            </w:r>
          </w:p>
        </w:tc>
        <w:tc>
          <w:tcPr>
            <w:tcW w:w="1347"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Relativa)</w:t>
            </w:r>
          </w:p>
        </w:tc>
        <w:tc>
          <w:tcPr>
            <w:tcW w:w="1386"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Acumulada)</w:t>
            </w:r>
          </w:p>
        </w:tc>
      </w:tr>
      <w:tr w:rsidR="00D1297D" w:rsidRPr="00D1297D" w:rsidTr="002018C4">
        <w:trPr>
          <w:trHeight w:val="252"/>
          <w:jc w:val="center"/>
        </w:trPr>
        <w:tc>
          <w:tcPr>
            <w:tcW w:w="12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p>
        </w:tc>
        <w:tc>
          <w:tcPr>
            <w:tcW w:w="1215"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274"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347" w:type="dxa"/>
            <w:tcBorders>
              <w:top w:val="nil"/>
              <w:left w:val="nil"/>
              <w:bottom w:val="nil"/>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86" w:type="dxa"/>
            <w:tcBorders>
              <w:top w:val="single" w:sz="4" w:space="0" w:color="auto"/>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100,00%</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0,01</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0,99</w:t>
            </w:r>
          </w:p>
        </w:tc>
        <w:tc>
          <w:tcPr>
            <w:tcW w:w="1274"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16,67%</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100,00%</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1,00</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1,99</w:t>
            </w:r>
          </w:p>
        </w:tc>
        <w:tc>
          <w:tcPr>
            <w:tcW w:w="1274"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347"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16,67%</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83,33%</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2,00</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2,99</w:t>
            </w:r>
          </w:p>
        </w:tc>
        <w:tc>
          <w:tcPr>
            <w:tcW w:w="1274"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347"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16,67%</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66,67%</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3,00</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3,99</w:t>
            </w:r>
          </w:p>
        </w:tc>
        <w:tc>
          <w:tcPr>
            <w:tcW w:w="1274"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347"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50,00%</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4,00</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4,99</w:t>
            </w:r>
          </w:p>
        </w:tc>
        <w:tc>
          <w:tcPr>
            <w:tcW w:w="1274"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347"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50,00%</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5,00</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5,99</w:t>
            </w:r>
          </w:p>
        </w:tc>
        <w:tc>
          <w:tcPr>
            <w:tcW w:w="1274"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347"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50,00%</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6,00</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6,99</w:t>
            </w:r>
          </w:p>
        </w:tc>
        <w:tc>
          <w:tcPr>
            <w:tcW w:w="1274"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347"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50,00%</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7,00</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7,99</w:t>
            </w:r>
          </w:p>
        </w:tc>
        <w:tc>
          <w:tcPr>
            <w:tcW w:w="1274"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347"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8,33%</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50,00%</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8,00</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8,99</w:t>
            </w:r>
          </w:p>
        </w:tc>
        <w:tc>
          <w:tcPr>
            <w:tcW w:w="1274"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347"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41,67%</w:t>
            </w:r>
          </w:p>
        </w:tc>
      </w:tr>
      <w:tr w:rsidR="00D1297D" w:rsidRPr="00D1297D" w:rsidTr="002018C4">
        <w:trPr>
          <w:trHeight w:val="240"/>
          <w:jc w:val="center"/>
        </w:trPr>
        <w:tc>
          <w:tcPr>
            <w:tcW w:w="1215"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9,00</w:t>
            </w:r>
          </w:p>
        </w:tc>
        <w:tc>
          <w:tcPr>
            <w:tcW w:w="121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10.000,0</w:t>
            </w:r>
          </w:p>
        </w:tc>
        <w:tc>
          <w:tcPr>
            <w:tcW w:w="1274"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5 </w:t>
            </w:r>
          </w:p>
        </w:tc>
        <w:tc>
          <w:tcPr>
            <w:tcW w:w="1347"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41,67%</w:t>
            </w:r>
          </w:p>
        </w:tc>
        <w:tc>
          <w:tcPr>
            <w:tcW w:w="1386"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41,67%</w:t>
            </w:r>
          </w:p>
        </w:tc>
      </w:tr>
    </w:tbl>
    <w:p w:rsidR="00D1297D" w:rsidRPr="00D1297D" w:rsidRDefault="00D1297D" w:rsidP="00D1297D">
      <w:pPr>
        <w:spacing w:line="240" w:lineRule="auto"/>
        <w:jc w:val="both"/>
        <w:rPr>
          <w:rFonts w:ascii="Arial Narrow" w:hAnsi="Arial Narrow"/>
          <w:sz w:val="20"/>
          <w:szCs w:val="20"/>
        </w:rPr>
      </w:pPr>
    </w:p>
    <w:p w:rsidR="00D1297D" w:rsidRPr="00D1297D" w:rsidRDefault="00D1297D" w:rsidP="00D1297D">
      <w:pPr>
        <w:spacing w:line="240" w:lineRule="auto"/>
        <w:jc w:val="center"/>
        <w:rPr>
          <w:rFonts w:ascii="Arial Narrow" w:hAnsi="Arial Narrow"/>
          <w:sz w:val="20"/>
          <w:szCs w:val="20"/>
        </w:rPr>
      </w:pPr>
      <w:r w:rsidRPr="00D1297D">
        <w:rPr>
          <w:rFonts w:ascii="Arial Narrow" w:hAnsi="Arial Narrow"/>
          <w:noProof/>
          <w:sz w:val="20"/>
          <w:szCs w:val="20"/>
          <w:lang w:eastAsia="es-CO"/>
        </w:rPr>
        <w:lastRenderedPageBreak/>
        <w:drawing>
          <wp:inline distT="0" distB="0" distL="0" distR="0">
            <wp:extent cx="4723130" cy="2776855"/>
            <wp:effectExtent l="0" t="0" r="1270" b="4445"/>
            <wp:docPr id="3" name="Grá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1297D" w:rsidRPr="00D1297D" w:rsidRDefault="00D1297D" w:rsidP="00D1297D">
      <w:pPr>
        <w:spacing w:after="0" w:line="240" w:lineRule="auto"/>
        <w:jc w:val="both"/>
        <w:rPr>
          <w:rFonts w:ascii="Arial Narrow" w:hAnsi="Arial Narrow" w:cs="Arial"/>
          <w:sz w:val="20"/>
          <w:szCs w:val="20"/>
          <w:lang w:val="es-ES"/>
        </w:rPr>
      </w:pPr>
      <w:r w:rsidRPr="00D1297D">
        <w:rPr>
          <w:rFonts w:ascii="Arial Narrow" w:hAnsi="Arial Narrow" w:cs="Arial"/>
          <w:sz w:val="20"/>
          <w:szCs w:val="20"/>
          <w:lang w:val="es-ES"/>
        </w:rPr>
        <w:t xml:space="preserve">Este indicador suele mostrar datos extremos los cuales se deben manejar como datos atípicos, debido a que varias empresas muestran unos gastos de intereses mínimos en comparación a su utilidad, por lo que resulta en un indicador alto que distorsiona el comportamiento de la muestra. De acuerdo a la muestra tomada la mayor concentración de RCI está a más de 9 veces, con el fin de dar pluralidad de oferentes la administración decide establecer como indicador de RCI mayor o igual a 0 donde se da un margen de participación de 85% a la muestra. Es decir, los proponentes que tengan un índice de razón de cobertura de intereses mayor o igual a </w:t>
      </w:r>
      <w:r w:rsidRPr="00D1297D">
        <w:rPr>
          <w:rFonts w:ascii="Arial Narrow" w:hAnsi="Arial Narrow" w:cs="Arial"/>
          <w:b/>
          <w:sz w:val="20"/>
          <w:szCs w:val="20"/>
          <w:lang w:val="es-ES"/>
        </w:rPr>
        <w:t>0</w:t>
      </w:r>
      <w:r w:rsidRPr="00D1297D">
        <w:rPr>
          <w:rFonts w:ascii="Arial Narrow" w:hAnsi="Arial Narrow" w:cs="Arial"/>
          <w:sz w:val="20"/>
          <w:szCs w:val="20"/>
          <w:lang w:val="es-ES"/>
        </w:rPr>
        <w:t xml:space="preserve"> quedan habilitados con respecto a este indicador. El proponente que no tenga gastos de intereses queda habilitado para este indicador porque no tiene intereses que cubrir.</w:t>
      </w:r>
    </w:p>
    <w:p w:rsidR="00D1297D" w:rsidRPr="00D1297D" w:rsidRDefault="00D1297D" w:rsidP="00D1297D">
      <w:pPr>
        <w:spacing w:after="0" w:line="240" w:lineRule="auto"/>
        <w:jc w:val="both"/>
        <w:rPr>
          <w:rFonts w:ascii="Arial Narrow" w:hAnsi="Arial Narrow" w:cs="Arial"/>
          <w:sz w:val="20"/>
          <w:szCs w:val="20"/>
          <w:lang w:val="es-ES"/>
        </w:rPr>
      </w:pPr>
    </w:p>
    <w:p w:rsidR="00D1297D" w:rsidRPr="00D1297D" w:rsidRDefault="00D1297D" w:rsidP="00D1297D">
      <w:pPr>
        <w:spacing w:line="240" w:lineRule="auto"/>
        <w:jc w:val="both"/>
        <w:rPr>
          <w:rFonts w:ascii="Arial Narrow" w:hAnsi="Arial Narrow"/>
          <w:bCs/>
          <w:iCs/>
          <w:sz w:val="20"/>
          <w:szCs w:val="20"/>
        </w:rPr>
      </w:pPr>
      <w:r w:rsidRPr="00D1297D">
        <w:rPr>
          <w:rFonts w:ascii="Arial Narrow" w:hAnsi="Arial Narrow"/>
          <w:b/>
          <w:bCs/>
          <w:iCs/>
          <w:sz w:val="20"/>
          <w:szCs w:val="20"/>
        </w:rPr>
        <w:t>Capital de Trabajo:</w:t>
      </w:r>
      <w:r w:rsidRPr="00D1297D">
        <w:rPr>
          <w:rFonts w:ascii="Arial Narrow" w:hAnsi="Arial Narrow"/>
          <w:bCs/>
          <w:iCs/>
          <w:sz w:val="20"/>
          <w:szCs w:val="20"/>
        </w:rPr>
        <w:t xml:space="preserve"> </w:t>
      </w:r>
    </w:p>
    <w:p w:rsidR="00D1297D" w:rsidRPr="00D1297D" w:rsidRDefault="00D1297D" w:rsidP="00D1297D">
      <w:pPr>
        <w:spacing w:line="240" w:lineRule="auto"/>
        <w:jc w:val="both"/>
        <w:rPr>
          <w:rFonts w:ascii="Arial Narrow" w:hAnsi="Arial Narrow"/>
          <w:bCs/>
          <w:iCs/>
          <w:sz w:val="20"/>
          <w:szCs w:val="20"/>
        </w:rPr>
      </w:pPr>
      <w:r w:rsidRPr="00D1297D">
        <w:rPr>
          <w:rFonts w:ascii="Arial Narrow" w:hAnsi="Arial Narrow"/>
          <w:bCs/>
          <w:iCs/>
          <w:sz w:val="20"/>
          <w:szCs w:val="20"/>
        </w:rPr>
        <w:t>Este indicador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 Es recomendable su uso cuando la Entidad Estatal requiere analizar el nivel de liquidez en términos absolutos.</w:t>
      </w:r>
    </w:p>
    <w:tbl>
      <w:tblPr>
        <w:tblW w:w="7795" w:type="dxa"/>
        <w:jc w:val="center"/>
        <w:tblCellMar>
          <w:left w:w="70" w:type="dxa"/>
          <w:right w:w="70" w:type="dxa"/>
        </w:tblCellMar>
        <w:tblLook w:val="04A0" w:firstRow="1" w:lastRow="0" w:firstColumn="1" w:lastColumn="0" w:noHBand="0" w:noVBand="1"/>
      </w:tblPr>
      <w:tblGrid>
        <w:gridCol w:w="1364"/>
        <w:gridCol w:w="2205"/>
        <w:gridCol w:w="1485"/>
        <w:gridCol w:w="1291"/>
        <w:gridCol w:w="1450"/>
      </w:tblGrid>
      <w:tr w:rsidR="00D1297D" w:rsidRPr="00D1297D" w:rsidTr="002018C4">
        <w:trPr>
          <w:trHeight w:val="239"/>
          <w:jc w:val="center"/>
        </w:trPr>
        <w:tc>
          <w:tcPr>
            <w:tcW w:w="7795"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CAPITAL DE TRABAJO</w:t>
            </w:r>
          </w:p>
        </w:tc>
      </w:tr>
      <w:tr w:rsidR="00D1297D" w:rsidRPr="00D1297D" w:rsidTr="002018C4">
        <w:trPr>
          <w:trHeight w:val="603"/>
          <w:jc w:val="center"/>
        </w:trPr>
        <w:tc>
          <w:tcPr>
            <w:tcW w:w="3569" w:type="dxa"/>
            <w:gridSpan w:val="2"/>
            <w:tcBorders>
              <w:top w:val="single" w:sz="4" w:space="0" w:color="auto"/>
              <w:left w:val="single" w:sz="4" w:space="0" w:color="auto"/>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Rango</w:t>
            </w:r>
          </w:p>
        </w:tc>
        <w:tc>
          <w:tcPr>
            <w:tcW w:w="1485" w:type="dxa"/>
            <w:tcBorders>
              <w:top w:val="nil"/>
              <w:left w:val="nil"/>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Frecuencia</w:t>
            </w:r>
          </w:p>
        </w:tc>
        <w:tc>
          <w:tcPr>
            <w:tcW w:w="1291"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Relativa)</w:t>
            </w:r>
          </w:p>
        </w:tc>
        <w:tc>
          <w:tcPr>
            <w:tcW w:w="1449"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Acumulada)</w:t>
            </w:r>
          </w:p>
        </w:tc>
      </w:tr>
      <w:tr w:rsidR="00D1297D" w:rsidRPr="00D1297D" w:rsidTr="002018C4">
        <w:trPr>
          <w:trHeight w:val="251"/>
          <w:jc w:val="center"/>
        </w:trPr>
        <w:tc>
          <w:tcPr>
            <w:tcW w:w="1364" w:type="dxa"/>
            <w:tcBorders>
              <w:top w:val="nil"/>
              <w:left w:val="single" w:sz="4" w:space="0" w:color="auto"/>
              <w:bottom w:val="nil"/>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w:t>
            </w:r>
          </w:p>
        </w:tc>
        <w:tc>
          <w:tcPr>
            <w:tcW w:w="2205"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w:t>
            </w:r>
          </w:p>
        </w:tc>
        <w:tc>
          <w:tcPr>
            <w:tcW w:w="1485"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291" w:type="dxa"/>
            <w:tcBorders>
              <w:top w:val="nil"/>
              <w:left w:val="nil"/>
              <w:bottom w:val="nil"/>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14,29%</w:t>
            </w:r>
          </w:p>
        </w:tc>
        <w:tc>
          <w:tcPr>
            <w:tcW w:w="1449" w:type="dxa"/>
            <w:tcBorders>
              <w:top w:val="single" w:sz="4" w:space="0" w:color="auto"/>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100,00%</w:t>
            </w:r>
          </w:p>
        </w:tc>
      </w:tr>
      <w:tr w:rsidR="00D1297D" w:rsidRPr="00D1297D" w:rsidTr="002018C4">
        <w:trPr>
          <w:trHeight w:val="239"/>
          <w:jc w:val="center"/>
        </w:trPr>
        <w:tc>
          <w:tcPr>
            <w:tcW w:w="13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2205"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159.999 </w:t>
            </w:r>
          </w:p>
        </w:tc>
        <w:tc>
          <w:tcPr>
            <w:tcW w:w="1485"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91" w:type="dxa"/>
            <w:tcBorders>
              <w:top w:val="single" w:sz="4" w:space="0" w:color="auto"/>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39"/>
          <w:jc w:val="center"/>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160.000 </w:t>
            </w:r>
          </w:p>
        </w:tc>
        <w:tc>
          <w:tcPr>
            <w:tcW w:w="220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259.999 </w:t>
            </w:r>
          </w:p>
        </w:tc>
        <w:tc>
          <w:tcPr>
            <w:tcW w:w="148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91"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39"/>
          <w:jc w:val="center"/>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260.000 </w:t>
            </w:r>
          </w:p>
        </w:tc>
        <w:tc>
          <w:tcPr>
            <w:tcW w:w="220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359.999 </w:t>
            </w:r>
          </w:p>
        </w:tc>
        <w:tc>
          <w:tcPr>
            <w:tcW w:w="148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91"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39"/>
          <w:jc w:val="center"/>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360.000 </w:t>
            </w:r>
          </w:p>
        </w:tc>
        <w:tc>
          <w:tcPr>
            <w:tcW w:w="220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459.999 </w:t>
            </w:r>
          </w:p>
        </w:tc>
        <w:tc>
          <w:tcPr>
            <w:tcW w:w="148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91"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39"/>
          <w:jc w:val="center"/>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460.000 </w:t>
            </w:r>
          </w:p>
        </w:tc>
        <w:tc>
          <w:tcPr>
            <w:tcW w:w="220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559.999 </w:t>
            </w:r>
          </w:p>
        </w:tc>
        <w:tc>
          <w:tcPr>
            <w:tcW w:w="148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91"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39"/>
          <w:jc w:val="center"/>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560.000 </w:t>
            </w:r>
          </w:p>
        </w:tc>
        <w:tc>
          <w:tcPr>
            <w:tcW w:w="220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659.999 </w:t>
            </w:r>
          </w:p>
        </w:tc>
        <w:tc>
          <w:tcPr>
            <w:tcW w:w="148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91"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39"/>
          <w:jc w:val="center"/>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660.000 </w:t>
            </w:r>
          </w:p>
        </w:tc>
        <w:tc>
          <w:tcPr>
            <w:tcW w:w="220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759.999 </w:t>
            </w:r>
          </w:p>
        </w:tc>
        <w:tc>
          <w:tcPr>
            <w:tcW w:w="148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91"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39"/>
          <w:jc w:val="center"/>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760.000 </w:t>
            </w:r>
          </w:p>
        </w:tc>
        <w:tc>
          <w:tcPr>
            <w:tcW w:w="220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859.999 </w:t>
            </w:r>
          </w:p>
        </w:tc>
        <w:tc>
          <w:tcPr>
            <w:tcW w:w="148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91"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39"/>
          <w:jc w:val="center"/>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860.000 </w:t>
            </w:r>
          </w:p>
        </w:tc>
        <w:tc>
          <w:tcPr>
            <w:tcW w:w="220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959.999 </w:t>
            </w:r>
          </w:p>
        </w:tc>
        <w:tc>
          <w:tcPr>
            <w:tcW w:w="148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91"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39"/>
          <w:jc w:val="center"/>
        </w:trPr>
        <w:tc>
          <w:tcPr>
            <w:tcW w:w="1364"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960.000 </w:t>
            </w:r>
          </w:p>
        </w:tc>
        <w:tc>
          <w:tcPr>
            <w:tcW w:w="220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1.000.000.000.000 </w:t>
            </w:r>
          </w:p>
        </w:tc>
        <w:tc>
          <w:tcPr>
            <w:tcW w:w="1485"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12 </w:t>
            </w:r>
          </w:p>
        </w:tc>
        <w:tc>
          <w:tcPr>
            <w:tcW w:w="1291"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c>
          <w:tcPr>
            <w:tcW w:w="1449" w:type="dxa"/>
            <w:tcBorders>
              <w:top w:val="nil"/>
              <w:left w:val="nil"/>
              <w:bottom w:val="single" w:sz="4" w:space="0" w:color="auto"/>
              <w:right w:val="single" w:sz="4" w:space="0" w:color="auto"/>
            </w:tcBorders>
            <w:shd w:val="clear" w:color="auto" w:fill="auto"/>
            <w:noWrap/>
            <w:vAlign w:val="bottom"/>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bl>
    <w:p w:rsidR="00D1297D" w:rsidRPr="00D1297D" w:rsidRDefault="00D1297D" w:rsidP="00D1297D">
      <w:pPr>
        <w:spacing w:line="240" w:lineRule="auto"/>
        <w:jc w:val="both"/>
        <w:rPr>
          <w:rFonts w:ascii="Arial Narrow" w:hAnsi="Arial Narrow"/>
          <w:noProof/>
          <w:sz w:val="20"/>
          <w:szCs w:val="20"/>
        </w:rPr>
      </w:pPr>
      <w:r w:rsidRPr="00D1297D">
        <w:rPr>
          <w:rFonts w:ascii="Arial Narrow" w:hAnsi="Arial Narrow"/>
          <w:noProof/>
          <w:sz w:val="20"/>
          <w:szCs w:val="20"/>
          <w:lang w:eastAsia="es-CO"/>
        </w:rPr>
        <w:lastRenderedPageBreak/>
        <w:drawing>
          <wp:anchor distT="6096" distB="6223" distL="120396" distR="118364" simplePos="0" relativeHeight="251661312" behindDoc="1" locked="0" layoutInCell="1" allowOverlap="1">
            <wp:simplePos x="0" y="0"/>
            <wp:positionH relativeFrom="column">
              <wp:posOffset>747776</wp:posOffset>
            </wp:positionH>
            <wp:positionV relativeFrom="paragraph">
              <wp:posOffset>231521</wp:posOffset>
            </wp:positionV>
            <wp:extent cx="4257040" cy="2724150"/>
            <wp:effectExtent l="0" t="0" r="10160" b="0"/>
            <wp:wrapTight wrapText="bothSides">
              <wp:wrapPolygon edited="0">
                <wp:start x="0" y="0"/>
                <wp:lineTo x="0" y="21449"/>
                <wp:lineTo x="21555" y="21449"/>
                <wp:lineTo x="21555" y="0"/>
                <wp:lineTo x="0" y="0"/>
              </wp:wrapPolygon>
            </wp:wrapTight>
            <wp:docPr id="13" name="Gráfico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spacing w:line="240" w:lineRule="auto"/>
        <w:jc w:val="both"/>
        <w:rPr>
          <w:rFonts w:ascii="Arial Narrow" w:hAnsi="Arial Narrow"/>
          <w:noProof/>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Un capital de trabajo positivo contribuye con el desarrollo eficiente de la actividad económica del proponente.</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r w:rsidRPr="00D1297D">
        <w:rPr>
          <w:rFonts w:ascii="Arial Narrow" w:hAnsi="Arial Narrow"/>
          <w:sz w:val="20"/>
          <w:szCs w:val="20"/>
        </w:rPr>
        <w:t xml:space="preserve">En la muestra el 85.71% de las empresas analizadas tiene capacidad para generar excedentes de los activos corrientes en relación a los pasivos corrientes en el rango mayor al 50% del presupuesto oficial, teniendo en cuenta además que el futuro proponente debe garantizar la prestación del servicio durante el tiempo que dure el contrato, se establece un indicador de capital de trabajo mayor o igual al </w:t>
      </w:r>
      <w:r w:rsidRPr="00D1297D">
        <w:rPr>
          <w:rFonts w:ascii="Arial Narrow" w:hAnsi="Arial Narrow"/>
          <w:b/>
          <w:sz w:val="20"/>
          <w:szCs w:val="20"/>
        </w:rPr>
        <w:t>50%</w:t>
      </w:r>
      <w:r w:rsidRPr="00D1297D">
        <w:rPr>
          <w:rFonts w:ascii="Arial Narrow" w:hAnsi="Arial Narrow"/>
          <w:sz w:val="20"/>
          <w:szCs w:val="20"/>
        </w:rPr>
        <w:t xml:space="preserve"> del presupuesto oficial. </w:t>
      </w:r>
    </w:p>
    <w:p w:rsidR="00D1297D" w:rsidRPr="00D1297D" w:rsidRDefault="00D1297D" w:rsidP="00D1297D">
      <w:pPr>
        <w:autoSpaceDE w:val="0"/>
        <w:autoSpaceDN w:val="0"/>
        <w:adjustRightInd w:val="0"/>
        <w:spacing w:after="0" w:line="240" w:lineRule="auto"/>
        <w:jc w:val="both"/>
        <w:rPr>
          <w:rFonts w:ascii="Arial Narrow" w:hAnsi="Arial Narrow"/>
          <w:sz w:val="20"/>
          <w:szCs w:val="20"/>
        </w:rPr>
      </w:pPr>
    </w:p>
    <w:p w:rsidR="00D1297D" w:rsidRPr="00D1297D" w:rsidRDefault="00D1297D" w:rsidP="00D1297D">
      <w:pPr>
        <w:autoSpaceDE w:val="0"/>
        <w:autoSpaceDN w:val="0"/>
        <w:adjustRightInd w:val="0"/>
        <w:spacing w:line="240" w:lineRule="auto"/>
        <w:jc w:val="both"/>
        <w:rPr>
          <w:rFonts w:ascii="Arial Narrow" w:hAnsi="Arial Narrow"/>
          <w:b/>
          <w:sz w:val="20"/>
          <w:szCs w:val="20"/>
          <w:lang w:eastAsia="es-ES"/>
        </w:rPr>
      </w:pPr>
      <w:r w:rsidRPr="00D1297D">
        <w:rPr>
          <w:rFonts w:ascii="Arial Narrow" w:hAnsi="Arial Narrow"/>
          <w:b/>
          <w:sz w:val="20"/>
          <w:szCs w:val="20"/>
          <w:lang w:eastAsia="es-ES"/>
        </w:rPr>
        <w:t xml:space="preserve">Patrimonio: </w:t>
      </w:r>
    </w:p>
    <w:p w:rsidR="00D1297D" w:rsidRPr="00D1297D" w:rsidRDefault="00D1297D" w:rsidP="00D1297D">
      <w:pPr>
        <w:autoSpaceDE w:val="0"/>
        <w:autoSpaceDN w:val="0"/>
        <w:adjustRightInd w:val="0"/>
        <w:spacing w:line="240" w:lineRule="auto"/>
        <w:jc w:val="both"/>
        <w:rPr>
          <w:rFonts w:ascii="Arial Narrow" w:hAnsi="Arial Narrow"/>
          <w:sz w:val="20"/>
          <w:szCs w:val="20"/>
          <w:lang w:eastAsia="es-ES"/>
        </w:rPr>
      </w:pPr>
      <w:r w:rsidRPr="00D1297D">
        <w:rPr>
          <w:rFonts w:ascii="Arial Narrow" w:hAnsi="Arial Narrow"/>
          <w:sz w:val="20"/>
          <w:szCs w:val="20"/>
          <w:lang w:eastAsia="es-ES"/>
        </w:rPr>
        <w:t>Mide la cantidad de recursos propios del proponente. Es recomendable su uso cuando la Entidad Estatal requiere analizar la cantidad de recursos propios en términos absolutos cuando el presupuesto del Proceso de Contratación es muy alto y la Entidad Estatal debe asegurar la continuidad del proponente en el tiempo.</w:t>
      </w:r>
    </w:p>
    <w:tbl>
      <w:tblPr>
        <w:tblW w:w="7336" w:type="dxa"/>
        <w:jc w:val="center"/>
        <w:tblCellMar>
          <w:left w:w="70" w:type="dxa"/>
          <w:right w:w="70" w:type="dxa"/>
        </w:tblCellMar>
        <w:tblLook w:val="04A0" w:firstRow="1" w:lastRow="0" w:firstColumn="1" w:lastColumn="0" w:noHBand="0" w:noVBand="1"/>
      </w:tblPr>
      <w:tblGrid>
        <w:gridCol w:w="1501"/>
        <w:gridCol w:w="1951"/>
        <w:gridCol w:w="1333"/>
        <w:gridCol w:w="1250"/>
        <w:gridCol w:w="1301"/>
      </w:tblGrid>
      <w:tr w:rsidR="00D1297D" w:rsidRPr="00D1297D" w:rsidTr="002018C4">
        <w:trPr>
          <w:trHeight w:val="242"/>
          <w:jc w:val="center"/>
        </w:trPr>
        <w:tc>
          <w:tcPr>
            <w:tcW w:w="7336"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PATRIMONIO</w:t>
            </w:r>
          </w:p>
        </w:tc>
      </w:tr>
      <w:tr w:rsidR="00D1297D" w:rsidRPr="00D1297D" w:rsidTr="002018C4">
        <w:trPr>
          <w:trHeight w:val="629"/>
          <w:jc w:val="center"/>
        </w:trPr>
        <w:tc>
          <w:tcPr>
            <w:tcW w:w="3452" w:type="dxa"/>
            <w:gridSpan w:val="2"/>
            <w:tcBorders>
              <w:top w:val="single" w:sz="4" w:space="0" w:color="auto"/>
              <w:left w:val="single" w:sz="4" w:space="0" w:color="auto"/>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Rango</w:t>
            </w:r>
          </w:p>
        </w:tc>
        <w:tc>
          <w:tcPr>
            <w:tcW w:w="1333" w:type="dxa"/>
            <w:tcBorders>
              <w:top w:val="nil"/>
              <w:left w:val="nil"/>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Frecuencia</w:t>
            </w:r>
          </w:p>
        </w:tc>
        <w:tc>
          <w:tcPr>
            <w:tcW w:w="1250"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Relativa)</w:t>
            </w:r>
          </w:p>
        </w:tc>
        <w:tc>
          <w:tcPr>
            <w:tcW w:w="1301"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Acumulada)</w:t>
            </w:r>
          </w:p>
        </w:tc>
      </w:tr>
      <w:tr w:rsidR="00D1297D" w:rsidRPr="00D1297D" w:rsidTr="002018C4">
        <w:trPr>
          <w:trHeight w:val="254"/>
          <w:jc w:val="center"/>
        </w:trPr>
        <w:tc>
          <w:tcPr>
            <w:tcW w:w="15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w:t>
            </w:r>
          </w:p>
        </w:tc>
        <w:tc>
          <w:tcPr>
            <w:tcW w:w="1951"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w:t>
            </w:r>
          </w:p>
        </w:tc>
        <w:tc>
          <w:tcPr>
            <w:tcW w:w="1333"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250"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14,29%</w:t>
            </w:r>
          </w:p>
        </w:tc>
        <w:tc>
          <w:tcPr>
            <w:tcW w:w="1301"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100,00%</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159.999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160.000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259.999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260.000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359.999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360.000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459.999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460.000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559.999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560.000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659.999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660.000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759.999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760.000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859.999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860.000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959.999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r w:rsidR="00D1297D" w:rsidRPr="00D1297D" w:rsidTr="002018C4">
        <w:trPr>
          <w:trHeight w:val="242"/>
          <w:jc w:val="center"/>
        </w:trPr>
        <w:tc>
          <w:tcPr>
            <w:tcW w:w="1501"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960.000 </w:t>
            </w:r>
          </w:p>
        </w:tc>
        <w:tc>
          <w:tcPr>
            <w:tcW w:w="195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1.000.000.000.000 </w:t>
            </w:r>
          </w:p>
        </w:tc>
        <w:tc>
          <w:tcPr>
            <w:tcW w:w="133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12 </w:t>
            </w:r>
          </w:p>
        </w:tc>
        <w:tc>
          <w:tcPr>
            <w:tcW w:w="1250"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c>
          <w:tcPr>
            <w:tcW w:w="1301"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85,71%</w:t>
            </w:r>
          </w:p>
        </w:tc>
      </w:tr>
    </w:tbl>
    <w:p w:rsidR="00D1297D" w:rsidRPr="00D1297D" w:rsidRDefault="00D1297D" w:rsidP="00D1297D">
      <w:pPr>
        <w:autoSpaceDE w:val="0"/>
        <w:autoSpaceDN w:val="0"/>
        <w:adjustRightInd w:val="0"/>
        <w:spacing w:line="240" w:lineRule="auto"/>
        <w:jc w:val="both"/>
        <w:rPr>
          <w:rFonts w:ascii="Arial Narrow" w:hAnsi="Arial Narrow"/>
          <w:sz w:val="20"/>
          <w:szCs w:val="20"/>
          <w:lang w:eastAsia="es-ES"/>
        </w:rPr>
      </w:pPr>
    </w:p>
    <w:p w:rsidR="00D1297D" w:rsidRPr="00D1297D" w:rsidRDefault="00D1297D" w:rsidP="00D1297D">
      <w:pPr>
        <w:autoSpaceDE w:val="0"/>
        <w:autoSpaceDN w:val="0"/>
        <w:adjustRightInd w:val="0"/>
        <w:spacing w:line="240" w:lineRule="auto"/>
        <w:jc w:val="center"/>
        <w:rPr>
          <w:rFonts w:ascii="Arial Narrow" w:hAnsi="Arial Narrow"/>
          <w:sz w:val="20"/>
          <w:szCs w:val="20"/>
          <w:lang w:eastAsia="es-ES"/>
        </w:rPr>
      </w:pPr>
      <w:r w:rsidRPr="00D1297D">
        <w:rPr>
          <w:rFonts w:ascii="Arial Narrow" w:hAnsi="Arial Narrow"/>
          <w:noProof/>
          <w:sz w:val="20"/>
          <w:szCs w:val="20"/>
          <w:lang w:eastAsia="es-CO"/>
        </w:rPr>
        <w:lastRenderedPageBreak/>
        <w:drawing>
          <wp:inline distT="0" distB="0" distL="0" distR="0">
            <wp:extent cx="4265930" cy="2731135"/>
            <wp:effectExtent l="0" t="0" r="1270" b="12065"/>
            <wp:docPr id="1"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D1297D" w:rsidRPr="00D1297D" w:rsidRDefault="00D1297D" w:rsidP="00D1297D">
      <w:pPr>
        <w:autoSpaceDE w:val="0"/>
        <w:autoSpaceDN w:val="0"/>
        <w:adjustRightInd w:val="0"/>
        <w:spacing w:line="240" w:lineRule="auto"/>
        <w:jc w:val="both"/>
        <w:rPr>
          <w:rFonts w:ascii="Arial Narrow" w:hAnsi="Arial Narrow"/>
          <w:sz w:val="20"/>
          <w:szCs w:val="20"/>
          <w:lang w:eastAsia="es-ES"/>
        </w:rPr>
      </w:pPr>
      <w:r w:rsidRPr="00D1297D">
        <w:rPr>
          <w:rFonts w:ascii="Arial Narrow" w:hAnsi="Arial Narrow"/>
          <w:sz w:val="20"/>
          <w:szCs w:val="20"/>
          <w:lang w:eastAsia="es-ES"/>
        </w:rPr>
        <w:t xml:space="preserve">En la muestra del sector el 87.71% de las empresas tienen un patrimonio superior a al 50% del presupuesto oficial (recordando que las cifras aquí utilizadas se encuentran en miles de pesos), considerando el nivel de capital de trabajo, el valor total del proceso y las demás características que presenta la ejecución del contrato detalladas en el aparte del capital de trabajo, al igual que el no pago de anticipo alguno para el presente proceso, se establece un indicador de patrimonio mayor o igual al 50% el presupuesto oficial; encontrando que 87.71% de las empresas de la muestra presentan esta condición. </w:t>
      </w:r>
    </w:p>
    <w:p w:rsidR="00D1297D" w:rsidRPr="00D1297D" w:rsidRDefault="00D1297D" w:rsidP="00D1297D">
      <w:pPr>
        <w:autoSpaceDE w:val="0"/>
        <w:autoSpaceDN w:val="0"/>
        <w:adjustRightInd w:val="0"/>
        <w:spacing w:line="240" w:lineRule="auto"/>
        <w:jc w:val="both"/>
        <w:rPr>
          <w:rFonts w:ascii="Arial Narrow" w:hAnsi="Arial Narrow"/>
          <w:b/>
          <w:sz w:val="20"/>
          <w:szCs w:val="20"/>
          <w:lang w:eastAsia="es-ES"/>
        </w:rPr>
      </w:pPr>
      <w:r w:rsidRPr="00D1297D">
        <w:rPr>
          <w:rFonts w:ascii="Arial Narrow" w:hAnsi="Arial Narrow"/>
          <w:b/>
          <w:sz w:val="20"/>
          <w:szCs w:val="20"/>
          <w:lang w:eastAsia="es-ES"/>
        </w:rPr>
        <w:t>CAPACIDAD ORGANIZACIONAL</w:t>
      </w:r>
    </w:p>
    <w:p w:rsidR="00D1297D" w:rsidRPr="00D1297D" w:rsidRDefault="00D1297D" w:rsidP="00D1297D">
      <w:pPr>
        <w:autoSpaceDE w:val="0"/>
        <w:autoSpaceDN w:val="0"/>
        <w:adjustRightInd w:val="0"/>
        <w:spacing w:line="240" w:lineRule="auto"/>
        <w:jc w:val="both"/>
        <w:rPr>
          <w:rFonts w:ascii="Arial Narrow" w:hAnsi="Arial Narrow"/>
          <w:bCs/>
          <w:sz w:val="20"/>
          <w:szCs w:val="20"/>
          <w:lang w:val="es-ES_tradnl" w:eastAsia="es-ES"/>
        </w:rPr>
      </w:pPr>
      <w:r w:rsidRPr="00D1297D">
        <w:rPr>
          <w:rFonts w:ascii="Arial Narrow" w:hAnsi="Arial Narrow"/>
          <w:bCs/>
          <w:sz w:val="20"/>
          <w:szCs w:val="20"/>
          <w:lang w:eastAsia="es-ES"/>
        </w:rPr>
        <w:t xml:space="preserve">La capacidad organizacional es la aptitud de un proponente para cumplir oportuna y cabalmente el objeto del contrato en función de su organización interna. </w:t>
      </w:r>
      <w:r w:rsidRPr="00D1297D">
        <w:rPr>
          <w:rFonts w:ascii="Arial Narrow" w:hAnsi="Arial Narrow"/>
          <w:bCs/>
          <w:sz w:val="20"/>
          <w:szCs w:val="20"/>
          <w:lang w:val="es-ES_tradnl" w:eastAsia="es-ES"/>
        </w:rPr>
        <w:t xml:space="preserve">De conformidad con lo establecido en el numeral 4 del artículo 2.2.1.1.1.5.3 del Decreto 1082 de 2015, los proponentes deberán acreditar su capacidad organizacional. </w:t>
      </w:r>
    </w:p>
    <w:p w:rsidR="00D1297D" w:rsidRPr="00D1297D" w:rsidRDefault="00D1297D" w:rsidP="00D1297D">
      <w:pPr>
        <w:autoSpaceDE w:val="0"/>
        <w:autoSpaceDN w:val="0"/>
        <w:adjustRightInd w:val="0"/>
        <w:spacing w:line="240" w:lineRule="auto"/>
        <w:jc w:val="both"/>
        <w:rPr>
          <w:rFonts w:ascii="Arial Narrow" w:hAnsi="Arial Narrow"/>
          <w:bCs/>
          <w:sz w:val="20"/>
          <w:szCs w:val="20"/>
        </w:rPr>
      </w:pPr>
      <w:r w:rsidRPr="00D1297D">
        <w:rPr>
          <w:rFonts w:ascii="Arial Narrow" w:hAnsi="Arial Narrow"/>
          <w:bCs/>
          <w:sz w:val="20"/>
          <w:szCs w:val="20"/>
          <w:lang w:eastAsia="es-ES"/>
        </w:rPr>
        <w:t xml:space="preserve">Los datos reportados en el informe del Sector Económico Industrial, específicamente </w:t>
      </w:r>
      <w:r w:rsidRPr="00D1297D">
        <w:rPr>
          <w:rFonts w:ascii="Arial Narrow" w:hAnsi="Arial Narrow"/>
          <w:bCs/>
          <w:sz w:val="20"/>
          <w:szCs w:val="20"/>
          <w:lang w:val="es-ES" w:eastAsia="es-ES"/>
        </w:rPr>
        <w:t>C1101 - “</w:t>
      </w:r>
      <w:r w:rsidRPr="00D1297D">
        <w:rPr>
          <w:rFonts w:ascii="Arial Narrow" w:hAnsi="Arial Narrow"/>
          <w:bCs/>
          <w:sz w:val="20"/>
          <w:szCs w:val="20"/>
          <w:lang w:eastAsia="es-ES"/>
        </w:rPr>
        <w:t>Destilación, rectificación y mezcla de bebidas alcohólicas</w:t>
      </w:r>
      <w:r w:rsidRPr="00D1297D">
        <w:rPr>
          <w:rFonts w:ascii="Arial Narrow" w:hAnsi="Arial Narrow"/>
          <w:bCs/>
          <w:sz w:val="20"/>
          <w:szCs w:val="20"/>
          <w:lang w:val="es-ES" w:eastAsia="es-ES"/>
        </w:rPr>
        <w:t xml:space="preserve">”, </w:t>
      </w:r>
      <w:r w:rsidRPr="00D1297D">
        <w:rPr>
          <w:rFonts w:ascii="Arial Narrow" w:hAnsi="Arial Narrow"/>
          <w:bCs/>
          <w:sz w:val="20"/>
          <w:szCs w:val="20"/>
          <w:lang w:eastAsia="es-ES"/>
        </w:rPr>
        <w:t xml:space="preserve">publicados en la  página de la Superintendencia De Sociedades a través de la plataforma PIE- </w:t>
      </w:r>
      <w:hyperlink r:id="rId29" w:history="1">
        <w:r w:rsidRPr="00D1297D">
          <w:rPr>
            <w:rStyle w:val="Hipervnculo"/>
            <w:rFonts w:ascii="Arial Narrow" w:hAnsi="Arial Narrow"/>
            <w:bCs/>
            <w:sz w:val="20"/>
            <w:szCs w:val="20"/>
            <w:lang w:eastAsia="es-ES"/>
          </w:rPr>
          <w:t>http://pie.supersociedades.gov.co/</w:t>
        </w:r>
      </w:hyperlink>
      <w:r w:rsidRPr="00D1297D">
        <w:rPr>
          <w:rFonts w:ascii="Arial Narrow" w:hAnsi="Arial Narrow"/>
          <w:bCs/>
          <w:sz w:val="20"/>
          <w:szCs w:val="20"/>
          <w:lang w:eastAsia="es-ES"/>
        </w:rPr>
        <w:t xml:space="preserve">; y la información financiera en la página de la Contaduría en el </w:t>
      </w:r>
      <w:proofErr w:type="spellStart"/>
      <w:r w:rsidRPr="00D1297D">
        <w:rPr>
          <w:rFonts w:ascii="Arial Narrow" w:hAnsi="Arial Narrow"/>
          <w:bCs/>
          <w:sz w:val="20"/>
          <w:szCs w:val="20"/>
          <w:lang w:eastAsia="es-ES"/>
        </w:rPr>
        <w:t>Consolidador</w:t>
      </w:r>
      <w:proofErr w:type="spellEnd"/>
      <w:r w:rsidRPr="00D1297D">
        <w:rPr>
          <w:rFonts w:ascii="Arial Narrow" w:hAnsi="Arial Narrow"/>
          <w:bCs/>
          <w:sz w:val="20"/>
          <w:szCs w:val="20"/>
          <w:lang w:eastAsia="es-ES"/>
        </w:rPr>
        <w:t xml:space="preserve"> de Hacienda e Información Pública – CHIP con información financiera a 31 de diciembre de 2019 </w:t>
      </w:r>
      <w:r w:rsidRPr="00D1297D">
        <w:rPr>
          <w:rFonts w:ascii="Arial Narrow" w:hAnsi="Arial Narrow"/>
          <w:bCs/>
          <w:sz w:val="20"/>
          <w:szCs w:val="20"/>
        </w:rPr>
        <w:t>son los siguientes:</w:t>
      </w:r>
    </w:p>
    <w:p w:rsidR="00D1297D" w:rsidRPr="00D1297D" w:rsidRDefault="00D1297D" w:rsidP="00D1297D">
      <w:pPr>
        <w:autoSpaceDE w:val="0"/>
        <w:autoSpaceDN w:val="0"/>
        <w:adjustRightInd w:val="0"/>
        <w:spacing w:line="240" w:lineRule="auto"/>
        <w:jc w:val="both"/>
        <w:rPr>
          <w:rFonts w:ascii="Arial Narrow" w:hAnsi="Arial Narrow"/>
          <w:sz w:val="20"/>
          <w:szCs w:val="20"/>
          <w:lang w:eastAsia="es-ES"/>
        </w:rPr>
      </w:pPr>
    </w:p>
    <w:p w:rsidR="00D1297D" w:rsidRPr="00D1297D" w:rsidRDefault="00D1297D" w:rsidP="00D1297D">
      <w:pPr>
        <w:autoSpaceDE w:val="0"/>
        <w:autoSpaceDN w:val="0"/>
        <w:adjustRightInd w:val="0"/>
        <w:spacing w:line="240" w:lineRule="auto"/>
        <w:jc w:val="both"/>
        <w:rPr>
          <w:rFonts w:ascii="Arial Narrow" w:hAnsi="Arial Narrow"/>
          <w:b/>
          <w:bCs/>
          <w:sz w:val="20"/>
          <w:szCs w:val="20"/>
          <w:lang w:eastAsia="es-ES"/>
        </w:rPr>
      </w:pPr>
      <w:r w:rsidRPr="00D1297D">
        <w:rPr>
          <w:rFonts w:ascii="Arial Narrow" w:hAnsi="Arial Narrow"/>
          <w:b/>
          <w:bCs/>
          <w:sz w:val="20"/>
          <w:szCs w:val="20"/>
          <w:lang w:eastAsia="es-ES"/>
        </w:rPr>
        <w:t xml:space="preserve">Indicador de Rentabilidad del Patrimonio: </w:t>
      </w:r>
    </w:p>
    <w:p w:rsidR="00D1297D" w:rsidRPr="00D1297D" w:rsidRDefault="00D1297D" w:rsidP="00D1297D">
      <w:pPr>
        <w:autoSpaceDE w:val="0"/>
        <w:autoSpaceDN w:val="0"/>
        <w:adjustRightInd w:val="0"/>
        <w:spacing w:line="240" w:lineRule="auto"/>
        <w:jc w:val="both"/>
        <w:rPr>
          <w:rFonts w:ascii="Arial Narrow" w:hAnsi="Arial Narrow"/>
          <w:sz w:val="20"/>
          <w:szCs w:val="20"/>
          <w:lang w:eastAsia="es-ES"/>
        </w:rPr>
      </w:pPr>
      <w:r w:rsidRPr="00D1297D">
        <w:rPr>
          <w:rFonts w:ascii="Arial Narrow" w:hAnsi="Arial Narrow"/>
          <w:sz w:val="20"/>
          <w:szCs w:val="20"/>
          <w:lang w:eastAsia="es-ES"/>
        </w:rPr>
        <w:t>La rentabilidad del Patrimonio (Utilidad operacional/Patrimonio), permite identificar la rentabilidad que le ofrece a los socios o accionistas el capital que han invertido en la empresa, sin tomar en cuenta los gastos financieros ni de impuestos, igualmente determina la capacidad de generación de utilidad operacional por cada peso invertido en el patrimonio. A mayor rentabilidad sobre el patrimonio, mayor es la rentabilidad de los accionistas y mejor la capacidad organizacional del proponente.</w:t>
      </w:r>
    </w:p>
    <w:tbl>
      <w:tblPr>
        <w:tblW w:w="6813" w:type="dxa"/>
        <w:jc w:val="center"/>
        <w:tblCellMar>
          <w:left w:w="70" w:type="dxa"/>
          <w:right w:w="70" w:type="dxa"/>
        </w:tblCellMar>
        <w:tblLook w:val="04A0" w:firstRow="1" w:lastRow="0" w:firstColumn="1" w:lastColumn="0" w:noHBand="0" w:noVBand="1"/>
      </w:tblPr>
      <w:tblGrid>
        <w:gridCol w:w="720"/>
        <w:gridCol w:w="1164"/>
        <w:gridCol w:w="1532"/>
        <w:gridCol w:w="1718"/>
        <w:gridCol w:w="1679"/>
      </w:tblGrid>
      <w:tr w:rsidR="00D1297D" w:rsidRPr="00D1297D" w:rsidTr="002018C4">
        <w:trPr>
          <w:trHeight w:val="294"/>
          <w:jc w:val="center"/>
        </w:trPr>
        <w:tc>
          <w:tcPr>
            <w:tcW w:w="6813" w:type="dxa"/>
            <w:gridSpan w:val="5"/>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RENTABILIDAD DEL PATRIMONIO</w:t>
            </w:r>
          </w:p>
        </w:tc>
      </w:tr>
      <w:tr w:rsidR="00D1297D" w:rsidRPr="00D1297D" w:rsidTr="002018C4">
        <w:trPr>
          <w:trHeight w:val="730"/>
          <w:jc w:val="center"/>
        </w:trPr>
        <w:tc>
          <w:tcPr>
            <w:tcW w:w="1884" w:type="dxa"/>
            <w:gridSpan w:val="2"/>
            <w:tcBorders>
              <w:top w:val="single" w:sz="4" w:space="0" w:color="auto"/>
              <w:left w:val="single" w:sz="4" w:space="0" w:color="auto"/>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Rango (%)</w:t>
            </w:r>
          </w:p>
        </w:tc>
        <w:tc>
          <w:tcPr>
            <w:tcW w:w="1532" w:type="dxa"/>
            <w:tcBorders>
              <w:top w:val="nil"/>
              <w:left w:val="nil"/>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Frecuencia</w:t>
            </w:r>
          </w:p>
        </w:tc>
        <w:tc>
          <w:tcPr>
            <w:tcW w:w="1718"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Relativa)</w:t>
            </w:r>
          </w:p>
        </w:tc>
        <w:tc>
          <w:tcPr>
            <w:tcW w:w="1678"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Acumulada)</w:t>
            </w:r>
          </w:p>
        </w:tc>
      </w:tr>
      <w:tr w:rsidR="00D1297D" w:rsidRPr="00D1297D" w:rsidTr="002018C4">
        <w:trPr>
          <w:trHeight w:val="308"/>
          <w:jc w:val="center"/>
        </w:trPr>
        <w:tc>
          <w:tcPr>
            <w:tcW w:w="720" w:type="dxa"/>
            <w:tcBorders>
              <w:top w:val="nil"/>
              <w:left w:val="single" w:sz="4" w:space="0" w:color="auto"/>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w:t>
            </w:r>
          </w:p>
        </w:tc>
        <w:tc>
          <w:tcPr>
            <w:tcW w:w="1163"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532"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718"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100,00%</w:t>
            </w:r>
          </w:p>
        </w:tc>
      </w:tr>
      <w:tr w:rsidR="00D1297D" w:rsidRPr="00D1297D" w:rsidTr="002018C4">
        <w:trPr>
          <w:trHeight w:val="294"/>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163"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0,003 </w:t>
            </w:r>
          </w:p>
        </w:tc>
        <w:tc>
          <w:tcPr>
            <w:tcW w:w="1532"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718"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86,67%</w:t>
            </w:r>
          </w:p>
        </w:tc>
      </w:tr>
      <w:tr w:rsidR="00D1297D" w:rsidRPr="00D1297D" w:rsidTr="002018C4">
        <w:trPr>
          <w:trHeight w:val="29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0,004</w:t>
            </w:r>
          </w:p>
        </w:tc>
        <w:tc>
          <w:tcPr>
            <w:tcW w:w="116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0,020 </w:t>
            </w:r>
          </w:p>
        </w:tc>
        <w:tc>
          <w:tcPr>
            <w:tcW w:w="153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71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86,67%</w:t>
            </w:r>
          </w:p>
        </w:tc>
      </w:tr>
      <w:tr w:rsidR="00D1297D" w:rsidRPr="00D1297D" w:rsidTr="002018C4">
        <w:trPr>
          <w:trHeight w:val="29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lastRenderedPageBreak/>
              <w:t>0,021</w:t>
            </w:r>
          </w:p>
        </w:tc>
        <w:tc>
          <w:tcPr>
            <w:tcW w:w="116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0,037 </w:t>
            </w:r>
          </w:p>
        </w:tc>
        <w:tc>
          <w:tcPr>
            <w:tcW w:w="153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71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80,00%</w:t>
            </w:r>
          </w:p>
        </w:tc>
      </w:tr>
      <w:tr w:rsidR="00D1297D" w:rsidRPr="00D1297D" w:rsidTr="002018C4">
        <w:trPr>
          <w:trHeight w:val="29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0,038</w:t>
            </w:r>
          </w:p>
        </w:tc>
        <w:tc>
          <w:tcPr>
            <w:tcW w:w="116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0,054 </w:t>
            </w:r>
          </w:p>
        </w:tc>
        <w:tc>
          <w:tcPr>
            <w:tcW w:w="153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71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66,67%</w:t>
            </w:r>
          </w:p>
        </w:tc>
      </w:tr>
      <w:tr w:rsidR="00D1297D" w:rsidRPr="00D1297D" w:rsidTr="002018C4">
        <w:trPr>
          <w:trHeight w:val="29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0,055</w:t>
            </w:r>
          </w:p>
        </w:tc>
        <w:tc>
          <w:tcPr>
            <w:tcW w:w="116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0,071 </w:t>
            </w:r>
          </w:p>
        </w:tc>
        <w:tc>
          <w:tcPr>
            <w:tcW w:w="153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71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66,67%</w:t>
            </w:r>
          </w:p>
        </w:tc>
      </w:tr>
      <w:tr w:rsidR="00D1297D" w:rsidRPr="00D1297D" w:rsidTr="002018C4">
        <w:trPr>
          <w:trHeight w:val="29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0,072</w:t>
            </w:r>
          </w:p>
        </w:tc>
        <w:tc>
          <w:tcPr>
            <w:tcW w:w="116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0,088 </w:t>
            </w:r>
          </w:p>
        </w:tc>
        <w:tc>
          <w:tcPr>
            <w:tcW w:w="153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71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60,00%</w:t>
            </w:r>
          </w:p>
        </w:tc>
      </w:tr>
      <w:tr w:rsidR="00D1297D" w:rsidRPr="00D1297D" w:rsidTr="002018C4">
        <w:trPr>
          <w:trHeight w:val="29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0,089</w:t>
            </w:r>
          </w:p>
        </w:tc>
        <w:tc>
          <w:tcPr>
            <w:tcW w:w="116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0,105 </w:t>
            </w:r>
          </w:p>
        </w:tc>
        <w:tc>
          <w:tcPr>
            <w:tcW w:w="153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71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60,00%</w:t>
            </w:r>
          </w:p>
        </w:tc>
      </w:tr>
      <w:tr w:rsidR="00D1297D" w:rsidRPr="00D1297D" w:rsidTr="002018C4">
        <w:trPr>
          <w:trHeight w:val="29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0,106</w:t>
            </w:r>
          </w:p>
        </w:tc>
        <w:tc>
          <w:tcPr>
            <w:tcW w:w="116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0,122 </w:t>
            </w:r>
          </w:p>
        </w:tc>
        <w:tc>
          <w:tcPr>
            <w:tcW w:w="153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71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60,00%</w:t>
            </w:r>
          </w:p>
        </w:tc>
      </w:tr>
      <w:tr w:rsidR="00D1297D" w:rsidRPr="00D1297D" w:rsidTr="002018C4">
        <w:trPr>
          <w:trHeight w:val="29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0,123</w:t>
            </w:r>
          </w:p>
        </w:tc>
        <w:tc>
          <w:tcPr>
            <w:tcW w:w="116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0,139 </w:t>
            </w:r>
          </w:p>
        </w:tc>
        <w:tc>
          <w:tcPr>
            <w:tcW w:w="153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71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53,33%</w:t>
            </w:r>
          </w:p>
        </w:tc>
      </w:tr>
      <w:tr w:rsidR="00D1297D" w:rsidRPr="00D1297D" w:rsidTr="002018C4">
        <w:trPr>
          <w:trHeight w:val="29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0,140</w:t>
            </w:r>
          </w:p>
        </w:tc>
        <w:tc>
          <w:tcPr>
            <w:tcW w:w="1163"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1000,000</w:t>
            </w:r>
          </w:p>
        </w:tc>
        <w:tc>
          <w:tcPr>
            <w:tcW w:w="153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7 </w:t>
            </w:r>
          </w:p>
        </w:tc>
        <w:tc>
          <w:tcPr>
            <w:tcW w:w="171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46,67%</w:t>
            </w:r>
          </w:p>
        </w:tc>
        <w:tc>
          <w:tcPr>
            <w:tcW w:w="1678"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46,67%</w:t>
            </w:r>
          </w:p>
        </w:tc>
      </w:tr>
    </w:tbl>
    <w:p w:rsidR="00D1297D" w:rsidRPr="00D1297D" w:rsidRDefault="00D1297D" w:rsidP="00D1297D">
      <w:pPr>
        <w:spacing w:after="0" w:line="240" w:lineRule="auto"/>
        <w:jc w:val="both"/>
        <w:rPr>
          <w:rFonts w:ascii="Arial Narrow" w:hAnsi="Arial Narrow"/>
          <w:sz w:val="20"/>
          <w:szCs w:val="20"/>
          <w:lang w:val="es-ES"/>
        </w:rPr>
      </w:pPr>
      <w:r w:rsidRPr="00D1297D">
        <w:rPr>
          <w:rFonts w:ascii="Arial Narrow" w:hAnsi="Arial Narrow"/>
          <w:noProof/>
          <w:sz w:val="20"/>
          <w:szCs w:val="20"/>
          <w:lang w:eastAsia="es-CO"/>
        </w:rPr>
        <w:drawing>
          <wp:anchor distT="6096" distB="8255" distL="120396" distR="122682" simplePos="0" relativeHeight="251672576" behindDoc="1" locked="0" layoutInCell="1" allowOverlap="1">
            <wp:simplePos x="0" y="0"/>
            <wp:positionH relativeFrom="column">
              <wp:posOffset>198501</wp:posOffset>
            </wp:positionH>
            <wp:positionV relativeFrom="paragraph">
              <wp:posOffset>206756</wp:posOffset>
            </wp:positionV>
            <wp:extent cx="5612130" cy="3039745"/>
            <wp:effectExtent l="0" t="0" r="7620" b="8255"/>
            <wp:wrapTight wrapText="bothSides">
              <wp:wrapPolygon edited="0">
                <wp:start x="0" y="0"/>
                <wp:lineTo x="0" y="21523"/>
                <wp:lineTo x="21556" y="21523"/>
                <wp:lineTo x="21556" y="0"/>
                <wp:lineTo x="0" y="0"/>
              </wp:wrapPolygon>
            </wp:wrapTight>
            <wp:docPr id="12" name="Gráfico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p>
    <w:p w:rsidR="00D1297D" w:rsidRPr="00D1297D" w:rsidRDefault="00D1297D" w:rsidP="00D1297D">
      <w:pPr>
        <w:spacing w:after="0" w:line="240" w:lineRule="auto"/>
        <w:jc w:val="both"/>
        <w:rPr>
          <w:rFonts w:ascii="Arial Narrow" w:hAnsi="Arial Narrow"/>
          <w:sz w:val="20"/>
          <w:szCs w:val="20"/>
          <w:lang w:val="es-ES"/>
        </w:rPr>
      </w:pPr>
      <w:r w:rsidRPr="00D1297D">
        <w:rPr>
          <w:rFonts w:ascii="Arial Narrow" w:hAnsi="Arial Narrow"/>
          <w:sz w:val="20"/>
          <w:szCs w:val="20"/>
        </w:rPr>
        <w:t xml:space="preserve">Teniendo en cuenta la tendencia de la muestra, se puede apreciar el comportamiento disperso de este indicador en el sector. Por lo anterior y la necesidad de organización del futuro contratista se recomienda establecer como indicador de Rentabilidad del Patrimonio el 0.0, el cual otorga un porcentaje de participación de 93.3%. Es decir, los proponentes que tengan un índice de Rentabilidad del Patrimonio mayor o igual al </w:t>
      </w:r>
      <w:r w:rsidRPr="00D1297D">
        <w:rPr>
          <w:rFonts w:ascii="Arial Narrow" w:hAnsi="Arial Narrow"/>
          <w:b/>
          <w:sz w:val="20"/>
          <w:szCs w:val="20"/>
        </w:rPr>
        <w:t>0.0</w:t>
      </w:r>
      <w:r w:rsidRPr="00D1297D">
        <w:rPr>
          <w:rFonts w:ascii="Arial Narrow" w:hAnsi="Arial Narrow"/>
          <w:sz w:val="20"/>
          <w:szCs w:val="20"/>
        </w:rPr>
        <w:t xml:space="preserve"> quedan habilitados con respecto a este indicador.</w:t>
      </w:r>
    </w:p>
    <w:p w:rsidR="00D1297D" w:rsidRPr="00D1297D" w:rsidRDefault="00D1297D" w:rsidP="00D1297D">
      <w:pPr>
        <w:spacing w:after="0" w:line="240" w:lineRule="auto"/>
        <w:rPr>
          <w:rFonts w:ascii="Arial Narrow" w:hAnsi="Arial Narrow"/>
          <w:b/>
          <w:i/>
          <w:sz w:val="20"/>
          <w:szCs w:val="20"/>
        </w:rPr>
      </w:pPr>
    </w:p>
    <w:p w:rsidR="00D1297D" w:rsidRPr="00D1297D" w:rsidRDefault="00D1297D" w:rsidP="00D1297D">
      <w:pPr>
        <w:autoSpaceDE w:val="0"/>
        <w:autoSpaceDN w:val="0"/>
        <w:adjustRightInd w:val="0"/>
        <w:spacing w:after="0" w:line="240" w:lineRule="auto"/>
        <w:jc w:val="both"/>
        <w:rPr>
          <w:rFonts w:ascii="Arial Narrow" w:hAnsi="Arial Narrow"/>
          <w:bCs/>
          <w:sz w:val="20"/>
          <w:szCs w:val="20"/>
        </w:rPr>
      </w:pPr>
      <w:r w:rsidRPr="00D1297D">
        <w:rPr>
          <w:rFonts w:ascii="Arial Narrow" w:hAnsi="Arial Narrow"/>
          <w:b/>
          <w:bCs/>
          <w:sz w:val="20"/>
          <w:szCs w:val="20"/>
        </w:rPr>
        <w:t>Indicador de Rentabilidad del Activo</w:t>
      </w:r>
      <w:r w:rsidRPr="00D1297D">
        <w:rPr>
          <w:rFonts w:ascii="Arial Narrow" w:hAnsi="Arial Narrow"/>
          <w:bCs/>
          <w:sz w:val="20"/>
          <w:szCs w:val="20"/>
        </w:rPr>
        <w:t xml:space="preserve">: </w:t>
      </w:r>
    </w:p>
    <w:p w:rsidR="00D1297D" w:rsidRPr="00D1297D" w:rsidRDefault="00D1297D" w:rsidP="00D1297D">
      <w:pPr>
        <w:autoSpaceDE w:val="0"/>
        <w:autoSpaceDN w:val="0"/>
        <w:adjustRightInd w:val="0"/>
        <w:spacing w:after="0" w:line="240" w:lineRule="auto"/>
        <w:jc w:val="both"/>
        <w:rPr>
          <w:rFonts w:ascii="Arial Narrow" w:hAnsi="Arial Narrow"/>
          <w:bCs/>
          <w:sz w:val="20"/>
          <w:szCs w:val="20"/>
        </w:rPr>
      </w:pPr>
    </w:p>
    <w:p w:rsidR="00D1297D" w:rsidRPr="00D1297D" w:rsidRDefault="00D1297D" w:rsidP="00D1297D">
      <w:pPr>
        <w:spacing w:after="0" w:line="240" w:lineRule="auto"/>
        <w:jc w:val="both"/>
        <w:rPr>
          <w:rFonts w:ascii="Arial Narrow" w:hAnsi="Arial Narrow"/>
          <w:sz w:val="20"/>
          <w:szCs w:val="20"/>
        </w:rPr>
      </w:pPr>
      <w:r w:rsidRPr="00D1297D">
        <w:rPr>
          <w:rFonts w:ascii="Arial Narrow" w:hAnsi="Arial Narrow"/>
          <w:sz w:val="20"/>
          <w:szCs w:val="20"/>
        </w:rPr>
        <w:t>La rentabilidad del Activo (Utilidad Operacional/ Total Activos), es la capacidad de la empresa para producir beneficios por medio del lucro de los activos o se considera igualmente como una medida de la capacidad de los activos de una empresa para generar valor con independencia, es un indicador para juzgar la eficiencia en la Gestión Empresarial, pues precisamente el comportamiento de los activos con independencia de su financiación, es el que determina con carácter general que una empresa sea o no rentable en términos económicos, es un mecanismo para estimar el grado de eficiencia de los activos totales de una empresa.</w:t>
      </w:r>
    </w:p>
    <w:p w:rsidR="00D1297D" w:rsidRPr="00D1297D" w:rsidRDefault="00D1297D" w:rsidP="00D1297D">
      <w:pPr>
        <w:spacing w:after="0" w:line="240" w:lineRule="auto"/>
        <w:rPr>
          <w:rFonts w:ascii="Arial Narrow" w:hAnsi="Arial Narrow"/>
          <w:sz w:val="20"/>
          <w:szCs w:val="20"/>
          <w:lang w:val="es-ES"/>
        </w:rPr>
      </w:pPr>
    </w:p>
    <w:tbl>
      <w:tblPr>
        <w:tblW w:w="7753" w:type="dxa"/>
        <w:jc w:val="center"/>
        <w:tblCellMar>
          <w:left w:w="70" w:type="dxa"/>
          <w:right w:w="70" w:type="dxa"/>
        </w:tblCellMar>
        <w:tblLook w:val="04A0" w:firstRow="1" w:lastRow="0" w:firstColumn="1" w:lastColumn="0" w:noHBand="0" w:noVBand="1"/>
      </w:tblPr>
      <w:tblGrid>
        <w:gridCol w:w="1129"/>
        <w:gridCol w:w="919"/>
        <w:gridCol w:w="1986"/>
        <w:gridCol w:w="1922"/>
        <w:gridCol w:w="1797"/>
      </w:tblGrid>
      <w:tr w:rsidR="00D1297D" w:rsidRPr="00D1297D" w:rsidTr="002018C4">
        <w:trPr>
          <w:trHeight w:val="268"/>
          <w:jc w:val="center"/>
        </w:trPr>
        <w:tc>
          <w:tcPr>
            <w:tcW w:w="7753"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RENTABILIDAD DEL ACTIVO</w:t>
            </w:r>
          </w:p>
        </w:tc>
      </w:tr>
      <w:tr w:rsidR="00D1297D" w:rsidRPr="00D1297D" w:rsidTr="002018C4">
        <w:trPr>
          <w:trHeight w:val="449"/>
          <w:jc w:val="center"/>
        </w:trPr>
        <w:tc>
          <w:tcPr>
            <w:tcW w:w="2048" w:type="dxa"/>
            <w:gridSpan w:val="2"/>
            <w:tcBorders>
              <w:top w:val="single" w:sz="4" w:space="0" w:color="auto"/>
              <w:left w:val="single" w:sz="4" w:space="0" w:color="auto"/>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Rango (%)</w:t>
            </w:r>
          </w:p>
        </w:tc>
        <w:tc>
          <w:tcPr>
            <w:tcW w:w="1986" w:type="dxa"/>
            <w:tcBorders>
              <w:top w:val="nil"/>
              <w:left w:val="nil"/>
              <w:bottom w:val="double" w:sz="6" w:space="0" w:color="auto"/>
              <w:right w:val="single" w:sz="4" w:space="0" w:color="auto"/>
            </w:tcBorders>
            <w:shd w:val="clear" w:color="000000" w:fill="92D050"/>
            <w:noWrap/>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Frecuencia</w:t>
            </w:r>
          </w:p>
        </w:tc>
        <w:tc>
          <w:tcPr>
            <w:tcW w:w="1922"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Relativa)</w:t>
            </w:r>
          </w:p>
        </w:tc>
        <w:tc>
          <w:tcPr>
            <w:tcW w:w="1797" w:type="dxa"/>
            <w:tcBorders>
              <w:top w:val="nil"/>
              <w:left w:val="nil"/>
              <w:bottom w:val="double" w:sz="6" w:space="0" w:color="auto"/>
              <w:right w:val="single" w:sz="4" w:space="0" w:color="auto"/>
            </w:tcBorders>
            <w:shd w:val="clear" w:color="000000" w:fill="92D050"/>
            <w:vAlign w:val="center"/>
            <w:hideMark/>
          </w:tcPr>
          <w:p w:rsidR="00D1297D" w:rsidRPr="00D1297D" w:rsidRDefault="00D1297D" w:rsidP="002018C4">
            <w:pPr>
              <w:spacing w:after="0" w:line="240" w:lineRule="auto"/>
              <w:jc w:val="center"/>
              <w:rPr>
                <w:rFonts w:ascii="Arial Narrow" w:hAnsi="Arial Narrow" w:cs="Calibri"/>
                <w:b/>
                <w:bCs/>
                <w:color w:val="000000"/>
                <w:sz w:val="20"/>
                <w:szCs w:val="20"/>
              </w:rPr>
            </w:pPr>
            <w:r w:rsidRPr="00D1297D">
              <w:rPr>
                <w:rFonts w:ascii="Arial Narrow" w:hAnsi="Arial Narrow" w:cs="Calibri"/>
                <w:b/>
                <w:bCs/>
                <w:color w:val="000000"/>
                <w:sz w:val="20"/>
                <w:szCs w:val="20"/>
              </w:rPr>
              <w:t xml:space="preserve">Hi </w:t>
            </w:r>
            <w:r w:rsidRPr="00D1297D">
              <w:rPr>
                <w:rFonts w:ascii="Arial Narrow" w:hAnsi="Arial Narrow" w:cs="Calibri"/>
                <w:b/>
                <w:bCs/>
                <w:color w:val="000000"/>
                <w:sz w:val="20"/>
                <w:szCs w:val="20"/>
              </w:rPr>
              <w:br/>
              <w:t>(Frecuencia Acumulada)</w:t>
            </w:r>
          </w:p>
        </w:tc>
      </w:tr>
      <w:tr w:rsidR="00D1297D" w:rsidRPr="00D1297D" w:rsidTr="002018C4">
        <w:trPr>
          <w:trHeight w:val="282"/>
          <w:jc w:val="center"/>
        </w:trPr>
        <w:tc>
          <w:tcPr>
            <w:tcW w:w="1129" w:type="dxa"/>
            <w:tcBorders>
              <w:top w:val="nil"/>
              <w:left w:val="single" w:sz="4" w:space="0" w:color="auto"/>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w:t>
            </w:r>
          </w:p>
        </w:tc>
        <w:tc>
          <w:tcPr>
            <w:tcW w:w="919"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986"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2 </w:t>
            </w:r>
          </w:p>
        </w:tc>
        <w:tc>
          <w:tcPr>
            <w:tcW w:w="1922" w:type="dxa"/>
            <w:tcBorders>
              <w:top w:val="nil"/>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13,33%</w:t>
            </w:r>
          </w:p>
        </w:tc>
        <w:tc>
          <w:tcPr>
            <w:tcW w:w="1797" w:type="dxa"/>
            <w:tcBorders>
              <w:top w:val="single" w:sz="4" w:space="0" w:color="auto"/>
              <w:left w:val="nil"/>
              <w:bottom w:val="nil"/>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100,00%</w:t>
            </w:r>
          </w:p>
        </w:tc>
      </w:tr>
      <w:tr w:rsidR="00D1297D" w:rsidRPr="00D1297D" w:rsidTr="002018C4">
        <w:trPr>
          <w:trHeight w:val="268"/>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0,00 </w:t>
            </w:r>
          </w:p>
        </w:tc>
        <w:tc>
          <w:tcPr>
            <w:tcW w:w="919"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0,001 </w:t>
            </w:r>
          </w:p>
        </w:tc>
        <w:tc>
          <w:tcPr>
            <w:tcW w:w="1986"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922"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797" w:type="dxa"/>
            <w:tcBorders>
              <w:top w:val="single" w:sz="4" w:space="0" w:color="auto"/>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86,67%</w:t>
            </w:r>
          </w:p>
        </w:tc>
      </w:tr>
      <w:tr w:rsidR="00D1297D" w:rsidRPr="00D1297D" w:rsidTr="002018C4">
        <w:trPr>
          <w:trHeight w:val="268"/>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0,002 </w:t>
            </w:r>
          </w:p>
        </w:tc>
        <w:tc>
          <w:tcPr>
            <w:tcW w:w="91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0,007 </w:t>
            </w:r>
          </w:p>
        </w:tc>
        <w:tc>
          <w:tcPr>
            <w:tcW w:w="198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92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79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86,67%</w:t>
            </w:r>
          </w:p>
        </w:tc>
      </w:tr>
      <w:tr w:rsidR="00D1297D" w:rsidRPr="00D1297D" w:rsidTr="002018C4">
        <w:trPr>
          <w:trHeight w:val="268"/>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lastRenderedPageBreak/>
              <w:t xml:space="preserve">0,008 </w:t>
            </w:r>
          </w:p>
        </w:tc>
        <w:tc>
          <w:tcPr>
            <w:tcW w:w="91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0,013 </w:t>
            </w:r>
          </w:p>
        </w:tc>
        <w:tc>
          <w:tcPr>
            <w:tcW w:w="198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92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79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80,00%</w:t>
            </w:r>
          </w:p>
        </w:tc>
      </w:tr>
      <w:tr w:rsidR="00D1297D" w:rsidRPr="00D1297D" w:rsidTr="002018C4">
        <w:trPr>
          <w:trHeight w:val="268"/>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0,014 </w:t>
            </w:r>
          </w:p>
        </w:tc>
        <w:tc>
          <w:tcPr>
            <w:tcW w:w="91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0,019 </w:t>
            </w:r>
          </w:p>
        </w:tc>
        <w:tc>
          <w:tcPr>
            <w:tcW w:w="198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92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79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73,33%</w:t>
            </w:r>
          </w:p>
        </w:tc>
      </w:tr>
      <w:tr w:rsidR="00D1297D" w:rsidRPr="00D1297D" w:rsidTr="002018C4">
        <w:trPr>
          <w:trHeight w:val="268"/>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0,020 </w:t>
            </w:r>
          </w:p>
        </w:tc>
        <w:tc>
          <w:tcPr>
            <w:tcW w:w="91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0,025 </w:t>
            </w:r>
          </w:p>
        </w:tc>
        <w:tc>
          <w:tcPr>
            <w:tcW w:w="198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92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79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73,33%</w:t>
            </w:r>
          </w:p>
        </w:tc>
      </w:tr>
      <w:tr w:rsidR="00D1297D" w:rsidRPr="00D1297D" w:rsidTr="002018C4">
        <w:trPr>
          <w:trHeight w:val="268"/>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0,026 </w:t>
            </w:r>
          </w:p>
        </w:tc>
        <w:tc>
          <w:tcPr>
            <w:tcW w:w="91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0,031 </w:t>
            </w:r>
          </w:p>
        </w:tc>
        <w:tc>
          <w:tcPr>
            <w:tcW w:w="198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92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79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66,67%</w:t>
            </w:r>
          </w:p>
        </w:tc>
      </w:tr>
      <w:tr w:rsidR="00D1297D" w:rsidRPr="00D1297D" w:rsidTr="002018C4">
        <w:trPr>
          <w:trHeight w:val="268"/>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0,032 </w:t>
            </w:r>
          </w:p>
        </w:tc>
        <w:tc>
          <w:tcPr>
            <w:tcW w:w="91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0,037 </w:t>
            </w:r>
          </w:p>
        </w:tc>
        <w:tc>
          <w:tcPr>
            <w:tcW w:w="198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1 </w:t>
            </w:r>
          </w:p>
        </w:tc>
        <w:tc>
          <w:tcPr>
            <w:tcW w:w="192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6,67%</w:t>
            </w:r>
          </w:p>
        </w:tc>
        <w:tc>
          <w:tcPr>
            <w:tcW w:w="179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66,67%</w:t>
            </w:r>
          </w:p>
        </w:tc>
      </w:tr>
      <w:tr w:rsidR="00D1297D" w:rsidRPr="00D1297D" w:rsidTr="002018C4">
        <w:trPr>
          <w:trHeight w:val="268"/>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0,038 </w:t>
            </w:r>
          </w:p>
        </w:tc>
        <w:tc>
          <w:tcPr>
            <w:tcW w:w="91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0,043 </w:t>
            </w:r>
          </w:p>
        </w:tc>
        <w:tc>
          <w:tcPr>
            <w:tcW w:w="198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92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79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60,00%</w:t>
            </w:r>
          </w:p>
        </w:tc>
      </w:tr>
      <w:tr w:rsidR="00D1297D" w:rsidRPr="00D1297D" w:rsidTr="002018C4">
        <w:trPr>
          <w:trHeight w:val="268"/>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0,044 </w:t>
            </w:r>
          </w:p>
        </w:tc>
        <w:tc>
          <w:tcPr>
            <w:tcW w:w="91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0,049 </w:t>
            </w:r>
          </w:p>
        </w:tc>
        <w:tc>
          <w:tcPr>
            <w:tcW w:w="198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   </w:t>
            </w:r>
          </w:p>
        </w:tc>
        <w:tc>
          <w:tcPr>
            <w:tcW w:w="192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0,00%</w:t>
            </w:r>
          </w:p>
        </w:tc>
        <w:tc>
          <w:tcPr>
            <w:tcW w:w="179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60,00%</w:t>
            </w:r>
          </w:p>
        </w:tc>
      </w:tr>
      <w:tr w:rsidR="00D1297D" w:rsidRPr="00D1297D" w:rsidTr="002018C4">
        <w:trPr>
          <w:trHeight w:val="268"/>
          <w:jc w:val="center"/>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0,050 </w:t>
            </w:r>
          </w:p>
        </w:tc>
        <w:tc>
          <w:tcPr>
            <w:tcW w:w="919"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 xml:space="preserve">1.000,00 </w:t>
            </w:r>
          </w:p>
        </w:tc>
        <w:tc>
          <w:tcPr>
            <w:tcW w:w="1986"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center"/>
              <w:rPr>
                <w:rFonts w:ascii="Arial Narrow" w:hAnsi="Arial Narrow" w:cs="Calibri"/>
                <w:color w:val="000000"/>
                <w:sz w:val="20"/>
                <w:szCs w:val="20"/>
              </w:rPr>
            </w:pPr>
            <w:r w:rsidRPr="00D1297D">
              <w:rPr>
                <w:rFonts w:ascii="Arial Narrow" w:hAnsi="Arial Narrow" w:cs="Calibri"/>
                <w:color w:val="000000"/>
                <w:sz w:val="20"/>
                <w:szCs w:val="20"/>
              </w:rPr>
              <w:t xml:space="preserve">                     9 </w:t>
            </w:r>
          </w:p>
        </w:tc>
        <w:tc>
          <w:tcPr>
            <w:tcW w:w="1922"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60,00%</w:t>
            </w:r>
          </w:p>
        </w:tc>
        <w:tc>
          <w:tcPr>
            <w:tcW w:w="1797" w:type="dxa"/>
            <w:tcBorders>
              <w:top w:val="nil"/>
              <w:left w:val="nil"/>
              <w:bottom w:val="single" w:sz="4" w:space="0" w:color="auto"/>
              <w:right w:val="single" w:sz="4" w:space="0" w:color="auto"/>
            </w:tcBorders>
            <w:shd w:val="clear" w:color="auto" w:fill="auto"/>
            <w:noWrap/>
            <w:vAlign w:val="center"/>
            <w:hideMark/>
          </w:tcPr>
          <w:p w:rsidR="00D1297D" w:rsidRPr="00D1297D" w:rsidRDefault="00D1297D" w:rsidP="002018C4">
            <w:pPr>
              <w:spacing w:after="0" w:line="240" w:lineRule="auto"/>
              <w:jc w:val="right"/>
              <w:rPr>
                <w:rFonts w:ascii="Arial Narrow" w:hAnsi="Arial Narrow" w:cs="Calibri"/>
                <w:color w:val="000000"/>
                <w:sz w:val="20"/>
                <w:szCs w:val="20"/>
              </w:rPr>
            </w:pPr>
            <w:r w:rsidRPr="00D1297D">
              <w:rPr>
                <w:rFonts w:ascii="Arial Narrow" w:hAnsi="Arial Narrow" w:cs="Calibri"/>
                <w:color w:val="000000"/>
                <w:sz w:val="20"/>
                <w:szCs w:val="20"/>
              </w:rPr>
              <w:t>60,00%</w:t>
            </w:r>
          </w:p>
        </w:tc>
      </w:tr>
    </w:tbl>
    <w:p w:rsidR="00D1297D" w:rsidRPr="00D1297D" w:rsidRDefault="00D1297D" w:rsidP="00D1297D">
      <w:pPr>
        <w:spacing w:after="0" w:line="240" w:lineRule="auto"/>
        <w:jc w:val="center"/>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r w:rsidRPr="00D1297D">
        <w:rPr>
          <w:rFonts w:ascii="Arial Narrow" w:hAnsi="Arial Narrow"/>
          <w:noProof/>
          <w:sz w:val="20"/>
          <w:szCs w:val="20"/>
          <w:lang w:eastAsia="es-CO"/>
        </w:rPr>
        <w:drawing>
          <wp:anchor distT="6096" distB="5842" distL="120396" distR="120396" simplePos="0" relativeHeight="251673600" behindDoc="1" locked="0" layoutInCell="1" allowOverlap="1">
            <wp:simplePos x="0" y="0"/>
            <wp:positionH relativeFrom="column">
              <wp:posOffset>818896</wp:posOffset>
            </wp:positionH>
            <wp:positionV relativeFrom="paragraph">
              <wp:posOffset>-207899</wp:posOffset>
            </wp:positionV>
            <wp:extent cx="4388485" cy="2536190"/>
            <wp:effectExtent l="0" t="0" r="12065" b="16510"/>
            <wp:wrapTight wrapText="bothSides">
              <wp:wrapPolygon edited="0">
                <wp:start x="0" y="0"/>
                <wp:lineTo x="0" y="21578"/>
                <wp:lineTo x="21566" y="21578"/>
                <wp:lineTo x="21566" y="0"/>
                <wp:lineTo x="0" y="0"/>
              </wp:wrapPolygon>
            </wp:wrapTight>
            <wp:docPr id="11" name="Gráfico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line="240" w:lineRule="auto"/>
        <w:rPr>
          <w:rFonts w:ascii="Arial Narrow" w:hAnsi="Arial Narrow"/>
          <w:sz w:val="20"/>
          <w:szCs w:val="20"/>
          <w:lang w:val="es-ES"/>
        </w:rPr>
      </w:pPr>
    </w:p>
    <w:p w:rsidR="00D1297D" w:rsidRPr="00D1297D" w:rsidRDefault="00D1297D" w:rsidP="00D1297D">
      <w:pPr>
        <w:spacing w:after="0"/>
        <w:jc w:val="both"/>
        <w:rPr>
          <w:rFonts w:ascii="Arial Narrow" w:hAnsi="Arial Narrow"/>
          <w:sz w:val="20"/>
          <w:szCs w:val="20"/>
        </w:rPr>
      </w:pPr>
      <w:r w:rsidRPr="00D1297D">
        <w:rPr>
          <w:rFonts w:ascii="Arial Narrow" w:hAnsi="Arial Narrow"/>
          <w:sz w:val="20"/>
          <w:szCs w:val="20"/>
        </w:rPr>
        <w:t xml:space="preserve">Teniendo en cuenta la tendencia de la muestra, en donde refleja un comportamiento disperso de este indicador en el sector, se puede recomendar establecer como indicador de Rentabilidad del Activo el 0.00, el cual otorga un porcentaje de participación 93.3%. Es decir, los proponentes que tengan un índice de Rentabilidad del Activo mayor o igual a </w:t>
      </w:r>
      <w:r w:rsidRPr="00D1297D">
        <w:rPr>
          <w:rFonts w:ascii="Arial Narrow" w:hAnsi="Arial Narrow"/>
          <w:b/>
          <w:sz w:val="20"/>
          <w:szCs w:val="20"/>
        </w:rPr>
        <w:t>0.0</w:t>
      </w:r>
      <w:r w:rsidRPr="00D1297D">
        <w:rPr>
          <w:rFonts w:ascii="Arial Narrow" w:hAnsi="Arial Narrow"/>
          <w:sz w:val="20"/>
          <w:szCs w:val="20"/>
        </w:rPr>
        <w:t xml:space="preserve"> quedan habilitados con respecto a este indicador.</w:t>
      </w:r>
    </w:p>
    <w:p w:rsidR="00D1297D" w:rsidRPr="00D1297D" w:rsidRDefault="00D1297D" w:rsidP="00D1297D">
      <w:pPr>
        <w:spacing w:after="0"/>
        <w:jc w:val="both"/>
        <w:rPr>
          <w:rFonts w:ascii="Arial Narrow" w:hAnsi="Arial Narrow"/>
          <w:b/>
          <w:sz w:val="20"/>
          <w:szCs w:val="20"/>
          <w:lang w:val="es-ES"/>
        </w:rPr>
      </w:pPr>
    </w:p>
    <w:p w:rsidR="00D1297D" w:rsidRPr="00D1297D" w:rsidRDefault="00D1297D" w:rsidP="00D1297D">
      <w:pPr>
        <w:spacing w:after="0"/>
        <w:jc w:val="both"/>
        <w:rPr>
          <w:rFonts w:ascii="Arial Narrow" w:hAnsi="Arial Narrow"/>
          <w:sz w:val="20"/>
          <w:szCs w:val="20"/>
          <w:lang w:val="es-MX"/>
        </w:rPr>
      </w:pPr>
      <w:r w:rsidRPr="00D1297D">
        <w:rPr>
          <w:rFonts w:ascii="Arial Narrow" w:hAnsi="Arial Narrow"/>
          <w:sz w:val="20"/>
          <w:szCs w:val="20"/>
          <w:lang w:val="es-MX"/>
        </w:rPr>
        <w:t xml:space="preserve">La Entidad determinó los siguientes indicadores para el presente proceso: </w:t>
      </w:r>
    </w:p>
    <w:p w:rsidR="00D1297D" w:rsidRPr="00D1297D" w:rsidRDefault="00D1297D" w:rsidP="00D1297D">
      <w:pPr>
        <w:spacing w:after="0"/>
        <w:jc w:val="both"/>
        <w:rPr>
          <w:rFonts w:ascii="Arial Narrow" w:hAnsi="Arial Narrow"/>
          <w:sz w:val="20"/>
          <w:szCs w:val="20"/>
          <w:lang w:val="es-MX"/>
        </w:rPr>
      </w:pPr>
    </w:p>
    <w:p w:rsidR="00D1297D" w:rsidRPr="00D1297D" w:rsidRDefault="00D1297D" w:rsidP="00D1297D">
      <w:pPr>
        <w:spacing w:after="0" w:line="240" w:lineRule="auto"/>
        <w:jc w:val="both"/>
        <w:rPr>
          <w:rFonts w:ascii="Arial Narrow" w:hAnsi="Arial Narrow"/>
          <w:sz w:val="20"/>
          <w:szCs w:val="20"/>
          <w:lang w:val="es-MX"/>
        </w:rPr>
      </w:pPr>
    </w:p>
    <w:tbl>
      <w:tblPr>
        <w:tblpPr w:leftFromText="141" w:rightFromText="141" w:vertAnchor="text" w:horzAnchor="margin" w:tblpXSpec="center" w:tblpY="-153"/>
        <w:tblOverlap w:val="never"/>
        <w:tblW w:w="7449" w:type="dxa"/>
        <w:tblCellMar>
          <w:left w:w="70" w:type="dxa"/>
          <w:right w:w="70" w:type="dxa"/>
        </w:tblCellMar>
        <w:tblLook w:val="04A0" w:firstRow="1" w:lastRow="0" w:firstColumn="1" w:lastColumn="0" w:noHBand="0" w:noVBand="1"/>
      </w:tblPr>
      <w:tblGrid>
        <w:gridCol w:w="4106"/>
        <w:gridCol w:w="3343"/>
      </w:tblGrid>
      <w:tr w:rsidR="00D1297D" w:rsidRPr="00D1297D" w:rsidTr="002018C4">
        <w:trPr>
          <w:trHeight w:val="255"/>
        </w:trPr>
        <w:tc>
          <w:tcPr>
            <w:tcW w:w="7449" w:type="dxa"/>
            <w:gridSpan w:val="2"/>
            <w:tcBorders>
              <w:top w:val="single" w:sz="4" w:space="0" w:color="auto"/>
              <w:left w:val="single" w:sz="4" w:space="0" w:color="auto"/>
              <w:bottom w:val="single" w:sz="4" w:space="0" w:color="auto"/>
              <w:right w:val="single" w:sz="4" w:space="0" w:color="auto"/>
            </w:tcBorders>
            <w:shd w:val="clear" w:color="auto" w:fill="DCE6F1"/>
            <w:noWrap/>
            <w:vAlign w:val="center"/>
            <w:hideMark/>
          </w:tcPr>
          <w:p w:rsidR="00D1297D" w:rsidRPr="00D1297D" w:rsidRDefault="00D1297D" w:rsidP="002018C4">
            <w:pPr>
              <w:spacing w:after="0" w:line="240" w:lineRule="auto"/>
              <w:jc w:val="center"/>
              <w:rPr>
                <w:rFonts w:ascii="Arial Narrow" w:hAnsi="Arial Narrow"/>
                <w:b/>
                <w:bCs/>
                <w:sz w:val="20"/>
                <w:szCs w:val="20"/>
              </w:rPr>
            </w:pPr>
            <w:r w:rsidRPr="00D1297D">
              <w:rPr>
                <w:rFonts w:ascii="Arial Narrow" w:hAnsi="Arial Narrow"/>
                <w:b/>
                <w:bCs/>
                <w:sz w:val="20"/>
                <w:szCs w:val="20"/>
              </w:rPr>
              <w:t>CAPACIDAD FINANCIERA</w:t>
            </w:r>
          </w:p>
        </w:tc>
      </w:tr>
      <w:tr w:rsidR="00D1297D" w:rsidRPr="00D1297D" w:rsidTr="002018C4">
        <w:trPr>
          <w:trHeight w:val="225"/>
        </w:trPr>
        <w:tc>
          <w:tcPr>
            <w:tcW w:w="4106" w:type="dxa"/>
            <w:tcBorders>
              <w:top w:val="nil"/>
              <w:left w:val="single" w:sz="4" w:space="0" w:color="auto"/>
              <w:bottom w:val="single" w:sz="4" w:space="0" w:color="auto"/>
              <w:right w:val="single" w:sz="4" w:space="0" w:color="auto"/>
            </w:tcBorders>
            <w:noWrap/>
            <w:vAlign w:val="center"/>
            <w:hideMark/>
          </w:tcPr>
          <w:p w:rsidR="00D1297D" w:rsidRPr="00D1297D" w:rsidRDefault="00D1297D" w:rsidP="002018C4">
            <w:pPr>
              <w:spacing w:after="0" w:line="240" w:lineRule="auto"/>
              <w:rPr>
                <w:rFonts w:ascii="Arial Narrow" w:hAnsi="Arial Narrow"/>
                <w:sz w:val="20"/>
                <w:szCs w:val="20"/>
              </w:rPr>
            </w:pPr>
            <w:r w:rsidRPr="00D1297D">
              <w:rPr>
                <w:rFonts w:ascii="Arial Narrow" w:hAnsi="Arial Narrow"/>
                <w:sz w:val="20"/>
                <w:szCs w:val="20"/>
              </w:rPr>
              <w:t>LIQUIDEZ</w:t>
            </w:r>
          </w:p>
        </w:tc>
        <w:tc>
          <w:tcPr>
            <w:tcW w:w="3343" w:type="dxa"/>
            <w:tcBorders>
              <w:top w:val="nil"/>
              <w:left w:val="nil"/>
              <w:bottom w:val="single" w:sz="4" w:space="0" w:color="auto"/>
              <w:right w:val="single" w:sz="4" w:space="0" w:color="auto"/>
            </w:tcBorders>
            <w:noWrap/>
            <w:vAlign w:val="center"/>
            <w:hideMark/>
          </w:tcPr>
          <w:p w:rsidR="00D1297D" w:rsidRPr="00D1297D" w:rsidRDefault="00D1297D" w:rsidP="002018C4">
            <w:pPr>
              <w:spacing w:after="0" w:line="240" w:lineRule="auto"/>
              <w:jc w:val="center"/>
              <w:rPr>
                <w:rFonts w:ascii="Arial Narrow" w:hAnsi="Arial Narrow"/>
                <w:sz w:val="20"/>
                <w:szCs w:val="20"/>
              </w:rPr>
            </w:pPr>
            <w:r w:rsidRPr="00D1297D">
              <w:rPr>
                <w:rFonts w:ascii="Arial Narrow" w:hAnsi="Arial Narrow"/>
                <w:sz w:val="20"/>
                <w:szCs w:val="20"/>
              </w:rPr>
              <w:t>Mayor o igual a 2</w:t>
            </w:r>
          </w:p>
        </w:tc>
      </w:tr>
      <w:tr w:rsidR="00D1297D" w:rsidRPr="00D1297D" w:rsidTr="002018C4">
        <w:trPr>
          <w:trHeight w:val="270"/>
        </w:trPr>
        <w:tc>
          <w:tcPr>
            <w:tcW w:w="4106" w:type="dxa"/>
            <w:tcBorders>
              <w:top w:val="nil"/>
              <w:left w:val="single" w:sz="4" w:space="0" w:color="auto"/>
              <w:bottom w:val="single" w:sz="4" w:space="0" w:color="auto"/>
              <w:right w:val="single" w:sz="4" w:space="0" w:color="auto"/>
            </w:tcBorders>
            <w:noWrap/>
            <w:vAlign w:val="center"/>
            <w:hideMark/>
          </w:tcPr>
          <w:p w:rsidR="00D1297D" w:rsidRPr="00D1297D" w:rsidRDefault="00D1297D" w:rsidP="002018C4">
            <w:pPr>
              <w:spacing w:after="0" w:line="240" w:lineRule="auto"/>
              <w:rPr>
                <w:rFonts w:ascii="Arial Narrow" w:hAnsi="Arial Narrow"/>
                <w:sz w:val="20"/>
                <w:szCs w:val="20"/>
              </w:rPr>
            </w:pPr>
            <w:r w:rsidRPr="00D1297D">
              <w:rPr>
                <w:rFonts w:ascii="Arial Narrow" w:hAnsi="Arial Narrow"/>
                <w:sz w:val="20"/>
                <w:szCs w:val="20"/>
              </w:rPr>
              <w:t>ENDEUDAMIENTO</w:t>
            </w:r>
          </w:p>
        </w:tc>
        <w:tc>
          <w:tcPr>
            <w:tcW w:w="3343" w:type="dxa"/>
            <w:tcBorders>
              <w:top w:val="nil"/>
              <w:left w:val="nil"/>
              <w:bottom w:val="single" w:sz="4" w:space="0" w:color="auto"/>
              <w:right w:val="single" w:sz="4" w:space="0" w:color="auto"/>
            </w:tcBorders>
            <w:noWrap/>
            <w:vAlign w:val="center"/>
            <w:hideMark/>
          </w:tcPr>
          <w:p w:rsidR="00D1297D" w:rsidRPr="00D1297D" w:rsidRDefault="00D1297D" w:rsidP="002018C4">
            <w:pPr>
              <w:spacing w:after="0" w:line="240" w:lineRule="auto"/>
              <w:jc w:val="center"/>
              <w:rPr>
                <w:rFonts w:ascii="Arial Narrow" w:hAnsi="Arial Narrow"/>
                <w:sz w:val="20"/>
                <w:szCs w:val="20"/>
              </w:rPr>
            </w:pPr>
            <w:r w:rsidRPr="00D1297D">
              <w:rPr>
                <w:rFonts w:ascii="Arial Narrow" w:hAnsi="Arial Narrow"/>
                <w:sz w:val="20"/>
                <w:szCs w:val="20"/>
              </w:rPr>
              <w:t>Menor o igual al  75%</w:t>
            </w:r>
          </w:p>
        </w:tc>
      </w:tr>
      <w:tr w:rsidR="00D1297D" w:rsidRPr="00D1297D" w:rsidTr="002018C4">
        <w:trPr>
          <w:trHeight w:val="225"/>
        </w:trPr>
        <w:tc>
          <w:tcPr>
            <w:tcW w:w="4106" w:type="dxa"/>
            <w:tcBorders>
              <w:top w:val="nil"/>
              <w:left w:val="single" w:sz="4" w:space="0" w:color="auto"/>
              <w:bottom w:val="single" w:sz="4" w:space="0" w:color="auto"/>
              <w:right w:val="single" w:sz="4" w:space="0" w:color="auto"/>
            </w:tcBorders>
            <w:noWrap/>
            <w:vAlign w:val="center"/>
            <w:hideMark/>
          </w:tcPr>
          <w:p w:rsidR="00D1297D" w:rsidRPr="00D1297D" w:rsidRDefault="00D1297D" w:rsidP="002018C4">
            <w:pPr>
              <w:spacing w:after="0" w:line="240" w:lineRule="auto"/>
              <w:rPr>
                <w:rFonts w:ascii="Arial Narrow" w:hAnsi="Arial Narrow"/>
                <w:sz w:val="20"/>
                <w:szCs w:val="20"/>
              </w:rPr>
            </w:pPr>
            <w:r w:rsidRPr="00D1297D">
              <w:rPr>
                <w:rFonts w:ascii="Arial Narrow" w:hAnsi="Arial Narrow"/>
                <w:sz w:val="20"/>
                <w:szCs w:val="20"/>
              </w:rPr>
              <w:t>CAPITAL DE TRABAJO</w:t>
            </w:r>
          </w:p>
        </w:tc>
        <w:tc>
          <w:tcPr>
            <w:tcW w:w="3343" w:type="dxa"/>
            <w:tcBorders>
              <w:top w:val="nil"/>
              <w:left w:val="nil"/>
              <w:bottom w:val="single" w:sz="4" w:space="0" w:color="auto"/>
              <w:right w:val="single" w:sz="4" w:space="0" w:color="auto"/>
            </w:tcBorders>
            <w:noWrap/>
            <w:vAlign w:val="center"/>
            <w:hideMark/>
          </w:tcPr>
          <w:p w:rsidR="00D1297D" w:rsidRPr="00D1297D" w:rsidRDefault="00D1297D" w:rsidP="002018C4">
            <w:pPr>
              <w:spacing w:after="0" w:line="240" w:lineRule="auto"/>
              <w:jc w:val="center"/>
              <w:rPr>
                <w:rFonts w:ascii="Arial Narrow" w:hAnsi="Arial Narrow"/>
                <w:sz w:val="20"/>
                <w:szCs w:val="20"/>
              </w:rPr>
            </w:pPr>
            <w:r w:rsidRPr="00D1297D">
              <w:rPr>
                <w:rFonts w:ascii="Arial Narrow" w:hAnsi="Arial Narrow"/>
                <w:sz w:val="20"/>
                <w:szCs w:val="20"/>
              </w:rPr>
              <w:t>Mayor o igual  a 50% el PO</w:t>
            </w:r>
          </w:p>
        </w:tc>
      </w:tr>
      <w:tr w:rsidR="00D1297D" w:rsidRPr="00D1297D" w:rsidTr="002018C4">
        <w:trPr>
          <w:trHeight w:val="255"/>
        </w:trPr>
        <w:tc>
          <w:tcPr>
            <w:tcW w:w="4106" w:type="dxa"/>
            <w:tcBorders>
              <w:top w:val="nil"/>
              <w:left w:val="single" w:sz="4" w:space="0" w:color="auto"/>
              <w:bottom w:val="single" w:sz="4" w:space="0" w:color="auto"/>
              <w:right w:val="single" w:sz="4" w:space="0" w:color="auto"/>
            </w:tcBorders>
            <w:noWrap/>
            <w:vAlign w:val="center"/>
            <w:hideMark/>
          </w:tcPr>
          <w:p w:rsidR="00D1297D" w:rsidRPr="00D1297D" w:rsidRDefault="00D1297D" w:rsidP="002018C4">
            <w:pPr>
              <w:spacing w:after="0" w:line="240" w:lineRule="auto"/>
              <w:rPr>
                <w:rFonts w:ascii="Arial Narrow" w:hAnsi="Arial Narrow"/>
                <w:sz w:val="20"/>
                <w:szCs w:val="20"/>
              </w:rPr>
            </w:pPr>
            <w:r w:rsidRPr="00D1297D">
              <w:rPr>
                <w:rFonts w:ascii="Arial Narrow" w:hAnsi="Arial Narrow"/>
                <w:sz w:val="20"/>
                <w:szCs w:val="20"/>
              </w:rPr>
              <w:t>PATRIMONIO</w:t>
            </w:r>
          </w:p>
        </w:tc>
        <w:tc>
          <w:tcPr>
            <w:tcW w:w="3343" w:type="dxa"/>
            <w:tcBorders>
              <w:top w:val="nil"/>
              <w:left w:val="nil"/>
              <w:bottom w:val="single" w:sz="4" w:space="0" w:color="auto"/>
              <w:right w:val="single" w:sz="4" w:space="0" w:color="auto"/>
            </w:tcBorders>
            <w:noWrap/>
            <w:vAlign w:val="center"/>
            <w:hideMark/>
          </w:tcPr>
          <w:p w:rsidR="00D1297D" w:rsidRPr="00D1297D" w:rsidRDefault="00D1297D" w:rsidP="002018C4">
            <w:pPr>
              <w:spacing w:after="0" w:line="240" w:lineRule="auto"/>
              <w:jc w:val="center"/>
              <w:rPr>
                <w:rFonts w:ascii="Arial Narrow" w:hAnsi="Arial Narrow"/>
                <w:sz w:val="20"/>
                <w:szCs w:val="20"/>
              </w:rPr>
            </w:pPr>
            <w:r w:rsidRPr="00D1297D">
              <w:rPr>
                <w:rFonts w:ascii="Arial Narrow" w:hAnsi="Arial Narrow"/>
                <w:sz w:val="20"/>
                <w:szCs w:val="20"/>
              </w:rPr>
              <w:t>Mayor o igual  a 50% el PO</w:t>
            </w:r>
          </w:p>
        </w:tc>
      </w:tr>
    </w:tbl>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Pr="00D1297D" w:rsidRDefault="00D1297D" w:rsidP="00D1297D">
      <w:pPr>
        <w:spacing w:after="0" w:line="240" w:lineRule="auto"/>
        <w:jc w:val="center"/>
        <w:rPr>
          <w:rFonts w:ascii="Arial Narrow" w:hAnsi="Arial Narrow" w:cs="Arial"/>
          <w:b/>
          <w:color w:val="000000"/>
          <w:sz w:val="20"/>
          <w:szCs w:val="20"/>
          <w:lang w:eastAsia="es-CO"/>
        </w:rPr>
      </w:pPr>
    </w:p>
    <w:p w:rsidR="00D1297D" w:rsidRPr="00D1297D" w:rsidRDefault="00D1297D" w:rsidP="00D1297D">
      <w:pPr>
        <w:spacing w:after="0" w:line="240" w:lineRule="auto"/>
        <w:jc w:val="center"/>
        <w:rPr>
          <w:rFonts w:ascii="Arial Narrow" w:hAnsi="Arial Narrow" w:cs="Arial"/>
          <w:b/>
          <w:color w:val="000000"/>
          <w:sz w:val="20"/>
          <w:szCs w:val="20"/>
          <w:lang w:eastAsia="es-CO"/>
        </w:rPr>
      </w:pPr>
      <w:r w:rsidRPr="00D1297D">
        <w:rPr>
          <w:rFonts w:ascii="Arial Narrow" w:hAnsi="Arial Narrow" w:cs="Arial"/>
          <w:b/>
          <w:color w:val="000000"/>
          <w:sz w:val="20"/>
          <w:szCs w:val="20"/>
          <w:lang w:eastAsia="es-CO"/>
        </w:rPr>
        <w:t>ANEXO 10 – FICHA TÉCNICA DE LOS PRODUCTOS</w:t>
      </w:r>
    </w:p>
    <w:p w:rsidR="00D1297D" w:rsidRDefault="00D1297D" w:rsidP="00D1297D">
      <w:pPr>
        <w:spacing w:after="0" w:line="240" w:lineRule="auto"/>
        <w:jc w:val="both"/>
        <w:rPr>
          <w:rFonts w:ascii="Arial Narrow" w:hAnsi="Arial Narrow" w:cs="Arial"/>
          <w:color w:val="000000"/>
          <w:sz w:val="20"/>
          <w:szCs w:val="20"/>
          <w:lang w:eastAsia="es-CO"/>
        </w:rPr>
      </w:pPr>
    </w:p>
    <w:p w:rsidR="00D1297D" w:rsidRDefault="00D1297D" w:rsidP="00D1297D">
      <w:pPr>
        <w:spacing w:after="0" w:line="240" w:lineRule="auto"/>
        <w:jc w:val="both"/>
        <w:rPr>
          <w:rFonts w:ascii="Arial Narrow" w:hAnsi="Arial Narrow" w:cs="Arial"/>
          <w:color w:val="000000"/>
          <w:sz w:val="20"/>
          <w:szCs w:val="20"/>
          <w:lang w:eastAsia="es-CO"/>
        </w:rPr>
      </w:pPr>
    </w:p>
    <w:p w:rsidR="00D1297D" w:rsidRPr="002E3760" w:rsidRDefault="00D1297D" w:rsidP="00D1297D">
      <w:pPr>
        <w:numPr>
          <w:ilvl w:val="0"/>
          <w:numId w:val="4"/>
        </w:numPr>
        <w:spacing w:after="0" w:line="240" w:lineRule="auto"/>
        <w:jc w:val="both"/>
        <w:rPr>
          <w:rFonts w:ascii="Arial" w:hAnsi="Arial" w:cs="Arial"/>
          <w:sz w:val="20"/>
          <w:szCs w:val="20"/>
        </w:rPr>
      </w:pPr>
      <w:bookmarkStart w:id="26" w:name="_GoBack"/>
      <w:bookmarkEnd w:id="26"/>
      <w:r w:rsidRPr="002E3760">
        <w:rPr>
          <w:rFonts w:ascii="Arial" w:hAnsi="Arial" w:cs="Arial"/>
          <w:sz w:val="20"/>
          <w:szCs w:val="20"/>
        </w:rPr>
        <w:t>El Aguardiente Doble Anís Tradicional, se debe producir bajo las siguientes características, las cuales son inmodificables:</w:t>
      </w:r>
    </w:p>
    <w:p w:rsidR="00D1297D" w:rsidRPr="002E3760" w:rsidRDefault="00D1297D" w:rsidP="00D1297D">
      <w:pPr>
        <w:spacing w:after="0" w:line="240" w:lineRule="auto"/>
        <w:jc w:val="both"/>
        <w:rPr>
          <w:rFonts w:ascii="Arial" w:hAnsi="Arial" w:cs="Arial"/>
          <w:sz w:val="20"/>
          <w:szCs w:val="20"/>
        </w:rPr>
      </w:pPr>
    </w:p>
    <w:p w:rsidR="00D1297D" w:rsidRPr="002E3760" w:rsidRDefault="00D1297D" w:rsidP="00D1297D">
      <w:pPr>
        <w:numPr>
          <w:ilvl w:val="0"/>
          <w:numId w:val="5"/>
        </w:numPr>
        <w:spacing w:after="0" w:line="240" w:lineRule="auto"/>
        <w:ind w:left="1026"/>
        <w:jc w:val="both"/>
        <w:rPr>
          <w:rFonts w:ascii="Arial" w:hAnsi="Arial" w:cs="Arial"/>
          <w:sz w:val="20"/>
          <w:szCs w:val="20"/>
        </w:rPr>
      </w:pPr>
      <w:r w:rsidRPr="002E3760">
        <w:rPr>
          <w:rFonts w:ascii="Arial" w:hAnsi="Arial" w:cs="Arial"/>
          <w:sz w:val="20"/>
          <w:szCs w:val="20"/>
        </w:rPr>
        <w:t xml:space="preserve">Graduación </w:t>
      </w:r>
      <w:proofErr w:type="spellStart"/>
      <w:r w:rsidRPr="002E3760">
        <w:rPr>
          <w:rFonts w:ascii="Arial" w:hAnsi="Arial" w:cs="Arial"/>
          <w:sz w:val="20"/>
          <w:szCs w:val="20"/>
        </w:rPr>
        <w:t>alcoholimétrica</w:t>
      </w:r>
      <w:proofErr w:type="spellEnd"/>
      <w:r w:rsidRPr="002E3760">
        <w:rPr>
          <w:rFonts w:ascii="Arial" w:hAnsi="Arial" w:cs="Arial"/>
          <w:sz w:val="20"/>
          <w:szCs w:val="20"/>
        </w:rPr>
        <w:t xml:space="preserve"> de 30° grados.</w:t>
      </w:r>
    </w:p>
    <w:p w:rsidR="00D1297D" w:rsidRPr="002E3760" w:rsidRDefault="00D1297D" w:rsidP="00D1297D">
      <w:pPr>
        <w:numPr>
          <w:ilvl w:val="0"/>
          <w:numId w:val="5"/>
        </w:numPr>
        <w:spacing w:after="0" w:line="240" w:lineRule="auto"/>
        <w:ind w:left="1026"/>
        <w:jc w:val="both"/>
        <w:rPr>
          <w:rFonts w:ascii="Arial" w:hAnsi="Arial" w:cs="Arial"/>
          <w:sz w:val="20"/>
          <w:szCs w:val="20"/>
        </w:rPr>
      </w:pPr>
      <w:r w:rsidRPr="002E3760">
        <w:rPr>
          <w:rFonts w:ascii="Arial" w:hAnsi="Arial" w:cs="Arial"/>
          <w:sz w:val="20"/>
          <w:szCs w:val="20"/>
        </w:rPr>
        <w:t xml:space="preserve">Alcohol: Alcohol puro o extra neutro de 96° grados </w:t>
      </w:r>
      <w:proofErr w:type="spellStart"/>
      <w:r w:rsidRPr="002E3760">
        <w:rPr>
          <w:rFonts w:ascii="Arial" w:hAnsi="Arial" w:cs="Arial"/>
          <w:sz w:val="20"/>
          <w:szCs w:val="20"/>
        </w:rPr>
        <w:t>alcoholimétricos</w:t>
      </w:r>
      <w:proofErr w:type="spellEnd"/>
      <w:r w:rsidRPr="002E3760">
        <w:rPr>
          <w:rFonts w:ascii="Arial" w:hAnsi="Arial" w:cs="Arial"/>
          <w:sz w:val="20"/>
          <w:szCs w:val="20"/>
        </w:rPr>
        <w:t>.</w:t>
      </w:r>
    </w:p>
    <w:p w:rsidR="00D1297D" w:rsidRPr="002E3760" w:rsidRDefault="00D1297D" w:rsidP="00D1297D">
      <w:pPr>
        <w:numPr>
          <w:ilvl w:val="0"/>
          <w:numId w:val="5"/>
        </w:numPr>
        <w:spacing w:after="0" w:line="240" w:lineRule="auto"/>
        <w:ind w:left="1026"/>
        <w:jc w:val="both"/>
        <w:rPr>
          <w:rFonts w:ascii="Arial" w:hAnsi="Arial" w:cs="Arial"/>
          <w:sz w:val="20"/>
          <w:szCs w:val="20"/>
        </w:rPr>
      </w:pPr>
      <w:r w:rsidRPr="002E3760">
        <w:rPr>
          <w:rFonts w:ascii="Arial" w:hAnsi="Arial" w:cs="Arial"/>
          <w:sz w:val="20"/>
          <w:szCs w:val="20"/>
        </w:rPr>
        <w:t>Azúcar: Azúcar refinada de alta pureza.</w:t>
      </w:r>
    </w:p>
    <w:p w:rsidR="00D1297D" w:rsidRPr="002E3760" w:rsidRDefault="00D1297D" w:rsidP="00D1297D">
      <w:pPr>
        <w:numPr>
          <w:ilvl w:val="0"/>
          <w:numId w:val="5"/>
        </w:numPr>
        <w:spacing w:after="0" w:line="240" w:lineRule="auto"/>
        <w:ind w:left="1026"/>
        <w:jc w:val="both"/>
        <w:rPr>
          <w:rFonts w:ascii="Arial" w:hAnsi="Arial" w:cs="Arial"/>
          <w:sz w:val="20"/>
          <w:szCs w:val="20"/>
        </w:rPr>
      </w:pPr>
      <w:r w:rsidRPr="002E3760">
        <w:rPr>
          <w:rFonts w:ascii="Arial" w:hAnsi="Arial" w:cs="Arial"/>
          <w:sz w:val="20"/>
          <w:szCs w:val="20"/>
        </w:rPr>
        <w:t>Calidad del Agua: Agua desodorizada suavizada.</w:t>
      </w:r>
    </w:p>
    <w:p w:rsidR="00D1297D" w:rsidRPr="002E3760" w:rsidRDefault="00D1297D" w:rsidP="00D1297D">
      <w:pPr>
        <w:numPr>
          <w:ilvl w:val="0"/>
          <w:numId w:val="5"/>
        </w:numPr>
        <w:spacing w:after="0" w:line="240" w:lineRule="auto"/>
        <w:ind w:left="1026"/>
        <w:jc w:val="both"/>
        <w:rPr>
          <w:rFonts w:ascii="Arial" w:hAnsi="Arial" w:cs="Arial"/>
          <w:sz w:val="20"/>
          <w:szCs w:val="20"/>
        </w:rPr>
      </w:pPr>
      <w:r w:rsidRPr="002E3760">
        <w:rPr>
          <w:rFonts w:ascii="Arial" w:hAnsi="Arial" w:cs="Arial"/>
          <w:sz w:val="20"/>
          <w:szCs w:val="20"/>
        </w:rPr>
        <w:t>El enjuague del envase se deberá hacer con el mismo licor y no con agua.</w:t>
      </w:r>
    </w:p>
    <w:p w:rsidR="00D1297D" w:rsidRPr="002E3760" w:rsidRDefault="00D1297D" w:rsidP="00D1297D">
      <w:pPr>
        <w:numPr>
          <w:ilvl w:val="0"/>
          <w:numId w:val="5"/>
        </w:numPr>
        <w:spacing w:after="0" w:line="240" w:lineRule="auto"/>
        <w:ind w:left="1026"/>
        <w:jc w:val="both"/>
        <w:rPr>
          <w:rFonts w:ascii="Arial" w:hAnsi="Arial" w:cs="Arial"/>
          <w:sz w:val="20"/>
          <w:szCs w:val="20"/>
        </w:rPr>
      </w:pPr>
      <w:r w:rsidRPr="002E3760">
        <w:rPr>
          <w:rFonts w:ascii="Arial" w:hAnsi="Arial" w:cs="Arial"/>
          <w:sz w:val="20"/>
          <w:szCs w:val="20"/>
        </w:rPr>
        <w:t>El producto antes de ser envasado debe tener un reposo de mínimo 12 horas.</w:t>
      </w:r>
    </w:p>
    <w:p w:rsidR="00D1297D" w:rsidRPr="002E3760" w:rsidRDefault="00D1297D" w:rsidP="00D1297D">
      <w:pPr>
        <w:numPr>
          <w:ilvl w:val="0"/>
          <w:numId w:val="5"/>
        </w:numPr>
        <w:spacing w:after="0" w:line="240" w:lineRule="auto"/>
        <w:ind w:left="1026"/>
        <w:jc w:val="both"/>
        <w:rPr>
          <w:rFonts w:ascii="Arial" w:hAnsi="Arial" w:cs="Arial"/>
          <w:sz w:val="20"/>
          <w:szCs w:val="20"/>
        </w:rPr>
      </w:pPr>
      <w:r w:rsidRPr="002E3760">
        <w:rPr>
          <w:rFonts w:ascii="Arial" w:hAnsi="Arial" w:cs="Arial"/>
          <w:sz w:val="20"/>
          <w:szCs w:val="20"/>
        </w:rPr>
        <w:t>Para garantizar la calidad del producto se deben utilizar en el proceso de producción mínimo cincuenta (50) placas filtrantes.</w:t>
      </w:r>
    </w:p>
    <w:p w:rsidR="00D1297D" w:rsidRPr="002E3760" w:rsidRDefault="00D1297D" w:rsidP="00D1297D">
      <w:pPr>
        <w:numPr>
          <w:ilvl w:val="0"/>
          <w:numId w:val="5"/>
        </w:numPr>
        <w:spacing w:after="0" w:line="240" w:lineRule="auto"/>
        <w:ind w:left="1026"/>
        <w:jc w:val="both"/>
        <w:rPr>
          <w:rFonts w:ascii="Arial" w:hAnsi="Arial" w:cs="Arial"/>
          <w:sz w:val="20"/>
          <w:szCs w:val="20"/>
        </w:rPr>
      </w:pPr>
      <w:r w:rsidRPr="002E3760">
        <w:rPr>
          <w:rFonts w:ascii="Arial" w:hAnsi="Arial" w:cs="Arial"/>
          <w:sz w:val="20"/>
          <w:szCs w:val="20"/>
        </w:rPr>
        <w:t xml:space="preserve">Esencias de anís: deberá utilizar las esencias, de acuerdo a lo que establece  la formulación del producto aguardiente Doble Anís; y para tal efecto se deberá conservar el proveedor y las referencias de las mismas, que para tal efecto son : </w:t>
      </w:r>
    </w:p>
    <w:p w:rsidR="00D1297D" w:rsidRPr="002E3760" w:rsidRDefault="00D1297D" w:rsidP="00D1297D">
      <w:pPr>
        <w:spacing w:after="0" w:line="240" w:lineRule="auto"/>
        <w:jc w:val="both"/>
        <w:rPr>
          <w:rFonts w:ascii="Arial" w:hAnsi="Arial" w:cs="Arial"/>
          <w:sz w:val="20"/>
          <w:szCs w:val="20"/>
        </w:rPr>
      </w:pPr>
    </w:p>
    <w:p w:rsidR="00D1297D" w:rsidRPr="002E3760" w:rsidRDefault="00D1297D" w:rsidP="00D1297D">
      <w:pPr>
        <w:spacing w:after="0" w:line="240" w:lineRule="auto"/>
        <w:ind w:left="1026"/>
        <w:jc w:val="both"/>
        <w:rPr>
          <w:rFonts w:ascii="Arial" w:hAnsi="Arial" w:cs="Arial"/>
          <w:b/>
          <w:sz w:val="20"/>
          <w:szCs w:val="20"/>
        </w:rPr>
      </w:pPr>
      <w:r w:rsidRPr="002E3760">
        <w:rPr>
          <w:rFonts w:ascii="Arial" w:hAnsi="Arial" w:cs="Arial"/>
          <w:b/>
          <w:sz w:val="20"/>
          <w:szCs w:val="20"/>
        </w:rPr>
        <w:t xml:space="preserve">Proveedor: </w:t>
      </w:r>
      <w:proofErr w:type="spellStart"/>
      <w:r w:rsidRPr="002E3760">
        <w:rPr>
          <w:rFonts w:ascii="Arial" w:hAnsi="Arial" w:cs="Arial"/>
          <w:b/>
          <w:sz w:val="20"/>
          <w:szCs w:val="20"/>
        </w:rPr>
        <w:t>Lucta</w:t>
      </w:r>
      <w:proofErr w:type="spellEnd"/>
      <w:r w:rsidRPr="002E3760">
        <w:rPr>
          <w:rFonts w:ascii="Arial" w:hAnsi="Arial" w:cs="Arial"/>
          <w:b/>
          <w:sz w:val="20"/>
          <w:szCs w:val="20"/>
        </w:rPr>
        <w:t xml:space="preserve"> </w:t>
      </w:r>
      <w:proofErr w:type="spellStart"/>
      <w:r w:rsidRPr="002E3760">
        <w:rPr>
          <w:rFonts w:ascii="Arial" w:hAnsi="Arial" w:cs="Arial"/>
          <w:b/>
          <w:sz w:val="20"/>
          <w:szCs w:val="20"/>
        </w:rPr>
        <w:t>Grancolombiana</w:t>
      </w:r>
      <w:proofErr w:type="spellEnd"/>
      <w:r w:rsidRPr="002E3760">
        <w:rPr>
          <w:rFonts w:ascii="Arial" w:hAnsi="Arial" w:cs="Arial"/>
          <w:b/>
          <w:sz w:val="20"/>
          <w:szCs w:val="20"/>
        </w:rPr>
        <w:t xml:space="preserve"> S.A.</w:t>
      </w:r>
    </w:p>
    <w:p w:rsidR="00D1297D" w:rsidRPr="002E3760" w:rsidRDefault="00D1297D" w:rsidP="00D1297D">
      <w:pPr>
        <w:spacing w:after="0" w:line="240" w:lineRule="auto"/>
        <w:ind w:left="1026"/>
        <w:jc w:val="both"/>
        <w:rPr>
          <w:rFonts w:ascii="Arial" w:hAnsi="Arial" w:cs="Arial"/>
          <w:b/>
          <w:sz w:val="20"/>
          <w:szCs w:val="20"/>
        </w:rPr>
      </w:pPr>
      <w:r w:rsidRPr="002E3760">
        <w:rPr>
          <w:rFonts w:ascii="Arial" w:hAnsi="Arial" w:cs="Arial"/>
          <w:b/>
          <w:sz w:val="20"/>
          <w:szCs w:val="20"/>
        </w:rPr>
        <w:t>Referencias:</w:t>
      </w:r>
    </w:p>
    <w:p w:rsidR="00D1297D" w:rsidRPr="002E3760" w:rsidRDefault="00D1297D" w:rsidP="00D1297D">
      <w:pPr>
        <w:spacing w:after="0" w:line="240" w:lineRule="auto"/>
        <w:ind w:left="1451"/>
        <w:jc w:val="both"/>
        <w:rPr>
          <w:rFonts w:ascii="Arial" w:hAnsi="Arial" w:cs="Arial"/>
          <w:sz w:val="20"/>
          <w:szCs w:val="20"/>
        </w:rPr>
      </w:pPr>
      <w:r w:rsidRPr="002E3760">
        <w:rPr>
          <w:rFonts w:ascii="Arial" w:hAnsi="Arial" w:cs="Arial"/>
          <w:sz w:val="20"/>
          <w:szCs w:val="20"/>
        </w:rPr>
        <w:t>Esencia de Anís Huila 1</w:t>
      </w:r>
    </w:p>
    <w:p w:rsidR="00D1297D" w:rsidRPr="002E3760" w:rsidRDefault="00D1297D" w:rsidP="00D1297D">
      <w:pPr>
        <w:spacing w:after="0" w:line="240" w:lineRule="auto"/>
        <w:ind w:left="1451"/>
        <w:jc w:val="both"/>
        <w:rPr>
          <w:rFonts w:ascii="Arial" w:hAnsi="Arial" w:cs="Arial"/>
          <w:sz w:val="20"/>
          <w:szCs w:val="20"/>
        </w:rPr>
      </w:pPr>
      <w:r w:rsidRPr="002E3760">
        <w:rPr>
          <w:rFonts w:ascii="Arial" w:hAnsi="Arial" w:cs="Arial"/>
          <w:sz w:val="20"/>
          <w:szCs w:val="20"/>
        </w:rPr>
        <w:t>Esencia de Anís Huila 2</w:t>
      </w:r>
    </w:p>
    <w:p w:rsidR="00D1297D" w:rsidRPr="002E3760" w:rsidRDefault="00D1297D" w:rsidP="00D1297D">
      <w:pPr>
        <w:spacing w:after="0" w:line="240" w:lineRule="auto"/>
        <w:ind w:left="1451"/>
        <w:jc w:val="both"/>
        <w:rPr>
          <w:rFonts w:ascii="Arial" w:hAnsi="Arial" w:cs="Arial"/>
          <w:sz w:val="20"/>
          <w:szCs w:val="20"/>
        </w:rPr>
      </w:pPr>
      <w:r w:rsidRPr="002E3760">
        <w:rPr>
          <w:rFonts w:ascii="Arial" w:hAnsi="Arial" w:cs="Arial"/>
          <w:sz w:val="20"/>
          <w:szCs w:val="20"/>
        </w:rPr>
        <w:t>Esencia de Anís Huila 3</w:t>
      </w:r>
    </w:p>
    <w:p w:rsidR="00D1297D" w:rsidRPr="002E3760" w:rsidRDefault="00D1297D" w:rsidP="00D1297D">
      <w:pPr>
        <w:spacing w:after="0" w:line="240" w:lineRule="auto"/>
        <w:ind w:left="1451"/>
        <w:jc w:val="both"/>
        <w:rPr>
          <w:rFonts w:ascii="Arial" w:hAnsi="Arial" w:cs="Arial"/>
          <w:sz w:val="20"/>
          <w:szCs w:val="20"/>
        </w:rPr>
      </w:pPr>
    </w:p>
    <w:p w:rsidR="00D1297D" w:rsidRPr="002E3760" w:rsidRDefault="00D1297D" w:rsidP="00D1297D">
      <w:pPr>
        <w:numPr>
          <w:ilvl w:val="0"/>
          <w:numId w:val="4"/>
        </w:numPr>
        <w:spacing w:after="0" w:line="240" w:lineRule="auto"/>
        <w:jc w:val="both"/>
        <w:rPr>
          <w:rFonts w:ascii="Arial" w:hAnsi="Arial" w:cs="Arial"/>
          <w:sz w:val="20"/>
          <w:szCs w:val="20"/>
        </w:rPr>
      </w:pPr>
      <w:r w:rsidRPr="002E3760">
        <w:rPr>
          <w:rFonts w:ascii="Arial" w:hAnsi="Arial" w:cs="Arial"/>
          <w:sz w:val="20"/>
          <w:szCs w:val="20"/>
        </w:rPr>
        <w:t xml:space="preserve">El Aguardiente Doble Sin Azúcar, se debe producir bajo las siguientes características, las cuales son inmodificables: </w:t>
      </w:r>
    </w:p>
    <w:p w:rsidR="00D1297D" w:rsidRPr="002E3760" w:rsidRDefault="00D1297D" w:rsidP="00D1297D">
      <w:pPr>
        <w:spacing w:after="0" w:line="240" w:lineRule="auto"/>
        <w:jc w:val="both"/>
        <w:rPr>
          <w:rFonts w:ascii="Arial" w:hAnsi="Arial" w:cs="Arial"/>
          <w:sz w:val="20"/>
          <w:szCs w:val="20"/>
        </w:rPr>
      </w:pPr>
    </w:p>
    <w:p w:rsidR="00D1297D" w:rsidRPr="002E3760" w:rsidRDefault="00D1297D" w:rsidP="00D1297D">
      <w:pPr>
        <w:numPr>
          <w:ilvl w:val="0"/>
          <w:numId w:val="6"/>
        </w:numPr>
        <w:spacing w:after="0" w:line="240" w:lineRule="auto"/>
        <w:jc w:val="both"/>
        <w:rPr>
          <w:rFonts w:ascii="Arial" w:hAnsi="Arial" w:cs="Arial"/>
          <w:sz w:val="20"/>
          <w:szCs w:val="20"/>
        </w:rPr>
      </w:pPr>
      <w:r w:rsidRPr="002E3760">
        <w:rPr>
          <w:rFonts w:ascii="Arial" w:hAnsi="Arial" w:cs="Arial"/>
          <w:sz w:val="20"/>
          <w:szCs w:val="20"/>
        </w:rPr>
        <w:t xml:space="preserve">Graduación </w:t>
      </w:r>
      <w:proofErr w:type="spellStart"/>
      <w:r w:rsidRPr="002E3760">
        <w:rPr>
          <w:rFonts w:ascii="Arial" w:hAnsi="Arial" w:cs="Arial"/>
          <w:sz w:val="20"/>
          <w:szCs w:val="20"/>
        </w:rPr>
        <w:t>alcoholimétrica</w:t>
      </w:r>
      <w:proofErr w:type="spellEnd"/>
      <w:r w:rsidRPr="002E3760">
        <w:rPr>
          <w:rFonts w:ascii="Arial" w:hAnsi="Arial" w:cs="Arial"/>
          <w:sz w:val="20"/>
          <w:szCs w:val="20"/>
        </w:rPr>
        <w:t xml:space="preserve">  de 30° grados.</w:t>
      </w:r>
    </w:p>
    <w:p w:rsidR="00D1297D" w:rsidRPr="002E3760" w:rsidRDefault="00D1297D" w:rsidP="00D1297D">
      <w:pPr>
        <w:numPr>
          <w:ilvl w:val="0"/>
          <w:numId w:val="6"/>
        </w:numPr>
        <w:spacing w:after="0" w:line="240" w:lineRule="auto"/>
        <w:jc w:val="both"/>
        <w:rPr>
          <w:rFonts w:ascii="Arial" w:hAnsi="Arial" w:cs="Arial"/>
          <w:sz w:val="20"/>
          <w:szCs w:val="20"/>
        </w:rPr>
      </w:pPr>
      <w:r w:rsidRPr="002E3760">
        <w:rPr>
          <w:rFonts w:ascii="Arial" w:hAnsi="Arial" w:cs="Arial"/>
          <w:sz w:val="20"/>
          <w:szCs w:val="20"/>
        </w:rPr>
        <w:t xml:space="preserve">Alcohol: Alcohol puro o extra neutro de 96° grados </w:t>
      </w:r>
      <w:proofErr w:type="spellStart"/>
      <w:r w:rsidRPr="002E3760">
        <w:rPr>
          <w:rFonts w:ascii="Arial" w:hAnsi="Arial" w:cs="Arial"/>
          <w:sz w:val="20"/>
          <w:szCs w:val="20"/>
        </w:rPr>
        <w:t>alcoholimétricos</w:t>
      </w:r>
      <w:proofErr w:type="spellEnd"/>
      <w:r w:rsidRPr="002E3760">
        <w:rPr>
          <w:rFonts w:ascii="Arial" w:hAnsi="Arial" w:cs="Arial"/>
          <w:sz w:val="20"/>
          <w:szCs w:val="20"/>
        </w:rPr>
        <w:t>.</w:t>
      </w:r>
    </w:p>
    <w:p w:rsidR="00D1297D" w:rsidRPr="002E3760" w:rsidRDefault="00D1297D" w:rsidP="00D1297D">
      <w:pPr>
        <w:numPr>
          <w:ilvl w:val="0"/>
          <w:numId w:val="6"/>
        </w:numPr>
        <w:spacing w:after="0" w:line="240" w:lineRule="auto"/>
        <w:jc w:val="both"/>
        <w:rPr>
          <w:rFonts w:ascii="Arial" w:hAnsi="Arial" w:cs="Arial"/>
          <w:sz w:val="20"/>
          <w:szCs w:val="20"/>
        </w:rPr>
      </w:pPr>
      <w:r w:rsidRPr="002E3760">
        <w:rPr>
          <w:rFonts w:ascii="Arial" w:hAnsi="Arial" w:cs="Arial"/>
          <w:sz w:val="20"/>
          <w:szCs w:val="20"/>
        </w:rPr>
        <w:t>Calidad del Agua: Agua desodorizada suavizada.</w:t>
      </w:r>
    </w:p>
    <w:p w:rsidR="00D1297D" w:rsidRPr="002E3760" w:rsidRDefault="00D1297D" w:rsidP="00D1297D">
      <w:pPr>
        <w:numPr>
          <w:ilvl w:val="0"/>
          <w:numId w:val="6"/>
        </w:numPr>
        <w:spacing w:after="0" w:line="240" w:lineRule="auto"/>
        <w:jc w:val="both"/>
        <w:rPr>
          <w:rFonts w:ascii="Arial" w:hAnsi="Arial" w:cs="Arial"/>
          <w:sz w:val="20"/>
          <w:szCs w:val="20"/>
        </w:rPr>
      </w:pPr>
      <w:r w:rsidRPr="002E3760">
        <w:rPr>
          <w:rFonts w:ascii="Arial" w:hAnsi="Arial" w:cs="Arial"/>
          <w:sz w:val="20"/>
          <w:szCs w:val="20"/>
        </w:rPr>
        <w:t>El enjuague del envase se deberá hacer con el mismo licor y no con agua.</w:t>
      </w:r>
    </w:p>
    <w:p w:rsidR="00D1297D" w:rsidRPr="002E3760" w:rsidRDefault="00D1297D" w:rsidP="00D1297D">
      <w:pPr>
        <w:numPr>
          <w:ilvl w:val="0"/>
          <w:numId w:val="6"/>
        </w:numPr>
        <w:spacing w:after="0" w:line="240" w:lineRule="auto"/>
        <w:jc w:val="both"/>
        <w:rPr>
          <w:rFonts w:ascii="Arial" w:hAnsi="Arial" w:cs="Arial"/>
          <w:sz w:val="20"/>
          <w:szCs w:val="20"/>
        </w:rPr>
      </w:pPr>
      <w:r w:rsidRPr="002E3760">
        <w:rPr>
          <w:rFonts w:ascii="Arial" w:hAnsi="Arial" w:cs="Arial"/>
          <w:sz w:val="20"/>
          <w:szCs w:val="20"/>
        </w:rPr>
        <w:t>El producto antes de ser envasado debe tener un reposo de mínimo 12 horas.</w:t>
      </w:r>
    </w:p>
    <w:p w:rsidR="00D1297D" w:rsidRPr="002E3760" w:rsidRDefault="00D1297D" w:rsidP="00D1297D">
      <w:pPr>
        <w:numPr>
          <w:ilvl w:val="0"/>
          <w:numId w:val="6"/>
        </w:numPr>
        <w:spacing w:after="0" w:line="240" w:lineRule="auto"/>
        <w:jc w:val="both"/>
        <w:rPr>
          <w:rFonts w:ascii="Arial" w:hAnsi="Arial" w:cs="Arial"/>
          <w:sz w:val="20"/>
          <w:szCs w:val="20"/>
        </w:rPr>
      </w:pPr>
      <w:r w:rsidRPr="002E3760">
        <w:rPr>
          <w:rFonts w:ascii="Arial" w:hAnsi="Arial" w:cs="Arial"/>
          <w:sz w:val="20"/>
          <w:szCs w:val="20"/>
        </w:rPr>
        <w:t>Para garantizar la calidad del producto se deben utilizar en el proceso de producción mínimo cincuenta (50) placas filtrantes.</w:t>
      </w:r>
    </w:p>
    <w:p w:rsidR="00D1297D" w:rsidRPr="002E3760" w:rsidRDefault="00D1297D" w:rsidP="00D1297D">
      <w:pPr>
        <w:numPr>
          <w:ilvl w:val="0"/>
          <w:numId w:val="6"/>
        </w:numPr>
        <w:spacing w:after="0" w:line="240" w:lineRule="auto"/>
        <w:jc w:val="both"/>
        <w:rPr>
          <w:rFonts w:ascii="Arial" w:hAnsi="Arial" w:cs="Arial"/>
          <w:sz w:val="20"/>
          <w:szCs w:val="20"/>
        </w:rPr>
      </w:pPr>
      <w:r w:rsidRPr="002E3760">
        <w:rPr>
          <w:rFonts w:ascii="Arial" w:hAnsi="Arial" w:cs="Arial"/>
          <w:sz w:val="20"/>
          <w:szCs w:val="20"/>
        </w:rPr>
        <w:t xml:space="preserve">Esencias de anís: deberá utilizar las esencias, de acuerdo a lo que establece  la formulación del producto aguardiente Doble Anís; y para tal efecto se deberá conservar el proveedor y las referencias de las mismas, que para tal efecto son : </w:t>
      </w:r>
    </w:p>
    <w:p w:rsidR="00D1297D" w:rsidRPr="002E3760" w:rsidRDefault="00D1297D" w:rsidP="00D1297D">
      <w:pPr>
        <w:spacing w:after="0" w:line="240" w:lineRule="auto"/>
        <w:jc w:val="both"/>
        <w:rPr>
          <w:rFonts w:ascii="Arial" w:hAnsi="Arial" w:cs="Arial"/>
          <w:sz w:val="20"/>
          <w:szCs w:val="20"/>
        </w:rPr>
      </w:pPr>
    </w:p>
    <w:p w:rsidR="00D1297D" w:rsidRPr="002E3760" w:rsidRDefault="00D1297D" w:rsidP="00D1297D">
      <w:pPr>
        <w:spacing w:after="0" w:line="240" w:lineRule="auto"/>
        <w:ind w:left="1026"/>
        <w:jc w:val="both"/>
        <w:rPr>
          <w:rFonts w:ascii="Arial" w:hAnsi="Arial" w:cs="Arial"/>
          <w:b/>
          <w:sz w:val="20"/>
          <w:szCs w:val="20"/>
        </w:rPr>
      </w:pPr>
      <w:r w:rsidRPr="002E3760">
        <w:rPr>
          <w:rFonts w:ascii="Arial" w:hAnsi="Arial" w:cs="Arial"/>
          <w:b/>
          <w:sz w:val="20"/>
          <w:szCs w:val="20"/>
        </w:rPr>
        <w:t xml:space="preserve">Proveedor: </w:t>
      </w:r>
      <w:proofErr w:type="spellStart"/>
      <w:r w:rsidRPr="002E3760">
        <w:rPr>
          <w:rFonts w:ascii="Arial" w:hAnsi="Arial" w:cs="Arial"/>
          <w:b/>
          <w:sz w:val="20"/>
          <w:szCs w:val="20"/>
        </w:rPr>
        <w:t>Lucta</w:t>
      </w:r>
      <w:proofErr w:type="spellEnd"/>
      <w:r w:rsidRPr="002E3760">
        <w:rPr>
          <w:rFonts w:ascii="Arial" w:hAnsi="Arial" w:cs="Arial"/>
          <w:b/>
          <w:sz w:val="20"/>
          <w:szCs w:val="20"/>
        </w:rPr>
        <w:t xml:space="preserve"> </w:t>
      </w:r>
      <w:proofErr w:type="spellStart"/>
      <w:r w:rsidRPr="002E3760">
        <w:rPr>
          <w:rFonts w:ascii="Arial" w:hAnsi="Arial" w:cs="Arial"/>
          <w:b/>
          <w:sz w:val="20"/>
          <w:szCs w:val="20"/>
        </w:rPr>
        <w:t>Grancolombiana</w:t>
      </w:r>
      <w:proofErr w:type="spellEnd"/>
      <w:r w:rsidRPr="002E3760">
        <w:rPr>
          <w:rFonts w:ascii="Arial" w:hAnsi="Arial" w:cs="Arial"/>
          <w:b/>
          <w:sz w:val="20"/>
          <w:szCs w:val="20"/>
        </w:rPr>
        <w:t xml:space="preserve"> S.A.</w:t>
      </w:r>
    </w:p>
    <w:p w:rsidR="00D1297D" w:rsidRPr="002E3760" w:rsidRDefault="00D1297D" w:rsidP="00D1297D">
      <w:pPr>
        <w:spacing w:after="0" w:line="240" w:lineRule="auto"/>
        <w:ind w:left="1026"/>
        <w:jc w:val="both"/>
        <w:rPr>
          <w:rFonts w:ascii="Arial" w:hAnsi="Arial" w:cs="Arial"/>
          <w:b/>
          <w:sz w:val="20"/>
          <w:szCs w:val="20"/>
        </w:rPr>
      </w:pPr>
      <w:r w:rsidRPr="002E3760">
        <w:rPr>
          <w:rFonts w:ascii="Arial" w:hAnsi="Arial" w:cs="Arial"/>
          <w:b/>
          <w:sz w:val="20"/>
          <w:szCs w:val="20"/>
        </w:rPr>
        <w:t>Referencias:</w:t>
      </w:r>
    </w:p>
    <w:p w:rsidR="00D1297D" w:rsidRPr="002E3760" w:rsidRDefault="00D1297D" w:rsidP="00D1297D">
      <w:pPr>
        <w:spacing w:after="0" w:line="240" w:lineRule="auto"/>
        <w:ind w:left="1451"/>
        <w:jc w:val="both"/>
        <w:rPr>
          <w:rFonts w:ascii="Arial" w:hAnsi="Arial" w:cs="Arial"/>
          <w:sz w:val="20"/>
          <w:szCs w:val="20"/>
        </w:rPr>
      </w:pPr>
      <w:r w:rsidRPr="002E3760">
        <w:rPr>
          <w:rFonts w:ascii="Arial" w:hAnsi="Arial" w:cs="Arial"/>
          <w:sz w:val="20"/>
          <w:szCs w:val="20"/>
        </w:rPr>
        <w:t>Esencia de Anís Huila 1</w:t>
      </w:r>
    </w:p>
    <w:p w:rsidR="00D1297D" w:rsidRPr="002E3760" w:rsidRDefault="00D1297D" w:rsidP="00D1297D">
      <w:pPr>
        <w:spacing w:after="0" w:line="240" w:lineRule="auto"/>
        <w:ind w:left="1451"/>
        <w:jc w:val="both"/>
        <w:rPr>
          <w:rFonts w:ascii="Arial" w:hAnsi="Arial" w:cs="Arial"/>
          <w:sz w:val="20"/>
          <w:szCs w:val="20"/>
        </w:rPr>
      </w:pPr>
      <w:r w:rsidRPr="002E3760">
        <w:rPr>
          <w:rFonts w:ascii="Arial" w:hAnsi="Arial" w:cs="Arial"/>
          <w:sz w:val="20"/>
          <w:szCs w:val="20"/>
        </w:rPr>
        <w:t>Esencia de Anís Huila 2</w:t>
      </w:r>
    </w:p>
    <w:p w:rsidR="00D1297D" w:rsidRPr="002E3760" w:rsidRDefault="00D1297D" w:rsidP="00D1297D">
      <w:pPr>
        <w:spacing w:after="0" w:line="240" w:lineRule="auto"/>
        <w:ind w:left="1451"/>
        <w:jc w:val="both"/>
        <w:rPr>
          <w:rFonts w:ascii="Arial" w:hAnsi="Arial" w:cs="Arial"/>
          <w:sz w:val="20"/>
          <w:szCs w:val="20"/>
        </w:rPr>
      </w:pPr>
      <w:r w:rsidRPr="002E3760">
        <w:rPr>
          <w:rFonts w:ascii="Arial" w:hAnsi="Arial" w:cs="Arial"/>
          <w:sz w:val="20"/>
          <w:szCs w:val="20"/>
        </w:rPr>
        <w:t>Esencia de Anís Huila 3</w:t>
      </w:r>
    </w:p>
    <w:p w:rsidR="00D1297D" w:rsidRPr="002E3760" w:rsidRDefault="00D1297D" w:rsidP="00D1297D">
      <w:pPr>
        <w:spacing w:after="0" w:line="240" w:lineRule="auto"/>
        <w:jc w:val="both"/>
        <w:rPr>
          <w:rFonts w:ascii="Arial" w:hAnsi="Arial" w:cs="Arial"/>
          <w:sz w:val="20"/>
          <w:szCs w:val="20"/>
        </w:rPr>
      </w:pPr>
    </w:p>
    <w:p w:rsidR="00D1297D" w:rsidRPr="00D1297D" w:rsidRDefault="00D1297D" w:rsidP="00D1297D">
      <w:pPr>
        <w:spacing w:after="0" w:line="240" w:lineRule="auto"/>
        <w:jc w:val="both"/>
        <w:rPr>
          <w:rFonts w:ascii="Arial Narrow" w:hAnsi="Arial Narrow" w:cs="Arial"/>
          <w:color w:val="000000"/>
          <w:sz w:val="20"/>
          <w:szCs w:val="20"/>
          <w:lang w:eastAsia="es-CO"/>
        </w:rPr>
      </w:pPr>
    </w:p>
    <w:sectPr w:rsidR="00D1297D" w:rsidRPr="00D1297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446BA"/>
    <w:multiLevelType w:val="hybridMultilevel"/>
    <w:tmpl w:val="F4064D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E985A91"/>
    <w:multiLevelType w:val="hybridMultilevel"/>
    <w:tmpl w:val="4EB4A27C"/>
    <w:lvl w:ilvl="0" w:tplc="240A0017">
      <w:start w:val="1"/>
      <w:numFmt w:val="lowerLetter"/>
      <w:lvlText w:val="%1)"/>
      <w:lvlJc w:val="left"/>
      <w:pPr>
        <w:ind w:left="1386" w:hanging="360"/>
      </w:pPr>
    </w:lvl>
    <w:lvl w:ilvl="1" w:tplc="240A0019" w:tentative="1">
      <w:start w:val="1"/>
      <w:numFmt w:val="lowerLetter"/>
      <w:lvlText w:val="%2."/>
      <w:lvlJc w:val="left"/>
      <w:pPr>
        <w:ind w:left="2106" w:hanging="360"/>
      </w:pPr>
    </w:lvl>
    <w:lvl w:ilvl="2" w:tplc="240A001B" w:tentative="1">
      <w:start w:val="1"/>
      <w:numFmt w:val="lowerRoman"/>
      <w:lvlText w:val="%3."/>
      <w:lvlJc w:val="right"/>
      <w:pPr>
        <w:ind w:left="2826" w:hanging="180"/>
      </w:pPr>
    </w:lvl>
    <w:lvl w:ilvl="3" w:tplc="240A000F" w:tentative="1">
      <w:start w:val="1"/>
      <w:numFmt w:val="decimal"/>
      <w:lvlText w:val="%4."/>
      <w:lvlJc w:val="left"/>
      <w:pPr>
        <w:ind w:left="3546" w:hanging="360"/>
      </w:pPr>
    </w:lvl>
    <w:lvl w:ilvl="4" w:tplc="240A0019" w:tentative="1">
      <w:start w:val="1"/>
      <w:numFmt w:val="lowerLetter"/>
      <w:lvlText w:val="%5."/>
      <w:lvlJc w:val="left"/>
      <w:pPr>
        <w:ind w:left="4266" w:hanging="360"/>
      </w:pPr>
    </w:lvl>
    <w:lvl w:ilvl="5" w:tplc="240A001B" w:tentative="1">
      <w:start w:val="1"/>
      <w:numFmt w:val="lowerRoman"/>
      <w:lvlText w:val="%6."/>
      <w:lvlJc w:val="right"/>
      <w:pPr>
        <w:ind w:left="4986" w:hanging="180"/>
      </w:pPr>
    </w:lvl>
    <w:lvl w:ilvl="6" w:tplc="240A000F" w:tentative="1">
      <w:start w:val="1"/>
      <w:numFmt w:val="decimal"/>
      <w:lvlText w:val="%7."/>
      <w:lvlJc w:val="left"/>
      <w:pPr>
        <w:ind w:left="5706" w:hanging="360"/>
      </w:pPr>
    </w:lvl>
    <w:lvl w:ilvl="7" w:tplc="240A0019" w:tentative="1">
      <w:start w:val="1"/>
      <w:numFmt w:val="lowerLetter"/>
      <w:lvlText w:val="%8."/>
      <w:lvlJc w:val="left"/>
      <w:pPr>
        <w:ind w:left="6426" w:hanging="360"/>
      </w:pPr>
    </w:lvl>
    <w:lvl w:ilvl="8" w:tplc="240A001B" w:tentative="1">
      <w:start w:val="1"/>
      <w:numFmt w:val="lowerRoman"/>
      <w:lvlText w:val="%9."/>
      <w:lvlJc w:val="right"/>
      <w:pPr>
        <w:ind w:left="7146" w:hanging="180"/>
      </w:pPr>
    </w:lvl>
  </w:abstractNum>
  <w:abstractNum w:abstractNumId="2" w15:restartNumberingAfterBreak="0">
    <w:nsid w:val="410B1497"/>
    <w:multiLevelType w:val="hybridMultilevel"/>
    <w:tmpl w:val="7442A2DA"/>
    <w:lvl w:ilvl="0" w:tplc="F846162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031113A"/>
    <w:multiLevelType w:val="hybridMultilevel"/>
    <w:tmpl w:val="803AB402"/>
    <w:lvl w:ilvl="0" w:tplc="5D54C0A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484555A"/>
    <w:multiLevelType w:val="hybridMultilevel"/>
    <w:tmpl w:val="20F0E74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801044A"/>
    <w:multiLevelType w:val="hybridMultilevel"/>
    <w:tmpl w:val="9996AC66"/>
    <w:lvl w:ilvl="0" w:tplc="CE54F2D4">
      <w:numFmt w:val="bullet"/>
      <w:lvlText w:val="•"/>
      <w:lvlJc w:val="left"/>
      <w:pPr>
        <w:ind w:left="720" w:hanging="360"/>
      </w:pPr>
      <w:rPr>
        <w:rFonts w:ascii="Arial Narrow" w:eastAsia="Calibri" w:hAnsi="Arial Narrow" w:cs="Gill Sans M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211"/>
    <w:rsid w:val="000C5A4E"/>
    <w:rsid w:val="001B5DE4"/>
    <w:rsid w:val="00406211"/>
    <w:rsid w:val="005271A6"/>
    <w:rsid w:val="005C13A6"/>
    <w:rsid w:val="00602E3B"/>
    <w:rsid w:val="007618E2"/>
    <w:rsid w:val="007846E5"/>
    <w:rsid w:val="00AA6ACE"/>
    <w:rsid w:val="00D1297D"/>
    <w:rsid w:val="00FB08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D77E55-4B20-43E0-9C6A-BD2756740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211"/>
    <w:pPr>
      <w:spacing w:after="200" w:line="276" w:lineRule="auto"/>
    </w:pPr>
    <w:rPr>
      <w:rFonts w:ascii="Calibri" w:eastAsia="Times New Roman" w:hAnsi="Calibri" w:cs="Times New Roman"/>
    </w:rPr>
  </w:style>
  <w:style w:type="paragraph" w:styleId="Ttulo2">
    <w:name w:val="heading 2"/>
    <w:aliases w:val="Edgar 2"/>
    <w:basedOn w:val="Normal"/>
    <w:next w:val="Normal"/>
    <w:link w:val="Ttulo2Car"/>
    <w:qFormat/>
    <w:rsid w:val="00406211"/>
    <w:pPr>
      <w:keepNext/>
      <w:spacing w:before="240" w:after="60" w:line="240" w:lineRule="auto"/>
      <w:outlineLvl w:val="1"/>
    </w:pPr>
    <w:rPr>
      <w:rFonts w:ascii="Arial" w:hAnsi="Arial"/>
      <w:b/>
      <w:i/>
      <w:sz w:val="28"/>
      <w:szCs w:val="20"/>
      <w:lang w:val="es-MX" w:eastAsia="es-ES"/>
    </w:rPr>
  </w:style>
  <w:style w:type="paragraph" w:styleId="Ttulo4">
    <w:name w:val="heading 4"/>
    <w:aliases w:val="Edgar 4"/>
    <w:basedOn w:val="Normal"/>
    <w:next w:val="Normal"/>
    <w:link w:val="Ttulo4Car"/>
    <w:qFormat/>
    <w:rsid w:val="00406211"/>
    <w:pPr>
      <w:keepNext/>
      <w:spacing w:after="0" w:line="240" w:lineRule="auto"/>
      <w:outlineLvl w:val="3"/>
    </w:pPr>
    <w:rPr>
      <w:rFonts w:ascii="Times New Roman" w:hAnsi="Times New Roman"/>
      <w:sz w:val="24"/>
      <w:szCs w:val="20"/>
      <w:lang w:val="es-ES_tradnl"/>
    </w:rPr>
  </w:style>
  <w:style w:type="paragraph" w:styleId="Ttulo6">
    <w:name w:val="heading 6"/>
    <w:basedOn w:val="Normal"/>
    <w:next w:val="Normal"/>
    <w:link w:val="Ttulo6Car"/>
    <w:qFormat/>
    <w:rsid w:val="00406211"/>
    <w:pPr>
      <w:keepNext/>
      <w:spacing w:after="0" w:line="240" w:lineRule="auto"/>
      <w:ind w:left="708"/>
      <w:jc w:val="center"/>
      <w:outlineLvl w:val="5"/>
    </w:pPr>
    <w:rPr>
      <w:rFonts w:ascii="Arial" w:hAnsi="Arial"/>
      <w:sz w:val="24"/>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
    <w:basedOn w:val="Fuentedeprrafopredeter"/>
    <w:link w:val="Ttulo2"/>
    <w:rsid w:val="00406211"/>
    <w:rPr>
      <w:rFonts w:ascii="Arial" w:eastAsia="Times New Roman" w:hAnsi="Arial" w:cs="Times New Roman"/>
      <w:b/>
      <w:i/>
      <w:sz w:val="28"/>
      <w:szCs w:val="20"/>
      <w:lang w:val="es-MX" w:eastAsia="es-ES"/>
    </w:rPr>
  </w:style>
  <w:style w:type="character" w:customStyle="1" w:styleId="Ttulo4Car">
    <w:name w:val="Título 4 Car"/>
    <w:aliases w:val="Edgar 4 Car"/>
    <w:basedOn w:val="Fuentedeprrafopredeter"/>
    <w:link w:val="Ttulo4"/>
    <w:rsid w:val="00406211"/>
    <w:rPr>
      <w:rFonts w:ascii="Times New Roman" w:eastAsia="Times New Roman" w:hAnsi="Times New Roman" w:cs="Times New Roman"/>
      <w:sz w:val="24"/>
      <w:szCs w:val="20"/>
      <w:lang w:val="es-ES_tradnl"/>
    </w:rPr>
  </w:style>
  <w:style w:type="character" w:customStyle="1" w:styleId="Ttulo6Car">
    <w:name w:val="Título 6 Car"/>
    <w:basedOn w:val="Fuentedeprrafopredeter"/>
    <w:link w:val="Ttulo6"/>
    <w:rsid w:val="00406211"/>
    <w:rPr>
      <w:rFonts w:ascii="Arial" w:eastAsia="Times New Roman" w:hAnsi="Arial" w:cs="Times New Roman"/>
      <w:sz w:val="24"/>
      <w:szCs w:val="20"/>
      <w:lang w:val="es-ES_tradnl"/>
    </w:rPr>
  </w:style>
  <w:style w:type="paragraph" w:customStyle="1" w:styleId="Default">
    <w:name w:val="Default"/>
    <w:link w:val="DefaultCar"/>
    <w:qFormat/>
    <w:rsid w:val="00406211"/>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itulo2">
    <w:name w:val="Titulo 2"/>
    <w:basedOn w:val="Normal"/>
    <w:link w:val="Titulo2Car"/>
    <w:autoRedefine/>
    <w:rsid w:val="00406211"/>
    <w:pPr>
      <w:tabs>
        <w:tab w:val="left" w:pos="8030"/>
        <w:tab w:val="left" w:pos="8250"/>
      </w:tabs>
      <w:spacing w:after="0" w:line="240" w:lineRule="auto"/>
      <w:jc w:val="both"/>
      <w:outlineLvl w:val="1"/>
    </w:pPr>
    <w:rPr>
      <w:rFonts w:ascii="Tahoma" w:hAnsi="Tahoma" w:cs="Tahoma"/>
      <w:bCs/>
      <w:sz w:val="18"/>
      <w:szCs w:val="18"/>
      <w:lang w:val="es-ES"/>
    </w:rPr>
  </w:style>
  <w:style w:type="character" w:customStyle="1" w:styleId="Titulo2Car">
    <w:name w:val="Titulo 2 Car"/>
    <w:basedOn w:val="Fuentedeprrafopredeter"/>
    <w:link w:val="Titulo2"/>
    <w:rsid w:val="00406211"/>
    <w:rPr>
      <w:rFonts w:ascii="Tahoma" w:eastAsia="Times New Roman" w:hAnsi="Tahoma" w:cs="Tahoma"/>
      <w:bCs/>
      <w:sz w:val="18"/>
      <w:szCs w:val="18"/>
      <w:lang w:val="es-ES"/>
    </w:rPr>
  </w:style>
  <w:style w:type="character" w:customStyle="1" w:styleId="DefaultCar">
    <w:name w:val="Default Car"/>
    <w:link w:val="Default"/>
    <w:rsid w:val="00406211"/>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5271A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71A6"/>
    <w:rPr>
      <w:rFonts w:ascii="Segoe UI" w:eastAsia="Times New Roman" w:hAnsi="Segoe UI" w:cs="Segoe UI"/>
      <w:sz w:val="18"/>
      <w:szCs w:val="18"/>
    </w:rPr>
  </w:style>
  <w:style w:type="paragraph" w:customStyle="1" w:styleId="Style1">
    <w:name w:val="Style 1"/>
    <w:uiPriority w:val="99"/>
    <w:rsid w:val="00D1297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D1297D"/>
    <w:pPr>
      <w:spacing w:after="0" w:line="240" w:lineRule="auto"/>
      <w:ind w:left="708"/>
    </w:pPr>
    <w:rPr>
      <w:rFonts w:ascii="Times New Roman" w:hAnsi="Times New Roman"/>
      <w:sz w:val="24"/>
      <w:szCs w:val="24"/>
      <w:lang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D1297D"/>
    <w:rPr>
      <w:rFonts w:ascii="Times New Roman" w:eastAsia="Times New Roman" w:hAnsi="Times New Roman" w:cs="Times New Roman"/>
      <w:sz w:val="24"/>
      <w:szCs w:val="24"/>
      <w:lang w:eastAsia="es-CO"/>
    </w:rPr>
  </w:style>
  <w:style w:type="character" w:styleId="Hipervnculo">
    <w:name w:val="Hyperlink"/>
    <w:uiPriority w:val="99"/>
    <w:unhideWhenUsed/>
    <w:qFormat/>
    <w:rsid w:val="00D1297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chart" Target="charts/chart3.xml"/><Relationship Id="rId3" Type="http://schemas.openxmlformats.org/officeDocument/2006/relationships/settings" Target="settings.xml"/><Relationship Id="rId21" Type="http://schemas.openxmlformats.org/officeDocument/2006/relationships/hyperlink" Target="http://pie.supersociedades.gov.co/"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chart" Target="charts/chart2.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www.supersociedades.gov.co" TargetMode="External"/><Relationship Id="rId29" Type="http://schemas.openxmlformats.org/officeDocument/2006/relationships/hyperlink" Target="http://pie.supersociedades.gov.co/"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chart" Target="charts/chart1.xm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www.rues.org.co" TargetMode="External"/><Relationship Id="rId28" Type="http://schemas.openxmlformats.org/officeDocument/2006/relationships/chart" Target="charts/chart5.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pie.supersociedades.gov.co/" TargetMode="External"/><Relationship Id="rId27" Type="http://schemas.openxmlformats.org/officeDocument/2006/relationships/chart" Target="charts/chart4.xml"/><Relationship Id="rId30"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apoyo13.contratacion\Escritorio\BASE%20DE%20DATOS%20PIE\PIE%20LICORERA%20CON%20CHIP.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apoyo13.contratacion\Escritorio\BASE%20DE%20DATOS%20PIE\PIE%20LICORERA%20CON%20CHIP.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apoyo13.contratacion\Escritorio\VARIOS%202020\DOTACION%202020\BASE%20PIE-%20DOTACION%202020.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D:\apoyo13.contratacion\Escritorio\BASE%20DE%20DATOS%20PIE\PIE%20LICORERA%20CON%20CHIP.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D:\apoyo13.contratacion\Escritorio\BASE%20DE%20DATOS%20PIE\PIE%20LICORERA%20CON%20CHIP.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D:\apoyo13.contratacion\Escritorio\BASE%20DE%20DATOS%20PIE\PIE%20LICORERA%20CON%20CHIP.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D:\apoyo13.contratacion\Escritorio\BASE%20DE%20DATOS%20PIE\PIE%20LICORERA%20CON%20CHI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r>
              <a:rPr lang="es-CO" sz="1600"/>
              <a:t>DISTRIBUCION DE FRECUENCIAS LIQUIDEZ</a:t>
            </a:r>
          </a:p>
        </c:rich>
      </c:tx>
      <c:overlay val="0"/>
      <c:spPr>
        <a:noFill/>
        <a:ln>
          <a:noFill/>
        </a:ln>
        <a:effectLst/>
      </c:spPr>
      <c:txPr>
        <a:bodyPr rot="0" spcFirstLastPara="1" vertOverflow="ellipsis" vert="horz" wrap="square" anchor="ctr" anchorCtr="1"/>
        <a:lstStyle/>
        <a:p>
          <a:pPr>
            <a:defRPr sz="1600" b="1" i="0" u="none" strike="noStrike" kern="1200" cap="all" spc="5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LIQUIDEZ!$L$4</c:f>
              <c:strCache>
                <c:ptCount val="1"/>
                <c:pt idx="0">
                  <c:v>hi 
(Frecuencia Relativa)</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Pt>
            <c:idx val="5"/>
            <c:invertIfNegative val="0"/>
            <c:bubble3D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1-D3FD-4F44-B56E-C092794C4F9A}"/>
              </c:ext>
            </c:extLst>
          </c:dPt>
          <c:dLbls>
            <c:dLbl>
              <c:idx val="5"/>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5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LIQUIDEZ!$K$5:$K$16</c:f>
              <c:strCache>
                <c:ptCount val="12"/>
                <c:pt idx="0">
                  <c:v> - 0</c:v>
                </c:pt>
                <c:pt idx="1">
                  <c:v>0 - 0,49</c:v>
                </c:pt>
                <c:pt idx="2">
                  <c:v>0,5 - 0,99</c:v>
                </c:pt>
                <c:pt idx="3">
                  <c:v>1 - 1,49</c:v>
                </c:pt>
                <c:pt idx="4">
                  <c:v>1,5 - 1,99</c:v>
                </c:pt>
                <c:pt idx="5">
                  <c:v>2 - 2,49</c:v>
                </c:pt>
                <c:pt idx="6">
                  <c:v>2,5 - 2,99</c:v>
                </c:pt>
                <c:pt idx="7">
                  <c:v>3 - 3,49</c:v>
                </c:pt>
                <c:pt idx="8">
                  <c:v>3,5 - 3,99</c:v>
                </c:pt>
                <c:pt idx="9">
                  <c:v>4 - 4,49</c:v>
                </c:pt>
                <c:pt idx="10">
                  <c:v>4,5 - 4,99</c:v>
                </c:pt>
                <c:pt idx="11">
                  <c:v>5 - 10000</c:v>
                </c:pt>
              </c:strCache>
            </c:strRef>
          </c:cat>
          <c:val>
            <c:numRef>
              <c:f>LIQUIDEZ!$L$5:$L$16</c:f>
              <c:numCache>
                <c:formatCode>0.00%</c:formatCode>
                <c:ptCount val="12"/>
                <c:pt idx="0">
                  <c:v>0</c:v>
                </c:pt>
                <c:pt idx="1">
                  <c:v>0.13333333333333333</c:v>
                </c:pt>
                <c:pt idx="2">
                  <c:v>0</c:v>
                </c:pt>
                <c:pt idx="3">
                  <c:v>6.6666666666666666E-2</c:v>
                </c:pt>
                <c:pt idx="4">
                  <c:v>0.13333333333333333</c:v>
                </c:pt>
                <c:pt idx="5">
                  <c:v>0.2</c:v>
                </c:pt>
                <c:pt idx="6">
                  <c:v>0.13333333333333333</c:v>
                </c:pt>
                <c:pt idx="7">
                  <c:v>0</c:v>
                </c:pt>
                <c:pt idx="8">
                  <c:v>0.2</c:v>
                </c:pt>
                <c:pt idx="9">
                  <c:v>0</c:v>
                </c:pt>
                <c:pt idx="10">
                  <c:v>0</c:v>
                </c:pt>
                <c:pt idx="11">
                  <c:v>0.13333333333333333</c:v>
                </c:pt>
              </c:numCache>
            </c:numRef>
          </c:val>
          <c:extLst xmlns:c16r2="http://schemas.microsoft.com/office/drawing/2015/06/chart">
            <c:ext xmlns:c16="http://schemas.microsoft.com/office/drawing/2014/chart" uri="{C3380CC4-5D6E-409C-BE32-E72D297353CC}">
              <c16:uniqueId val="{00000002-D3FD-4F44-B56E-C092794C4F9A}"/>
            </c:ext>
          </c:extLst>
        </c:ser>
        <c:ser>
          <c:idx val="1"/>
          <c:order val="1"/>
          <c:tx>
            <c:strRef>
              <c:f>LIQUIDEZ!$M$4</c:f>
              <c:strCache>
                <c:ptCount val="1"/>
                <c:pt idx="0">
                  <c:v>Hi 
(Frecuencia Acumulada)</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Pt>
            <c:idx val="3"/>
            <c:invertIfNegative val="0"/>
            <c:bubble3D val="0"/>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4-D3FD-4F44-B56E-C092794C4F9A}"/>
              </c:ext>
            </c:extLst>
          </c:dPt>
          <c:dPt>
            <c:idx val="5"/>
            <c:invertIfNegative val="0"/>
            <c:bubble3D val="0"/>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6-D3FD-4F44-B56E-C092794C4F9A}"/>
              </c:ext>
            </c:extLst>
          </c:dPt>
          <c:dLbls>
            <c:dLbl>
              <c:idx val="5"/>
              <c:layout>
                <c:manualLayout>
                  <c:x val="1.9444444444444445E-2"/>
                  <c:y val="-4.2050138391097284E-3"/>
                </c:manualLayout>
              </c:layout>
              <c:spPr>
                <a:noFill/>
                <a:ln>
                  <a:noFill/>
                </a:ln>
                <a:effectLst/>
              </c:spPr>
              <c:txPr>
                <a:bodyPr rot="0" spcFirstLastPara="1" vertOverflow="ellipsis" vert="horz" wrap="square" lIns="38100" tIns="19050" rIns="38100" bIns="19050" anchor="ctr" anchorCtr="1">
                  <a:spAutoFit/>
                </a:bodyPr>
                <a:lstStyle/>
                <a:p>
                  <a:pPr>
                    <a:defRPr sz="4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D3FD-4F44-B56E-C092794C4F9A}"/>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5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LIQUIDEZ!$K$5:$K$16</c:f>
              <c:strCache>
                <c:ptCount val="12"/>
                <c:pt idx="0">
                  <c:v> - 0</c:v>
                </c:pt>
                <c:pt idx="1">
                  <c:v>0 - 0,49</c:v>
                </c:pt>
                <c:pt idx="2">
                  <c:v>0,5 - 0,99</c:v>
                </c:pt>
                <c:pt idx="3">
                  <c:v>1 - 1,49</c:v>
                </c:pt>
                <c:pt idx="4">
                  <c:v>1,5 - 1,99</c:v>
                </c:pt>
                <c:pt idx="5">
                  <c:v>2 - 2,49</c:v>
                </c:pt>
                <c:pt idx="6">
                  <c:v>2,5 - 2,99</c:v>
                </c:pt>
                <c:pt idx="7">
                  <c:v>3 - 3,49</c:v>
                </c:pt>
                <c:pt idx="8">
                  <c:v>3,5 - 3,99</c:v>
                </c:pt>
                <c:pt idx="9">
                  <c:v>4 - 4,49</c:v>
                </c:pt>
                <c:pt idx="10">
                  <c:v>4,5 - 4,99</c:v>
                </c:pt>
                <c:pt idx="11">
                  <c:v>5 - 10000</c:v>
                </c:pt>
              </c:strCache>
            </c:strRef>
          </c:cat>
          <c:val>
            <c:numRef>
              <c:f>LIQUIDEZ!$M$5:$M$16</c:f>
              <c:numCache>
                <c:formatCode>0.00%</c:formatCode>
                <c:ptCount val="12"/>
                <c:pt idx="0">
                  <c:v>1</c:v>
                </c:pt>
                <c:pt idx="1">
                  <c:v>1</c:v>
                </c:pt>
                <c:pt idx="2">
                  <c:v>0.8666666666666667</c:v>
                </c:pt>
                <c:pt idx="3">
                  <c:v>0.8666666666666667</c:v>
                </c:pt>
                <c:pt idx="4">
                  <c:v>0.8</c:v>
                </c:pt>
                <c:pt idx="5">
                  <c:v>0.66666666666666674</c:v>
                </c:pt>
                <c:pt idx="6">
                  <c:v>0.46666666666666667</c:v>
                </c:pt>
                <c:pt idx="7">
                  <c:v>0.33333333333333337</c:v>
                </c:pt>
                <c:pt idx="8">
                  <c:v>0.33333333333333337</c:v>
                </c:pt>
                <c:pt idx="9">
                  <c:v>0.13333333333333333</c:v>
                </c:pt>
                <c:pt idx="10">
                  <c:v>0.13333333333333333</c:v>
                </c:pt>
                <c:pt idx="11">
                  <c:v>0.13333333333333333</c:v>
                </c:pt>
              </c:numCache>
            </c:numRef>
          </c:val>
          <c:extLst xmlns:c16r2="http://schemas.microsoft.com/office/drawing/2015/06/chart">
            <c:ext xmlns:c16="http://schemas.microsoft.com/office/drawing/2014/chart" uri="{C3380CC4-5D6E-409C-BE32-E72D297353CC}">
              <c16:uniqueId val="{00000007-D3FD-4F44-B56E-C092794C4F9A}"/>
            </c:ext>
          </c:extLst>
        </c:ser>
        <c:dLbls>
          <c:showLegendKey val="0"/>
          <c:showVal val="0"/>
          <c:showCatName val="0"/>
          <c:showSerName val="0"/>
          <c:showPercent val="0"/>
          <c:showBubbleSize val="0"/>
        </c:dLbls>
        <c:gapWidth val="326"/>
        <c:overlap val="-58"/>
        <c:axId val="503471144"/>
        <c:axId val="503471536"/>
      </c:barChart>
      <c:catAx>
        <c:axId val="503471144"/>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CO"/>
          </a:p>
        </c:txPr>
        <c:crossAx val="503471536"/>
        <c:crosses val="autoZero"/>
        <c:auto val="1"/>
        <c:lblAlgn val="ctr"/>
        <c:lblOffset val="100"/>
        <c:noMultiLvlLbl val="0"/>
      </c:catAx>
      <c:valAx>
        <c:axId val="503471536"/>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CO"/>
          </a:p>
        </c:txPr>
        <c:crossAx val="503471144"/>
        <c:crosses val="autoZero"/>
        <c:crossBetween val="between"/>
      </c:valAx>
      <c:spPr>
        <a:noFill/>
        <a:ln>
          <a:noFill/>
        </a:ln>
        <a:effectLst/>
      </c:spPr>
    </c:plotArea>
    <c:legend>
      <c:legendPos val="b"/>
      <c:layout>
        <c:manualLayout>
          <c:xMode val="edge"/>
          <c:yMode val="edge"/>
          <c:x val="0.2592276902887139"/>
          <c:y val="0.8507340230368593"/>
          <c:w val="0.43987795275590552"/>
          <c:h val="0.122729989009504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s-CO" sz="1200" b="1" i="0" cap="all" baseline="0">
                <a:effectLst/>
              </a:rPr>
              <a:t>DISTRIBUCION DE FRECUENCIAS ENDEUDAMIENTO</a:t>
            </a:r>
            <a:endParaRPr lang="es-CO" sz="1200">
              <a:effectLst/>
            </a:endParaRP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ENDEUDAMIENTO!$L$3</c:f>
              <c:strCache>
                <c:ptCount val="1"/>
                <c:pt idx="0">
                  <c:v>hi 
(Frecuencia Relativa)</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Pt>
            <c:idx val="5"/>
            <c:invertIfNegative val="0"/>
            <c:bubble3D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1-7E47-4438-91E4-6B89A041A205}"/>
              </c:ext>
            </c:extLst>
          </c:dPt>
          <c:dLbls>
            <c:dLbl>
              <c:idx val="5"/>
              <c:spPr>
                <a:no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ENDEUDAMIENTO!$K$4:$K$12</c:f>
              <c:strCache>
                <c:ptCount val="9"/>
                <c:pt idx="0">
                  <c:v>0 - 0,1</c:v>
                </c:pt>
                <c:pt idx="1">
                  <c:v>0,1001 - 0,2</c:v>
                </c:pt>
                <c:pt idx="2">
                  <c:v>0,2001 - 0,3</c:v>
                </c:pt>
                <c:pt idx="3">
                  <c:v>0,3001 - 0,4</c:v>
                </c:pt>
                <c:pt idx="4">
                  <c:v>0,4001 - 0,5</c:v>
                </c:pt>
                <c:pt idx="5">
                  <c:v>0,5001 - 0,6</c:v>
                </c:pt>
                <c:pt idx="6">
                  <c:v>0,6001 - 0,7</c:v>
                </c:pt>
                <c:pt idx="7">
                  <c:v>0,7001 - 0,8</c:v>
                </c:pt>
                <c:pt idx="8">
                  <c:v>0,8001 - 1</c:v>
                </c:pt>
              </c:strCache>
            </c:strRef>
          </c:cat>
          <c:val>
            <c:numRef>
              <c:f>ENDEUDAMIENTO!$L$4:$L$12</c:f>
              <c:numCache>
                <c:formatCode>0.00%</c:formatCode>
                <c:ptCount val="9"/>
                <c:pt idx="0">
                  <c:v>0</c:v>
                </c:pt>
                <c:pt idx="1">
                  <c:v>6.6666666666666666E-2</c:v>
                </c:pt>
                <c:pt idx="2">
                  <c:v>6.6666666666666666E-2</c:v>
                </c:pt>
                <c:pt idx="3">
                  <c:v>0.13333333333333333</c:v>
                </c:pt>
                <c:pt idx="4">
                  <c:v>0.2</c:v>
                </c:pt>
                <c:pt idx="5">
                  <c:v>0.2</c:v>
                </c:pt>
                <c:pt idx="6">
                  <c:v>6.6666666666666666E-2</c:v>
                </c:pt>
                <c:pt idx="7">
                  <c:v>0.13333333333333333</c:v>
                </c:pt>
                <c:pt idx="8">
                  <c:v>0</c:v>
                </c:pt>
              </c:numCache>
            </c:numRef>
          </c:val>
          <c:extLst xmlns:c16r2="http://schemas.microsoft.com/office/drawing/2015/06/chart">
            <c:ext xmlns:c16="http://schemas.microsoft.com/office/drawing/2014/chart" uri="{C3380CC4-5D6E-409C-BE32-E72D297353CC}">
              <c16:uniqueId val="{00000002-7E47-4438-91E4-6B89A041A205}"/>
            </c:ext>
          </c:extLst>
        </c:ser>
        <c:ser>
          <c:idx val="1"/>
          <c:order val="1"/>
          <c:tx>
            <c:strRef>
              <c:f>ENDEUDAMIENTO!$M$3</c:f>
              <c:strCache>
                <c:ptCount val="1"/>
                <c:pt idx="0">
                  <c:v>Hi 
(Frecuencia Acumulada)</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Pt>
            <c:idx val="5"/>
            <c:invertIfNegative val="0"/>
            <c:bubble3D val="0"/>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4-7E47-4438-91E4-6B89A041A205}"/>
              </c:ext>
            </c:extLst>
          </c:dPt>
          <c:dLbls>
            <c:dLbl>
              <c:idx val="5"/>
              <c:layout>
                <c:manualLayout>
                  <c:x val="1.4149661076622086E-2"/>
                  <c:y val="-7.1458078888135135E-17"/>
                </c:manualLayout>
              </c:layout>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7E47-4438-91E4-6B89A041A205}"/>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ENDEUDAMIENTO!$K$4:$K$12</c:f>
              <c:strCache>
                <c:ptCount val="9"/>
                <c:pt idx="0">
                  <c:v>0 - 0,1</c:v>
                </c:pt>
                <c:pt idx="1">
                  <c:v>0,1001 - 0,2</c:v>
                </c:pt>
                <c:pt idx="2">
                  <c:v>0,2001 - 0,3</c:v>
                </c:pt>
                <c:pt idx="3">
                  <c:v>0,3001 - 0,4</c:v>
                </c:pt>
                <c:pt idx="4">
                  <c:v>0,4001 - 0,5</c:v>
                </c:pt>
                <c:pt idx="5">
                  <c:v>0,5001 - 0,6</c:v>
                </c:pt>
                <c:pt idx="6">
                  <c:v>0,6001 - 0,7</c:v>
                </c:pt>
                <c:pt idx="7">
                  <c:v>0,7001 - 0,8</c:v>
                </c:pt>
                <c:pt idx="8">
                  <c:v>0,8001 - 1</c:v>
                </c:pt>
              </c:strCache>
            </c:strRef>
          </c:cat>
          <c:val>
            <c:numRef>
              <c:f>ENDEUDAMIENTO!$M$4:$M$12</c:f>
              <c:numCache>
                <c:formatCode>0.00%</c:formatCode>
                <c:ptCount val="9"/>
                <c:pt idx="0">
                  <c:v>0</c:v>
                </c:pt>
                <c:pt idx="1">
                  <c:v>6.6666666666666666E-2</c:v>
                </c:pt>
                <c:pt idx="2">
                  <c:v>0.13333333333333333</c:v>
                </c:pt>
                <c:pt idx="3">
                  <c:v>0.26666666666666666</c:v>
                </c:pt>
                <c:pt idx="4">
                  <c:v>0.46666666666666667</c:v>
                </c:pt>
                <c:pt idx="5">
                  <c:v>0.66666666666666674</c:v>
                </c:pt>
                <c:pt idx="6">
                  <c:v>0.73333333333333339</c:v>
                </c:pt>
                <c:pt idx="7">
                  <c:v>0.8666666666666667</c:v>
                </c:pt>
                <c:pt idx="8">
                  <c:v>0.8666666666666667</c:v>
                </c:pt>
              </c:numCache>
            </c:numRef>
          </c:val>
          <c:extLst xmlns:c16r2="http://schemas.microsoft.com/office/drawing/2015/06/chart">
            <c:ext xmlns:c16="http://schemas.microsoft.com/office/drawing/2014/chart" uri="{C3380CC4-5D6E-409C-BE32-E72D297353CC}">
              <c16:uniqueId val="{00000005-7E47-4438-91E4-6B89A041A205}"/>
            </c:ext>
          </c:extLst>
        </c:ser>
        <c:dLbls>
          <c:showLegendKey val="0"/>
          <c:showVal val="0"/>
          <c:showCatName val="0"/>
          <c:showSerName val="0"/>
          <c:showPercent val="0"/>
          <c:showBubbleSize val="0"/>
        </c:dLbls>
        <c:gapWidth val="326"/>
        <c:overlap val="-58"/>
        <c:axId val="503472320"/>
        <c:axId val="503472712"/>
      </c:barChart>
      <c:catAx>
        <c:axId val="503472320"/>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3472712"/>
        <c:crosses val="autoZero"/>
        <c:auto val="1"/>
        <c:lblAlgn val="ctr"/>
        <c:lblOffset val="100"/>
        <c:noMultiLvlLbl val="0"/>
      </c:catAx>
      <c:valAx>
        <c:axId val="503472712"/>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s-CO"/>
          </a:p>
        </c:txPr>
        <c:crossAx val="503472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s-CO" sz="1400"/>
              <a:t>DISTRIBUCION</a:t>
            </a:r>
            <a:r>
              <a:rPr lang="es-CO" sz="1400" baseline="0"/>
              <a:t> DE FRECUENCIAS COBERTURA DE INTERESES</a:t>
            </a:r>
            <a:endParaRPr lang="es-CO" sz="1400"/>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'RAZON COBERTURA INTERES'!$L$3</c:f>
              <c:strCache>
                <c:ptCount val="1"/>
                <c:pt idx="0">
                  <c:v>hi 
(Frecuencia Relativa)</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Pt>
            <c:idx val="2"/>
            <c:invertIfNegative val="0"/>
            <c:bubble3D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1-238D-4495-9953-576E95ACB6B2}"/>
              </c:ext>
            </c:extLst>
          </c:dPt>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'RAZON COBERTURA INTERES'!$K$4:$K$14</c:f>
              <c:strCache>
                <c:ptCount val="11"/>
                <c:pt idx="0">
                  <c:v> - 0</c:v>
                </c:pt>
                <c:pt idx="1">
                  <c:v>0,01 - 0,99</c:v>
                </c:pt>
                <c:pt idx="2">
                  <c:v>1 - 1,99</c:v>
                </c:pt>
                <c:pt idx="3">
                  <c:v>2 - 2,99</c:v>
                </c:pt>
                <c:pt idx="4">
                  <c:v>3 - 3,99</c:v>
                </c:pt>
                <c:pt idx="5">
                  <c:v>4 - 4,99</c:v>
                </c:pt>
                <c:pt idx="6">
                  <c:v>5 - 5,99</c:v>
                </c:pt>
                <c:pt idx="7">
                  <c:v>6 - 6,99</c:v>
                </c:pt>
                <c:pt idx="8">
                  <c:v>7 - 7,99</c:v>
                </c:pt>
                <c:pt idx="9">
                  <c:v>8 - 8,99</c:v>
                </c:pt>
                <c:pt idx="10">
                  <c:v>9 - 10000</c:v>
                </c:pt>
              </c:strCache>
            </c:strRef>
          </c:cat>
          <c:val>
            <c:numRef>
              <c:f>'RAZON COBERTURA INTERES'!$L$4:$L$14</c:f>
              <c:numCache>
                <c:formatCode>0.00%</c:formatCode>
                <c:ptCount val="11"/>
                <c:pt idx="0">
                  <c:v>0.1875</c:v>
                </c:pt>
                <c:pt idx="1">
                  <c:v>6.25E-2</c:v>
                </c:pt>
                <c:pt idx="2">
                  <c:v>0.40625</c:v>
                </c:pt>
                <c:pt idx="3">
                  <c:v>6.25E-2</c:v>
                </c:pt>
                <c:pt idx="4">
                  <c:v>6.25E-2</c:v>
                </c:pt>
                <c:pt idx="5">
                  <c:v>0.125</c:v>
                </c:pt>
                <c:pt idx="6">
                  <c:v>3.125E-2</c:v>
                </c:pt>
                <c:pt idx="7">
                  <c:v>0</c:v>
                </c:pt>
                <c:pt idx="8">
                  <c:v>0</c:v>
                </c:pt>
                <c:pt idx="9">
                  <c:v>0</c:v>
                </c:pt>
                <c:pt idx="10">
                  <c:v>6.25E-2</c:v>
                </c:pt>
              </c:numCache>
            </c:numRef>
          </c:val>
          <c:extLst xmlns:c16r2="http://schemas.microsoft.com/office/drawing/2015/06/chart">
            <c:ext xmlns:c16="http://schemas.microsoft.com/office/drawing/2014/chart" uri="{C3380CC4-5D6E-409C-BE32-E72D297353CC}">
              <c16:uniqueId val="{00000002-238D-4495-9953-576E95ACB6B2}"/>
            </c:ext>
          </c:extLst>
        </c:ser>
        <c:ser>
          <c:idx val="1"/>
          <c:order val="1"/>
          <c:tx>
            <c:strRef>
              <c:f>'RAZON COBERTURA INTERES'!$M$3</c:f>
              <c:strCache>
                <c:ptCount val="1"/>
                <c:pt idx="0">
                  <c:v>Hi 
(Frecuencia Acumulada)</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Pt>
            <c:idx val="2"/>
            <c:invertIfNegative val="0"/>
            <c:bubble3D val="0"/>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4-238D-4495-9953-576E95ACB6B2}"/>
              </c:ext>
            </c:extLst>
          </c:dPt>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'RAZON COBERTURA INTERES'!$K$4:$K$14</c:f>
              <c:strCache>
                <c:ptCount val="11"/>
                <c:pt idx="0">
                  <c:v> - 0</c:v>
                </c:pt>
                <c:pt idx="1">
                  <c:v>0,01 - 0,99</c:v>
                </c:pt>
                <c:pt idx="2">
                  <c:v>1 - 1,99</c:v>
                </c:pt>
                <c:pt idx="3">
                  <c:v>2 - 2,99</c:v>
                </c:pt>
                <c:pt idx="4">
                  <c:v>3 - 3,99</c:v>
                </c:pt>
                <c:pt idx="5">
                  <c:v>4 - 4,99</c:v>
                </c:pt>
                <c:pt idx="6">
                  <c:v>5 - 5,99</c:v>
                </c:pt>
                <c:pt idx="7">
                  <c:v>6 - 6,99</c:v>
                </c:pt>
                <c:pt idx="8">
                  <c:v>7 - 7,99</c:v>
                </c:pt>
                <c:pt idx="9">
                  <c:v>8 - 8,99</c:v>
                </c:pt>
                <c:pt idx="10">
                  <c:v>9 - 10000</c:v>
                </c:pt>
              </c:strCache>
            </c:strRef>
          </c:cat>
          <c:val>
            <c:numRef>
              <c:f>'RAZON COBERTURA INTERES'!$M$4:$M$14</c:f>
              <c:numCache>
                <c:formatCode>0.00%</c:formatCode>
                <c:ptCount val="11"/>
                <c:pt idx="0">
                  <c:v>1</c:v>
                </c:pt>
                <c:pt idx="1">
                  <c:v>0.8125</c:v>
                </c:pt>
                <c:pt idx="2">
                  <c:v>0.75</c:v>
                </c:pt>
                <c:pt idx="3">
                  <c:v>0.34375</c:v>
                </c:pt>
                <c:pt idx="4">
                  <c:v>0.28125</c:v>
                </c:pt>
                <c:pt idx="5">
                  <c:v>0.21875</c:v>
                </c:pt>
                <c:pt idx="6">
                  <c:v>9.375E-2</c:v>
                </c:pt>
                <c:pt idx="7">
                  <c:v>6.25E-2</c:v>
                </c:pt>
                <c:pt idx="8">
                  <c:v>6.25E-2</c:v>
                </c:pt>
                <c:pt idx="9">
                  <c:v>6.25E-2</c:v>
                </c:pt>
                <c:pt idx="10">
                  <c:v>6.25E-2</c:v>
                </c:pt>
              </c:numCache>
            </c:numRef>
          </c:val>
          <c:extLst xmlns:c16r2="http://schemas.microsoft.com/office/drawing/2015/06/chart">
            <c:ext xmlns:c16="http://schemas.microsoft.com/office/drawing/2014/chart" uri="{C3380CC4-5D6E-409C-BE32-E72D297353CC}">
              <c16:uniqueId val="{00000005-238D-4495-9953-576E95ACB6B2}"/>
            </c:ext>
          </c:extLst>
        </c:ser>
        <c:dLbls>
          <c:showLegendKey val="0"/>
          <c:showVal val="0"/>
          <c:showCatName val="0"/>
          <c:showSerName val="0"/>
          <c:showPercent val="0"/>
          <c:showBubbleSize val="0"/>
        </c:dLbls>
        <c:gapWidth val="326"/>
        <c:overlap val="-58"/>
        <c:axId val="503473496"/>
        <c:axId val="503473888"/>
      </c:barChart>
      <c:catAx>
        <c:axId val="503473496"/>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03473888"/>
        <c:crosses val="autoZero"/>
        <c:auto val="1"/>
        <c:lblAlgn val="ctr"/>
        <c:lblOffset val="100"/>
        <c:noMultiLvlLbl val="0"/>
      </c:catAx>
      <c:valAx>
        <c:axId val="503473888"/>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s-CO"/>
          </a:p>
        </c:txPr>
        <c:crossAx val="503473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cap="all" spc="50" baseline="0">
                <a:solidFill>
                  <a:schemeClr val="tx1">
                    <a:lumMod val="65000"/>
                    <a:lumOff val="35000"/>
                  </a:schemeClr>
                </a:solidFill>
                <a:latin typeface="+mn-lt"/>
                <a:ea typeface="+mn-ea"/>
                <a:cs typeface="+mn-cs"/>
              </a:defRPr>
            </a:pPr>
            <a:r>
              <a:rPr lang="es-CO" sz="1100"/>
              <a:t>DISTRIBUCION DE FRECUENCIAS CAPITAL DE TRABAJO</a:t>
            </a:r>
          </a:p>
        </c:rich>
      </c:tx>
      <c:overlay val="0"/>
      <c:spPr>
        <a:noFill/>
        <a:ln>
          <a:noFill/>
        </a:ln>
        <a:effectLst/>
      </c:spPr>
      <c:txPr>
        <a:bodyPr rot="0" spcFirstLastPara="1" vertOverflow="ellipsis" vert="horz" wrap="square" anchor="ctr" anchorCtr="1"/>
        <a:lstStyle/>
        <a:p>
          <a:pPr>
            <a:defRPr sz="1100" b="1" i="0" u="none" strike="noStrike" kern="1200" cap="all" spc="5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'CAPITAL DE TRABAJO'!$L$3</c:f>
              <c:strCache>
                <c:ptCount val="1"/>
                <c:pt idx="0">
                  <c:v>hi 
(Frecuencia Relativa)</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Pt>
            <c:idx val="10"/>
            <c:invertIfNegative val="0"/>
            <c:bubble3D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1-15D2-4FA5-BC2E-AC8CC80A6EAE}"/>
              </c:ext>
            </c:extLst>
          </c:dPt>
          <c:dLbls>
            <c:dLbl>
              <c:idx val="10"/>
              <c:layout>
                <c:manualLayout>
                  <c:x val="0"/>
                  <c:y val="-9.2592592592592587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15D2-4FA5-BC2E-AC8CC80A6EA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'CAPITAL DE TRABAJO'!$K$4:$K$14</c:f>
              <c:strCache>
                <c:ptCount val="11"/>
                <c:pt idx="0">
                  <c:v> - 0</c:v>
                </c:pt>
                <c:pt idx="1">
                  <c:v>0 - 159999</c:v>
                </c:pt>
                <c:pt idx="2">
                  <c:v>160000 - 259999</c:v>
                </c:pt>
                <c:pt idx="3">
                  <c:v>260000 - 359999</c:v>
                </c:pt>
                <c:pt idx="4">
                  <c:v>360000 - 459999</c:v>
                </c:pt>
                <c:pt idx="5">
                  <c:v>460000 - 559999</c:v>
                </c:pt>
                <c:pt idx="6">
                  <c:v>560000 - 659999</c:v>
                </c:pt>
                <c:pt idx="7">
                  <c:v>660000 - 759999</c:v>
                </c:pt>
                <c:pt idx="8">
                  <c:v>760000 - 859999</c:v>
                </c:pt>
                <c:pt idx="9">
                  <c:v>860000 - 959999</c:v>
                </c:pt>
                <c:pt idx="10">
                  <c:v>960000 - 1000000000000</c:v>
                </c:pt>
              </c:strCache>
            </c:strRef>
          </c:cat>
          <c:val>
            <c:numRef>
              <c:f>'CAPITAL DE TRABAJO'!$L$4:$L$14</c:f>
              <c:numCache>
                <c:formatCode>0.00%</c:formatCode>
                <c:ptCount val="11"/>
                <c:pt idx="0">
                  <c:v>0.14285714285714285</c:v>
                </c:pt>
                <c:pt idx="1">
                  <c:v>0</c:v>
                </c:pt>
                <c:pt idx="2">
                  <c:v>0</c:v>
                </c:pt>
                <c:pt idx="3">
                  <c:v>0</c:v>
                </c:pt>
                <c:pt idx="4">
                  <c:v>0</c:v>
                </c:pt>
                <c:pt idx="5">
                  <c:v>0</c:v>
                </c:pt>
                <c:pt idx="6">
                  <c:v>0</c:v>
                </c:pt>
                <c:pt idx="7">
                  <c:v>0</c:v>
                </c:pt>
                <c:pt idx="8">
                  <c:v>0</c:v>
                </c:pt>
                <c:pt idx="9">
                  <c:v>0</c:v>
                </c:pt>
                <c:pt idx="10">
                  <c:v>0.8571428571428571</c:v>
                </c:pt>
              </c:numCache>
            </c:numRef>
          </c:val>
          <c:extLst xmlns:c16r2="http://schemas.microsoft.com/office/drawing/2015/06/chart">
            <c:ext xmlns:c16="http://schemas.microsoft.com/office/drawing/2014/chart" uri="{C3380CC4-5D6E-409C-BE32-E72D297353CC}">
              <c16:uniqueId val="{00000002-15D2-4FA5-BC2E-AC8CC80A6EAE}"/>
            </c:ext>
          </c:extLst>
        </c:ser>
        <c:ser>
          <c:idx val="1"/>
          <c:order val="1"/>
          <c:tx>
            <c:strRef>
              <c:f>'CAPITAL DE TRABAJO'!$M$3</c:f>
              <c:strCache>
                <c:ptCount val="1"/>
                <c:pt idx="0">
                  <c:v>Hi 
(Frecuencia Acumulada)</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Lbls>
            <c:dLbl>
              <c:idx val="10"/>
              <c:delete val="1"/>
              <c:extLst xmlns:c16r2="http://schemas.microsoft.com/office/drawing/2015/06/chart">
                <c:ext xmlns:c16="http://schemas.microsoft.com/office/drawing/2014/chart" uri="{C3380CC4-5D6E-409C-BE32-E72D297353CC}">
                  <c16:uniqueId val="{00000003-15D2-4FA5-BC2E-AC8CC80A6EAE}"/>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'CAPITAL DE TRABAJO'!$K$4:$K$14</c:f>
              <c:strCache>
                <c:ptCount val="11"/>
                <c:pt idx="0">
                  <c:v> - 0</c:v>
                </c:pt>
                <c:pt idx="1">
                  <c:v>0 - 159999</c:v>
                </c:pt>
                <c:pt idx="2">
                  <c:v>160000 - 259999</c:v>
                </c:pt>
                <c:pt idx="3">
                  <c:v>260000 - 359999</c:v>
                </c:pt>
                <c:pt idx="4">
                  <c:v>360000 - 459999</c:v>
                </c:pt>
                <c:pt idx="5">
                  <c:v>460000 - 559999</c:v>
                </c:pt>
                <c:pt idx="6">
                  <c:v>560000 - 659999</c:v>
                </c:pt>
                <c:pt idx="7">
                  <c:v>660000 - 759999</c:v>
                </c:pt>
                <c:pt idx="8">
                  <c:v>760000 - 859999</c:v>
                </c:pt>
                <c:pt idx="9">
                  <c:v>860000 - 959999</c:v>
                </c:pt>
                <c:pt idx="10">
                  <c:v>960000 - 1000000000000</c:v>
                </c:pt>
              </c:strCache>
            </c:strRef>
          </c:cat>
          <c:val>
            <c:numRef>
              <c:f>'CAPITAL DE TRABAJO'!$M$4:$M$14</c:f>
              <c:numCache>
                <c:formatCode>0.00%</c:formatCode>
                <c:ptCount val="11"/>
                <c:pt idx="0">
                  <c:v>1</c:v>
                </c:pt>
                <c:pt idx="1">
                  <c:v>0.8571428571428571</c:v>
                </c:pt>
                <c:pt idx="2">
                  <c:v>0.8571428571428571</c:v>
                </c:pt>
                <c:pt idx="3">
                  <c:v>0.8571428571428571</c:v>
                </c:pt>
                <c:pt idx="4">
                  <c:v>0.8571428571428571</c:v>
                </c:pt>
                <c:pt idx="5">
                  <c:v>0.8571428571428571</c:v>
                </c:pt>
                <c:pt idx="6">
                  <c:v>0.8571428571428571</c:v>
                </c:pt>
                <c:pt idx="7">
                  <c:v>0.8571428571428571</c:v>
                </c:pt>
                <c:pt idx="8">
                  <c:v>0.8571428571428571</c:v>
                </c:pt>
                <c:pt idx="9">
                  <c:v>0.8571428571428571</c:v>
                </c:pt>
                <c:pt idx="10">
                  <c:v>0.8571428571428571</c:v>
                </c:pt>
              </c:numCache>
            </c:numRef>
          </c:val>
          <c:extLst xmlns:c16r2="http://schemas.microsoft.com/office/drawing/2015/06/chart">
            <c:ext xmlns:c16="http://schemas.microsoft.com/office/drawing/2014/chart" uri="{C3380CC4-5D6E-409C-BE32-E72D297353CC}">
              <c16:uniqueId val="{00000004-15D2-4FA5-BC2E-AC8CC80A6EAE}"/>
            </c:ext>
          </c:extLst>
        </c:ser>
        <c:dLbls>
          <c:showLegendKey val="0"/>
          <c:showVal val="0"/>
          <c:showCatName val="0"/>
          <c:showSerName val="0"/>
          <c:showPercent val="0"/>
          <c:showBubbleSize val="0"/>
        </c:dLbls>
        <c:gapWidth val="326"/>
        <c:overlap val="-58"/>
        <c:axId val="570504768"/>
        <c:axId val="570505160"/>
      </c:barChart>
      <c:catAx>
        <c:axId val="570504768"/>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s-CO"/>
          </a:p>
        </c:txPr>
        <c:crossAx val="570505160"/>
        <c:crosses val="autoZero"/>
        <c:auto val="1"/>
        <c:lblAlgn val="ctr"/>
        <c:lblOffset val="100"/>
        <c:noMultiLvlLbl val="0"/>
      </c:catAx>
      <c:valAx>
        <c:axId val="570505160"/>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s-CO"/>
          </a:p>
        </c:txPr>
        <c:crossAx val="570504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s-CO" sz="1400"/>
              <a:t>DISTRIBUCION</a:t>
            </a:r>
            <a:r>
              <a:rPr lang="es-CO" sz="1400" baseline="0"/>
              <a:t> DE FRECUENCIAS PATRIMONIO</a:t>
            </a:r>
            <a:endParaRPr lang="es-CO" sz="1400"/>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s-CO"/>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PATRIMONIO!$L$3</c:f>
              <c:strCache>
                <c:ptCount val="1"/>
                <c:pt idx="0">
                  <c:v>hi 
(Frecuencia Relativa)</c:v>
                </c:pt>
              </c:strCache>
            </c:strRef>
          </c:tx>
          <c:spPr>
            <a:gradFill flip="none" rotWithShape="1">
              <a:gsLst>
                <a:gs pos="100000">
                  <a:schemeClr val="accent1">
                    <a:alpha val="0"/>
                  </a:schemeClr>
                </a:gs>
                <a:gs pos="50000">
                  <a:schemeClr val="accent1"/>
                </a:gs>
              </a:gsLst>
              <a:lin ang="10800000" scaled="1"/>
            </a:gradFill>
            <a:ln>
              <a:noFill/>
            </a:ln>
            <a:effectLst/>
            <a:sp3d/>
          </c:spPr>
          <c:invertIfNegative val="0"/>
          <c:cat>
            <c:strRef>
              <c:f>PATRIMONIO!$K$4:$K$14</c:f>
              <c:strCache>
                <c:ptCount val="11"/>
                <c:pt idx="0">
                  <c:v> - 0</c:v>
                </c:pt>
                <c:pt idx="1">
                  <c:v>1 - 159999</c:v>
                </c:pt>
                <c:pt idx="2">
                  <c:v>160000 - 259999</c:v>
                </c:pt>
                <c:pt idx="3">
                  <c:v>260000 - 359999</c:v>
                </c:pt>
                <c:pt idx="4">
                  <c:v>360000 - 459999</c:v>
                </c:pt>
                <c:pt idx="5">
                  <c:v>460000 - 559999</c:v>
                </c:pt>
                <c:pt idx="6">
                  <c:v>560000 - 659999</c:v>
                </c:pt>
                <c:pt idx="7">
                  <c:v>660000 - 759999</c:v>
                </c:pt>
                <c:pt idx="8">
                  <c:v>760000 - 859999</c:v>
                </c:pt>
                <c:pt idx="9">
                  <c:v>860000 - 959999</c:v>
                </c:pt>
                <c:pt idx="10">
                  <c:v>960000 - 1000000000000</c:v>
                </c:pt>
              </c:strCache>
            </c:strRef>
          </c:cat>
          <c:val>
            <c:numRef>
              <c:f>PATRIMONIO!$L$4:$L$14</c:f>
              <c:numCache>
                <c:formatCode>0.0%</c:formatCode>
                <c:ptCount val="11"/>
                <c:pt idx="0">
                  <c:v>0.14285714285714285</c:v>
                </c:pt>
                <c:pt idx="1">
                  <c:v>0</c:v>
                </c:pt>
                <c:pt idx="2">
                  <c:v>0</c:v>
                </c:pt>
                <c:pt idx="3">
                  <c:v>0</c:v>
                </c:pt>
                <c:pt idx="4">
                  <c:v>0</c:v>
                </c:pt>
                <c:pt idx="5">
                  <c:v>0</c:v>
                </c:pt>
                <c:pt idx="6">
                  <c:v>0</c:v>
                </c:pt>
                <c:pt idx="7">
                  <c:v>0</c:v>
                </c:pt>
                <c:pt idx="8">
                  <c:v>0</c:v>
                </c:pt>
                <c:pt idx="9">
                  <c:v>0</c:v>
                </c:pt>
                <c:pt idx="10">
                  <c:v>0.8571428571428571</c:v>
                </c:pt>
              </c:numCache>
            </c:numRef>
          </c:val>
          <c:extLst xmlns:c16r2="http://schemas.microsoft.com/office/drawing/2015/06/chart">
            <c:ext xmlns:c16="http://schemas.microsoft.com/office/drawing/2014/chart" uri="{C3380CC4-5D6E-409C-BE32-E72D297353CC}">
              <c16:uniqueId val="{00000000-84A4-4553-9208-071EAB90011A}"/>
            </c:ext>
          </c:extLst>
        </c:ser>
        <c:ser>
          <c:idx val="1"/>
          <c:order val="1"/>
          <c:tx>
            <c:strRef>
              <c:f>PATRIMONIO!$M$3</c:f>
              <c:strCache>
                <c:ptCount val="1"/>
                <c:pt idx="0">
                  <c:v>Hi 
(Frecuencia Acumulada)</c:v>
                </c:pt>
              </c:strCache>
            </c:strRef>
          </c:tx>
          <c:spPr>
            <a:gradFill flip="none" rotWithShape="1">
              <a:gsLst>
                <a:gs pos="100000">
                  <a:schemeClr val="accent3">
                    <a:alpha val="0"/>
                  </a:schemeClr>
                </a:gs>
                <a:gs pos="50000">
                  <a:schemeClr val="accent3"/>
                </a:gs>
              </a:gsLst>
              <a:lin ang="10800000" scaled="1"/>
            </a:gradFill>
            <a:ln>
              <a:noFill/>
            </a:ln>
            <a:effectLst/>
            <a:sp3d/>
          </c:spPr>
          <c:invertIfNegative val="0"/>
          <c:dPt>
            <c:idx val="10"/>
            <c:invertIfNegative val="0"/>
            <c:bubble3D val="0"/>
            <c:spPr>
              <a:solidFill>
                <a:schemeClr val="accent6"/>
              </a:solidFill>
              <a:ln>
                <a:noFill/>
              </a:ln>
              <a:effectLst/>
              <a:sp3d/>
            </c:spPr>
            <c:extLst xmlns:c16r2="http://schemas.microsoft.com/office/drawing/2015/06/chart">
              <c:ext xmlns:c16="http://schemas.microsoft.com/office/drawing/2014/chart" uri="{C3380CC4-5D6E-409C-BE32-E72D297353CC}">
                <c16:uniqueId val="{00000002-84A4-4553-9208-071EAB90011A}"/>
              </c:ext>
            </c:extLst>
          </c:dPt>
          <c:dLbls>
            <c:dLbl>
              <c:idx val="1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PATRIMONIO!$K$4:$K$14</c:f>
              <c:strCache>
                <c:ptCount val="11"/>
                <c:pt idx="0">
                  <c:v> - 0</c:v>
                </c:pt>
                <c:pt idx="1">
                  <c:v>1 - 159999</c:v>
                </c:pt>
                <c:pt idx="2">
                  <c:v>160000 - 259999</c:v>
                </c:pt>
                <c:pt idx="3">
                  <c:v>260000 - 359999</c:v>
                </c:pt>
                <c:pt idx="4">
                  <c:v>360000 - 459999</c:v>
                </c:pt>
                <c:pt idx="5">
                  <c:v>460000 - 559999</c:v>
                </c:pt>
                <c:pt idx="6">
                  <c:v>560000 - 659999</c:v>
                </c:pt>
                <c:pt idx="7">
                  <c:v>660000 - 759999</c:v>
                </c:pt>
                <c:pt idx="8">
                  <c:v>760000 - 859999</c:v>
                </c:pt>
                <c:pt idx="9">
                  <c:v>860000 - 959999</c:v>
                </c:pt>
                <c:pt idx="10">
                  <c:v>960000 - 1000000000000</c:v>
                </c:pt>
              </c:strCache>
            </c:strRef>
          </c:cat>
          <c:val>
            <c:numRef>
              <c:f>PATRIMONIO!$M$4:$M$14</c:f>
              <c:numCache>
                <c:formatCode>0.0%</c:formatCode>
                <c:ptCount val="11"/>
                <c:pt idx="0">
                  <c:v>1</c:v>
                </c:pt>
                <c:pt idx="1">
                  <c:v>0.8571428571428571</c:v>
                </c:pt>
                <c:pt idx="2">
                  <c:v>0.8571428571428571</c:v>
                </c:pt>
                <c:pt idx="3">
                  <c:v>0.8571428571428571</c:v>
                </c:pt>
                <c:pt idx="4">
                  <c:v>0.8571428571428571</c:v>
                </c:pt>
                <c:pt idx="5">
                  <c:v>0.8571428571428571</c:v>
                </c:pt>
                <c:pt idx="6">
                  <c:v>0.8571428571428571</c:v>
                </c:pt>
                <c:pt idx="7">
                  <c:v>0.8571428571428571</c:v>
                </c:pt>
                <c:pt idx="8">
                  <c:v>0.8571428571428571</c:v>
                </c:pt>
                <c:pt idx="9">
                  <c:v>0.8571428571428571</c:v>
                </c:pt>
                <c:pt idx="10">
                  <c:v>0.8571428571428571</c:v>
                </c:pt>
              </c:numCache>
            </c:numRef>
          </c:val>
          <c:extLst xmlns:c16r2="http://schemas.microsoft.com/office/drawing/2015/06/chart">
            <c:ext xmlns:c16="http://schemas.microsoft.com/office/drawing/2014/chart" uri="{C3380CC4-5D6E-409C-BE32-E72D297353CC}">
              <c16:uniqueId val="{00000003-84A4-4553-9208-071EAB90011A}"/>
            </c:ext>
          </c:extLst>
        </c:ser>
        <c:dLbls>
          <c:showLegendKey val="0"/>
          <c:showVal val="0"/>
          <c:showCatName val="0"/>
          <c:showSerName val="0"/>
          <c:showPercent val="0"/>
          <c:showBubbleSize val="0"/>
        </c:dLbls>
        <c:gapWidth val="150"/>
        <c:gapDepth val="0"/>
        <c:shape val="box"/>
        <c:axId val="570505944"/>
        <c:axId val="570506336"/>
        <c:axId val="0"/>
      </c:bar3DChart>
      <c:catAx>
        <c:axId val="57050594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70506336"/>
        <c:crosses val="autoZero"/>
        <c:auto val="1"/>
        <c:lblAlgn val="ctr"/>
        <c:lblOffset val="100"/>
        <c:noMultiLvlLbl val="0"/>
      </c:catAx>
      <c:valAx>
        <c:axId val="570506336"/>
        <c:scaling>
          <c:orientation val="minMax"/>
        </c:scaling>
        <c:delete val="0"/>
        <c:axPos val="b"/>
        <c:majorGridlines>
          <c:spPr>
            <a:ln w="9525" cap="flat" cmpd="sng" algn="ctr">
              <a:solidFill>
                <a:schemeClr val="tx1">
                  <a:lumMod val="5000"/>
                  <a:lumOff val="9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70505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s-CO" sz="1400"/>
              <a:t>DISTRIBUCION DE FRECUENCIAS RENTABILIDAD DEL PATRIMONIO</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'RENT.PATRIMONIO'!$L$3</c:f>
              <c:strCache>
                <c:ptCount val="1"/>
                <c:pt idx="0">
                  <c:v>hi 
(Frecuencia Relativa)</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Pt>
            <c:idx val="2"/>
            <c:invertIfNegative val="0"/>
            <c:bubble3D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1-D8E1-4E6E-8E99-5264A4AE83DE}"/>
              </c:ext>
            </c:extLst>
          </c:dPt>
          <c:dLbls>
            <c:dLbl>
              <c:idx val="2"/>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'RENT.PATRIMONIO'!$K$4:$K$14</c:f>
              <c:strCache>
                <c:ptCount val="11"/>
                <c:pt idx="0">
                  <c:v> - 0</c:v>
                </c:pt>
                <c:pt idx="1">
                  <c:v>0 - 0,0029</c:v>
                </c:pt>
                <c:pt idx="2">
                  <c:v>0,0039 - 0,0199</c:v>
                </c:pt>
                <c:pt idx="3">
                  <c:v>0,0209 - 0,0369</c:v>
                </c:pt>
                <c:pt idx="4">
                  <c:v>0,0379 - 0,0539</c:v>
                </c:pt>
                <c:pt idx="5">
                  <c:v>0,0549 - 0,0709</c:v>
                </c:pt>
                <c:pt idx="6">
                  <c:v>0,0719 - 0,0879</c:v>
                </c:pt>
                <c:pt idx="7">
                  <c:v>0,0889 - 0,1049</c:v>
                </c:pt>
                <c:pt idx="8">
                  <c:v>0,1059 - 0,1219</c:v>
                </c:pt>
                <c:pt idx="9">
                  <c:v>0,1229 - 0,1389</c:v>
                </c:pt>
                <c:pt idx="10">
                  <c:v>0,1399 - 1000</c:v>
                </c:pt>
              </c:strCache>
            </c:strRef>
          </c:cat>
          <c:val>
            <c:numRef>
              <c:f>'RENT.PATRIMONIO'!$L$4:$L$14</c:f>
              <c:numCache>
                <c:formatCode>0.00%</c:formatCode>
                <c:ptCount val="11"/>
                <c:pt idx="0">
                  <c:v>0.13333333333333333</c:v>
                </c:pt>
                <c:pt idx="1">
                  <c:v>0</c:v>
                </c:pt>
                <c:pt idx="2">
                  <c:v>6.6666666666666666E-2</c:v>
                </c:pt>
                <c:pt idx="3">
                  <c:v>0.13333333333333333</c:v>
                </c:pt>
                <c:pt idx="4">
                  <c:v>0</c:v>
                </c:pt>
                <c:pt idx="5">
                  <c:v>6.6666666666666666E-2</c:v>
                </c:pt>
                <c:pt idx="6">
                  <c:v>0</c:v>
                </c:pt>
                <c:pt idx="7">
                  <c:v>0</c:v>
                </c:pt>
                <c:pt idx="8">
                  <c:v>6.6666666666666666E-2</c:v>
                </c:pt>
                <c:pt idx="9">
                  <c:v>6.6666666666666666E-2</c:v>
                </c:pt>
                <c:pt idx="10">
                  <c:v>0.46666666666666667</c:v>
                </c:pt>
              </c:numCache>
            </c:numRef>
          </c:val>
          <c:extLst xmlns:c16r2="http://schemas.microsoft.com/office/drawing/2015/06/chart">
            <c:ext xmlns:c16="http://schemas.microsoft.com/office/drawing/2014/chart" uri="{C3380CC4-5D6E-409C-BE32-E72D297353CC}">
              <c16:uniqueId val="{00000002-D8E1-4E6E-8E99-5264A4AE83DE}"/>
            </c:ext>
          </c:extLst>
        </c:ser>
        <c:ser>
          <c:idx val="1"/>
          <c:order val="1"/>
          <c:tx>
            <c:strRef>
              <c:f>'RENT.PATRIMONIO'!$M$3</c:f>
              <c:strCache>
                <c:ptCount val="1"/>
                <c:pt idx="0">
                  <c:v>Hi 
(Frecuencia Acumulada)</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Pt>
            <c:idx val="2"/>
            <c:invertIfNegative val="0"/>
            <c:bubble3D val="0"/>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4-D8E1-4E6E-8E99-5264A4AE83DE}"/>
              </c:ext>
            </c:extLst>
          </c:dPt>
          <c:dLbls>
            <c:dLbl>
              <c:idx val="2"/>
              <c:spPr>
                <a:noFill/>
                <a:ln>
                  <a:noFill/>
                </a:ln>
                <a:effectLst/>
              </c:spPr>
              <c:txPr>
                <a:bodyPr rot="0" spcFirstLastPara="1" vertOverflow="ellipsis" vert="horz" wrap="square" lIns="38100" tIns="19050" rIns="38100" bIns="19050" anchor="ctr" anchorCtr="1">
                  <a:spAutoFit/>
                </a:bodyPr>
                <a:lstStyle/>
                <a:p>
                  <a:pPr>
                    <a:defRPr sz="600" b="1"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'RENT.PATRIMONIO'!$K$4:$K$14</c:f>
              <c:strCache>
                <c:ptCount val="11"/>
                <c:pt idx="0">
                  <c:v> - 0</c:v>
                </c:pt>
                <c:pt idx="1">
                  <c:v>0 - 0,0029</c:v>
                </c:pt>
                <c:pt idx="2">
                  <c:v>0,0039 - 0,0199</c:v>
                </c:pt>
                <c:pt idx="3">
                  <c:v>0,0209 - 0,0369</c:v>
                </c:pt>
                <c:pt idx="4">
                  <c:v>0,0379 - 0,0539</c:v>
                </c:pt>
                <c:pt idx="5">
                  <c:v>0,0549 - 0,0709</c:v>
                </c:pt>
                <c:pt idx="6">
                  <c:v>0,0719 - 0,0879</c:v>
                </c:pt>
                <c:pt idx="7">
                  <c:v>0,0889 - 0,1049</c:v>
                </c:pt>
                <c:pt idx="8">
                  <c:v>0,1059 - 0,1219</c:v>
                </c:pt>
                <c:pt idx="9">
                  <c:v>0,1229 - 0,1389</c:v>
                </c:pt>
                <c:pt idx="10">
                  <c:v>0,1399 - 1000</c:v>
                </c:pt>
              </c:strCache>
            </c:strRef>
          </c:cat>
          <c:val>
            <c:numRef>
              <c:f>'RENT.PATRIMONIO'!$M$4:$M$14</c:f>
              <c:numCache>
                <c:formatCode>0.00%</c:formatCode>
                <c:ptCount val="11"/>
                <c:pt idx="0">
                  <c:v>0.99999999999999989</c:v>
                </c:pt>
                <c:pt idx="1">
                  <c:v>0.86666666666666659</c:v>
                </c:pt>
                <c:pt idx="2">
                  <c:v>0.86666666666666659</c:v>
                </c:pt>
                <c:pt idx="3">
                  <c:v>0.79999999999999993</c:v>
                </c:pt>
                <c:pt idx="4">
                  <c:v>0.66666666666666663</c:v>
                </c:pt>
                <c:pt idx="5">
                  <c:v>0.66666666666666663</c:v>
                </c:pt>
                <c:pt idx="6">
                  <c:v>0.6</c:v>
                </c:pt>
                <c:pt idx="7">
                  <c:v>0.6</c:v>
                </c:pt>
                <c:pt idx="8">
                  <c:v>0.6</c:v>
                </c:pt>
                <c:pt idx="9">
                  <c:v>0.53333333333333333</c:v>
                </c:pt>
                <c:pt idx="10">
                  <c:v>0.46666666666666667</c:v>
                </c:pt>
              </c:numCache>
            </c:numRef>
          </c:val>
          <c:extLst xmlns:c16r2="http://schemas.microsoft.com/office/drawing/2015/06/chart">
            <c:ext xmlns:c16="http://schemas.microsoft.com/office/drawing/2014/chart" uri="{C3380CC4-5D6E-409C-BE32-E72D297353CC}">
              <c16:uniqueId val="{00000005-D8E1-4E6E-8E99-5264A4AE83DE}"/>
            </c:ext>
          </c:extLst>
        </c:ser>
        <c:dLbls>
          <c:showLegendKey val="0"/>
          <c:showVal val="0"/>
          <c:showCatName val="0"/>
          <c:showSerName val="0"/>
          <c:showPercent val="0"/>
          <c:showBubbleSize val="0"/>
        </c:dLbls>
        <c:gapWidth val="326"/>
        <c:overlap val="-58"/>
        <c:axId val="570507120"/>
        <c:axId val="570507512"/>
      </c:barChart>
      <c:catAx>
        <c:axId val="570507120"/>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70507512"/>
        <c:crosses val="autoZero"/>
        <c:auto val="1"/>
        <c:lblAlgn val="ctr"/>
        <c:lblOffset val="100"/>
        <c:noMultiLvlLbl val="0"/>
      </c:catAx>
      <c:valAx>
        <c:axId val="570507512"/>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70507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r>
              <a:rPr lang="es-CO" sz="1200" b="1" i="0" cap="all" baseline="0">
                <a:effectLst/>
              </a:rPr>
              <a:t>DISTRIBUCION DE FRECUENCIAS RENTABILIDAD DEL ACTIVO</a:t>
            </a:r>
            <a:endParaRPr lang="es-CO" sz="1200">
              <a:effectLst/>
            </a:endParaRPr>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'RENT.ACTIVO'!$L$3</c:f>
              <c:strCache>
                <c:ptCount val="1"/>
                <c:pt idx="0">
                  <c:v>hi 
(Frecuencia Relativa)</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Pt>
            <c:idx val="5"/>
            <c:invertIfNegative val="0"/>
            <c:bubble3D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1-8224-47B8-8329-46F1E870BD28}"/>
              </c:ext>
            </c:extLst>
          </c:dPt>
          <c:dLbls>
            <c:dLbl>
              <c:idx val="5"/>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dLbl>
            <c:dLbl>
              <c:idx val="10"/>
              <c:delete val="1"/>
              <c:extLst xmlns:c16r2="http://schemas.microsoft.com/office/drawing/2015/06/chart">
                <c:ext xmlns:c16="http://schemas.microsoft.com/office/drawing/2014/chart" uri="{C3380CC4-5D6E-409C-BE32-E72D297353CC}">
                  <c16:uniqueId val="{00000002-8224-47B8-8329-46F1E870BD28}"/>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'RENT.ACTIVO'!$K$4:$K$14</c:f>
              <c:strCache>
                <c:ptCount val="11"/>
                <c:pt idx="0">
                  <c:v> - 0</c:v>
                </c:pt>
                <c:pt idx="1">
                  <c:v>0 - 0,001</c:v>
                </c:pt>
                <c:pt idx="2">
                  <c:v>0,002 - 0,007</c:v>
                </c:pt>
                <c:pt idx="3">
                  <c:v>0,008 - 0,013</c:v>
                </c:pt>
                <c:pt idx="4">
                  <c:v>0,014 - 0,019</c:v>
                </c:pt>
                <c:pt idx="5">
                  <c:v>0,02 - 0,025</c:v>
                </c:pt>
                <c:pt idx="6">
                  <c:v>0,026 - 0,031</c:v>
                </c:pt>
                <c:pt idx="7">
                  <c:v>0,032 - 0,037</c:v>
                </c:pt>
                <c:pt idx="8">
                  <c:v>0,038 - 0,043</c:v>
                </c:pt>
                <c:pt idx="9">
                  <c:v>0,044 - 0,049</c:v>
                </c:pt>
                <c:pt idx="10">
                  <c:v>0,05 - 1000</c:v>
                </c:pt>
              </c:strCache>
            </c:strRef>
          </c:cat>
          <c:val>
            <c:numRef>
              <c:f>'RENT.ACTIVO'!$L$4:$L$14</c:f>
              <c:numCache>
                <c:formatCode>0.00%</c:formatCode>
                <c:ptCount val="11"/>
                <c:pt idx="0">
                  <c:v>0.13333333333333333</c:v>
                </c:pt>
                <c:pt idx="1">
                  <c:v>0</c:v>
                </c:pt>
                <c:pt idx="2">
                  <c:v>6.6666666666666666E-2</c:v>
                </c:pt>
                <c:pt idx="3">
                  <c:v>6.6666666666666666E-2</c:v>
                </c:pt>
                <c:pt idx="4">
                  <c:v>0</c:v>
                </c:pt>
                <c:pt idx="5">
                  <c:v>6.6666666666666666E-2</c:v>
                </c:pt>
                <c:pt idx="6">
                  <c:v>0</c:v>
                </c:pt>
                <c:pt idx="7">
                  <c:v>6.6666666666666666E-2</c:v>
                </c:pt>
                <c:pt idx="8">
                  <c:v>0</c:v>
                </c:pt>
                <c:pt idx="9">
                  <c:v>0</c:v>
                </c:pt>
                <c:pt idx="10">
                  <c:v>0.6</c:v>
                </c:pt>
              </c:numCache>
            </c:numRef>
          </c:val>
          <c:extLst xmlns:c16r2="http://schemas.microsoft.com/office/drawing/2015/06/chart">
            <c:ext xmlns:c16="http://schemas.microsoft.com/office/drawing/2014/chart" uri="{C3380CC4-5D6E-409C-BE32-E72D297353CC}">
              <c16:uniqueId val="{00000003-8224-47B8-8329-46F1E870BD28}"/>
            </c:ext>
          </c:extLst>
        </c:ser>
        <c:ser>
          <c:idx val="1"/>
          <c:order val="1"/>
          <c:tx>
            <c:strRef>
              <c:f>'RENT.ACTIVO'!$M$3</c:f>
              <c:strCache>
                <c:ptCount val="1"/>
                <c:pt idx="0">
                  <c:v>Hi 
(Frecuencia Acumulada)</c:v>
                </c:pt>
              </c:strCache>
            </c:strRef>
          </c:tx>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invertIfNegative val="0"/>
          <c:dPt>
            <c:idx val="2"/>
            <c:invertIfNegative val="0"/>
            <c:bubble3D val="0"/>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5-8224-47B8-8329-46F1E870BD28}"/>
              </c:ext>
            </c:extLst>
          </c:dPt>
          <c:dPt>
            <c:idx val="5"/>
            <c:invertIfNegative val="0"/>
            <c:bubble3D val="0"/>
            <c:spPr>
              <a:gradFill flip="none" rotWithShape="1">
                <a:gsLst>
                  <a:gs pos="0">
                    <a:schemeClr val="accent3"/>
                  </a:gs>
                  <a:gs pos="75000">
                    <a:schemeClr val="accent3">
                      <a:lumMod val="60000"/>
                      <a:lumOff val="40000"/>
                    </a:schemeClr>
                  </a:gs>
                  <a:gs pos="51000">
                    <a:schemeClr val="accent3">
                      <a:alpha val="75000"/>
                    </a:schemeClr>
                  </a:gs>
                  <a:gs pos="100000">
                    <a:schemeClr val="accent3">
                      <a:lumMod val="20000"/>
                      <a:lumOff val="80000"/>
                      <a:alpha val="15000"/>
                    </a:schemeClr>
                  </a:gs>
                </a:gsLst>
                <a:lin ang="10800000" scaled="1"/>
                <a:tileRect/>
              </a:gradFill>
              <a:ln>
                <a:noFill/>
              </a:ln>
              <a:effectLst/>
            </c:spPr>
            <c:extLst xmlns:c16r2="http://schemas.microsoft.com/office/drawing/2015/06/chart">
              <c:ext xmlns:c16="http://schemas.microsoft.com/office/drawing/2014/chart" uri="{C3380CC4-5D6E-409C-BE32-E72D297353CC}">
                <c16:uniqueId val="{00000007-8224-47B8-8329-46F1E870BD28}"/>
              </c:ext>
            </c:extLst>
          </c:dPt>
          <c:dLbls>
            <c:dLbl>
              <c:idx val="5"/>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'RENT.ACTIVO'!$K$4:$K$14</c:f>
              <c:strCache>
                <c:ptCount val="11"/>
                <c:pt idx="0">
                  <c:v> - 0</c:v>
                </c:pt>
                <c:pt idx="1">
                  <c:v>0 - 0,001</c:v>
                </c:pt>
                <c:pt idx="2">
                  <c:v>0,002 - 0,007</c:v>
                </c:pt>
                <c:pt idx="3">
                  <c:v>0,008 - 0,013</c:v>
                </c:pt>
                <c:pt idx="4">
                  <c:v>0,014 - 0,019</c:v>
                </c:pt>
                <c:pt idx="5">
                  <c:v>0,02 - 0,025</c:v>
                </c:pt>
                <c:pt idx="6">
                  <c:v>0,026 - 0,031</c:v>
                </c:pt>
                <c:pt idx="7">
                  <c:v>0,032 - 0,037</c:v>
                </c:pt>
                <c:pt idx="8">
                  <c:v>0,038 - 0,043</c:v>
                </c:pt>
                <c:pt idx="9">
                  <c:v>0,044 - 0,049</c:v>
                </c:pt>
                <c:pt idx="10">
                  <c:v>0,05 - 1000</c:v>
                </c:pt>
              </c:strCache>
            </c:strRef>
          </c:cat>
          <c:val>
            <c:numRef>
              <c:f>'RENT.ACTIVO'!$M$4:$M$14</c:f>
              <c:numCache>
                <c:formatCode>0.00%</c:formatCode>
                <c:ptCount val="11"/>
                <c:pt idx="0">
                  <c:v>0.99999999999999989</c:v>
                </c:pt>
                <c:pt idx="1">
                  <c:v>0.86666666666666659</c:v>
                </c:pt>
                <c:pt idx="2">
                  <c:v>0.86666666666666659</c:v>
                </c:pt>
                <c:pt idx="3">
                  <c:v>0.79999999999999993</c:v>
                </c:pt>
                <c:pt idx="4">
                  <c:v>0.73333333333333328</c:v>
                </c:pt>
                <c:pt idx="5">
                  <c:v>0.73333333333333328</c:v>
                </c:pt>
                <c:pt idx="6">
                  <c:v>0.66666666666666663</c:v>
                </c:pt>
                <c:pt idx="7">
                  <c:v>0.66666666666666663</c:v>
                </c:pt>
                <c:pt idx="8">
                  <c:v>0.6</c:v>
                </c:pt>
                <c:pt idx="9">
                  <c:v>0.6</c:v>
                </c:pt>
                <c:pt idx="10">
                  <c:v>0.6</c:v>
                </c:pt>
              </c:numCache>
            </c:numRef>
          </c:val>
          <c:extLst xmlns:c16r2="http://schemas.microsoft.com/office/drawing/2015/06/chart">
            <c:ext xmlns:c16="http://schemas.microsoft.com/office/drawing/2014/chart" uri="{C3380CC4-5D6E-409C-BE32-E72D297353CC}">
              <c16:uniqueId val="{00000008-8224-47B8-8329-46F1E870BD28}"/>
            </c:ext>
          </c:extLst>
        </c:ser>
        <c:dLbls>
          <c:showLegendKey val="0"/>
          <c:showVal val="0"/>
          <c:showCatName val="0"/>
          <c:showSerName val="0"/>
          <c:showPercent val="0"/>
          <c:showBubbleSize val="0"/>
        </c:dLbls>
        <c:gapWidth val="326"/>
        <c:overlap val="-58"/>
        <c:axId val="570508296"/>
        <c:axId val="570508688"/>
      </c:barChart>
      <c:catAx>
        <c:axId val="570508296"/>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70508688"/>
        <c:crosses val="autoZero"/>
        <c:auto val="1"/>
        <c:lblAlgn val="ctr"/>
        <c:lblOffset val="100"/>
        <c:noMultiLvlLbl val="0"/>
      </c:catAx>
      <c:valAx>
        <c:axId val="570508688"/>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570508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4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gradFill>
    </cs:spPr>
  </cs:dataPoint>
  <cs:dataPoint3D>
    <cs:lnRef idx="0"/>
    <cs:fillRef idx="0">
      <cs:styleClr val="auto"/>
    </cs:fillRef>
    <cs:effectRef idx="0"/>
    <cs:fontRef idx="minor">
      <a:schemeClr val="tx1"/>
    </cs:fontRef>
    <cs:spPr>
      <a:gradFill flip="none" rotWithShape="1">
        <a:gsLst>
          <a:gs pos="100000">
            <a:schemeClr val="phClr">
              <a:alpha val="0"/>
            </a:schemeClr>
          </a:gs>
          <a:gs pos="50000">
            <a:schemeClr val="phClr"/>
          </a:gs>
        </a:gsLst>
        <a:lin ang="10800000" scaled="1"/>
      </a:gradFill>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273</TotalTime>
  <Pages>28</Pages>
  <Words>7083</Words>
  <Characters>38962</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 1 Hacienda</dc:creator>
  <cp:keywords/>
  <dc:description/>
  <cp:lastModifiedBy>Juridico 1 Hacienda</cp:lastModifiedBy>
  <cp:revision>2</cp:revision>
  <cp:lastPrinted>2020-05-08T17:09:00Z</cp:lastPrinted>
  <dcterms:created xsi:type="dcterms:W3CDTF">2020-05-08T15:31:00Z</dcterms:created>
  <dcterms:modified xsi:type="dcterms:W3CDTF">2020-05-08T22:06:00Z</dcterms:modified>
</cp:coreProperties>
</file>