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8B546" w14:textId="7E94E8D1" w:rsidR="4F833AA1" w:rsidRPr="0086351C" w:rsidRDefault="4F833AA1" w:rsidP="32FDD0E3">
      <w:pPr>
        <w:tabs>
          <w:tab w:val="center" w:pos="4419"/>
          <w:tab w:val="right" w:pos="8838"/>
        </w:tabs>
        <w:jc w:val="center"/>
        <w:rPr>
          <w:rFonts w:ascii="Arial" w:eastAsia="Arial" w:hAnsi="Arial" w:cs="Arial"/>
          <w:b/>
          <w:bCs/>
          <w:color w:val="000000" w:themeColor="text1"/>
          <w:lang w:val="es"/>
        </w:rPr>
      </w:pPr>
      <w:r w:rsidRPr="0086351C">
        <w:rPr>
          <w:rFonts w:ascii="Arial" w:eastAsia="Arial" w:hAnsi="Arial" w:cs="Arial"/>
          <w:b/>
          <w:bCs/>
          <w:color w:val="000000" w:themeColor="text1"/>
          <w:lang w:val="es"/>
        </w:rPr>
        <w:t>ESTUDIO DE MERCADO Y ANÁLISIS DEL SECTOR</w:t>
      </w:r>
    </w:p>
    <w:p w14:paraId="5DBE0C69" w14:textId="233F7707" w:rsidR="4F833AA1" w:rsidRPr="0086351C" w:rsidRDefault="4F833AA1" w:rsidP="32FDD0E3">
      <w:pPr>
        <w:tabs>
          <w:tab w:val="center" w:pos="4419"/>
          <w:tab w:val="right" w:pos="8838"/>
        </w:tabs>
        <w:jc w:val="center"/>
        <w:rPr>
          <w:rFonts w:ascii="Arial" w:eastAsia="Arial" w:hAnsi="Arial" w:cs="Arial"/>
          <w:b/>
          <w:bCs/>
          <w:color w:val="000000" w:themeColor="text1"/>
          <w:lang w:val="es"/>
        </w:rPr>
      </w:pPr>
      <w:r w:rsidRPr="0086351C">
        <w:rPr>
          <w:rFonts w:ascii="Arial" w:eastAsia="Arial" w:hAnsi="Arial" w:cs="Arial"/>
          <w:b/>
          <w:bCs/>
          <w:color w:val="000000" w:themeColor="text1"/>
          <w:lang w:val="es"/>
        </w:rPr>
        <w:t xml:space="preserve"> CONVENIOS INTERADMINISTRATIVOS</w:t>
      </w:r>
    </w:p>
    <w:p w14:paraId="77E65598" w14:textId="77777777" w:rsidR="0036430B" w:rsidRPr="0086351C" w:rsidRDefault="0036430B" w:rsidP="0036430B">
      <w:pPr>
        <w:tabs>
          <w:tab w:val="left" w:pos="8170"/>
        </w:tabs>
        <w:jc w:val="center"/>
        <w:rPr>
          <w:rFonts w:ascii="Arial" w:eastAsia="Arial" w:hAnsi="Arial" w:cs="Arial"/>
          <w:b/>
        </w:rPr>
      </w:pPr>
    </w:p>
    <w:p w14:paraId="5A6E97B6" w14:textId="77777777" w:rsidR="0036430B" w:rsidRPr="0086351C" w:rsidRDefault="0036430B" w:rsidP="0036430B">
      <w:pPr>
        <w:tabs>
          <w:tab w:val="left" w:pos="8170"/>
        </w:tabs>
        <w:jc w:val="center"/>
        <w:rPr>
          <w:rFonts w:ascii="Arial" w:eastAsia="Arial" w:hAnsi="Arial" w:cs="Arial"/>
          <w:b/>
        </w:rPr>
      </w:pPr>
    </w:p>
    <w:p w14:paraId="5FBF05BF" w14:textId="77777777" w:rsidR="0036430B" w:rsidRPr="0086351C" w:rsidRDefault="0036430B" w:rsidP="0036430B">
      <w:pPr>
        <w:tabs>
          <w:tab w:val="left" w:pos="8170"/>
        </w:tabs>
        <w:jc w:val="center"/>
        <w:rPr>
          <w:rFonts w:ascii="Arial" w:eastAsia="Arial" w:hAnsi="Arial" w:cs="Arial"/>
          <w:b/>
        </w:rPr>
      </w:pPr>
    </w:p>
    <w:p w14:paraId="3E4C480E" w14:textId="77777777" w:rsidR="0036430B" w:rsidRPr="0086351C" w:rsidRDefault="0036430B" w:rsidP="0036430B">
      <w:pPr>
        <w:tabs>
          <w:tab w:val="left" w:pos="8170"/>
        </w:tabs>
        <w:jc w:val="center"/>
        <w:rPr>
          <w:rFonts w:ascii="Arial" w:eastAsia="Arial" w:hAnsi="Arial" w:cs="Arial"/>
          <w:b/>
        </w:rPr>
      </w:pPr>
    </w:p>
    <w:p w14:paraId="17D3A796" w14:textId="77777777" w:rsidR="0036430B" w:rsidRPr="0086351C" w:rsidRDefault="0036430B" w:rsidP="0036430B">
      <w:pPr>
        <w:tabs>
          <w:tab w:val="left" w:pos="8170"/>
        </w:tabs>
        <w:jc w:val="center"/>
        <w:rPr>
          <w:rFonts w:ascii="Arial" w:eastAsia="Arial" w:hAnsi="Arial" w:cs="Arial"/>
          <w:b/>
        </w:rPr>
      </w:pPr>
    </w:p>
    <w:p w14:paraId="2DD0E8DB" w14:textId="77777777" w:rsidR="0036430B" w:rsidRPr="0086351C" w:rsidRDefault="0036430B" w:rsidP="0036430B">
      <w:pPr>
        <w:tabs>
          <w:tab w:val="left" w:pos="8170"/>
        </w:tabs>
        <w:jc w:val="center"/>
        <w:rPr>
          <w:rFonts w:ascii="Arial" w:eastAsia="Arial" w:hAnsi="Arial" w:cs="Arial"/>
          <w:b/>
        </w:rPr>
      </w:pPr>
    </w:p>
    <w:p w14:paraId="4281D859" w14:textId="77777777" w:rsidR="0036430B" w:rsidRPr="0086351C" w:rsidRDefault="0036430B" w:rsidP="0036430B">
      <w:pPr>
        <w:tabs>
          <w:tab w:val="left" w:pos="8170"/>
        </w:tabs>
        <w:jc w:val="center"/>
        <w:rPr>
          <w:rFonts w:ascii="Arial" w:eastAsia="Arial" w:hAnsi="Arial" w:cs="Arial"/>
          <w:b/>
        </w:rPr>
      </w:pPr>
    </w:p>
    <w:p w14:paraId="0A55B06B" w14:textId="77777777" w:rsidR="0036430B" w:rsidRPr="0086351C" w:rsidRDefault="0036430B" w:rsidP="0036430B">
      <w:pPr>
        <w:tabs>
          <w:tab w:val="left" w:pos="8170"/>
        </w:tabs>
        <w:jc w:val="center"/>
        <w:rPr>
          <w:rFonts w:ascii="Arial" w:eastAsia="Arial" w:hAnsi="Arial" w:cs="Arial"/>
          <w:b/>
        </w:rPr>
      </w:pPr>
    </w:p>
    <w:p w14:paraId="145DA36F" w14:textId="77777777" w:rsidR="0036430B" w:rsidRPr="0086351C" w:rsidRDefault="0036430B" w:rsidP="00272EA1">
      <w:pPr>
        <w:tabs>
          <w:tab w:val="left" w:pos="8170"/>
        </w:tabs>
        <w:jc w:val="both"/>
        <w:rPr>
          <w:rFonts w:ascii="Arial" w:eastAsia="Arial" w:hAnsi="Arial" w:cs="Arial"/>
          <w:b/>
          <w:bCs/>
        </w:rPr>
      </w:pPr>
    </w:p>
    <w:p w14:paraId="0C4A5AC4" w14:textId="5B0AC6E7" w:rsidR="0036430B" w:rsidRPr="0086351C" w:rsidRDefault="00940E39" w:rsidP="000A1701">
      <w:pPr>
        <w:tabs>
          <w:tab w:val="left" w:pos="8170"/>
        </w:tabs>
        <w:jc w:val="center"/>
        <w:rPr>
          <w:rFonts w:ascii="Arial" w:eastAsia="Arial" w:hAnsi="Arial" w:cs="Arial"/>
          <w:b/>
        </w:rPr>
      </w:pPr>
      <w:r w:rsidRPr="0086351C">
        <w:rPr>
          <w:rFonts w:ascii="Arial" w:eastAsia="Arial" w:hAnsi="Arial" w:cs="Arial"/>
          <w:b/>
          <w:bCs/>
        </w:rPr>
        <w:t>AUNAR ESFUERZOS TÉCNICOS, ADMINISTRATIVOS Y FINANCIEROS ENTRE LA AGENCIA DE DESARROLLO RURAL Y LA UNIVERSIDAD DE SUCRE, PARA LA PRESTACIÓN DEL SERVICIO PÚBLICO DE EXTENSIÓN AGROPECUARIA CONFORME A LO DISPUESTO EN LA LEY 1876 DE 2017, RESPONDIENDO A LA PRIORIZACIÓN DE PROGRAMAS Y ACCIONES CONTENIDAS EN EL PLAN DEPARTAMENTAL DE EXTENSIÓN AGROPECUARIA DEL DEPARTAMENTO DE SUCRE</w:t>
      </w:r>
      <w:r w:rsidR="000A1701">
        <w:rPr>
          <w:rFonts w:ascii="Arial" w:eastAsia="Arial" w:hAnsi="Arial" w:cs="Arial"/>
          <w:b/>
          <w:bCs/>
        </w:rPr>
        <w:t xml:space="preserve"> </w:t>
      </w:r>
      <w:r w:rsidR="000A1701" w:rsidRPr="000A1701">
        <w:rPr>
          <w:rFonts w:ascii="Arial" w:eastAsia="Arial" w:hAnsi="Arial" w:cs="Arial"/>
          <w:b/>
          <w:bCs/>
        </w:rPr>
        <w:t>NPAA-1873</w:t>
      </w:r>
    </w:p>
    <w:p w14:paraId="1B88D936" w14:textId="77777777" w:rsidR="0036430B" w:rsidRPr="0086351C" w:rsidRDefault="0036430B" w:rsidP="0036430B">
      <w:pPr>
        <w:tabs>
          <w:tab w:val="left" w:pos="8170"/>
        </w:tabs>
        <w:jc w:val="center"/>
        <w:rPr>
          <w:rFonts w:ascii="Arial" w:eastAsia="Arial" w:hAnsi="Arial" w:cs="Arial"/>
          <w:b/>
          <w:noProof/>
        </w:rPr>
      </w:pPr>
    </w:p>
    <w:p w14:paraId="6C01B572" w14:textId="77777777" w:rsidR="0036430B" w:rsidRPr="0086351C" w:rsidRDefault="0036430B" w:rsidP="0036430B">
      <w:pPr>
        <w:tabs>
          <w:tab w:val="left" w:pos="8170"/>
        </w:tabs>
        <w:jc w:val="center"/>
        <w:rPr>
          <w:rFonts w:ascii="Arial" w:eastAsia="Arial" w:hAnsi="Arial" w:cs="Arial"/>
          <w:b/>
          <w:noProof/>
        </w:rPr>
      </w:pPr>
    </w:p>
    <w:p w14:paraId="189AC589" w14:textId="4A96FB55" w:rsidR="0036430B" w:rsidRDefault="001A0FAB" w:rsidP="001A0FAB">
      <w:pPr>
        <w:tabs>
          <w:tab w:val="left" w:pos="3754"/>
          <w:tab w:val="left" w:pos="8170"/>
        </w:tabs>
        <w:rPr>
          <w:rFonts w:ascii="Arial" w:eastAsia="Arial" w:hAnsi="Arial" w:cs="Arial"/>
          <w:b/>
          <w:noProof/>
        </w:rPr>
      </w:pPr>
      <w:r w:rsidRPr="0086351C">
        <w:rPr>
          <w:rFonts w:ascii="Arial" w:eastAsia="Arial" w:hAnsi="Arial" w:cs="Arial"/>
          <w:b/>
          <w:noProof/>
        </w:rPr>
        <w:tab/>
      </w:r>
    </w:p>
    <w:p w14:paraId="31ECB17D" w14:textId="77777777" w:rsidR="000A1701" w:rsidRDefault="000A1701" w:rsidP="001A0FAB">
      <w:pPr>
        <w:tabs>
          <w:tab w:val="left" w:pos="3754"/>
          <w:tab w:val="left" w:pos="8170"/>
        </w:tabs>
        <w:rPr>
          <w:rFonts w:ascii="Arial" w:eastAsia="Arial" w:hAnsi="Arial" w:cs="Arial"/>
          <w:b/>
          <w:noProof/>
        </w:rPr>
      </w:pPr>
    </w:p>
    <w:p w14:paraId="266B0056" w14:textId="77777777" w:rsidR="000A1701" w:rsidRPr="0086351C" w:rsidRDefault="000A1701" w:rsidP="001A0FAB">
      <w:pPr>
        <w:tabs>
          <w:tab w:val="left" w:pos="3754"/>
          <w:tab w:val="left" w:pos="8170"/>
        </w:tabs>
        <w:rPr>
          <w:rFonts w:ascii="Arial" w:eastAsia="Arial" w:hAnsi="Arial" w:cs="Arial"/>
          <w:b/>
          <w:noProof/>
        </w:rPr>
      </w:pPr>
    </w:p>
    <w:p w14:paraId="0498DAA3" w14:textId="77777777" w:rsidR="0036430B" w:rsidRPr="0086351C" w:rsidRDefault="0036430B" w:rsidP="0036430B">
      <w:pPr>
        <w:tabs>
          <w:tab w:val="left" w:pos="8170"/>
        </w:tabs>
        <w:jc w:val="center"/>
        <w:rPr>
          <w:rFonts w:ascii="Arial" w:eastAsia="Arial" w:hAnsi="Arial" w:cs="Arial"/>
          <w:b/>
          <w:noProof/>
        </w:rPr>
      </w:pPr>
    </w:p>
    <w:p w14:paraId="770845BA" w14:textId="77777777" w:rsidR="0036430B" w:rsidRPr="0086351C" w:rsidRDefault="0036430B" w:rsidP="0036430B">
      <w:pPr>
        <w:tabs>
          <w:tab w:val="left" w:pos="8170"/>
        </w:tabs>
        <w:jc w:val="center"/>
        <w:rPr>
          <w:rFonts w:ascii="Arial" w:eastAsia="Arial" w:hAnsi="Arial" w:cs="Arial"/>
          <w:b/>
          <w:noProof/>
        </w:rPr>
      </w:pPr>
    </w:p>
    <w:p w14:paraId="1367D859" w14:textId="77777777" w:rsidR="0036430B" w:rsidRPr="0086351C" w:rsidRDefault="0036430B" w:rsidP="0036430B">
      <w:pPr>
        <w:tabs>
          <w:tab w:val="left" w:pos="8170"/>
        </w:tabs>
        <w:jc w:val="center"/>
        <w:rPr>
          <w:rFonts w:ascii="Arial" w:eastAsia="Arial" w:hAnsi="Arial" w:cs="Arial"/>
          <w:b/>
          <w:bCs/>
        </w:rPr>
      </w:pPr>
      <w:r w:rsidRPr="0086351C">
        <w:rPr>
          <w:rFonts w:ascii="Arial" w:eastAsia="Arial" w:hAnsi="Arial" w:cs="Arial"/>
          <w:b/>
          <w:bCs/>
        </w:rPr>
        <w:t>AGENCIA DE DESARROLLO RURAL</w:t>
      </w:r>
    </w:p>
    <w:p w14:paraId="11E397D7" w14:textId="77777777" w:rsidR="0036430B" w:rsidRPr="0086351C" w:rsidRDefault="0036430B" w:rsidP="0036430B">
      <w:pPr>
        <w:tabs>
          <w:tab w:val="left" w:pos="8170"/>
        </w:tabs>
        <w:jc w:val="center"/>
        <w:rPr>
          <w:rFonts w:ascii="Arial" w:eastAsia="Arial" w:hAnsi="Arial" w:cs="Arial"/>
          <w:b/>
          <w:bCs/>
        </w:rPr>
      </w:pPr>
      <w:r w:rsidRPr="0086351C">
        <w:rPr>
          <w:rFonts w:ascii="Arial" w:eastAsia="Arial" w:hAnsi="Arial" w:cs="Arial"/>
          <w:b/>
          <w:bCs/>
        </w:rPr>
        <w:t>VICEPRESIDENCIA DE INTEGRACIÓN PRODUCTIVA</w:t>
      </w:r>
    </w:p>
    <w:p w14:paraId="6344CDD9" w14:textId="77777777" w:rsidR="0036430B" w:rsidRPr="0086351C" w:rsidRDefault="0036430B" w:rsidP="0036430B">
      <w:pPr>
        <w:tabs>
          <w:tab w:val="left" w:pos="8170"/>
        </w:tabs>
        <w:jc w:val="center"/>
        <w:rPr>
          <w:rFonts w:ascii="Arial" w:eastAsia="Arial" w:hAnsi="Arial" w:cs="Arial"/>
          <w:b/>
          <w:bCs/>
        </w:rPr>
      </w:pPr>
      <w:r w:rsidRPr="0086351C">
        <w:rPr>
          <w:rFonts w:ascii="Arial" w:eastAsia="Arial" w:hAnsi="Arial" w:cs="Arial"/>
          <w:b/>
          <w:bCs/>
        </w:rPr>
        <w:t>DIRECCIÓN DE ASISTENCIA TÉCNICA</w:t>
      </w:r>
    </w:p>
    <w:p w14:paraId="6199E741" w14:textId="77777777" w:rsidR="0036430B" w:rsidRPr="0086351C" w:rsidRDefault="0036430B" w:rsidP="0036430B">
      <w:pPr>
        <w:tabs>
          <w:tab w:val="left" w:pos="8170"/>
        </w:tabs>
        <w:jc w:val="center"/>
        <w:rPr>
          <w:rFonts w:ascii="Arial" w:eastAsia="Arial" w:hAnsi="Arial" w:cs="Arial"/>
          <w:b/>
        </w:rPr>
      </w:pPr>
    </w:p>
    <w:p w14:paraId="68499841" w14:textId="77777777" w:rsidR="0036430B" w:rsidRPr="0086351C" w:rsidRDefault="0036430B" w:rsidP="0036430B">
      <w:pPr>
        <w:tabs>
          <w:tab w:val="left" w:pos="8170"/>
        </w:tabs>
        <w:jc w:val="center"/>
        <w:rPr>
          <w:rFonts w:ascii="Arial" w:eastAsia="Arial" w:hAnsi="Arial" w:cs="Arial"/>
          <w:b/>
        </w:rPr>
      </w:pPr>
    </w:p>
    <w:p w14:paraId="6A62E82D" w14:textId="77777777" w:rsidR="0036430B" w:rsidRPr="0086351C" w:rsidRDefault="0036430B" w:rsidP="0036430B">
      <w:pPr>
        <w:tabs>
          <w:tab w:val="left" w:pos="8170"/>
        </w:tabs>
        <w:jc w:val="center"/>
        <w:rPr>
          <w:rFonts w:ascii="Arial" w:eastAsia="Arial" w:hAnsi="Arial" w:cs="Arial"/>
          <w:b/>
        </w:rPr>
      </w:pPr>
    </w:p>
    <w:p w14:paraId="6F71FC22" w14:textId="77777777" w:rsidR="0036430B" w:rsidRPr="0086351C" w:rsidRDefault="0036430B" w:rsidP="0036430B">
      <w:pPr>
        <w:tabs>
          <w:tab w:val="left" w:pos="8170"/>
        </w:tabs>
        <w:jc w:val="center"/>
        <w:rPr>
          <w:rFonts w:ascii="Arial" w:eastAsia="Arial" w:hAnsi="Arial" w:cs="Arial"/>
          <w:b/>
        </w:rPr>
      </w:pPr>
    </w:p>
    <w:p w14:paraId="02E292E0" w14:textId="77777777" w:rsidR="0036430B" w:rsidRPr="0086351C" w:rsidRDefault="0036430B" w:rsidP="0036430B">
      <w:pPr>
        <w:tabs>
          <w:tab w:val="left" w:pos="8170"/>
        </w:tabs>
        <w:jc w:val="center"/>
        <w:rPr>
          <w:rFonts w:ascii="Arial" w:eastAsia="Arial" w:hAnsi="Arial" w:cs="Arial"/>
          <w:b/>
        </w:rPr>
      </w:pPr>
    </w:p>
    <w:p w14:paraId="49294BDA" w14:textId="77777777" w:rsidR="0036430B" w:rsidRPr="0086351C" w:rsidRDefault="0036430B" w:rsidP="0036430B">
      <w:pPr>
        <w:tabs>
          <w:tab w:val="left" w:pos="8170"/>
        </w:tabs>
        <w:jc w:val="center"/>
        <w:rPr>
          <w:rFonts w:ascii="Arial" w:eastAsia="Arial" w:hAnsi="Arial" w:cs="Arial"/>
          <w:b/>
        </w:rPr>
      </w:pPr>
    </w:p>
    <w:p w14:paraId="504FD80B" w14:textId="77777777" w:rsidR="0036430B" w:rsidRDefault="0036430B" w:rsidP="0036430B">
      <w:pPr>
        <w:tabs>
          <w:tab w:val="left" w:pos="8170"/>
        </w:tabs>
        <w:jc w:val="center"/>
        <w:rPr>
          <w:rFonts w:ascii="Arial" w:eastAsia="Arial" w:hAnsi="Arial" w:cs="Arial"/>
          <w:b/>
        </w:rPr>
      </w:pPr>
    </w:p>
    <w:p w14:paraId="54CE45F2" w14:textId="77777777" w:rsidR="00506C6C" w:rsidRPr="0086351C" w:rsidRDefault="00506C6C" w:rsidP="0036430B">
      <w:pPr>
        <w:tabs>
          <w:tab w:val="left" w:pos="8170"/>
        </w:tabs>
        <w:jc w:val="center"/>
        <w:rPr>
          <w:rFonts w:ascii="Arial" w:eastAsia="Arial" w:hAnsi="Arial" w:cs="Arial"/>
          <w:b/>
        </w:rPr>
      </w:pPr>
    </w:p>
    <w:p w14:paraId="221FF36B" w14:textId="77777777" w:rsidR="0036430B" w:rsidRPr="0086351C" w:rsidRDefault="0036430B" w:rsidP="0036430B">
      <w:pPr>
        <w:tabs>
          <w:tab w:val="left" w:pos="8170"/>
        </w:tabs>
        <w:jc w:val="center"/>
        <w:rPr>
          <w:rFonts w:ascii="Arial" w:eastAsia="Arial" w:hAnsi="Arial" w:cs="Arial"/>
          <w:b/>
        </w:rPr>
      </w:pPr>
    </w:p>
    <w:p w14:paraId="3ECA060B" w14:textId="2A2280B5" w:rsidR="0036430B" w:rsidRPr="0086351C" w:rsidRDefault="4065CD60" w:rsidP="47E0F700">
      <w:pPr>
        <w:tabs>
          <w:tab w:val="left" w:pos="8170"/>
        </w:tabs>
        <w:jc w:val="center"/>
        <w:rPr>
          <w:rFonts w:ascii="Arial" w:eastAsia="Arial" w:hAnsi="Arial" w:cs="Arial"/>
          <w:b/>
          <w:bCs/>
        </w:rPr>
      </w:pPr>
      <w:r w:rsidRPr="47E0F700">
        <w:rPr>
          <w:rFonts w:ascii="Arial" w:eastAsia="Arial" w:hAnsi="Arial" w:cs="Arial"/>
          <w:b/>
          <w:bCs/>
        </w:rPr>
        <w:t xml:space="preserve">BOGOTÁ D.C., </w:t>
      </w:r>
      <w:r w:rsidR="1F8E2CE0" w:rsidRPr="47E0F700">
        <w:rPr>
          <w:rFonts w:ascii="Arial" w:eastAsia="Arial" w:hAnsi="Arial" w:cs="Arial"/>
          <w:b/>
          <w:bCs/>
        </w:rPr>
        <w:t>OCTUBRE</w:t>
      </w:r>
      <w:r w:rsidRPr="47E0F700">
        <w:rPr>
          <w:rFonts w:ascii="Arial" w:eastAsia="Arial" w:hAnsi="Arial" w:cs="Arial"/>
          <w:b/>
          <w:bCs/>
        </w:rPr>
        <w:t xml:space="preserve"> 2024 </w:t>
      </w:r>
    </w:p>
    <w:p w14:paraId="6756BA59" w14:textId="77777777" w:rsidR="0036430B" w:rsidRPr="0086351C" w:rsidRDefault="0036430B" w:rsidP="0036430B">
      <w:pPr>
        <w:tabs>
          <w:tab w:val="left" w:pos="8170"/>
        </w:tabs>
        <w:jc w:val="center"/>
        <w:rPr>
          <w:rFonts w:ascii="Arial" w:eastAsia="Arial" w:hAnsi="Arial" w:cs="Arial"/>
          <w:b/>
        </w:rPr>
      </w:pPr>
    </w:p>
    <w:p w14:paraId="0537C6D2" w14:textId="77777777" w:rsidR="0036430B" w:rsidRPr="0086351C" w:rsidRDefault="0036430B" w:rsidP="0036430B">
      <w:pPr>
        <w:tabs>
          <w:tab w:val="left" w:pos="8170"/>
        </w:tabs>
        <w:jc w:val="center"/>
        <w:rPr>
          <w:rFonts w:ascii="Arial" w:eastAsia="Arial" w:hAnsi="Arial" w:cs="Arial"/>
          <w:b/>
        </w:rPr>
      </w:pPr>
    </w:p>
    <w:p w14:paraId="1C283B9F" w14:textId="77777777" w:rsidR="0036430B" w:rsidRPr="0086351C" w:rsidRDefault="0036430B">
      <w:pPr>
        <w:spacing w:after="160" w:line="259" w:lineRule="auto"/>
        <w:rPr>
          <w:rFonts w:ascii="Arial" w:eastAsia="Tahoma" w:hAnsi="Arial" w:cs="Arial"/>
          <w:b/>
          <w:bCs/>
          <w:sz w:val="22"/>
          <w:szCs w:val="22"/>
        </w:rPr>
      </w:pPr>
      <w:r w:rsidRPr="0086351C">
        <w:rPr>
          <w:rFonts w:ascii="Arial" w:eastAsia="Tahoma" w:hAnsi="Arial" w:cs="Arial"/>
          <w:b/>
          <w:bCs/>
          <w:sz w:val="22"/>
          <w:szCs w:val="22"/>
        </w:rPr>
        <w:br w:type="page"/>
      </w:r>
    </w:p>
    <w:sdt>
      <w:sdtPr>
        <w:rPr>
          <w:rFonts w:ascii="Arial" w:eastAsia="Times New Roman" w:hAnsi="Arial" w:cs="Arial"/>
          <w:color w:val="auto"/>
          <w:sz w:val="22"/>
          <w:szCs w:val="22"/>
          <w:lang w:val="es-ES"/>
        </w:rPr>
        <w:id w:val="1062831216"/>
        <w:docPartObj>
          <w:docPartGallery w:val="Table of Contents"/>
          <w:docPartUnique/>
        </w:docPartObj>
      </w:sdtPr>
      <w:sdtEndPr>
        <w:rPr>
          <w:b/>
          <w:bCs/>
          <w:sz w:val="24"/>
          <w:szCs w:val="24"/>
        </w:rPr>
      </w:sdtEndPr>
      <w:sdtContent>
        <w:p w14:paraId="11F0A958" w14:textId="0CEF146D" w:rsidR="0036430B" w:rsidRDefault="00272EA1" w:rsidP="00272EA1">
          <w:pPr>
            <w:pStyle w:val="TtuloTDC"/>
            <w:jc w:val="center"/>
            <w:rPr>
              <w:rFonts w:ascii="Arial" w:hAnsi="Arial" w:cs="Arial"/>
              <w:color w:val="000000" w:themeColor="text1"/>
              <w:sz w:val="24"/>
              <w:szCs w:val="24"/>
              <w:lang w:val="es-ES"/>
              <w14:textFill>
                <w14:solidFill>
                  <w14:schemeClr w14:val="tx1">
                    <w14:lumMod w14:val="75000"/>
                    <w14:lumMod w14:val="75000"/>
                    <w14:lumMod w14:val="75000"/>
                  </w14:schemeClr>
                </w14:solidFill>
              </w14:textFill>
            </w:rPr>
          </w:pPr>
          <w:r w:rsidRPr="00272EA1">
            <w:rPr>
              <w:rFonts w:ascii="Arial" w:hAnsi="Arial" w:cs="Arial"/>
              <w:color w:val="000000" w:themeColor="text1"/>
              <w:sz w:val="24"/>
              <w:szCs w:val="24"/>
              <w:lang w:val="es-ES"/>
              <w14:textFill>
                <w14:solidFill>
                  <w14:schemeClr w14:val="tx1">
                    <w14:lumMod w14:val="75000"/>
                    <w14:lumMod w14:val="75000"/>
                    <w14:lumMod w14:val="75000"/>
                  </w14:schemeClr>
                </w14:solidFill>
              </w14:textFill>
            </w:rPr>
            <w:t>CONTENIDO</w:t>
          </w:r>
        </w:p>
        <w:p w14:paraId="58E2A9C8" w14:textId="77777777" w:rsidR="00272EA1" w:rsidRPr="00272EA1" w:rsidRDefault="00272EA1" w:rsidP="00272EA1">
          <w:pPr>
            <w:rPr>
              <w:lang w:val="es-ES"/>
            </w:rPr>
          </w:pPr>
        </w:p>
        <w:p w14:paraId="58850E42" w14:textId="2CDC6003" w:rsidR="000A1701" w:rsidRDefault="0036430B">
          <w:pPr>
            <w:pStyle w:val="TDC1"/>
            <w:tabs>
              <w:tab w:val="right" w:leader="dot" w:pos="8828"/>
            </w:tabs>
            <w:rPr>
              <w:rFonts w:asciiTheme="minorHAnsi" w:eastAsiaTheme="minorEastAsia" w:hAnsiTheme="minorHAnsi" w:cstheme="minorBidi"/>
              <w:noProof/>
              <w:kern w:val="2"/>
              <w14:ligatures w14:val="standardContextual"/>
            </w:rPr>
          </w:pPr>
          <w:r w:rsidRPr="0086351C">
            <w:rPr>
              <w:rFonts w:ascii="Arial" w:hAnsi="Arial" w:cs="Arial"/>
              <w:sz w:val="22"/>
              <w:szCs w:val="22"/>
            </w:rPr>
            <w:fldChar w:fldCharType="begin"/>
          </w:r>
          <w:r w:rsidRPr="0086351C">
            <w:rPr>
              <w:rFonts w:ascii="Arial" w:hAnsi="Arial" w:cs="Arial"/>
              <w:sz w:val="22"/>
              <w:szCs w:val="22"/>
            </w:rPr>
            <w:instrText xml:space="preserve"> TOC \o "1-3" \h \z \u </w:instrText>
          </w:r>
          <w:r w:rsidRPr="0086351C">
            <w:rPr>
              <w:rFonts w:ascii="Arial" w:hAnsi="Arial" w:cs="Arial"/>
              <w:sz w:val="22"/>
              <w:szCs w:val="22"/>
            </w:rPr>
            <w:fldChar w:fldCharType="separate"/>
          </w:r>
          <w:hyperlink w:anchor="_Toc178847876" w:history="1">
            <w:r w:rsidR="000A1701" w:rsidRPr="007B7B1F">
              <w:rPr>
                <w:rStyle w:val="Hipervnculo"/>
                <w:rFonts w:ascii="Arial" w:hAnsi="Arial" w:cs="Arial"/>
                <w:noProof/>
              </w:rPr>
              <w:t>1. ASPECTOS GENERALES</w:t>
            </w:r>
            <w:r w:rsidR="000A1701">
              <w:rPr>
                <w:noProof/>
                <w:webHidden/>
              </w:rPr>
              <w:tab/>
            </w:r>
            <w:r w:rsidR="000A1701">
              <w:rPr>
                <w:noProof/>
                <w:webHidden/>
              </w:rPr>
              <w:fldChar w:fldCharType="begin"/>
            </w:r>
            <w:r w:rsidR="000A1701">
              <w:rPr>
                <w:noProof/>
                <w:webHidden/>
              </w:rPr>
              <w:instrText xml:space="preserve"> PAGEREF _Toc178847876 \h </w:instrText>
            </w:r>
            <w:r w:rsidR="000A1701">
              <w:rPr>
                <w:noProof/>
                <w:webHidden/>
              </w:rPr>
            </w:r>
            <w:r w:rsidR="000A1701">
              <w:rPr>
                <w:noProof/>
                <w:webHidden/>
              </w:rPr>
              <w:fldChar w:fldCharType="separate"/>
            </w:r>
            <w:r w:rsidR="000A1701">
              <w:rPr>
                <w:noProof/>
                <w:webHidden/>
              </w:rPr>
              <w:t>5</w:t>
            </w:r>
            <w:r w:rsidR="000A1701">
              <w:rPr>
                <w:noProof/>
                <w:webHidden/>
              </w:rPr>
              <w:fldChar w:fldCharType="end"/>
            </w:r>
          </w:hyperlink>
        </w:p>
        <w:p w14:paraId="0380EDBF" w14:textId="10A74E78"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77" w:history="1">
            <w:r w:rsidRPr="007B7B1F">
              <w:rPr>
                <w:rStyle w:val="Hipervnculo"/>
                <w:rFonts w:ascii="Arial" w:eastAsia="Tahoma" w:hAnsi="Arial" w:cs="Arial"/>
                <w:noProof/>
              </w:rPr>
              <w:t>1.1.</w:t>
            </w:r>
            <w:r>
              <w:rPr>
                <w:rFonts w:asciiTheme="minorHAnsi" w:eastAsiaTheme="minorEastAsia" w:hAnsiTheme="minorHAnsi" w:cstheme="minorBidi"/>
                <w:noProof/>
                <w:kern w:val="2"/>
                <w14:ligatures w14:val="standardContextual"/>
              </w:rPr>
              <w:tab/>
            </w:r>
            <w:r w:rsidRPr="007B7B1F">
              <w:rPr>
                <w:rStyle w:val="Hipervnculo"/>
                <w:rFonts w:ascii="Arial" w:hAnsi="Arial" w:cs="Arial"/>
                <w:noProof/>
              </w:rPr>
              <w:t>Descripción del servicio a contratar</w:t>
            </w:r>
            <w:r>
              <w:rPr>
                <w:noProof/>
                <w:webHidden/>
              </w:rPr>
              <w:tab/>
            </w:r>
            <w:r>
              <w:rPr>
                <w:noProof/>
                <w:webHidden/>
              </w:rPr>
              <w:fldChar w:fldCharType="begin"/>
            </w:r>
            <w:r>
              <w:rPr>
                <w:noProof/>
                <w:webHidden/>
              </w:rPr>
              <w:instrText xml:space="preserve"> PAGEREF _Toc178847877 \h </w:instrText>
            </w:r>
            <w:r>
              <w:rPr>
                <w:noProof/>
                <w:webHidden/>
              </w:rPr>
            </w:r>
            <w:r>
              <w:rPr>
                <w:noProof/>
                <w:webHidden/>
              </w:rPr>
              <w:fldChar w:fldCharType="separate"/>
            </w:r>
            <w:r>
              <w:rPr>
                <w:noProof/>
                <w:webHidden/>
              </w:rPr>
              <w:t>5</w:t>
            </w:r>
            <w:r>
              <w:rPr>
                <w:noProof/>
                <w:webHidden/>
              </w:rPr>
              <w:fldChar w:fldCharType="end"/>
            </w:r>
          </w:hyperlink>
        </w:p>
        <w:p w14:paraId="042D5DDB" w14:textId="3C34E4C8"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78" w:history="1">
            <w:r w:rsidRPr="007B7B1F">
              <w:rPr>
                <w:rStyle w:val="Hipervnculo"/>
                <w:rFonts w:ascii="Arial" w:eastAsia="Tahoma" w:hAnsi="Arial" w:cs="Arial"/>
                <w:noProof/>
                <w:lang w:val="es-ES"/>
              </w:rPr>
              <w:t>1.2.</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lang w:val="es-ES"/>
              </w:rPr>
              <w:t>PLAZO DE EJECUCIÓN</w:t>
            </w:r>
            <w:r>
              <w:rPr>
                <w:noProof/>
                <w:webHidden/>
              </w:rPr>
              <w:tab/>
            </w:r>
            <w:r>
              <w:rPr>
                <w:noProof/>
                <w:webHidden/>
              </w:rPr>
              <w:fldChar w:fldCharType="begin"/>
            </w:r>
            <w:r>
              <w:rPr>
                <w:noProof/>
                <w:webHidden/>
              </w:rPr>
              <w:instrText xml:space="preserve"> PAGEREF _Toc178847878 \h </w:instrText>
            </w:r>
            <w:r>
              <w:rPr>
                <w:noProof/>
                <w:webHidden/>
              </w:rPr>
            </w:r>
            <w:r>
              <w:rPr>
                <w:noProof/>
                <w:webHidden/>
              </w:rPr>
              <w:fldChar w:fldCharType="separate"/>
            </w:r>
            <w:r>
              <w:rPr>
                <w:noProof/>
                <w:webHidden/>
              </w:rPr>
              <w:t>10</w:t>
            </w:r>
            <w:r>
              <w:rPr>
                <w:noProof/>
                <w:webHidden/>
              </w:rPr>
              <w:fldChar w:fldCharType="end"/>
            </w:r>
          </w:hyperlink>
        </w:p>
        <w:p w14:paraId="5B764724" w14:textId="644A3951"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79" w:history="1">
            <w:r w:rsidRPr="007B7B1F">
              <w:rPr>
                <w:rStyle w:val="Hipervnculo"/>
                <w:rFonts w:ascii="Arial" w:eastAsia="Tahoma" w:hAnsi="Arial" w:cs="Arial"/>
                <w:noProof/>
              </w:rPr>
              <w:t>1.3.</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RESULTADOS ESPERADOS DE LA PRESTACIÓN DEL SERVICIO PÚBLICO DE EXTENSIÓN AGROPECUARIA.</w:t>
            </w:r>
            <w:r>
              <w:rPr>
                <w:noProof/>
                <w:webHidden/>
              </w:rPr>
              <w:tab/>
            </w:r>
            <w:r>
              <w:rPr>
                <w:noProof/>
                <w:webHidden/>
              </w:rPr>
              <w:fldChar w:fldCharType="begin"/>
            </w:r>
            <w:r>
              <w:rPr>
                <w:noProof/>
                <w:webHidden/>
              </w:rPr>
              <w:instrText xml:space="preserve"> PAGEREF _Toc178847879 \h </w:instrText>
            </w:r>
            <w:r>
              <w:rPr>
                <w:noProof/>
                <w:webHidden/>
              </w:rPr>
            </w:r>
            <w:r>
              <w:rPr>
                <w:noProof/>
                <w:webHidden/>
              </w:rPr>
              <w:fldChar w:fldCharType="separate"/>
            </w:r>
            <w:r>
              <w:rPr>
                <w:noProof/>
                <w:webHidden/>
              </w:rPr>
              <w:t>11</w:t>
            </w:r>
            <w:r>
              <w:rPr>
                <w:noProof/>
                <w:webHidden/>
              </w:rPr>
              <w:fldChar w:fldCharType="end"/>
            </w:r>
          </w:hyperlink>
        </w:p>
        <w:p w14:paraId="63940CD6" w14:textId="6AC519E7"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0" w:history="1">
            <w:r w:rsidRPr="007B7B1F">
              <w:rPr>
                <w:rStyle w:val="Hipervnculo"/>
                <w:rFonts w:ascii="Arial" w:eastAsia="Tahoma" w:hAnsi="Arial" w:cs="Arial"/>
                <w:noProof/>
              </w:rPr>
              <w:t>1.4.</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DESCRIPCIÓN DEL BIEN O SERVICIO REQUERIDO</w:t>
            </w:r>
            <w:r>
              <w:rPr>
                <w:noProof/>
                <w:webHidden/>
              </w:rPr>
              <w:tab/>
            </w:r>
            <w:r>
              <w:rPr>
                <w:noProof/>
                <w:webHidden/>
              </w:rPr>
              <w:fldChar w:fldCharType="begin"/>
            </w:r>
            <w:r>
              <w:rPr>
                <w:noProof/>
                <w:webHidden/>
              </w:rPr>
              <w:instrText xml:space="preserve"> PAGEREF _Toc178847880 \h </w:instrText>
            </w:r>
            <w:r>
              <w:rPr>
                <w:noProof/>
                <w:webHidden/>
              </w:rPr>
            </w:r>
            <w:r>
              <w:rPr>
                <w:noProof/>
                <w:webHidden/>
              </w:rPr>
              <w:fldChar w:fldCharType="separate"/>
            </w:r>
            <w:r>
              <w:rPr>
                <w:noProof/>
                <w:webHidden/>
              </w:rPr>
              <w:t>12</w:t>
            </w:r>
            <w:r>
              <w:rPr>
                <w:noProof/>
                <w:webHidden/>
              </w:rPr>
              <w:fldChar w:fldCharType="end"/>
            </w:r>
          </w:hyperlink>
        </w:p>
        <w:p w14:paraId="41BD6900" w14:textId="55A2BE4A"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881" w:history="1">
            <w:r w:rsidRPr="007B7B1F">
              <w:rPr>
                <w:rStyle w:val="Hipervnculo"/>
                <w:rFonts w:ascii="Arial" w:eastAsia="Tahoma" w:hAnsi="Arial" w:cs="Arial"/>
                <w:noProof/>
              </w:rPr>
              <w:t>2.</w:t>
            </w:r>
            <w:r>
              <w:rPr>
                <w:rFonts w:asciiTheme="minorHAnsi" w:eastAsiaTheme="minorEastAsia" w:hAnsiTheme="minorHAnsi" w:cstheme="minorBidi"/>
                <w:noProof/>
                <w:kern w:val="2"/>
                <w14:ligatures w14:val="standardContextual"/>
              </w:rPr>
              <w:tab/>
            </w:r>
            <w:r w:rsidRPr="007B7B1F">
              <w:rPr>
                <w:rStyle w:val="Hipervnculo"/>
                <w:rFonts w:ascii="Arial" w:hAnsi="Arial" w:cs="Arial"/>
                <w:noProof/>
              </w:rPr>
              <w:t>ASPECTO ECONÓMICO</w:t>
            </w:r>
            <w:r>
              <w:rPr>
                <w:noProof/>
                <w:webHidden/>
              </w:rPr>
              <w:tab/>
            </w:r>
            <w:r>
              <w:rPr>
                <w:noProof/>
                <w:webHidden/>
              </w:rPr>
              <w:fldChar w:fldCharType="begin"/>
            </w:r>
            <w:r>
              <w:rPr>
                <w:noProof/>
                <w:webHidden/>
              </w:rPr>
              <w:instrText xml:space="preserve"> PAGEREF _Toc178847881 \h </w:instrText>
            </w:r>
            <w:r>
              <w:rPr>
                <w:noProof/>
                <w:webHidden/>
              </w:rPr>
            </w:r>
            <w:r>
              <w:rPr>
                <w:noProof/>
                <w:webHidden/>
              </w:rPr>
              <w:fldChar w:fldCharType="separate"/>
            </w:r>
            <w:r>
              <w:rPr>
                <w:noProof/>
                <w:webHidden/>
              </w:rPr>
              <w:t>19</w:t>
            </w:r>
            <w:r>
              <w:rPr>
                <w:noProof/>
                <w:webHidden/>
              </w:rPr>
              <w:fldChar w:fldCharType="end"/>
            </w:r>
          </w:hyperlink>
        </w:p>
        <w:p w14:paraId="1A71F720" w14:textId="6E09DB77"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2" w:history="1">
            <w:r w:rsidRPr="007B7B1F">
              <w:rPr>
                <w:rStyle w:val="Hipervnculo"/>
                <w:rFonts w:ascii="Arial" w:eastAsia="Tahoma" w:hAnsi="Arial" w:cs="Arial"/>
                <w:noProof/>
              </w:rPr>
              <w:t>2.1.</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shd w:val="clear" w:color="auto" w:fill="FFFFFF"/>
              </w:rPr>
              <w:t>Producto Interno Bruto - PIB</w:t>
            </w:r>
            <w:r>
              <w:rPr>
                <w:noProof/>
                <w:webHidden/>
              </w:rPr>
              <w:tab/>
            </w:r>
            <w:r>
              <w:rPr>
                <w:noProof/>
                <w:webHidden/>
              </w:rPr>
              <w:fldChar w:fldCharType="begin"/>
            </w:r>
            <w:r>
              <w:rPr>
                <w:noProof/>
                <w:webHidden/>
              </w:rPr>
              <w:instrText xml:space="preserve"> PAGEREF _Toc178847882 \h </w:instrText>
            </w:r>
            <w:r>
              <w:rPr>
                <w:noProof/>
                <w:webHidden/>
              </w:rPr>
            </w:r>
            <w:r>
              <w:rPr>
                <w:noProof/>
                <w:webHidden/>
              </w:rPr>
              <w:fldChar w:fldCharType="separate"/>
            </w:r>
            <w:r>
              <w:rPr>
                <w:noProof/>
                <w:webHidden/>
              </w:rPr>
              <w:t>20</w:t>
            </w:r>
            <w:r>
              <w:rPr>
                <w:noProof/>
                <w:webHidden/>
              </w:rPr>
              <w:fldChar w:fldCharType="end"/>
            </w:r>
          </w:hyperlink>
        </w:p>
        <w:p w14:paraId="21223D1A" w14:textId="042AD172"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3" w:history="1">
            <w:r w:rsidRPr="007B7B1F">
              <w:rPr>
                <w:rStyle w:val="Hipervnculo"/>
                <w:rFonts w:ascii="Arial" w:eastAsia="Tahoma" w:hAnsi="Arial" w:cs="Arial"/>
                <w:noProof/>
              </w:rPr>
              <w:t>2.2.</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shd w:val="clear" w:color="auto" w:fill="FFFFFF"/>
              </w:rPr>
              <w:t>Inflación - IPC</w:t>
            </w:r>
            <w:r>
              <w:rPr>
                <w:noProof/>
                <w:webHidden/>
              </w:rPr>
              <w:tab/>
            </w:r>
            <w:r>
              <w:rPr>
                <w:noProof/>
                <w:webHidden/>
              </w:rPr>
              <w:fldChar w:fldCharType="begin"/>
            </w:r>
            <w:r>
              <w:rPr>
                <w:noProof/>
                <w:webHidden/>
              </w:rPr>
              <w:instrText xml:space="preserve"> PAGEREF _Toc178847883 \h </w:instrText>
            </w:r>
            <w:r>
              <w:rPr>
                <w:noProof/>
                <w:webHidden/>
              </w:rPr>
            </w:r>
            <w:r>
              <w:rPr>
                <w:noProof/>
                <w:webHidden/>
              </w:rPr>
              <w:fldChar w:fldCharType="separate"/>
            </w:r>
            <w:r>
              <w:rPr>
                <w:noProof/>
                <w:webHidden/>
              </w:rPr>
              <w:t>23</w:t>
            </w:r>
            <w:r>
              <w:rPr>
                <w:noProof/>
                <w:webHidden/>
              </w:rPr>
              <w:fldChar w:fldCharType="end"/>
            </w:r>
          </w:hyperlink>
        </w:p>
        <w:p w14:paraId="398EC3F2" w14:textId="6602A53C" w:rsidR="000A1701" w:rsidRDefault="000A1701">
          <w:pPr>
            <w:pStyle w:val="TDC2"/>
            <w:tabs>
              <w:tab w:val="left" w:pos="1200"/>
              <w:tab w:val="right" w:leader="dot" w:pos="8828"/>
            </w:tabs>
            <w:rPr>
              <w:rFonts w:asciiTheme="minorHAnsi" w:eastAsiaTheme="minorEastAsia" w:hAnsiTheme="minorHAnsi" w:cstheme="minorBidi"/>
              <w:noProof/>
              <w:kern w:val="2"/>
              <w14:ligatures w14:val="standardContextual"/>
            </w:rPr>
          </w:pPr>
          <w:hyperlink w:anchor="_Toc178847884" w:history="1">
            <w:r w:rsidRPr="007B7B1F">
              <w:rPr>
                <w:rStyle w:val="Hipervnculo"/>
                <w:rFonts w:ascii="Arial" w:eastAsia="Tahoma" w:hAnsi="Arial" w:cs="Arial"/>
                <w:noProof/>
              </w:rPr>
              <w:t>2.2.1.</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rPr>
              <w:t>Variación y contribución mensual por divisiones de gasto</w:t>
            </w:r>
            <w:r>
              <w:rPr>
                <w:noProof/>
                <w:webHidden/>
              </w:rPr>
              <w:tab/>
            </w:r>
            <w:r>
              <w:rPr>
                <w:noProof/>
                <w:webHidden/>
              </w:rPr>
              <w:fldChar w:fldCharType="begin"/>
            </w:r>
            <w:r>
              <w:rPr>
                <w:noProof/>
                <w:webHidden/>
              </w:rPr>
              <w:instrText xml:space="preserve"> PAGEREF _Toc178847884 \h </w:instrText>
            </w:r>
            <w:r>
              <w:rPr>
                <w:noProof/>
                <w:webHidden/>
              </w:rPr>
            </w:r>
            <w:r>
              <w:rPr>
                <w:noProof/>
                <w:webHidden/>
              </w:rPr>
              <w:fldChar w:fldCharType="separate"/>
            </w:r>
            <w:r>
              <w:rPr>
                <w:noProof/>
                <w:webHidden/>
              </w:rPr>
              <w:t>23</w:t>
            </w:r>
            <w:r>
              <w:rPr>
                <w:noProof/>
                <w:webHidden/>
              </w:rPr>
              <w:fldChar w:fldCharType="end"/>
            </w:r>
          </w:hyperlink>
        </w:p>
        <w:p w14:paraId="34FFE8EA" w14:textId="59631488" w:rsidR="000A1701" w:rsidRDefault="000A1701">
          <w:pPr>
            <w:pStyle w:val="TDC2"/>
            <w:tabs>
              <w:tab w:val="left" w:pos="1200"/>
              <w:tab w:val="right" w:leader="dot" w:pos="8828"/>
            </w:tabs>
            <w:rPr>
              <w:rFonts w:asciiTheme="minorHAnsi" w:eastAsiaTheme="minorEastAsia" w:hAnsiTheme="minorHAnsi" w:cstheme="minorBidi"/>
              <w:noProof/>
              <w:kern w:val="2"/>
              <w14:ligatures w14:val="standardContextual"/>
            </w:rPr>
          </w:pPr>
          <w:hyperlink w:anchor="_Toc178847885" w:history="1">
            <w:r w:rsidRPr="007B7B1F">
              <w:rPr>
                <w:rStyle w:val="Hipervnculo"/>
                <w:rFonts w:ascii="Arial" w:eastAsia="Tahoma" w:hAnsi="Arial" w:cs="Arial"/>
                <w:noProof/>
              </w:rPr>
              <w:t>2.2.2.</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rPr>
              <w:t>Variaciones y contribuciones de las subclases en el mes</w:t>
            </w:r>
            <w:r>
              <w:rPr>
                <w:noProof/>
                <w:webHidden/>
              </w:rPr>
              <w:tab/>
            </w:r>
            <w:r>
              <w:rPr>
                <w:noProof/>
                <w:webHidden/>
              </w:rPr>
              <w:fldChar w:fldCharType="begin"/>
            </w:r>
            <w:r>
              <w:rPr>
                <w:noProof/>
                <w:webHidden/>
              </w:rPr>
              <w:instrText xml:space="preserve"> PAGEREF _Toc178847885 \h </w:instrText>
            </w:r>
            <w:r>
              <w:rPr>
                <w:noProof/>
                <w:webHidden/>
              </w:rPr>
            </w:r>
            <w:r>
              <w:rPr>
                <w:noProof/>
                <w:webHidden/>
              </w:rPr>
              <w:fldChar w:fldCharType="separate"/>
            </w:r>
            <w:r>
              <w:rPr>
                <w:noProof/>
                <w:webHidden/>
              </w:rPr>
              <w:t>24</w:t>
            </w:r>
            <w:r>
              <w:rPr>
                <w:noProof/>
                <w:webHidden/>
              </w:rPr>
              <w:fldChar w:fldCharType="end"/>
            </w:r>
          </w:hyperlink>
        </w:p>
        <w:p w14:paraId="58973638" w14:textId="69F15EA9"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6" w:history="1">
            <w:r w:rsidRPr="007B7B1F">
              <w:rPr>
                <w:rStyle w:val="Hipervnculo"/>
                <w:rFonts w:ascii="Arial" w:eastAsia="Tahoma" w:hAnsi="Arial" w:cs="Arial"/>
                <w:noProof/>
              </w:rPr>
              <w:t>2.3.</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shd w:val="clear" w:color="auto" w:fill="FFFFFF"/>
              </w:rPr>
              <w:t>Mercado Laboral</w:t>
            </w:r>
            <w:r>
              <w:rPr>
                <w:noProof/>
                <w:webHidden/>
              </w:rPr>
              <w:tab/>
            </w:r>
            <w:r>
              <w:rPr>
                <w:noProof/>
                <w:webHidden/>
              </w:rPr>
              <w:fldChar w:fldCharType="begin"/>
            </w:r>
            <w:r>
              <w:rPr>
                <w:noProof/>
                <w:webHidden/>
              </w:rPr>
              <w:instrText xml:space="preserve"> PAGEREF _Toc178847886 \h </w:instrText>
            </w:r>
            <w:r>
              <w:rPr>
                <w:noProof/>
                <w:webHidden/>
              </w:rPr>
            </w:r>
            <w:r>
              <w:rPr>
                <w:noProof/>
                <w:webHidden/>
              </w:rPr>
              <w:fldChar w:fldCharType="separate"/>
            </w:r>
            <w:r>
              <w:rPr>
                <w:noProof/>
                <w:webHidden/>
              </w:rPr>
              <w:t>25</w:t>
            </w:r>
            <w:r>
              <w:rPr>
                <w:noProof/>
                <w:webHidden/>
              </w:rPr>
              <w:fldChar w:fldCharType="end"/>
            </w:r>
          </w:hyperlink>
        </w:p>
        <w:p w14:paraId="3C07DAAF" w14:textId="60698596"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7" w:history="1">
            <w:r w:rsidRPr="007B7B1F">
              <w:rPr>
                <w:rStyle w:val="Hipervnculo"/>
                <w:rFonts w:ascii="Arial" w:eastAsia="Tahoma" w:hAnsi="Arial" w:cs="Arial"/>
                <w:noProof/>
              </w:rPr>
              <w:t>2.4.</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shd w:val="clear" w:color="auto" w:fill="FCFCFC"/>
              </w:rPr>
              <w:t>Salario Mínimo</w:t>
            </w:r>
            <w:r>
              <w:rPr>
                <w:noProof/>
                <w:webHidden/>
              </w:rPr>
              <w:tab/>
            </w:r>
            <w:r>
              <w:rPr>
                <w:noProof/>
                <w:webHidden/>
              </w:rPr>
              <w:fldChar w:fldCharType="begin"/>
            </w:r>
            <w:r>
              <w:rPr>
                <w:noProof/>
                <w:webHidden/>
              </w:rPr>
              <w:instrText xml:space="preserve"> PAGEREF _Toc178847887 \h </w:instrText>
            </w:r>
            <w:r>
              <w:rPr>
                <w:noProof/>
                <w:webHidden/>
              </w:rPr>
            </w:r>
            <w:r>
              <w:rPr>
                <w:noProof/>
                <w:webHidden/>
              </w:rPr>
              <w:fldChar w:fldCharType="separate"/>
            </w:r>
            <w:r>
              <w:rPr>
                <w:noProof/>
                <w:webHidden/>
              </w:rPr>
              <w:t>27</w:t>
            </w:r>
            <w:r>
              <w:rPr>
                <w:noProof/>
                <w:webHidden/>
              </w:rPr>
              <w:fldChar w:fldCharType="end"/>
            </w:r>
          </w:hyperlink>
        </w:p>
        <w:p w14:paraId="145D4B56" w14:textId="6A26BCFA"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8" w:history="1">
            <w:r w:rsidRPr="007B7B1F">
              <w:rPr>
                <w:rStyle w:val="Hipervnculo"/>
                <w:rFonts w:ascii="Arial" w:eastAsia="Tahoma" w:hAnsi="Arial" w:cs="Arial"/>
                <w:noProof/>
              </w:rPr>
              <w:t>2.5.</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shd w:val="clear" w:color="auto" w:fill="FCFCFC"/>
              </w:rPr>
              <w:t xml:space="preserve">Encuesta Mensual de Servicios </w:t>
            </w:r>
            <w:r w:rsidRPr="007B7B1F">
              <w:rPr>
                <w:rStyle w:val="Hipervnculo"/>
                <w:rFonts w:ascii="Arial" w:eastAsia="Tahoma" w:hAnsi="Arial" w:cs="Arial"/>
                <w:noProof/>
              </w:rPr>
              <w:t>(EMS)</w:t>
            </w:r>
            <w:r>
              <w:rPr>
                <w:noProof/>
                <w:webHidden/>
              </w:rPr>
              <w:tab/>
            </w:r>
            <w:r>
              <w:rPr>
                <w:noProof/>
                <w:webHidden/>
              </w:rPr>
              <w:fldChar w:fldCharType="begin"/>
            </w:r>
            <w:r>
              <w:rPr>
                <w:noProof/>
                <w:webHidden/>
              </w:rPr>
              <w:instrText xml:space="preserve"> PAGEREF _Toc178847888 \h </w:instrText>
            </w:r>
            <w:r>
              <w:rPr>
                <w:noProof/>
                <w:webHidden/>
              </w:rPr>
            </w:r>
            <w:r>
              <w:rPr>
                <w:noProof/>
                <w:webHidden/>
              </w:rPr>
              <w:fldChar w:fldCharType="separate"/>
            </w:r>
            <w:r>
              <w:rPr>
                <w:noProof/>
                <w:webHidden/>
              </w:rPr>
              <w:t>27</w:t>
            </w:r>
            <w:r>
              <w:rPr>
                <w:noProof/>
                <w:webHidden/>
              </w:rPr>
              <w:fldChar w:fldCharType="end"/>
            </w:r>
          </w:hyperlink>
        </w:p>
        <w:p w14:paraId="5A1FDAF6" w14:textId="1FD38A7B"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89" w:history="1">
            <w:r w:rsidRPr="007B7B1F">
              <w:rPr>
                <w:rStyle w:val="Hipervnculo"/>
                <w:rFonts w:ascii="Arial" w:eastAsia="Tahoma" w:hAnsi="Arial" w:cs="Arial"/>
                <w:noProof/>
              </w:rPr>
              <w:t>2.6.</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shd w:val="clear" w:color="auto" w:fill="FCFCFC"/>
              </w:rPr>
              <w:t>Encuesta Nacional Agropecuaria (ENA)</w:t>
            </w:r>
            <w:r>
              <w:rPr>
                <w:noProof/>
                <w:webHidden/>
              </w:rPr>
              <w:tab/>
            </w:r>
            <w:r>
              <w:rPr>
                <w:noProof/>
                <w:webHidden/>
              </w:rPr>
              <w:fldChar w:fldCharType="begin"/>
            </w:r>
            <w:r>
              <w:rPr>
                <w:noProof/>
                <w:webHidden/>
              </w:rPr>
              <w:instrText xml:space="preserve"> PAGEREF _Toc178847889 \h </w:instrText>
            </w:r>
            <w:r>
              <w:rPr>
                <w:noProof/>
                <w:webHidden/>
              </w:rPr>
            </w:r>
            <w:r>
              <w:rPr>
                <w:noProof/>
                <w:webHidden/>
              </w:rPr>
              <w:fldChar w:fldCharType="separate"/>
            </w:r>
            <w:r>
              <w:rPr>
                <w:noProof/>
                <w:webHidden/>
              </w:rPr>
              <w:t>30</w:t>
            </w:r>
            <w:r>
              <w:rPr>
                <w:noProof/>
                <w:webHidden/>
              </w:rPr>
              <w:fldChar w:fldCharType="end"/>
            </w:r>
          </w:hyperlink>
        </w:p>
        <w:p w14:paraId="131FFC77" w14:textId="562BE770" w:rsidR="000A1701" w:rsidRDefault="000A1701">
          <w:pPr>
            <w:pStyle w:val="TDC2"/>
            <w:tabs>
              <w:tab w:val="left" w:pos="1200"/>
              <w:tab w:val="right" w:leader="dot" w:pos="8828"/>
            </w:tabs>
            <w:rPr>
              <w:rFonts w:asciiTheme="minorHAnsi" w:eastAsiaTheme="minorEastAsia" w:hAnsiTheme="minorHAnsi" w:cstheme="minorBidi"/>
              <w:noProof/>
              <w:kern w:val="2"/>
              <w14:ligatures w14:val="standardContextual"/>
            </w:rPr>
          </w:pPr>
          <w:hyperlink w:anchor="_Toc178847890" w:history="1">
            <w:r w:rsidRPr="007B7B1F">
              <w:rPr>
                <w:rStyle w:val="Hipervnculo"/>
                <w:rFonts w:ascii="Arial" w:eastAsia="Tahoma" w:hAnsi="Arial" w:cs="Arial"/>
                <w:noProof/>
              </w:rPr>
              <w:t>2.6.1.</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bCs/>
                <w:noProof/>
              </w:rPr>
              <w:t>Área sembrada, cosechada y producción por grupos de cultivos</w:t>
            </w:r>
            <w:r w:rsidRPr="007B7B1F">
              <w:rPr>
                <w:rStyle w:val="Hipervnculo"/>
                <w:rFonts w:ascii="Arial" w:eastAsia="Tahoma" w:hAnsi="Arial" w:cs="Arial"/>
                <w:noProof/>
              </w:rPr>
              <w:t>:</w:t>
            </w:r>
            <w:r>
              <w:rPr>
                <w:noProof/>
                <w:webHidden/>
              </w:rPr>
              <w:tab/>
            </w:r>
            <w:r>
              <w:rPr>
                <w:noProof/>
                <w:webHidden/>
              </w:rPr>
              <w:fldChar w:fldCharType="begin"/>
            </w:r>
            <w:r>
              <w:rPr>
                <w:noProof/>
                <w:webHidden/>
              </w:rPr>
              <w:instrText xml:space="preserve"> PAGEREF _Toc178847890 \h </w:instrText>
            </w:r>
            <w:r>
              <w:rPr>
                <w:noProof/>
                <w:webHidden/>
              </w:rPr>
            </w:r>
            <w:r>
              <w:rPr>
                <w:noProof/>
                <w:webHidden/>
              </w:rPr>
              <w:fldChar w:fldCharType="separate"/>
            </w:r>
            <w:r>
              <w:rPr>
                <w:noProof/>
                <w:webHidden/>
              </w:rPr>
              <w:t>32</w:t>
            </w:r>
            <w:r>
              <w:rPr>
                <w:noProof/>
                <w:webHidden/>
              </w:rPr>
              <w:fldChar w:fldCharType="end"/>
            </w:r>
          </w:hyperlink>
        </w:p>
        <w:p w14:paraId="4D2526B0" w14:textId="62BCB8C4"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1" w:history="1">
            <w:r w:rsidRPr="007B7B1F">
              <w:rPr>
                <w:rStyle w:val="Hipervnculo"/>
                <w:rFonts w:ascii="Arial" w:eastAsia="Tahoma" w:hAnsi="Arial" w:cs="Arial"/>
                <w:noProof/>
              </w:rPr>
              <w:t>2.7.</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shd w:val="clear" w:color="auto" w:fill="FCFCFC"/>
              </w:rPr>
              <w:t>Índice de Seguimiento Económico</w:t>
            </w:r>
            <w:r>
              <w:rPr>
                <w:noProof/>
                <w:webHidden/>
              </w:rPr>
              <w:tab/>
            </w:r>
            <w:r>
              <w:rPr>
                <w:noProof/>
                <w:webHidden/>
              </w:rPr>
              <w:fldChar w:fldCharType="begin"/>
            </w:r>
            <w:r>
              <w:rPr>
                <w:noProof/>
                <w:webHidden/>
              </w:rPr>
              <w:instrText xml:space="preserve"> PAGEREF _Toc178847891 \h </w:instrText>
            </w:r>
            <w:r>
              <w:rPr>
                <w:noProof/>
                <w:webHidden/>
              </w:rPr>
            </w:r>
            <w:r>
              <w:rPr>
                <w:noProof/>
                <w:webHidden/>
              </w:rPr>
              <w:fldChar w:fldCharType="separate"/>
            </w:r>
            <w:r>
              <w:rPr>
                <w:noProof/>
                <w:webHidden/>
              </w:rPr>
              <w:t>32</w:t>
            </w:r>
            <w:r>
              <w:rPr>
                <w:noProof/>
                <w:webHidden/>
              </w:rPr>
              <w:fldChar w:fldCharType="end"/>
            </w:r>
          </w:hyperlink>
        </w:p>
        <w:p w14:paraId="254A1664" w14:textId="131690F7"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892" w:history="1">
            <w:r w:rsidRPr="007B7B1F">
              <w:rPr>
                <w:rStyle w:val="Hipervnculo"/>
                <w:rFonts w:ascii="Arial" w:eastAsia="Tahoma" w:hAnsi="Arial" w:cs="Arial"/>
                <w:noProof/>
              </w:rPr>
              <w:t>3.</w:t>
            </w:r>
            <w:r>
              <w:rPr>
                <w:rFonts w:asciiTheme="minorHAnsi" w:eastAsiaTheme="minorEastAsia" w:hAnsiTheme="minorHAnsi" w:cstheme="minorBidi"/>
                <w:noProof/>
                <w:kern w:val="2"/>
                <w14:ligatures w14:val="standardContextual"/>
              </w:rPr>
              <w:tab/>
            </w:r>
            <w:r w:rsidRPr="007B7B1F">
              <w:rPr>
                <w:rStyle w:val="Hipervnculo"/>
                <w:rFonts w:ascii="Arial" w:hAnsi="Arial" w:cs="Arial"/>
                <w:noProof/>
              </w:rPr>
              <w:t>ASPECTO TECNICO</w:t>
            </w:r>
            <w:r>
              <w:rPr>
                <w:noProof/>
                <w:webHidden/>
              </w:rPr>
              <w:tab/>
            </w:r>
            <w:r>
              <w:rPr>
                <w:noProof/>
                <w:webHidden/>
              </w:rPr>
              <w:fldChar w:fldCharType="begin"/>
            </w:r>
            <w:r>
              <w:rPr>
                <w:noProof/>
                <w:webHidden/>
              </w:rPr>
              <w:instrText xml:space="preserve"> PAGEREF _Toc178847892 \h </w:instrText>
            </w:r>
            <w:r>
              <w:rPr>
                <w:noProof/>
                <w:webHidden/>
              </w:rPr>
            </w:r>
            <w:r>
              <w:rPr>
                <w:noProof/>
                <w:webHidden/>
              </w:rPr>
              <w:fldChar w:fldCharType="separate"/>
            </w:r>
            <w:r>
              <w:rPr>
                <w:noProof/>
                <w:webHidden/>
              </w:rPr>
              <w:t>38</w:t>
            </w:r>
            <w:r>
              <w:rPr>
                <w:noProof/>
                <w:webHidden/>
              </w:rPr>
              <w:fldChar w:fldCharType="end"/>
            </w:r>
          </w:hyperlink>
        </w:p>
        <w:p w14:paraId="2649B5C0" w14:textId="1BFE2213"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893" w:history="1">
            <w:r w:rsidRPr="007B7B1F">
              <w:rPr>
                <w:rStyle w:val="Hipervnculo"/>
                <w:rFonts w:ascii="Arial" w:eastAsia="Tahoma" w:hAnsi="Arial" w:cs="Arial"/>
                <w:noProof/>
              </w:rPr>
              <w:t>4.</w:t>
            </w:r>
            <w:r>
              <w:rPr>
                <w:rFonts w:asciiTheme="minorHAnsi" w:eastAsiaTheme="minorEastAsia" w:hAnsiTheme="minorHAnsi" w:cstheme="minorBidi"/>
                <w:noProof/>
                <w:kern w:val="2"/>
                <w14:ligatures w14:val="standardContextual"/>
              </w:rPr>
              <w:tab/>
            </w:r>
            <w:r w:rsidRPr="007B7B1F">
              <w:rPr>
                <w:rStyle w:val="Hipervnculo"/>
                <w:rFonts w:ascii="Arial" w:hAnsi="Arial" w:cs="Arial"/>
                <w:noProof/>
              </w:rPr>
              <w:t>ASPECTO LEGAL</w:t>
            </w:r>
            <w:r>
              <w:rPr>
                <w:noProof/>
                <w:webHidden/>
              </w:rPr>
              <w:tab/>
            </w:r>
            <w:r>
              <w:rPr>
                <w:noProof/>
                <w:webHidden/>
              </w:rPr>
              <w:fldChar w:fldCharType="begin"/>
            </w:r>
            <w:r>
              <w:rPr>
                <w:noProof/>
                <w:webHidden/>
              </w:rPr>
              <w:instrText xml:space="preserve"> PAGEREF _Toc178847893 \h </w:instrText>
            </w:r>
            <w:r>
              <w:rPr>
                <w:noProof/>
                <w:webHidden/>
              </w:rPr>
            </w:r>
            <w:r>
              <w:rPr>
                <w:noProof/>
                <w:webHidden/>
              </w:rPr>
              <w:fldChar w:fldCharType="separate"/>
            </w:r>
            <w:r>
              <w:rPr>
                <w:noProof/>
                <w:webHidden/>
              </w:rPr>
              <w:t>41</w:t>
            </w:r>
            <w:r>
              <w:rPr>
                <w:noProof/>
                <w:webHidden/>
              </w:rPr>
              <w:fldChar w:fldCharType="end"/>
            </w:r>
          </w:hyperlink>
        </w:p>
        <w:p w14:paraId="74CE3BCC" w14:textId="6097F4D2"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4" w:history="1">
            <w:r w:rsidRPr="007B7B1F">
              <w:rPr>
                <w:rStyle w:val="Hipervnculo"/>
                <w:rFonts w:ascii="Arial" w:eastAsia="Tahoma" w:hAnsi="Arial" w:cs="Arial"/>
                <w:noProof/>
              </w:rPr>
              <w:t>4.1.</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Plan Nacional de Desarrollo</w:t>
            </w:r>
            <w:r>
              <w:rPr>
                <w:noProof/>
                <w:webHidden/>
              </w:rPr>
              <w:tab/>
            </w:r>
            <w:r>
              <w:rPr>
                <w:noProof/>
                <w:webHidden/>
              </w:rPr>
              <w:fldChar w:fldCharType="begin"/>
            </w:r>
            <w:r>
              <w:rPr>
                <w:noProof/>
                <w:webHidden/>
              </w:rPr>
              <w:instrText xml:space="preserve"> PAGEREF _Toc178847894 \h </w:instrText>
            </w:r>
            <w:r>
              <w:rPr>
                <w:noProof/>
                <w:webHidden/>
              </w:rPr>
            </w:r>
            <w:r>
              <w:rPr>
                <w:noProof/>
                <w:webHidden/>
              </w:rPr>
              <w:fldChar w:fldCharType="separate"/>
            </w:r>
            <w:r>
              <w:rPr>
                <w:noProof/>
                <w:webHidden/>
              </w:rPr>
              <w:t>41</w:t>
            </w:r>
            <w:r>
              <w:rPr>
                <w:noProof/>
                <w:webHidden/>
              </w:rPr>
              <w:fldChar w:fldCharType="end"/>
            </w:r>
          </w:hyperlink>
        </w:p>
        <w:p w14:paraId="26D8F207" w14:textId="189E2F88"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5" w:history="1">
            <w:r w:rsidRPr="007B7B1F">
              <w:rPr>
                <w:rStyle w:val="Hipervnculo"/>
                <w:rFonts w:ascii="Arial" w:eastAsia="Tahoma" w:hAnsi="Arial" w:cs="Arial"/>
                <w:noProof/>
              </w:rPr>
              <w:t>4.2.</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Indicadores y metas del Plan AT.</w:t>
            </w:r>
            <w:r>
              <w:rPr>
                <w:noProof/>
                <w:webHidden/>
              </w:rPr>
              <w:tab/>
            </w:r>
            <w:r>
              <w:rPr>
                <w:noProof/>
                <w:webHidden/>
              </w:rPr>
              <w:fldChar w:fldCharType="begin"/>
            </w:r>
            <w:r>
              <w:rPr>
                <w:noProof/>
                <w:webHidden/>
              </w:rPr>
              <w:instrText xml:space="preserve"> PAGEREF _Toc178847895 \h </w:instrText>
            </w:r>
            <w:r>
              <w:rPr>
                <w:noProof/>
                <w:webHidden/>
              </w:rPr>
            </w:r>
            <w:r>
              <w:rPr>
                <w:noProof/>
                <w:webHidden/>
              </w:rPr>
              <w:fldChar w:fldCharType="separate"/>
            </w:r>
            <w:r>
              <w:rPr>
                <w:noProof/>
                <w:webHidden/>
              </w:rPr>
              <w:t>44</w:t>
            </w:r>
            <w:r>
              <w:rPr>
                <w:noProof/>
                <w:webHidden/>
              </w:rPr>
              <w:fldChar w:fldCharType="end"/>
            </w:r>
          </w:hyperlink>
        </w:p>
        <w:p w14:paraId="6BC9C630" w14:textId="5C1026F4"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6" w:history="1">
            <w:r w:rsidRPr="007B7B1F">
              <w:rPr>
                <w:rStyle w:val="Hipervnculo"/>
                <w:rFonts w:ascii="Arial" w:eastAsia="Tahoma" w:hAnsi="Arial" w:cs="Arial"/>
                <w:noProof/>
              </w:rPr>
              <w:t>4.3.</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En relación con la forma de contratar el servicio de EPSEA:</w:t>
            </w:r>
            <w:r>
              <w:rPr>
                <w:noProof/>
                <w:webHidden/>
              </w:rPr>
              <w:tab/>
            </w:r>
            <w:r>
              <w:rPr>
                <w:noProof/>
                <w:webHidden/>
              </w:rPr>
              <w:fldChar w:fldCharType="begin"/>
            </w:r>
            <w:r>
              <w:rPr>
                <w:noProof/>
                <w:webHidden/>
              </w:rPr>
              <w:instrText xml:space="preserve"> PAGEREF _Toc178847896 \h </w:instrText>
            </w:r>
            <w:r>
              <w:rPr>
                <w:noProof/>
                <w:webHidden/>
              </w:rPr>
            </w:r>
            <w:r>
              <w:rPr>
                <w:noProof/>
                <w:webHidden/>
              </w:rPr>
              <w:fldChar w:fldCharType="separate"/>
            </w:r>
            <w:r>
              <w:rPr>
                <w:noProof/>
                <w:webHidden/>
              </w:rPr>
              <w:t>52</w:t>
            </w:r>
            <w:r>
              <w:rPr>
                <w:noProof/>
                <w:webHidden/>
              </w:rPr>
              <w:fldChar w:fldCharType="end"/>
            </w:r>
          </w:hyperlink>
        </w:p>
        <w:p w14:paraId="36C522DD" w14:textId="68CE359C"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897" w:history="1">
            <w:r w:rsidRPr="007B7B1F">
              <w:rPr>
                <w:rStyle w:val="Hipervnculo"/>
                <w:rFonts w:ascii="Arial" w:eastAsia="Tahoma" w:hAnsi="Arial" w:cs="Arial"/>
                <w:noProof/>
              </w:rPr>
              <w:t>5.</w:t>
            </w:r>
            <w:r>
              <w:rPr>
                <w:rFonts w:asciiTheme="minorHAnsi" w:eastAsiaTheme="minorEastAsia" w:hAnsiTheme="minorHAnsi" w:cstheme="minorBidi"/>
                <w:noProof/>
                <w:kern w:val="2"/>
                <w14:ligatures w14:val="standardContextual"/>
              </w:rPr>
              <w:tab/>
            </w:r>
            <w:r w:rsidRPr="007B7B1F">
              <w:rPr>
                <w:rStyle w:val="Hipervnculo"/>
                <w:rFonts w:ascii="Arial" w:hAnsi="Arial" w:cs="Arial"/>
                <w:noProof/>
              </w:rPr>
              <w:t>ANALISIS DE LA DEMANDA</w:t>
            </w:r>
            <w:r>
              <w:rPr>
                <w:noProof/>
                <w:webHidden/>
              </w:rPr>
              <w:tab/>
            </w:r>
            <w:r>
              <w:rPr>
                <w:noProof/>
                <w:webHidden/>
              </w:rPr>
              <w:fldChar w:fldCharType="begin"/>
            </w:r>
            <w:r>
              <w:rPr>
                <w:noProof/>
                <w:webHidden/>
              </w:rPr>
              <w:instrText xml:space="preserve"> PAGEREF _Toc178847897 \h </w:instrText>
            </w:r>
            <w:r>
              <w:rPr>
                <w:noProof/>
                <w:webHidden/>
              </w:rPr>
            </w:r>
            <w:r>
              <w:rPr>
                <w:noProof/>
                <w:webHidden/>
              </w:rPr>
              <w:fldChar w:fldCharType="separate"/>
            </w:r>
            <w:r>
              <w:rPr>
                <w:noProof/>
                <w:webHidden/>
              </w:rPr>
              <w:t>55</w:t>
            </w:r>
            <w:r>
              <w:rPr>
                <w:noProof/>
                <w:webHidden/>
              </w:rPr>
              <w:fldChar w:fldCharType="end"/>
            </w:r>
          </w:hyperlink>
        </w:p>
        <w:p w14:paraId="43D742D7" w14:textId="6CE48DEA"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8" w:history="1">
            <w:r w:rsidRPr="007B7B1F">
              <w:rPr>
                <w:rStyle w:val="Hipervnculo"/>
                <w:rFonts w:ascii="Arial" w:eastAsia="Tahoma" w:hAnsi="Arial" w:cs="Arial"/>
                <w:noProof/>
              </w:rPr>
              <w:t>5.1.</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Contrataciones previas de la Entidad</w:t>
            </w:r>
            <w:r>
              <w:rPr>
                <w:noProof/>
                <w:webHidden/>
              </w:rPr>
              <w:tab/>
            </w:r>
            <w:r>
              <w:rPr>
                <w:noProof/>
                <w:webHidden/>
              </w:rPr>
              <w:fldChar w:fldCharType="begin"/>
            </w:r>
            <w:r>
              <w:rPr>
                <w:noProof/>
                <w:webHidden/>
              </w:rPr>
              <w:instrText xml:space="preserve"> PAGEREF _Toc178847898 \h </w:instrText>
            </w:r>
            <w:r>
              <w:rPr>
                <w:noProof/>
                <w:webHidden/>
              </w:rPr>
            </w:r>
            <w:r>
              <w:rPr>
                <w:noProof/>
                <w:webHidden/>
              </w:rPr>
              <w:fldChar w:fldCharType="separate"/>
            </w:r>
            <w:r>
              <w:rPr>
                <w:noProof/>
                <w:webHidden/>
              </w:rPr>
              <w:t>57</w:t>
            </w:r>
            <w:r>
              <w:rPr>
                <w:noProof/>
                <w:webHidden/>
              </w:rPr>
              <w:fldChar w:fldCharType="end"/>
            </w:r>
          </w:hyperlink>
        </w:p>
        <w:p w14:paraId="342C01AE" w14:textId="707DE2F3" w:rsidR="000A1701" w:rsidRDefault="000A1701">
          <w:pPr>
            <w:pStyle w:val="TDC2"/>
            <w:tabs>
              <w:tab w:val="left" w:pos="960"/>
              <w:tab w:val="right" w:leader="dot" w:pos="8828"/>
            </w:tabs>
            <w:rPr>
              <w:rFonts w:asciiTheme="minorHAnsi" w:eastAsiaTheme="minorEastAsia" w:hAnsiTheme="minorHAnsi" w:cstheme="minorBidi"/>
              <w:noProof/>
              <w:kern w:val="2"/>
              <w14:ligatures w14:val="standardContextual"/>
            </w:rPr>
          </w:pPr>
          <w:hyperlink w:anchor="_Toc178847899" w:history="1">
            <w:r w:rsidRPr="007B7B1F">
              <w:rPr>
                <w:rStyle w:val="Hipervnculo"/>
                <w:rFonts w:ascii="Arial" w:eastAsia="Tahoma" w:hAnsi="Arial" w:cs="Arial"/>
                <w:noProof/>
              </w:rPr>
              <w:t>5.2.</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Contrataciones realizadas por otras entidades</w:t>
            </w:r>
            <w:r>
              <w:rPr>
                <w:noProof/>
                <w:webHidden/>
              </w:rPr>
              <w:tab/>
            </w:r>
            <w:r>
              <w:rPr>
                <w:noProof/>
                <w:webHidden/>
              </w:rPr>
              <w:fldChar w:fldCharType="begin"/>
            </w:r>
            <w:r>
              <w:rPr>
                <w:noProof/>
                <w:webHidden/>
              </w:rPr>
              <w:instrText xml:space="preserve"> PAGEREF _Toc178847899 \h </w:instrText>
            </w:r>
            <w:r>
              <w:rPr>
                <w:noProof/>
                <w:webHidden/>
              </w:rPr>
            </w:r>
            <w:r>
              <w:rPr>
                <w:noProof/>
                <w:webHidden/>
              </w:rPr>
              <w:fldChar w:fldCharType="separate"/>
            </w:r>
            <w:r>
              <w:rPr>
                <w:noProof/>
                <w:webHidden/>
              </w:rPr>
              <w:t>68</w:t>
            </w:r>
            <w:r>
              <w:rPr>
                <w:noProof/>
                <w:webHidden/>
              </w:rPr>
              <w:fldChar w:fldCharType="end"/>
            </w:r>
          </w:hyperlink>
        </w:p>
        <w:p w14:paraId="1749464E" w14:textId="4F94CE57"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900" w:history="1">
            <w:r w:rsidRPr="007B7B1F">
              <w:rPr>
                <w:rStyle w:val="Hipervnculo"/>
                <w:rFonts w:ascii="Arial" w:eastAsia="Tahoma" w:hAnsi="Arial" w:cs="Arial"/>
                <w:noProof/>
              </w:rPr>
              <w:t>6.</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ANALISIS DE LA OFERTA</w:t>
            </w:r>
            <w:r>
              <w:rPr>
                <w:noProof/>
                <w:webHidden/>
              </w:rPr>
              <w:tab/>
            </w:r>
            <w:r>
              <w:rPr>
                <w:noProof/>
                <w:webHidden/>
              </w:rPr>
              <w:fldChar w:fldCharType="begin"/>
            </w:r>
            <w:r>
              <w:rPr>
                <w:noProof/>
                <w:webHidden/>
              </w:rPr>
              <w:instrText xml:space="preserve"> PAGEREF _Toc178847900 \h </w:instrText>
            </w:r>
            <w:r>
              <w:rPr>
                <w:noProof/>
                <w:webHidden/>
              </w:rPr>
            </w:r>
            <w:r>
              <w:rPr>
                <w:noProof/>
                <w:webHidden/>
              </w:rPr>
              <w:fldChar w:fldCharType="separate"/>
            </w:r>
            <w:r>
              <w:rPr>
                <w:noProof/>
                <w:webHidden/>
              </w:rPr>
              <w:t>73</w:t>
            </w:r>
            <w:r>
              <w:rPr>
                <w:noProof/>
                <w:webHidden/>
              </w:rPr>
              <w:fldChar w:fldCharType="end"/>
            </w:r>
          </w:hyperlink>
        </w:p>
        <w:p w14:paraId="711AECDC" w14:textId="54619283"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901" w:history="1">
            <w:r w:rsidRPr="007B7B1F">
              <w:rPr>
                <w:rStyle w:val="Hipervnculo"/>
                <w:rFonts w:ascii="Arial" w:eastAsia="Tahoma" w:hAnsi="Arial" w:cs="Arial"/>
                <w:noProof/>
              </w:rPr>
              <w:t>7.</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ESTUDIO DE MERCADO</w:t>
            </w:r>
            <w:r>
              <w:rPr>
                <w:noProof/>
                <w:webHidden/>
              </w:rPr>
              <w:tab/>
            </w:r>
            <w:r>
              <w:rPr>
                <w:noProof/>
                <w:webHidden/>
              </w:rPr>
              <w:fldChar w:fldCharType="begin"/>
            </w:r>
            <w:r>
              <w:rPr>
                <w:noProof/>
                <w:webHidden/>
              </w:rPr>
              <w:instrText xml:space="preserve"> PAGEREF _Toc178847901 \h </w:instrText>
            </w:r>
            <w:r>
              <w:rPr>
                <w:noProof/>
                <w:webHidden/>
              </w:rPr>
            </w:r>
            <w:r>
              <w:rPr>
                <w:noProof/>
                <w:webHidden/>
              </w:rPr>
              <w:fldChar w:fldCharType="separate"/>
            </w:r>
            <w:r>
              <w:rPr>
                <w:noProof/>
                <w:webHidden/>
              </w:rPr>
              <w:t>74</w:t>
            </w:r>
            <w:r>
              <w:rPr>
                <w:noProof/>
                <w:webHidden/>
              </w:rPr>
              <w:fldChar w:fldCharType="end"/>
            </w:r>
          </w:hyperlink>
        </w:p>
        <w:p w14:paraId="30FD9B8D" w14:textId="2A12E6D2" w:rsidR="000A1701" w:rsidRDefault="000A1701">
          <w:pPr>
            <w:pStyle w:val="TDC1"/>
            <w:tabs>
              <w:tab w:val="left" w:pos="480"/>
              <w:tab w:val="right" w:leader="dot" w:pos="8828"/>
            </w:tabs>
            <w:rPr>
              <w:rFonts w:asciiTheme="minorHAnsi" w:eastAsiaTheme="minorEastAsia" w:hAnsiTheme="minorHAnsi" w:cstheme="minorBidi"/>
              <w:noProof/>
              <w:kern w:val="2"/>
              <w14:ligatures w14:val="standardContextual"/>
            </w:rPr>
          </w:pPr>
          <w:hyperlink w:anchor="_Toc178847902" w:history="1">
            <w:r w:rsidRPr="007B7B1F">
              <w:rPr>
                <w:rStyle w:val="Hipervnculo"/>
                <w:rFonts w:ascii="Arial" w:eastAsia="Tahoma" w:hAnsi="Arial" w:cs="Arial"/>
                <w:noProof/>
              </w:rPr>
              <w:t>8.</w:t>
            </w:r>
            <w:r>
              <w:rPr>
                <w:rFonts w:asciiTheme="minorHAnsi" w:eastAsiaTheme="minorEastAsia" w:hAnsiTheme="minorHAnsi" w:cstheme="minorBidi"/>
                <w:noProof/>
                <w:kern w:val="2"/>
                <w14:ligatures w14:val="standardContextual"/>
              </w:rPr>
              <w:tab/>
            </w:r>
            <w:r w:rsidRPr="007B7B1F">
              <w:rPr>
                <w:rStyle w:val="Hipervnculo"/>
                <w:rFonts w:ascii="Arial" w:eastAsia="Tahoma" w:hAnsi="Arial" w:cs="Arial"/>
                <w:noProof/>
              </w:rPr>
              <w:t>CONCLUSIÓN</w:t>
            </w:r>
            <w:r>
              <w:rPr>
                <w:noProof/>
                <w:webHidden/>
              </w:rPr>
              <w:tab/>
            </w:r>
            <w:r>
              <w:rPr>
                <w:noProof/>
                <w:webHidden/>
              </w:rPr>
              <w:fldChar w:fldCharType="begin"/>
            </w:r>
            <w:r>
              <w:rPr>
                <w:noProof/>
                <w:webHidden/>
              </w:rPr>
              <w:instrText xml:space="preserve"> PAGEREF _Toc178847902 \h </w:instrText>
            </w:r>
            <w:r>
              <w:rPr>
                <w:noProof/>
                <w:webHidden/>
              </w:rPr>
            </w:r>
            <w:r>
              <w:rPr>
                <w:noProof/>
                <w:webHidden/>
              </w:rPr>
              <w:fldChar w:fldCharType="separate"/>
            </w:r>
            <w:r>
              <w:rPr>
                <w:noProof/>
                <w:webHidden/>
              </w:rPr>
              <w:t>83</w:t>
            </w:r>
            <w:r>
              <w:rPr>
                <w:noProof/>
                <w:webHidden/>
              </w:rPr>
              <w:fldChar w:fldCharType="end"/>
            </w:r>
          </w:hyperlink>
        </w:p>
        <w:p w14:paraId="15EA6119" w14:textId="0C452BCB" w:rsidR="0036430B" w:rsidRPr="0086351C" w:rsidRDefault="0036430B" w:rsidP="0036430B">
          <w:pPr>
            <w:rPr>
              <w:rFonts w:ascii="Arial" w:hAnsi="Arial" w:cs="Arial"/>
              <w:b/>
              <w:bCs/>
            </w:rPr>
          </w:pPr>
          <w:r w:rsidRPr="0086351C">
            <w:rPr>
              <w:rFonts w:ascii="Arial" w:hAnsi="Arial" w:cs="Arial"/>
              <w:b/>
              <w:bCs/>
              <w:sz w:val="22"/>
              <w:szCs w:val="22"/>
              <w:lang w:val="es-ES"/>
            </w:rPr>
            <w:fldChar w:fldCharType="end"/>
          </w:r>
        </w:p>
      </w:sdtContent>
    </w:sdt>
    <w:p w14:paraId="154B3E11" w14:textId="5B9BC177" w:rsidR="0036430B" w:rsidRPr="0086351C" w:rsidRDefault="0036430B">
      <w:pPr>
        <w:spacing w:after="160" w:line="259" w:lineRule="auto"/>
        <w:rPr>
          <w:rFonts w:ascii="Arial" w:eastAsia="Tahoma" w:hAnsi="Arial" w:cs="Arial"/>
          <w:b/>
          <w:bCs/>
          <w:sz w:val="22"/>
          <w:szCs w:val="22"/>
        </w:rPr>
      </w:pPr>
    </w:p>
    <w:p w14:paraId="325795E2" w14:textId="77777777" w:rsidR="008814D5" w:rsidRPr="0086351C" w:rsidRDefault="008814D5" w:rsidP="32FDD0E3">
      <w:pPr>
        <w:spacing w:before="240" w:line="259" w:lineRule="auto"/>
        <w:jc w:val="center"/>
        <w:rPr>
          <w:rFonts w:ascii="Arial" w:eastAsia="Arial" w:hAnsi="Arial" w:cs="Arial"/>
          <w:b/>
          <w:bCs/>
          <w:sz w:val="22"/>
          <w:szCs w:val="22"/>
        </w:rPr>
      </w:pPr>
    </w:p>
    <w:p w14:paraId="7B453B64" w14:textId="59DDF046" w:rsidR="0036430B" w:rsidRPr="0086351C" w:rsidRDefault="37FBA33E" w:rsidP="32FDD0E3">
      <w:pPr>
        <w:spacing w:before="240" w:line="259" w:lineRule="auto"/>
        <w:jc w:val="center"/>
        <w:rPr>
          <w:rFonts w:ascii="Arial" w:eastAsia="Arial" w:hAnsi="Arial" w:cs="Arial"/>
          <w:b/>
          <w:bCs/>
          <w:sz w:val="22"/>
          <w:szCs w:val="22"/>
        </w:rPr>
      </w:pPr>
      <w:r w:rsidRPr="0086351C">
        <w:rPr>
          <w:rFonts w:ascii="Arial" w:eastAsia="Arial" w:hAnsi="Arial" w:cs="Arial"/>
          <w:b/>
          <w:bCs/>
          <w:sz w:val="22"/>
          <w:szCs w:val="22"/>
        </w:rPr>
        <w:lastRenderedPageBreak/>
        <w:t>LISTADO DE SIGLAS</w:t>
      </w:r>
    </w:p>
    <w:p w14:paraId="31F69F82" w14:textId="040BBFA2" w:rsidR="0036430B" w:rsidRPr="0086351C" w:rsidRDefault="37FBA33E" w:rsidP="32FDD0E3">
      <w:pPr>
        <w:spacing w:line="259" w:lineRule="auto"/>
        <w:jc w:val="center"/>
        <w:rPr>
          <w:rFonts w:ascii="Arial" w:eastAsia="Arial" w:hAnsi="Arial" w:cs="Arial"/>
          <w:b/>
          <w:bCs/>
          <w:sz w:val="22"/>
          <w:szCs w:val="22"/>
        </w:rPr>
      </w:pPr>
      <w:r w:rsidRPr="0086351C">
        <w:rPr>
          <w:rFonts w:ascii="Arial" w:eastAsia="Arial" w:hAnsi="Arial" w:cs="Arial"/>
          <w:b/>
          <w:bCs/>
          <w:sz w:val="22"/>
          <w:szCs w:val="22"/>
        </w:rPr>
        <w:t xml:space="preserve"> </w:t>
      </w:r>
    </w:p>
    <w:tbl>
      <w:tblPr>
        <w:tblStyle w:val="Tablaconcuadrcula"/>
        <w:tblW w:w="0" w:type="auto"/>
        <w:tblLayout w:type="fixed"/>
        <w:tblLook w:val="04A0" w:firstRow="1" w:lastRow="0" w:firstColumn="1" w:lastColumn="0" w:noHBand="0" w:noVBand="1"/>
      </w:tblPr>
      <w:tblGrid>
        <w:gridCol w:w="1853"/>
        <w:gridCol w:w="6982"/>
      </w:tblGrid>
      <w:tr w:rsidR="32FDD0E3" w:rsidRPr="0086351C" w14:paraId="7191DF16" w14:textId="77777777" w:rsidTr="25956B64">
        <w:trPr>
          <w:trHeight w:val="300"/>
        </w:trPr>
        <w:tc>
          <w:tcPr>
            <w:tcW w:w="883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7F90ABD" w14:textId="01FDD967"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LISTADO DE SIGLAS</w:t>
            </w:r>
          </w:p>
        </w:tc>
      </w:tr>
      <w:tr w:rsidR="32FDD0E3" w:rsidRPr="0086351C" w14:paraId="1036A53F"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9FA9147" w14:textId="1A02A22B"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ACFC:</w:t>
            </w:r>
          </w:p>
        </w:tc>
        <w:tc>
          <w:tcPr>
            <w:tcW w:w="6982" w:type="dxa"/>
            <w:tcBorders>
              <w:top w:val="nil"/>
              <w:left w:val="single" w:sz="8" w:space="0" w:color="auto"/>
              <w:bottom w:val="single" w:sz="8" w:space="0" w:color="auto"/>
              <w:right w:val="single" w:sz="8" w:space="0" w:color="auto"/>
            </w:tcBorders>
            <w:tcMar>
              <w:left w:w="108" w:type="dxa"/>
              <w:right w:w="108" w:type="dxa"/>
            </w:tcMar>
          </w:tcPr>
          <w:p w14:paraId="277BEBBF" w14:textId="73384F1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Agricultura Campesina, Familiar y Comunitaria. </w:t>
            </w:r>
          </w:p>
        </w:tc>
      </w:tr>
      <w:tr w:rsidR="32FDD0E3" w:rsidRPr="0086351C" w14:paraId="1F2D61FD"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78A1E35" w14:textId="24AC88C4"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ADR:</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90ECBA9" w14:textId="3BABD473"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Agencia de Desarrollo Rural. </w:t>
            </w:r>
          </w:p>
        </w:tc>
      </w:tr>
      <w:tr w:rsidR="32FDD0E3" w:rsidRPr="0086351C" w14:paraId="7206EFFA"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564E9CB" w14:textId="17224746"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UTT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3EB6A76" w14:textId="5647D7A8"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Unidades Técnicas Territoriales </w:t>
            </w:r>
          </w:p>
        </w:tc>
      </w:tr>
      <w:tr w:rsidR="32FDD0E3" w:rsidRPr="0086351C" w14:paraId="4373215D"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D274A79" w14:textId="54F0AA8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CMDR:</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F9B639C" w14:textId="753FB536"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Consejos Municipales de Desarrollo Rural. </w:t>
            </w:r>
          </w:p>
        </w:tc>
      </w:tr>
      <w:tr w:rsidR="32FDD0E3" w:rsidRPr="0086351C" w14:paraId="05CAA46A"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4E29F3C" w14:textId="519D23AF"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DAT: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EC327BB" w14:textId="3D20377F"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Dirección de Asistencia Técnica. </w:t>
            </w:r>
          </w:p>
        </w:tc>
      </w:tr>
      <w:tr w:rsidR="32FDD0E3" w:rsidRPr="0086351C" w14:paraId="6250634A"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206EDEE" w14:textId="3896CF1C"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DNP</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C62F411" w14:textId="307CA3F3"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Departamento Nacional de Planeación </w:t>
            </w:r>
          </w:p>
        </w:tc>
      </w:tr>
      <w:tr w:rsidR="32FDD0E3" w:rsidRPr="0086351C" w14:paraId="23F81289"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41CA2449" w14:textId="381110A3"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EPSEA: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15ADF2B" w14:textId="0518058F"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Entidades Prestadoras del Servicio de Extensión Agropecuario. </w:t>
            </w:r>
          </w:p>
        </w:tc>
      </w:tr>
      <w:tr w:rsidR="32FDD0E3" w:rsidRPr="0086351C" w14:paraId="71C0776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61CD654" w14:textId="3A654F28"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DAT: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DD4FE44" w14:textId="180C42C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Dirección de Asistencia Técnica. </w:t>
            </w:r>
          </w:p>
        </w:tc>
      </w:tr>
      <w:tr w:rsidR="32FDD0E3" w:rsidRPr="0086351C" w14:paraId="5822B814"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45E9FCB2" w14:textId="2CFB2372"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SPEA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0E6CE4AD" w14:textId="2554E2C9"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Servicio Público de Extensión Agropecuaria. </w:t>
            </w:r>
          </w:p>
        </w:tc>
      </w:tr>
      <w:tr w:rsidR="32FDD0E3" w:rsidRPr="0086351C" w14:paraId="51CAFAF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EE16247" w14:textId="3A65BB7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MADR:</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97CA41D" w14:textId="4CA35EF3"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Ministerio de Agricultura y Desarrollo Rural. </w:t>
            </w:r>
          </w:p>
        </w:tc>
      </w:tr>
      <w:tr w:rsidR="32FDD0E3" w:rsidRPr="0086351C" w14:paraId="6DA6EDC8"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0743EBB5" w14:textId="2440BF5E"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PDET: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7F056BCE" w14:textId="59024D72"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Programas de Desarrollo con Enfoque Territorial. </w:t>
            </w:r>
          </w:p>
        </w:tc>
      </w:tr>
      <w:tr w:rsidR="32FDD0E3" w:rsidRPr="0086351C" w14:paraId="098DBB6C"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42B9A23" w14:textId="210B0F8D"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SNIA: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0120E38B" w14:textId="6CC8CE50"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Sistema Nacional de Innovación Agropecuaria. </w:t>
            </w:r>
          </w:p>
        </w:tc>
      </w:tr>
      <w:tr w:rsidR="32FDD0E3" w:rsidRPr="0086351C" w14:paraId="40552749"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B26A4A6" w14:textId="589809F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UARIV:</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74CD95B" w14:textId="3B949A8A"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Unidad para la Atención y Reparación Integral a las Víctimas. </w:t>
            </w:r>
          </w:p>
        </w:tc>
      </w:tr>
      <w:tr w:rsidR="32FDD0E3" w:rsidRPr="0086351C" w14:paraId="7D3CDA69"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0758366" w14:textId="13848756"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ECA: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25CCCC0" w14:textId="38E0886D"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Escuela de Campo para Agricultores. </w:t>
            </w:r>
          </w:p>
        </w:tc>
      </w:tr>
      <w:tr w:rsidR="32FDD0E3" w:rsidRPr="0086351C" w14:paraId="2A80DB3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2404068" w14:textId="2A4058B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IPPTA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197E2FA" w14:textId="085CE5EB"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Instrumento de Planificación Predial para la Transición Agroecológica. </w:t>
            </w:r>
          </w:p>
        </w:tc>
      </w:tr>
      <w:tr w:rsidR="32FDD0E3" w:rsidRPr="0086351C" w14:paraId="701CEF4F"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F2BA3C3" w14:textId="66F4E6CA"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CTP</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D18B1CB" w14:textId="32116DF2"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Caracterización Territorial Participativa. </w:t>
            </w:r>
          </w:p>
        </w:tc>
      </w:tr>
      <w:tr w:rsidR="32FDD0E3" w:rsidRPr="0086351C" w14:paraId="58747506"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4427B0E8" w14:textId="3F9C8BDC"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PGCT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49E74B4B" w14:textId="7FB19EF7"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 de Gestión Comunitaria del Territorio. </w:t>
            </w:r>
          </w:p>
        </w:tc>
      </w:tr>
      <w:tr w:rsidR="32FDD0E3" w:rsidRPr="0086351C" w14:paraId="206C1310" w14:textId="77777777" w:rsidTr="25956B64">
        <w:trPr>
          <w:trHeight w:val="345"/>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CDC1276" w14:textId="7330CFA2"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PIDARET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036E1DB" w14:textId="21C61C0D"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Planes Integrales de Desarrollo Agropecuario con Enfoque Territorial. </w:t>
            </w:r>
          </w:p>
        </w:tc>
      </w:tr>
      <w:tr w:rsidR="32FDD0E3" w:rsidRPr="0086351C" w14:paraId="5BD78D47"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1394A34" w14:textId="534DBF1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RUV</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B0F6B50" w14:textId="325E3D18"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Registro único de victimas</w:t>
            </w:r>
          </w:p>
        </w:tc>
      </w:tr>
      <w:tr w:rsidR="32FDD0E3" w:rsidRPr="0086351C" w14:paraId="60953F36"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39B1D81" w14:textId="0B75BC41"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ETA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E6F8396" w14:textId="05E89EE8"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Enfermedades Trasmitidas por Alimentos</w:t>
            </w:r>
          </w:p>
        </w:tc>
      </w:tr>
      <w:tr w:rsidR="32FDD0E3" w:rsidRPr="0086351C" w14:paraId="443711FF"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094C363" w14:textId="258E257B"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DHA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A5A998D" w14:textId="389D0FE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Derecho humano a la Alimentación</w:t>
            </w:r>
          </w:p>
        </w:tc>
      </w:tr>
      <w:tr w:rsidR="32FDD0E3" w:rsidRPr="0086351C" w14:paraId="25FCBE03"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34F741F" w14:textId="192C72B4"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PCI</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61CB3F6" w14:textId="181232B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 Cuatrienal de la Implementación de los acuerdos.  </w:t>
            </w:r>
          </w:p>
        </w:tc>
      </w:tr>
      <w:tr w:rsidR="32FDD0E3" w:rsidRPr="0086351C" w14:paraId="4B693055"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0971471E" w14:textId="17C3B633"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PND</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0BA3CAD6" w14:textId="0CC6BD6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 Nacional de Desarrollo </w:t>
            </w:r>
          </w:p>
        </w:tc>
      </w:tr>
      <w:tr w:rsidR="32FDD0E3" w:rsidRPr="0086351C" w14:paraId="74311135"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05F5D448" w14:textId="07FC7FD0"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PMI</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A579ECF" w14:textId="09006D4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Plan Marco de Implementación</w:t>
            </w:r>
          </w:p>
        </w:tc>
      </w:tr>
      <w:tr w:rsidR="32FDD0E3" w:rsidRPr="0086351C" w14:paraId="58ED4FCF"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2F7E2E9" w14:textId="67A47294"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PDEA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20DFF6D" w14:textId="2F4DD8B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Plan Departamental de Extensión Agropecuaria</w:t>
            </w:r>
          </w:p>
        </w:tc>
      </w:tr>
      <w:tr w:rsidR="32FDD0E3" w:rsidRPr="0086351C" w14:paraId="44C1B8D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D4B3C40" w14:textId="4088E6F3"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SIIPO</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9596A39" w14:textId="6C845A4D"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Sistema Integrado de Información para el Posconflicto</w:t>
            </w:r>
          </w:p>
        </w:tc>
      </w:tr>
      <w:tr w:rsidR="32FDD0E3" w:rsidRPr="0086351C" w14:paraId="38A4E949"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2C92272" w14:textId="4DBE7B90"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RRI</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DCDC391" w14:textId="4900D419"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Reforma Rural Integral</w:t>
            </w:r>
          </w:p>
        </w:tc>
      </w:tr>
      <w:tr w:rsidR="32FDD0E3" w:rsidRPr="0086351C" w14:paraId="0D0EBBE3"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EF23590" w14:textId="2873CFD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PDS</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08274E2C" w14:textId="56BDC6E5"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 Planes de Desarrollo Sostenible de las Zonas de Reserva Campesina</w:t>
            </w:r>
          </w:p>
        </w:tc>
      </w:tr>
      <w:tr w:rsidR="32FDD0E3" w:rsidRPr="0086351C" w14:paraId="0A63848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6DB87F5" w14:textId="76E08D6B"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ZRC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48305491" w14:textId="63A0D62B"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Zonas de Reserva Campesina</w:t>
            </w:r>
          </w:p>
        </w:tc>
      </w:tr>
      <w:tr w:rsidR="32FDD0E3" w:rsidRPr="0086351C" w14:paraId="5EC55EB3"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AEC3A79" w14:textId="5395E6D2"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SAE</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AED5D31" w14:textId="4C2C55C3" w:rsidR="32FDD0E3" w:rsidRPr="0086351C" w:rsidRDefault="32FDD0E3" w:rsidP="25956B64">
            <w:pPr>
              <w:rPr>
                <w:rFonts w:ascii="Arial" w:eastAsia="Arial" w:hAnsi="Arial" w:cs="Arial"/>
                <w:sz w:val="20"/>
                <w:szCs w:val="20"/>
                <w:lang w:val="es"/>
              </w:rPr>
            </w:pPr>
            <w:r w:rsidRPr="0086351C">
              <w:rPr>
                <w:rFonts w:ascii="Arial" w:eastAsia="Arial" w:hAnsi="Arial" w:cs="Arial"/>
                <w:sz w:val="20"/>
                <w:szCs w:val="20"/>
                <w:lang w:val="es"/>
              </w:rPr>
              <w:t xml:space="preserve">Sociedad de Activos Especiales </w:t>
            </w:r>
          </w:p>
        </w:tc>
      </w:tr>
      <w:tr w:rsidR="32FDD0E3" w:rsidRPr="0086351C" w14:paraId="36CFD7C5"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F89A187" w14:textId="69DCFEF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EPC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75244D9F" w14:textId="643B87DA"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Economía Popular y Comunitaria</w:t>
            </w:r>
          </w:p>
        </w:tc>
      </w:tr>
      <w:tr w:rsidR="32FDD0E3" w:rsidRPr="0086351C" w14:paraId="2D6D5D8B"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C02914C" w14:textId="0718C228"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Plan-AT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3AB2520" w14:textId="3F7CE9B8"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 Nacional de Asistencia Técnica Integral, Técnica, Tecnológica y de Impulso a la Investigación. </w:t>
            </w:r>
          </w:p>
        </w:tc>
      </w:tr>
      <w:tr w:rsidR="32FDD0E3" w:rsidRPr="0086351C" w14:paraId="5512AE9D"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DE6506A" w14:textId="78ED911E"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PECTIA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829BBBC" w14:textId="51F50AB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Plan Estratégico de Ciencia, Tecnología e Innovación del Sector Agropecuario Colombiano para la Agroindustria</w:t>
            </w:r>
          </w:p>
        </w:tc>
      </w:tr>
      <w:tr w:rsidR="32FDD0E3" w:rsidRPr="0086351C" w14:paraId="50D9FC51"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20608B4" w14:textId="2FD4EFFF"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ACFEC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EC09314" w14:textId="158109C0"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Agricultura Campesina, Familiar, Étnica y Comunitaria. </w:t>
            </w:r>
          </w:p>
        </w:tc>
      </w:tr>
      <w:tr w:rsidR="32FDD0E3" w:rsidRPr="0086351C" w14:paraId="5ADEDABE"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A14B447" w14:textId="2F42A08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lastRenderedPageBreak/>
              <w:t>CONPES</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10A9A31" w14:textId="07B5FD2F"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Concejo Nacional de Política Económica y Social</w:t>
            </w:r>
          </w:p>
        </w:tc>
      </w:tr>
      <w:tr w:rsidR="32FDD0E3" w:rsidRPr="0086351C" w14:paraId="630EDFD2"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A936E58" w14:textId="39B63D58"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UPA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47668AED" w14:textId="242F5A7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Unidad de Producción Agropecuaria </w:t>
            </w:r>
          </w:p>
        </w:tc>
      </w:tr>
      <w:tr w:rsidR="32FDD0E3" w:rsidRPr="0086351C" w14:paraId="419DB3F1"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D758A82" w14:textId="153A5B8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ZOMAC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263753B" w14:textId="0FB935B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Zonas Mas Afectadas Por el Conflicto Armado</w:t>
            </w:r>
          </w:p>
        </w:tc>
      </w:tr>
      <w:tr w:rsidR="32FDD0E3" w:rsidRPr="0086351C" w14:paraId="6802C395"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800EEE2" w14:textId="78A9F08D"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PNIS</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E4E1DDF" w14:textId="398F033A"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Programa Nacional Integral de Sustitución de Cultivos de Uso Ilícito</w:t>
            </w:r>
          </w:p>
        </w:tc>
      </w:tr>
      <w:tr w:rsidR="32FDD0E3" w:rsidRPr="0086351C" w14:paraId="089F6442"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DC4E8BB" w14:textId="0594CAA7"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UAF</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EE5AFFC" w14:textId="06A50DAE"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Unidad Agrícola Familiar</w:t>
            </w:r>
          </w:p>
        </w:tc>
      </w:tr>
      <w:tr w:rsidR="32FDD0E3" w:rsidRPr="0086351C" w14:paraId="1E8B43FC"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E9BF569" w14:textId="03BE8DE7"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NRA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4E1FA5FC" w14:textId="74AC5D03"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Núcleos de Reforma Agraria</w:t>
            </w:r>
          </w:p>
        </w:tc>
      </w:tr>
      <w:tr w:rsidR="32FDD0E3" w:rsidRPr="0086351C" w14:paraId="49CA7CC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223E70C" w14:textId="4D036C5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TECAM</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3953855" w14:textId="6A878E7A"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Territorio Campesino Agroalimentario</w:t>
            </w:r>
          </w:p>
        </w:tc>
      </w:tr>
      <w:tr w:rsidR="32FDD0E3" w:rsidRPr="0086351C" w14:paraId="7CD06357"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00B1C78E" w14:textId="009ED93E"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IES</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5AF3DF8" w14:textId="6B208585"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Instituciones de Educación Superior</w:t>
            </w:r>
          </w:p>
        </w:tc>
      </w:tr>
      <w:tr w:rsidR="32FDD0E3" w:rsidRPr="0086351C" w14:paraId="3D16501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495F52F0" w14:textId="6D2F0087"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PATR</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5A04A2D" w14:textId="2847DBB4"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Planes de Acción para la Transformación Regional </w:t>
            </w:r>
          </w:p>
        </w:tc>
      </w:tr>
      <w:tr w:rsidR="32FDD0E3" w:rsidRPr="0086351C" w14:paraId="1DC1B1B8"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5D57B0F" w14:textId="50B734FE"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PISDA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3A8F0BD" w14:textId="2F556284"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 xml:space="preserve">Planes de Sustitución y Desarrollo </w:t>
            </w:r>
          </w:p>
        </w:tc>
      </w:tr>
      <w:tr w:rsidR="32FDD0E3" w:rsidRPr="0086351C" w14:paraId="761021AD"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D9F06FC" w14:textId="2B884ECB"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BPA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1B6D29F" w14:textId="09F9BE25"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Buenas Prácticas Agrícolas</w:t>
            </w:r>
          </w:p>
        </w:tc>
      </w:tr>
      <w:tr w:rsidR="32FDD0E3" w:rsidRPr="0086351C" w14:paraId="26950B9B"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A1AB853" w14:textId="39854E79"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UNSPSC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61790CCF" w14:textId="4A73DAD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Código Estándar de Bienes y Servicios de Las Naciones Unidas</w:t>
            </w:r>
          </w:p>
        </w:tc>
      </w:tr>
      <w:tr w:rsidR="32FDD0E3" w:rsidRPr="0086351C" w14:paraId="5ACB0214"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75C7173" w14:textId="7E176067"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EAF</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9B685E7" w14:textId="6F6E147F"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Estatuto de Agricultura Familiar</w:t>
            </w:r>
          </w:p>
        </w:tc>
      </w:tr>
      <w:tr w:rsidR="32FDD0E3" w:rsidRPr="0086351C" w14:paraId="7831D408"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98E6A6F" w14:textId="7DC24B4A"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ECC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797C7A52" w14:textId="3B046D8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Escuela de Campo Comunitaria</w:t>
            </w:r>
          </w:p>
        </w:tc>
      </w:tr>
      <w:tr w:rsidR="32FDD0E3" w:rsidRPr="0086351C" w14:paraId="009DCD83"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0C50794" w14:textId="6384B345"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AUP</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760E1C86" w14:textId="68D9826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Acompañamiento a la Unidad Productiva</w:t>
            </w:r>
          </w:p>
        </w:tc>
      </w:tr>
      <w:tr w:rsidR="32FDD0E3" w:rsidRPr="0086351C" w14:paraId="7FB6F058"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9824151" w14:textId="54DBB8AE"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ECP</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1900B5F4" w14:textId="63E52AE5"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Escuela de Campo Productiva</w:t>
            </w:r>
          </w:p>
        </w:tc>
      </w:tr>
      <w:tr w:rsidR="32FDD0E3" w:rsidRPr="0086351C" w14:paraId="55B10055"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ED22215" w14:textId="4A908A9A"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UF</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265D4AD8" w14:textId="723EAF5A"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Unidad Familiar</w:t>
            </w:r>
          </w:p>
        </w:tc>
      </w:tr>
      <w:tr w:rsidR="32FDD0E3" w:rsidRPr="0086351C" w14:paraId="3AC7BF22"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C52C81E" w14:textId="4D0C81E2"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PAC</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70D81366" w14:textId="59FA0D22"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Plan Anual de Contratación</w:t>
            </w:r>
          </w:p>
        </w:tc>
      </w:tr>
      <w:tr w:rsidR="32FDD0E3" w:rsidRPr="0086351C" w14:paraId="4A2B374B"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489D7D7" w14:textId="3B605E81"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SG-SST</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DE557F7" w14:textId="39BEF146"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Sistema de Gestión de la Seguridad y Salud en el Trabajo</w:t>
            </w:r>
          </w:p>
        </w:tc>
      </w:tr>
      <w:tr w:rsidR="32FDD0E3" w:rsidRPr="0086351C" w14:paraId="2646F0AE"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264DE50B" w14:textId="09D5CCFA"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MEN</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F4DD355" w14:textId="0AC484B9"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Ministerio de Educación Nacional</w:t>
            </w:r>
          </w:p>
        </w:tc>
      </w:tr>
      <w:tr w:rsidR="32FDD0E3" w:rsidRPr="0086351C" w14:paraId="0E8DC6C6"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5E41A7EF" w14:textId="136F9452"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IICA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55C52008" w14:textId="60CD8761"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Instituto Interamericano de Cooperación para la Agricultura</w:t>
            </w:r>
          </w:p>
        </w:tc>
      </w:tr>
      <w:tr w:rsidR="32FDD0E3" w:rsidRPr="0086351C" w14:paraId="48EAEEC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4373620" w14:textId="14767B06"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AGROSAVIA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0CB10DE" w14:textId="0DAF9370"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Corporación Colombiana de Investigación Agropecuaria</w:t>
            </w:r>
          </w:p>
        </w:tc>
      </w:tr>
      <w:tr w:rsidR="32FDD0E3" w:rsidRPr="0086351C" w14:paraId="56376420" w14:textId="77777777" w:rsidTr="25956B64">
        <w:trPr>
          <w:trHeight w:val="300"/>
        </w:trPr>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2F74955" w14:textId="3188D39C" w:rsidR="32FDD0E3" w:rsidRPr="0086351C" w:rsidRDefault="32FDD0E3" w:rsidP="25956B64">
            <w:pPr>
              <w:jc w:val="center"/>
              <w:rPr>
                <w:rFonts w:ascii="Arial" w:eastAsia="Arial" w:hAnsi="Arial" w:cs="Arial"/>
                <w:b/>
                <w:bCs/>
                <w:sz w:val="20"/>
                <w:szCs w:val="20"/>
              </w:rPr>
            </w:pPr>
            <w:r w:rsidRPr="0086351C">
              <w:rPr>
                <w:rFonts w:ascii="Arial" w:eastAsia="Arial" w:hAnsi="Arial" w:cs="Arial"/>
                <w:b/>
                <w:bCs/>
                <w:sz w:val="20"/>
                <w:szCs w:val="20"/>
              </w:rPr>
              <w:t>SENA</w:t>
            </w:r>
          </w:p>
        </w:tc>
        <w:tc>
          <w:tcPr>
            <w:tcW w:w="6982" w:type="dxa"/>
            <w:tcBorders>
              <w:top w:val="single" w:sz="8" w:space="0" w:color="auto"/>
              <w:left w:val="single" w:sz="8" w:space="0" w:color="auto"/>
              <w:bottom w:val="single" w:sz="8" w:space="0" w:color="auto"/>
              <w:right w:val="single" w:sz="8" w:space="0" w:color="auto"/>
            </w:tcBorders>
            <w:tcMar>
              <w:left w:w="108" w:type="dxa"/>
              <w:right w:w="108" w:type="dxa"/>
            </w:tcMar>
          </w:tcPr>
          <w:p w14:paraId="341BCCE3" w14:textId="3EB0CBBC" w:rsidR="32FDD0E3" w:rsidRPr="0086351C" w:rsidRDefault="32FDD0E3" w:rsidP="25956B64">
            <w:pPr>
              <w:rPr>
                <w:rFonts w:ascii="Arial" w:eastAsia="Arial" w:hAnsi="Arial" w:cs="Arial"/>
                <w:sz w:val="20"/>
                <w:szCs w:val="20"/>
              </w:rPr>
            </w:pPr>
            <w:r w:rsidRPr="0086351C">
              <w:rPr>
                <w:rFonts w:ascii="Arial" w:eastAsia="Arial" w:hAnsi="Arial" w:cs="Arial"/>
                <w:sz w:val="20"/>
                <w:szCs w:val="20"/>
              </w:rPr>
              <w:t>Servicio Nacional de Aprendizaje</w:t>
            </w:r>
          </w:p>
        </w:tc>
      </w:tr>
    </w:tbl>
    <w:p w14:paraId="27F498AF" w14:textId="3BFD0B5F" w:rsidR="0036430B" w:rsidRPr="0086351C" w:rsidRDefault="0036430B" w:rsidP="32FDD0E3">
      <w:pPr>
        <w:spacing w:line="259" w:lineRule="auto"/>
        <w:jc w:val="center"/>
        <w:rPr>
          <w:rFonts w:ascii="Arial" w:eastAsia="Arial" w:hAnsi="Arial" w:cs="Arial"/>
          <w:b/>
          <w:bCs/>
          <w:sz w:val="22"/>
          <w:szCs w:val="22"/>
        </w:rPr>
      </w:pPr>
    </w:p>
    <w:p w14:paraId="0AAF79F6" w14:textId="4FF395F2" w:rsidR="0036430B" w:rsidRPr="0086351C" w:rsidRDefault="0036430B">
      <w:pPr>
        <w:spacing w:after="160" w:line="259" w:lineRule="auto"/>
        <w:rPr>
          <w:rFonts w:ascii="Arial" w:eastAsia="Tahoma" w:hAnsi="Arial" w:cs="Arial"/>
          <w:b/>
          <w:bCs/>
          <w:sz w:val="22"/>
          <w:szCs w:val="22"/>
        </w:rPr>
      </w:pPr>
    </w:p>
    <w:p w14:paraId="1E6AC4E9" w14:textId="3F6C99EE" w:rsidR="32FDD0E3" w:rsidRPr="0086351C" w:rsidRDefault="32FDD0E3">
      <w:pPr>
        <w:rPr>
          <w:rFonts w:ascii="Arial" w:hAnsi="Arial" w:cs="Arial"/>
        </w:rPr>
      </w:pPr>
      <w:r w:rsidRPr="0086351C">
        <w:rPr>
          <w:rFonts w:ascii="Arial" w:hAnsi="Arial" w:cs="Arial"/>
        </w:rPr>
        <w:br w:type="page"/>
      </w:r>
    </w:p>
    <w:p w14:paraId="383ABDE0" w14:textId="2F3B22B6" w:rsidR="36BCCA51" w:rsidRPr="0086351C" w:rsidRDefault="36BCCA51" w:rsidP="32FDD0E3">
      <w:pPr>
        <w:spacing w:before="240"/>
        <w:jc w:val="center"/>
        <w:rPr>
          <w:rFonts w:ascii="Arial" w:eastAsia="Tahoma" w:hAnsi="Arial" w:cs="Arial"/>
          <w:b/>
          <w:bCs/>
          <w:sz w:val="22"/>
          <w:szCs w:val="22"/>
        </w:rPr>
      </w:pPr>
      <w:r w:rsidRPr="0086351C">
        <w:rPr>
          <w:rFonts w:ascii="Arial" w:eastAsia="Tahoma" w:hAnsi="Arial" w:cs="Arial"/>
          <w:b/>
          <w:bCs/>
          <w:sz w:val="22"/>
          <w:szCs w:val="22"/>
        </w:rPr>
        <w:lastRenderedPageBreak/>
        <w:t>ANALISIS DEL SECTOR</w:t>
      </w:r>
    </w:p>
    <w:p w14:paraId="2168CC1A" w14:textId="77777777" w:rsidR="00A84C5B" w:rsidRPr="0086351C" w:rsidRDefault="00A84C5B" w:rsidP="1C5DF8D6">
      <w:pPr>
        <w:jc w:val="center"/>
        <w:rPr>
          <w:rFonts w:ascii="Arial" w:eastAsia="Tahoma" w:hAnsi="Arial" w:cs="Arial"/>
          <w:b/>
          <w:bCs/>
          <w:sz w:val="22"/>
          <w:szCs w:val="22"/>
        </w:rPr>
      </w:pPr>
    </w:p>
    <w:p w14:paraId="690C22C8" w14:textId="10D67CE3" w:rsidR="000C6F96" w:rsidRPr="0086351C" w:rsidRDefault="5A61F8F8" w:rsidP="1C5DF8D6">
      <w:pPr>
        <w:jc w:val="both"/>
        <w:rPr>
          <w:rFonts w:ascii="Arial" w:eastAsia="Tahoma" w:hAnsi="Arial" w:cs="Arial"/>
          <w:sz w:val="22"/>
          <w:szCs w:val="22"/>
        </w:rPr>
      </w:pPr>
      <w:r w:rsidRPr="0086351C">
        <w:rPr>
          <w:rFonts w:ascii="Arial" w:eastAsia="Tahoma" w:hAnsi="Arial" w:cs="Arial"/>
          <w:sz w:val="22"/>
          <w:szCs w:val="22"/>
        </w:rPr>
        <w:t xml:space="preserve">Para dar cumplimiento a </w:t>
      </w:r>
      <w:r w:rsidR="000C6F96" w:rsidRPr="0086351C">
        <w:rPr>
          <w:rFonts w:ascii="Arial" w:eastAsia="Tahoma" w:hAnsi="Arial" w:cs="Arial"/>
          <w:sz w:val="22"/>
          <w:szCs w:val="22"/>
        </w:rPr>
        <w:t xml:space="preserve">lo señalado en el </w:t>
      </w:r>
      <w:r w:rsidR="007D6086" w:rsidRPr="0086351C">
        <w:rPr>
          <w:rFonts w:ascii="Arial" w:eastAsia="Tahoma" w:hAnsi="Arial" w:cs="Arial"/>
          <w:sz w:val="22"/>
          <w:szCs w:val="22"/>
        </w:rPr>
        <w:t>artículo</w:t>
      </w:r>
      <w:r w:rsidR="000C6F96" w:rsidRPr="0086351C">
        <w:rPr>
          <w:rFonts w:ascii="Arial" w:eastAsia="Tahoma" w:hAnsi="Arial" w:cs="Arial"/>
          <w:sz w:val="22"/>
          <w:szCs w:val="22"/>
        </w:rPr>
        <w:t xml:space="preserve"> 2.2.1.1.1.6.1 del Decreto 1082 de 2015, por medio del cual se establece </w:t>
      </w:r>
      <w:r w:rsidR="000C6F96" w:rsidRPr="0086351C">
        <w:rPr>
          <w:rFonts w:ascii="Arial" w:eastAsia="Tahoma" w:hAnsi="Arial" w:cs="Arial"/>
          <w:i/>
          <w:iCs/>
          <w:sz w:val="22"/>
          <w:szCs w:val="22"/>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0C8A8798" w:rsidRPr="0086351C">
        <w:rPr>
          <w:rFonts w:ascii="Arial" w:eastAsia="Tahoma" w:hAnsi="Arial" w:cs="Arial"/>
          <w:i/>
          <w:iCs/>
          <w:sz w:val="22"/>
          <w:szCs w:val="22"/>
        </w:rPr>
        <w:t>”</w:t>
      </w:r>
      <w:r w:rsidR="000C6F96" w:rsidRPr="0086351C">
        <w:rPr>
          <w:rFonts w:ascii="Arial" w:eastAsia="Tahoma" w:hAnsi="Arial" w:cs="Arial"/>
          <w:i/>
          <w:iCs/>
          <w:sz w:val="22"/>
          <w:szCs w:val="22"/>
        </w:rPr>
        <w:t xml:space="preserve">, </w:t>
      </w:r>
      <w:r w:rsidR="0A1F3FDB" w:rsidRPr="0086351C">
        <w:rPr>
          <w:rFonts w:ascii="Arial" w:eastAsia="Tahoma" w:hAnsi="Arial" w:cs="Arial"/>
          <w:i/>
          <w:iCs/>
          <w:sz w:val="22"/>
          <w:szCs w:val="22"/>
        </w:rPr>
        <w:t xml:space="preserve">la Agencia de Desarrollo Rural </w:t>
      </w:r>
      <w:r w:rsidR="000C6F96" w:rsidRPr="0086351C">
        <w:rPr>
          <w:rFonts w:ascii="Arial" w:eastAsia="Tahoma" w:hAnsi="Arial" w:cs="Arial"/>
          <w:sz w:val="22"/>
          <w:szCs w:val="22"/>
        </w:rPr>
        <w:t>elabora el presente documento denominado “Análisis del Sector”.</w:t>
      </w:r>
    </w:p>
    <w:p w14:paraId="68B18605" w14:textId="77777777" w:rsidR="00A84C5B" w:rsidRPr="0086351C" w:rsidRDefault="00A84C5B" w:rsidP="1C5DF8D6">
      <w:pPr>
        <w:jc w:val="both"/>
        <w:rPr>
          <w:rFonts w:ascii="Arial" w:eastAsia="Tahoma" w:hAnsi="Arial" w:cs="Arial"/>
          <w:sz w:val="22"/>
          <w:szCs w:val="22"/>
        </w:rPr>
      </w:pPr>
    </w:p>
    <w:tbl>
      <w:tblPr>
        <w:tblW w:w="882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6"/>
        <w:gridCol w:w="5966"/>
      </w:tblGrid>
      <w:tr w:rsidR="000C6F96" w:rsidRPr="0086351C" w14:paraId="35BE4240" w14:textId="77777777" w:rsidTr="32FDD0E3">
        <w:trPr>
          <w:trHeight w:val="405"/>
          <w:jc w:val="center"/>
        </w:trPr>
        <w:tc>
          <w:tcPr>
            <w:tcW w:w="2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2A07918A" w14:textId="77777777" w:rsidR="000C6F96" w:rsidRPr="0086351C" w:rsidRDefault="000C6F96" w:rsidP="1C5DF8D6">
            <w:pPr>
              <w:ind w:left="105"/>
              <w:textAlignment w:val="baseline"/>
              <w:rPr>
                <w:rFonts w:ascii="Arial" w:eastAsia="Tahoma" w:hAnsi="Arial" w:cs="Arial"/>
                <w:sz w:val="22"/>
                <w:szCs w:val="22"/>
              </w:rPr>
            </w:pPr>
            <w:r w:rsidRPr="0086351C">
              <w:rPr>
                <w:rFonts w:ascii="Arial" w:eastAsia="Tahoma" w:hAnsi="Arial" w:cs="Arial"/>
                <w:b/>
                <w:bCs/>
                <w:sz w:val="22"/>
                <w:szCs w:val="22"/>
              </w:rPr>
              <w:t>FECHA</w:t>
            </w:r>
            <w:r w:rsidRPr="0086351C">
              <w:rPr>
                <w:rFonts w:ascii="Arial" w:eastAsia="Tahoma" w:hAnsi="Arial" w:cs="Arial"/>
                <w:sz w:val="22"/>
                <w:szCs w:val="22"/>
              </w:rPr>
              <w:t> </w:t>
            </w:r>
          </w:p>
        </w:tc>
        <w:tc>
          <w:tcPr>
            <w:tcW w:w="59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F673737" w14:textId="2C851546" w:rsidR="000C6F96" w:rsidRPr="0086351C" w:rsidRDefault="000A1701" w:rsidP="00272EA1">
            <w:pPr>
              <w:textAlignment w:val="baseline"/>
              <w:rPr>
                <w:rFonts w:ascii="Arial" w:eastAsia="Tahoma" w:hAnsi="Arial" w:cs="Arial"/>
                <w:sz w:val="22"/>
                <w:szCs w:val="22"/>
              </w:rPr>
            </w:pPr>
            <w:r>
              <w:rPr>
                <w:rFonts w:ascii="Arial" w:eastAsia="Tahoma" w:hAnsi="Arial" w:cs="Arial"/>
                <w:sz w:val="22"/>
                <w:szCs w:val="22"/>
              </w:rPr>
              <w:t>octubre</w:t>
            </w:r>
            <w:r w:rsidR="0036430B" w:rsidRPr="0086351C">
              <w:rPr>
                <w:rFonts w:ascii="Arial" w:eastAsia="Tahoma" w:hAnsi="Arial" w:cs="Arial"/>
                <w:sz w:val="22"/>
                <w:szCs w:val="22"/>
              </w:rPr>
              <w:t xml:space="preserve"> </w:t>
            </w:r>
            <w:r w:rsidR="000C6F96" w:rsidRPr="0086351C">
              <w:rPr>
                <w:rFonts w:ascii="Arial" w:eastAsia="Tahoma" w:hAnsi="Arial" w:cs="Arial"/>
                <w:sz w:val="22"/>
                <w:szCs w:val="22"/>
              </w:rPr>
              <w:t>de 202</w:t>
            </w:r>
            <w:r w:rsidR="00A84C5B" w:rsidRPr="0086351C">
              <w:rPr>
                <w:rFonts w:ascii="Arial" w:eastAsia="Tahoma" w:hAnsi="Arial" w:cs="Arial"/>
                <w:sz w:val="22"/>
                <w:szCs w:val="22"/>
              </w:rPr>
              <w:t>4</w:t>
            </w:r>
          </w:p>
        </w:tc>
      </w:tr>
      <w:tr w:rsidR="000C6F96" w:rsidRPr="0086351C" w14:paraId="55BD0932" w14:textId="77777777" w:rsidTr="32FDD0E3">
        <w:trPr>
          <w:trHeight w:val="1005"/>
          <w:jc w:val="center"/>
        </w:trPr>
        <w:tc>
          <w:tcPr>
            <w:tcW w:w="2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645FFA0D" w14:textId="178FA853" w:rsidR="000C6F96" w:rsidRPr="0086351C" w:rsidRDefault="000C6F96" w:rsidP="1C5DF8D6">
            <w:pPr>
              <w:textAlignment w:val="baseline"/>
              <w:rPr>
                <w:rFonts w:ascii="Arial" w:eastAsia="Tahoma" w:hAnsi="Arial" w:cs="Arial"/>
                <w:b/>
                <w:bCs/>
                <w:sz w:val="22"/>
                <w:szCs w:val="22"/>
              </w:rPr>
            </w:pPr>
            <w:r w:rsidRPr="0086351C">
              <w:rPr>
                <w:rFonts w:ascii="Arial" w:eastAsia="Tahoma" w:hAnsi="Arial" w:cs="Arial"/>
                <w:sz w:val="22"/>
                <w:szCs w:val="22"/>
              </w:rPr>
              <w:t> </w:t>
            </w:r>
            <w:r w:rsidR="00500EFF" w:rsidRPr="0086351C">
              <w:rPr>
                <w:rFonts w:ascii="Arial" w:eastAsia="Tahoma" w:hAnsi="Arial" w:cs="Arial"/>
                <w:b/>
                <w:bCs/>
                <w:sz w:val="22"/>
                <w:szCs w:val="22"/>
              </w:rPr>
              <w:t>OBJETO</w:t>
            </w:r>
            <w:r w:rsidR="00500EFF" w:rsidRPr="0086351C">
              <w:rPr>
                <w:rFonts w:ascii="Arial" w:eastAsia="Tahoma" w:hAnsi="Arial" w:cs="Arial"/>
                <w:sz w:val="22"/>
                <w:szCs w:val="22"/>
              </w:rPr>
              <w:t xml:space="preserve"> DEL</w:t>
            </w:r>
            <w:r w:rsidR="61B22C97" w:rsidRPr="0086351C">
              <w:rPr>
                <w:rFonts w:ascii="Arial" w:eastAsia="Tahoma" w:hAnsi="Arial" w:cs="Arial"/>
                <w:b/>
                <w:bCs/>
                <w:sz w:val="22"/>
                <w:szCs w:val="22"/>
              </w:rPr>
              <w:t xml:space="preserve"> PROYECTO</w:t>
            </w:r>
          </w:p>
        </w:tc>
        <w:tc>
          <w:tcPr>
            <w:tcW w:w="59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108B2B7" w14:textId="68B21E1A" w:rsidR="000C6F96" w:rsidRPr="0086351C" w:rsidRDefault="007948DB" w:rsidP="008F7041">
            <w:pPr>
              <w:jc w:val="both"/>
              <w:rPr>
                <w:rFonts w:ascii="Arial" w:eastAsia="Tahoma" w:hAnsi="Arial" w:cs="Arial"/>
                <w:sz w:val="22"/>
                <w:szCs w:val="22"/>
              </w:rPr>
            </w:pPr>
            <w:r w:rsidRPr="0086351C">
              <w:rPr>
                <w:rFonts w:ascii="Arial" w:eastAsia="Arial" w:hAnsi="Arial" w:cs="Arial"/>
                <w:sz w:val="22"/>
                <w:szCs w:val="22"/>
              </w:rPr>
              <w:t xml:space="preserve">AUNAR ESFUERZOS TÉCNICOS, ADMINISTRATIVOS Y FINANCIEROS ENTRE LA AGENCIA DE DESARROLLO RURAL Y LA </w:t>
            </w:r>
            <w:r w:rsidRPr="0086351C">
              <w:rPr>
                <w:rFonts w:ascii="Arial" w:eastAsia="Arial" w:hAnsi="Arial" w:cs="Arial"/>
                <w:b/>
                <w:bCs/>
                <w:sz w:val="22"/>
                <w:szCs w:val="22"/>
              </w:rPr>
              <w:t>UNIVERSIDAD DE SUCRE</w:t>
            </w:r>
            <w:r w:rsidRPr="0086351C">
              <w:rPr>
                <w:rFonts w:ascii="Arial" w:eastAsia="Arial" w:hAnsi="Arial" w:cs="Arial"/>
                <w:sz w:val="22"/>
                <w:szCs w:val="22"/>
              </w:rPr>
              <w:t>, PARA LA PRESTACIÓN DEL SERVICIO PÚBLICO DE EXTENSIÓN AGROPECUARIA CONFORME A LO DISPUESTO EN LA LEY 1876 DE 2017, RESPONDIENDO A LA PRIORIZACIÓN DE PROGRAMAS Y ACCIONES CONTENIDAS EN EL PLAN DEPARTAMENTAL DE EXTENSIÓN AGROPECUARIA DEL DEPARTAMENTO DE SUCRE</w:t>
            </w:r>
          </w:p>
        </w:tc>
      </w:tr>
      <w:tr w:rsidR="000C6F96" w:rsidRPr="0086351C" w14:paraId="512C0085" w14:textId="77777777" w:rsidTr="32FDD0E3">
        <w:trPr>
          <w:trHeight w:val="60"/>
          <w:jc w:val="center"/>
        </w:trPr>
        <w:tc>
          <w:tcPr>
            <w:tcW w:w="28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hideMark/>
          </w:tcPr>
          <w:p w14:paraId="5016A086" w14:textId="77777777" w:rsidR="000C6F96" w:rsidRPr="0086351C" w:rsidRDefault="000C6F96" w:rsidP="1C5DF8D6">
            <w:pPr>
              <w:ind w:left="105"/>
              <w:textAlignment w:val="baseline"/>
              <w:rPr>
                <w:rFonts w:ascii="Arial" w:eastAsia="Tahoma" w:hAnsi="Arial" w:cs="Arial"/>
                <w:sz w:val="22"/>
                <w:szCs w:val="22"/>
              </w:rPr>
            </w:pPr>
            <w:r w:rsidRPr="0086351C">
              <w:rPr>
                <w:rFonts w:ascii="Arial" w:eastAsia="Tahoma" w:hAnsi="Arial" w:cs="Arial"/>
                <w:b/>
                <w:bCs/>
                <w:sz w:val="22"/>
                <w:szCs w:val="22"/>
              </w:rPr>
              <w:t>AREA QUE REQUIERE EL BIEN O SERVICIO</w:t>
            </w:r>
            <w:r w:rsidRPr="0086351C">
              <w:rPr>
                <w:rFonts w:ascii="Arial" w:eastAsia="Tahoma" w:hAnsi="Arial" w:cs="Arial"/>
                <w:sz w:val="22"/>
                <w:szCs w:val="22"/>
              </w:rPr>
              <w:t> </w:t>
            </w:r>
          </w:p>
        </w:tc>
        <w:tc>
          <w:tcPr>
            <w:tcW w:w="59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D7E41B8" w14:textId="424FDFD6" w:rsidR="000C6F96" w:rsidRPr="0086351C" w:rsidRDefault="000C6F96" w:rsidP="32FDD0E3">
            <w:pPr>
              <w:textAlignment w:val="baseline"/>
              <w:rPr>
                <w:rFonts w:ascii="Arial" w:eastAsia="Tahoma" w:hAnsi="Arial" w:cs="Arial"/>
                <w:sz w:val="22"/>
                <w:szCs w:val="22"/>
              </w:rPr>
            </w:pPr>
            <w:r w:rsidRPr="0086351C">
              <w:rPr>
                <w:rFonts w:ascii="Arial" w:eastAsia="Tahoma" w:hAnsi="Arial" w:cs="Arial"/>
                <w:sz w:val="22"/>
                <w:szCs w:val="22"/>
              </w:rPr>
              <w:t>Vicepresidencia de Integración Productiva. </w:t>
            </w:r>
          </w:p>
          <w:p w14:paraId="0F191AF6" w14:textId="3593591E" w:rsidR="000C6F96" w:rsidRPr="0086351C" w:rsidRDefault="180C81B3" w:rsidP="0053427E">
            <w:pPr>
              <w:textAlignment w:val="baseline"/>
              <w:rPr>
                <w:rFonts w:ascii="Arial" w:eastAsia="Tahoma" w:hAnsi="Arial" w:cs="Arial"/>
                <w:sz w:val="22"/>
                <w:szCs w:val="22"/>
              </w:rPr>
            </w:pPr>
            <w:r w:rsidRPr="0086351C">
              <w:rPr>
                <w:rFonts w:ascii="Arial" w:eastAsia="Tahoma" w:hAnsi="Arial" w:cs="Arial"/>
                <w:sz w:val="22"/>
                <w:szCs w:val="22"/>
              </w:rPr>
              <w:t>Dirección de Asistencia Técnica.</w:t>
            </w:r>
          </w:p>
        </w:tc>
      </w:tr>
    </w:tbl>
    <w:p w14:paraId="15BB0347" w14:textId="5A4EB1B6" w:rsidR="000C6F96" w:rsidRPr="0086351C" w:rsidRDefault="000C6F96" w:rsidP="1C5DF8D6">
      <w:pPr>
        <w:jc w:val="center"/>
        <w:rPr>
          <w:rFonts w:ascii="Arial" w:eastAsia="Tahoma" w:hAnsi="Arial" w:cs="Arial"/>
          <w:sz w:val="22"/>
          <w:szCs w:val="22"/>
        </w:rPr>
      </w:pPr>
    </w:p>
    <w:p w14:paraId="2C611A38" w14:textId="77777777" w:rsidR="00A84C5B" w:rsidRPr="0086351C" w:rsidRDefault="00A84C5B" w:rsidP="1C5DF8D6">
      <w:pPr>
        <w:jc w:val="center"/>
        <w:rPr>
          <w:rFonts w:ascii="Arial" w:eastAsia="Tahoma" w:hAnsi="Arial" w:cs="Arial"/>
          <w:sz w:val="22"/>
          <w:szCs w:val="22"/>
        </w:rPr>
      </w:pPr>
    </w:p>
    <w:p w14:paraId="18047B1F" w14:textId="02777B80" w:rsidR="004B2EA5" w:rsidRPr="0086351C" w:rsidRDefault="32FDD0E3" w:rsidP="32FDD0E3">
      <w:pPr>
        <w:pStyle w:val="Ttulo1"/>
        <w:framePr w:w="8566" w:wrap="around" w:hAnchor="page" w:x="1779" w:y="5"/>
        <w:numPr>
          <w:ilvl w:val="0"/>
          <w:numId w:val="0"/>
        </w:numPr>
        <w:spacing w:line="240" w:lineRule="auto"/>
        <w:jc w:val="left"/>
        <w:rPr>
          <w:rFonts w:ascii="Arial" w:eastAsia="Tahoma" w:hAnsi="Arial" w:cs="Arial"/>
          <w:sz w:val="22"/>
          <w:szCs w:val="22"/>
        </w:rPr>
      </w:pPr>
      <w:bookmarkStart w:id="0" w:name="_Toc178847876"/>
      <w:r w:rsidRPr="0086351C">
        <w:rPr>
          <w:rFonts w:ascii="Arial" w:hAnsi="Arial" w:cs="Arial"/>
          <w:sz w:val="22"/>
          <w:szCs w:val="22"/>
        </w:rPr>
        <w:t xml:space="preserve">1. </w:t>
      </w:r>
      <w:r w:rsidR="00413003" w:rsidRPr="0086351C">
        <w:rPr>
          <w:rFonts w:ascii="Arial" w:hAnsi="Arial" w:cs="Arial"/>
          <w:sz w:val="22"/>
          <w:szCs w:val="22"/>
        </w:rPr>
        <w:t>ASPECTOS GENERALES</w:t>
      </w:r>
      <w:bookmarkEnd w:id="0"/>
    </w:p>
    <w:p w14:paraId="70F7F179" w14:textId="2E134199" w:rsidR="00FE1FE1" w:rsidRPr="0086351C" w:rsidRDefault="00FE1FE1" w:rsidP="39B1CA44">
      <w:pPr>
        <w:pStyle w:val="Ttulo2"/>
        <w:numPr>
          <w:ilvl w:val="1"/>
          <w:numId w:val="29"/>
        </w:numPr>
        <w:rPr>
          <w:rFonts w:ascii="Arial" w:eastAsia="Tahoma" w:hAnsi="Arial" w:cs="Arial"/>
          <w:sz w:val="22"/>
          <w:szCs w:val="22"/>
        </w:rPr>
      </w:pPr>
      <w:bookmarkStart w:id="1" w:name="_Toc178847877"/>
      <w:r w:rsidRPr="39B1CA44">
        <w:rPr>
          <w:rFonts w:ascii="Arial" w:eastAsiaTheme="minorEastAsia" w:hAnsi="Arial" w:cs="Arial"/>
          <w:sz w:val="22"/>
          <w:szCs w:val="22"/>
        </w:rPr>
        <w:t>Descripción del servicio a contratar</w:t>
      </w:r>
      <w:bookmarkEnd w:id="1"/>
    </w:p>
    <w:p w14:paraId="74B62C12" w14:textId="2992DF55" w:rsidR="32FDD0E3" w:rsidRPr="0086351C" w:rsidRDefault="32FDD0E3" w:rsidP="32FDD0E3">
      <w:pPr>
        <w:rPr>
          <w:rFonts w:ascii="Arial" w:hAnsi="Arial" w:cs="Arial"/>
        </w:rPr>
      </w:pPr>
    </w:p>
    <w:p w14:paraId="35C7DF5F" w14:textId="5116C106" w:rsidR="00F540A0" w:rsidRPr="00506C6C" w:rsidRDefault="551BCD50" w:rsidP="00506C6C">
      <w:pPr>
        <w:spacing w:line="276" w:lineRule="auto"/>
        <w:jc w:val="both"/>
        <w:rPr>
          <w:rFonts w:ascii="Arial" w:eastAsia="Tahoma" w:hAnsi="Arial" w:cs="Arial"/>
          <w:i/>
          <w:iCs/>
          <w:sz w:val="22"/>
          <w:szCs w:val="22"/>
        </w:rPr>
      </w:pPr>
      <w:r w:rsidRPr="00506C6C">
        <w:rPr>
          <w:rFonts w:ascii="Arial" w:eastAsia="Tahoma" w:hAnsi="Arial" w:cs="Arial"/>
          <w:sz w:val="22"/>
          <w:szCs w:val="22"/>
        </w:rPr>
        <w:t xml:space="preserve">Partiendo de los consagrado en el mandato constitucional del artículo 64, se determina como deber del Estado promover el acceso progresivo a la propiedad de la tierra de los trabajadores agrarios, en forma individual o asociativa y a los servicios de educación, salud, vivienda, seguridad social, recreación, crédito, comunicaciones, comercialización de productos, asistencia técnica y empresarial, con el fin de mejorar el ingreso y calidad de vida de los campesinos.  A su vez, el artículo 65 de la Constitución dispone que: </w:t>
      </w:r>
      <w:r w:rsidRPr="00506C6C">
        <w:rPr>
          <w:rFonts w:ascii="Arial" w:eastAsia="Tahoma" w:hAnsi="Arial" w:cs="Arial"/>
          <w:i/>
          <w:iCs/>
          <w:sz w:val="22"/>
          <w:szCs w:val="22"/>
        </w:rPr>
        <w:t>“Se otorgará prioridad al desarrollo integral de las actividades agrícolas, pecuarias, pesqueras, forestales y agroindustriales, así como también a la construcción de obras de infraestructura física y adecuación de tierras.”</w:t>
      </w:r>
    </w:p>
    <w:p w14:paraId="4784BB8C" w14:textId="77777777" w:rsidR="00A84C5B" w:rsidRPr="00506C6C" w:rsidRDefault="00A84C5B" w:rsidP="00506C6C">
      <w:pPr>
        <w:spacing w:line="276" w:lineRule="auto"/>
        <w:jc w:val="both"/>
        <w:rPr>
          <w:rFonts w:ascii="Arial" w:eastAsia="Tahoma" w:hAnsi="Arial" w:cs="Arial"/>
          <w:i/>
          <w:iCs/>
          <w:sz w:val="22"/>
          <w:szCs w:val="22"/>
        </w:rPr>
      </w:pPr>
    </w:p>
    <w:p w14:paraId="2106230E" w14:textId="440A1412" w:rsidR="00F540A0" w:rsidRPr="00506C6C" w:rsidRDefault="551BCD50" w:rsidP="00506C6C">
      <w:pPr>
        <w:spacing w:line="276" w:lineRule="auto"/>
        <w:contextualSpacing/>
        <w:jc w:val="both"/>
        <w:rPr>
          <w:rFonts w:ascii="Arial" w:eastAsia="Tahoma" w:hAnsi="Arial" w:cs="Arial"/>
          <w:i/>
          <w:iCs/>
          <w:sz w:val="22"/>
          <w:szCs w:val="22"/>
        </w:rPr>
      </w:pPr>
      <w:r w:rsidRPr="00506C6C">
        <w:rPr>
          <w:rFonts w:ascii="Arial" w:eastAsia="Tahoma" w:hAnsi="Arial" w:cs="Arial"/>
          <w:sz w:val="22"/>
          <w:szCs w:val="22"/>
        </w:rPr>
        <w:t xml:space="preserve">Por </w:t>
      </w:r>
      <w:r w:rsidR="09A7640F" w:rsidRPr="00506C6C">
        <w:rPr>
          <w:rFonts w:ascii="Arial" w:eastAsia="Tahoma" w:hAnsi="Arial" w:cs="Arial"/>
          <w:sz w:val="22"/>
          <w:szCs w:val="22"/>
        </w:rPr>
        <w:t>s</w:t>
      </w:r>
      <w:r w:rsidRPr="00506C6C">
        <w:rPr>
          <w:rFonts w:ascii="Arial" w:eastAsia="Tahoma" w:hAnsi="Arial" w:cs="Arial"/>
          <w:sz w:val="22"/>
          <w:szCs w:val="22"/>
        </w:rPr>
        <w:t>u parte, el artículo 65 de la Constitución señala que “</w:t>
      </w:r>
      <w:r w:rsidRPr="00506C6C">
        <w:rPr>
          <w:rFonts w:ascii="Arial" w:eastAsia="Tahoma" w:hAnsi="Arial" w:cs="Arial"/>
          <w:i/>
          <w:iCs/>
          <w:sz w:val="22"/>
          <w:szCs w:val="22"/>
        </w:rPr>
        <w:t xml:space="preserve">la producción de alimentos gozará de la especial protección del Estado.  Para tal efecto, se otorgará prioridad al desarrollo integral de las actividades agrícolas, pecuarias, pesqueras, forestales y agroindustriales, así como también a la construcción de obras de infraestructura física y adecuación de tierras. De igual manera, el Estado promoverá la investigación y la transferencia de tecnología para la producción de alimentos y materias primas de origen agropecuario, con el propósito de incrementar la productividad" </w:t>
      </w:r>
    </w:p>
    <w:p w14:paraId="037B8F54" w14:textId="77777777" w:rsidR="00F540A0" w:rsidRPr="00506C6C" w:rsidRDefault="00F540A0" w:rsidP="00506C6C">
      <w:pPr>
        <w:spacing w:line="276" w:lineRule="auto"/>
        <w:contextualSpacing/>
        <w:jc w:val="both"/>
        <w:rPr>
          <w:rFonts w:ascii="Arial" w:eastAsia="Tahoma" w:hAnsi="Arial" w:cs="Arial"/>
          <w:sz w:val="22"/>
          <w:szCs w:val="22"/>
        </w:rPr>
      </w:pPr>
    </w:p>
    <w:p w14:paraId="2DE989A1" w14:textId="4DD843D4" w:rsidR="00F540A0" w:rsidRPr="00506C6C" w:rsidRDefault="00F540A0" w:rsidP="00506C6C">
      <w:pPr>
        <w:spacing w:line="276" w:lineRule="auto"/>
        <w:contextualSpacing/>
        <w:jc w:val="both"/>
        <w:rPr>
          <w:rFonts w:ascii="Arial" w:eastAsia="Tahoma" w:hAnsi="Arial" w:cs="Arial"/>
          <w:i/>
          <w:iCs/>
          <w:sz w:val="22"/>
          <w:szCs w:val="22"/>
        </w:rPr>
      </w:pPr>
      <w:r w:rsidRPr="00506C6C">
        <w:rPr>
          <w:rFonts w:ascii="Arial" w:eastAsia="Tahoma" w:hAnsi="Arial" w:cs="Arial"/>
          <w:sz w:val="22"/>
          <w:szCs w:val="22"/>
        </w:rPr>
        <w:t xml:space="preserve">De conformidad con lo dispuesto en el Decreto 2364 de 2015 </w:t>
      </w:r>
      <w:r w:rsidRPr="00506C6C">
        <w:rPr>
          <w:rFonts w:ascii="Arial" w:eastAsia="Tahoma" w:hAnsi="Arial" w:cs="Arial"/>
          <w:i/>
          <w:iCs/>
          <w:sz w:val="22"/>
          <w:szCs w:val="22"/>
        </w:rPr>
        <w:t>“</w:t>
      </w:r>
      <w:r w:rsidR="0BDE6B6D" w:rsidRPr="00506C6C">
        <w:rPr>
          <w:rFonts w:ascii="Arial" w:eastAsia="Tahoma" w:hAnsi="Arial" w:cs="Arial"/>
          <w:i/>
          <w:iCs/>
          <w:sz w:val="22"/>
          <w:szCs w:val="22"/>
        </w:rPr>
        <w:t>P</w:t>
      </w:r>
      <w:r w:rsidRPr="00506C6C">
        <w:rPr>
          <w:rFonts w:ascii="Arial" w:eastAsia="Tahoma" w:hAnsi="Arial" w:cs="Arial"/>
          <w:i/>
          <w:iCs/>
          <w:sz w:val="22"/>
          <w:szCs w:val="22"/>
        </w:rPr>
        <w:t>or el cual se crea la Agencia de Desarrollo Rural – ADR, se determinan su objeto y su estructura orgánica</w:t>
      </w:r>
      <w:r w:rsidRPr="00506C6C">
        <w:rPr>
          <w:rFonts w:ascii="Arial" w:eastAsia="Tahoma" w:hAnsi="Arial" w:cs="Arial"/>
          <w:sz w:val="22"/>
          <w:szCs w:val="22"/>
        </w:rPr>
        <w:t xml:space="preserve">” señala en su artículo 1, lo siguiente: </w:t>
      </w:r>
      <w:r w:rsidRPr="00506C6C">
        <w:rPr>
          <w:rFonts w:ascii="Arial" w:eastAsia="Tahoma" w:hAnsi="Arial" w:cs="Arial"/>
          <w:i/>
          <w:iCs/>
          <w:sz w:val="22"/>
          <w:szCs w:val="22"/>
        </w:rPr>
        <w:t>“</w:t>
      </w:r>
      <w:r w:rsidRPr="00506C6C">
        <w:rPr>
          <w:rFonts w:ascii="Arial" w:eastAsia="Tahoma" w:hAnsi="Arial" w:cs="Arial"/>
          <w:b/>
          <w:bCs/>
          <w:i/>
          <w:iCs/>
          <w:sz w:val="22"/>
          <w:szCs w:val="22"/>
        </w:rPr>
        <w:t>Creación y naturaleza jurídica de la Agencia de Desarrollo Rural-ADR</w:t>
      </w:r>
      <w:r w:rsidRPr="00506C6C">
        <w:rPr>
          <w:rFonts w:ascii="Arial" w:eastAsia="Tahoma" w:hAnsi="Arial" w:cs="Arial"/>
          <w:i/>
          <w:iCs/>
          <w:sz w:val="22"/>
          <w:szCs w:val="22"/>
        </w:rPr>
        <w:t xml:space="preserve">. Créase la Agencia de Desarrollo Rural -ADR, como una agencia estatal de naturaleza especial, del sector descentralizado de la Rama Ejecutiva del Orden Nacional, con personería jurídica, patrimonio propio y autonomía administrativa, técnica y financiera, adscrita al Ministerio de Agricultura y Desarrollo Rural”. </w:t>
      </w:r>
    </w:p>
    <w:p w14:paraId="7351B9A1" w14:textId="77777777" w:rsidR="00F540A0" w:rsidRPr="00506C6C" w:rsidRDefault="00F540A0" w:rsidP="00506C6C">
      <w:pPr>
        <w:spacing w:line="276" w:lineRule="auto"/>
        <w:contextualSpacing/>
        <w:jc w:val="both"/>
        <w:rPr>
          <w:rFonts w:ascii="Arial" w:eastAsia="Tahoma" w:hAnsi="Arial" w:cs="Arial"/>
          <w:sz w:val="22"/>
          <w:szCs w:val="22"/>
        </w:rPr>
      </w:pPr>
    </w:p>
    <w:p w14:paraId="214B5505" w14:textId="2EEB79C0" w:rsidR="00F540A0" w:rsidRPr="00506C6C" w:rsidRDefault="00F540A0" w:rsidP="00506C6C">
      <w:pPr>
        <w:spacing w:line="276" w:lineRule="auto"/>
        <w:jc w:val="both"/>
        <w:rPr>
          <w:rFonts w:ascii="Arial" w:eastAsia="Tahoma" w:hAnsi="Arial" w:cs="Arial"/>
          <w:sz w:val="22"/>
          <w:szCs w:val="22"/>
        </w:rPr>
      </w:pPr>
      <w:r w:rsidRPr="00506C6C">
        <w:rPr>
          <w:rFonts w:ascii="Arial" w:eastAsia="Tahoma" w:hAnsi="Arial" w:cs="Arial"/>
          <w:sz w:val="22"/>
          <w:szCs w:val="22"/>
        </w:rPr>
        <w:t>Del mismo modo</w:t>
      </w:r>
      <w:r w:rsidR="18E469FE" w:rsidRPr="00506C6C">
        <w:rPr>
          <w:rFonts w:ascii="Arial" w:eastAsia="Tahoma" w:hAnsi="Arial" w:cs="Arial"/>
          <w:sz w:val="22"/>
          <w:szCs w:val="22"/>
        </w:rPr>
        <w:t>,</w:t>
      </w:r>
      <w:r w:rsidRPr="00506C6C">
        <w:rPr>
          <w:rFonts w:ascii="Arial" w:eastAsia="Tahoma" w:hAnsi="Arial" w:cs="Arial"/>
          <w:sz w:val="22"/>
          <w:szCs w:val="22"/>
        </w:rPr>
        <w:t xml:space="preserve"> en el artículo 9 numeral 4 del mencionado Decreto dispone: “</w:t>
      </w:r>
      <w:r w:rsidRPr="00506C6C">
        <w:rPr>
          <w:rFonts w:ascii="Arial" w:eastAsia="Tahoma" w:hAnsi="Arial" w:cs="Arial"/>
          <w:i/>
          <w:iCs/>
          <w:sz w:val="22"/>
          <w:szCs w:val="22"/>
        </w:rPr>
        <w:t xml:space="preserve">4. Definir y </w:t>
      </w:r>
      <w:r w:rsidRPr="00506C6C">
        <w:rPr>
          <w:rFonts w:ascii="Arial" w:eastAsia="Tahoma" w:hAnsi="Arial" w:cs="Arial"/>
          <w:b/>
          <w:bCs/>
          <w:i/>
          <w:iCs/>
          <w:sz w:val="22"/>
          <w:szCs w:val="22"/>
          <w:u w:val="single"/>
        </w:rPr>
        <w:t>adoptar los criterios para la asignación y distribución de recursos de la Agencia</w:t>
      </w:r>
      <w:r w:rsidRPr="00506C6C">
        <w:rPr>
          <w:rFonts w:ascii="Arial" w:eastAsia="Tahoma" w:hAnsi="Arial" w:cs="Arial"/>
          <w:i/>
          <w:iCs/>
          <w:sz w:val="22"/>
          <w:szCs w:val="22"/>
        </w:rPr>
        <w:t>, de conformidad con las políticas del Ministerio de Agricultura y Desarrollo Rural”.</w:t>
      </w:r>
      <w:r w:rsidRPr="00506C6C">
        <w:rPr>
          <w:rFonts w:ascii="Arial" w:eastAsia="Tahoma" w:hAnsi="Arial" w:cs="Arial"/>
          <w:sz w:val="22"/>
          <w:szCs w:val="22"/>
        </w:rPr>
        <w:t xml:space="preserve"> (subrayado y negrilla fuera del texto). </w:t>
      </w:r>
    </w:p>
    <w:p w14:paraId="2F217ED7" w14:textId="257AEDEB" w:rsidR="25956B64" w:rsidRPr="00506C6C" w:rsidRDefault="25956B64" w:rsidP="00506C6C">
      <w:pPr>
        <w:spacing w:line="276" w:lineRule="auto"/>
        <w:jc w:val="both"/>
        <w:rPr>
          <w:rFonts w:ascii="Arial" w:eastAsia="Tahoma" w:hAnsi="Arial" w:cs="Arial"/>
          <w:sz w:val="22"/>
          <w:szCs w:val="22"/>
        </w:rPr>
      </w:pPr>
    </w:p>
    <w:p w14:paraId="3CB16BA2" w14:textId="45615056" w:rsidR="62EBA249" w:rsidRPr="00506C6C" w:rsidRDefault="62EBA249" w:rsidP="00506C6C">
      <w:pPr>
        <w:spacing w:line="276" w:lineRule="auto"/>
        <w:ind w:left="-5" w:right="2"/>
        <w:jc w:val="both"/>
        <w:rPr>
          <w:rFonts w:ascii="Arial" w:hAnsi="Arial" w:cs="Arial"/>
          <w:sz w:val="22"/>
          <w:szCs w:val="22"/>
        </w:rPr>
      </w:pPr>
      <w:r w:rsidRPr="00506C6C">
        <w:rPr>
          <w:rFonts w:ascii="Arial" w:eastAsia="Arial" w:hAnsi="Arial" w:cs="Arial"/>
          <w:sz w:val="22"/>
          <w:szCs w:val="22"/>
        </w:rPr>
        <w:t xml:space="preserve">Dentro de las dependencias de la Agencia, se creó la Vicepresidencia de Integración Productiva, a la cual le fueron asignadas de acuerdo con lo establecido en el artículo 17 del Decreto de creación enunciado, las siguientes funciones: </w:t>
      </w:r>
    </w:p>
    <w:p w14:paraId="506E9A52" w14:textId="3C05957D"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3A6EE0E6" w14:textId="3D43C7F0"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“1. Elaborar los planes de acción para la ejecución de las políticas de desarrollo agropecuario y rural con enfoque territorial, a través de la estructuración de proyectos estratégicos nacionales bajo los lineamientos del Ministerio de Agricultura y Desarrollo Rural y del Consejo Directivo. </w:t>
      </w:r>
    </w:p>
    <w:p w14:paraId="292373DE" w14:textId="376E71A7"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72EE7147" w14:textId="4F25B57F"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2. Dirigir la estructuración de planes y proyectos integrales de desarrollo agropecuario y rural con enfoque territorial de iniciativa territorial o asociativa, en los componentes de asistencia técnica, de acceso a activos productivos, de adecuación de tierras y de comercialización, entre otros, bajo los criterios impartidos por el Presidente de la Agencia. </w:t>
      </w:r>
    </w:p>
    <w:p w14:paraId="01707BEE" w14:textId="7E777B6E"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4BD79B15" w14:textId="7A0832FE"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3. Impartir directrices para la articulación de los componentes de asistencia técnica, acceso a activos productivos, adecuación de tierras y comercialización, y sus respectivas modalidades de entrega, que permitan la integralidad de los proyectos de desarrollo agropecuario y rural y su alineación a la política formulada por el Ministerio de Agricultura y Desarrollo Rural. </w:t>
      </w:r>
    </w:p>
    <w:p w14:paraId="5A8965FD" w14:textId="7A8A58BA"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39FCFB8B" w14:textId="74DECBD8"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4. Proponer para aprobación del Presidente, los modelos de operación y ejecución de los proyectos que cofinancie la Agencia, incluidos los de asociación público-privada, las concesiones, los convenios marco de cofinanciación con entidades territoriales y los contratos con operadores, entre otros. </w:t>
      </w:r>
    </w:p>
    <w:p w14:paraId="70EAE928" w14:textId="1507F9F8"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5BA958A3" w14:textId="16D62A19"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5. Definir los requerimientos técnicos y financieros que deben cumplir los operadores para estructurar y ejecutar proyectos integrales de desarrollo agropecuario y rural. </w:t>
      </w:r>
    </w:p>
    <w:p w14:paraId="2D51C3A9" w14:textId="591CFB94"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lastRenderedPageBreak/>
        <w:t xml:space="preserve"> </w:t>
      </w:r>
    </w:p>
    <w:p w14:paraId="16309FEC" w14:textId="6300D9A5"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6. Definir los requerimientos técnicos y financieros para la contratación de la interventoría de los proyectos integrales de desarrollo agropecuario y rural. </w:t>
      </w:r>
    </w:p>
    <w:p w14:paraId="280A95D1" w14:textId="203F6C39"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559CA877" w14:textId="46D15EA6"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7. Coordinar y adelantar el proceso de supervisión técnica de los contratos celebrados para la estructuración, ejecución e interventoría de los proyectos integrales de desarrollo agropecuario y rural. </w:t>
      </w:r>
    </w:p>
    <w:p w14:paraId="5A059895" w14:textId="32D6691E"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362789BC" w14:textId="6A5B4644"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8. Dirigir y coordinar la gestión de las Unidades Técnicas Territoriales e impartir las directrices para la ejecución de sus funciones en el territorio. </w:t>
      </w:r>
    </w:p>
    <w:p w14:paraId="0097D2DD" w14:textId="711FA46E"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58DC9D03" w14:textId="1C176B69"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9. Impartir directrices a las Unidades Técnicas Territoriales para asistir a las entidades territoriales e instancias de integración territorial, en la elaboración y adopción de planes de desarrollo agropecuario y rural con enfoque territorial. </w:t>
      </w:r>
    </w:p>
    <w:p w14:paraId="776231FA" w14:textId="6C7AEF1C"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384346D3" w14:textId="7D8E7839"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10. Impartir directrices y dar lineamientos para la coordinación interinstitucional de las Unidades Técnicas Territoriales, en el desarrollo de sus funciones y competencias en el territorio. </w:t>
      </w:r>
    </w:p>
    <w:p w14:paraId="665BD153" w14:textId="5311EA80"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0E5EC0EE" w14:textId="6193EB7A"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11. Definir campañas de difusión y socialización de los servicios de la Agencia relacionados con la formulación de planes y proyectos integrales de desarrollo productivo agropecuario y rural, en coordinación con la Oficina de Comunicaciones. </w:t>
      </w:r>
    </w:p>
    <w:p w14:paraId="60E73DC3" w14:textId="717C1C3C"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1D39EC8A" w14:textId="4FCA22E0"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12. Apoyar el desarrollo y sostenimiento del Sistema Integrado de Gestión Institucional. </w:t>
      </w:r>
    </w:p>
    <w:p w14:paraId="23D67025" w14:textId="59C03426"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 xml:space="preserve"> </w:t>
      </w:r>
    </w:p>
    <w:p w14:paraId="43DE4573" w14:textId="23508936" w:rsidR="62EBA249" w:rsidRPr="00506C6C" w:rsidRDefault="62EBA249" w:rsidP="00506C6C">
      <w:pPr>
        <w:pStyle w:val="Sinespaciado"/>
        <w:spacing w:line="276" w:lineRule="auto"/>
        <w:ind w:left="708" w:right="4"/>
        <w:jc w:val="both"/>
        <w:rPr>
          <w:rFonts w:ascii="Arial" w:hAnsi="Arial" w:cs="Arial"/>
        </w:rPr>
      </w:pPr>
      <w:r w:rsidRPr="00506C6C">
        <w:rPr>
          <w:rFonts w:ascii="Arial" w:eastAsia="Arial" w:hAnsi="Arial" w:cs="Arial"/>
          <w:i/>
          <w:iCs/>
        </w:rPr>
        <w:t>13. Las demás funciones asignadas que correspondan a la naturaleza de la dependencia.</w:t>
      </w:r>
    </w:p>
    <w:p w14:paraId="574C6AD3" w14:textId="21C32886"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1B9F30C0" w14:textId="59A9C7D4"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Vicepresidencia de Integración Productiva tiene a cargo a la Dirección de Asistencia Técnica, la cual hace parte de la Vicepresidencia De Integración Productiva, de acuerdo con el artículo 18 del Decreto Ley 2364 le corresponde: </w:t>
      </w:r>
    </w:p>
    <w:p w14:paraId="6456D904" w14:textId="480AB922"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 xml:space="preserve">1. Proponer los objetivos y metas para la estructuración de planes y proyectos integrales de desarrollo agropecuario y rural en el componente de asistencia técnica y acompañamiento integral, de conformidad con lo señalado en la Ley </w:t>
      </w:r>
      <w:hyperlink r:id="rId11" w:anchor="INICIO">
        <w:r w:rsidRPr="00506C6C">
          <w:rPr>
            <w:rStyle w:val="Hipervnculo"/>
            <w:rFonts w:ascii="Arial" w:eastAsia="Arial" w:hAnsi="Arial" w:cs="Arial"/>
            <w:i/>
            <w:iCs/>
            <w:sz w:val="22"/>
            <w:szCs w:val="22"/>
          </w:rPr>
          <w:t>607</w:t>
        </w:r>
      </w:hyperlink>
      <w:r w:rsidRPr="00506C6C">
        <w:rPr>
          <w:rFonts w:ascii="Arial" w:eastAsia="Arial" w:hAnsi="Arial" w:cs="Arial"/>
          <w:i/>
          <w:iCs/>
          <w:sz w:val="22"/>
          <w:szCs w:val="22"/>
        </w:rPr>
        <w:t xml:space="preserve"> de 2000</w:t>
      </w:r>
      <w:hyperlink r:id="rId12" w:anchor="_ftn1">
        <w:r w:rsidRPr="00506C6C">
          <w:rPr>
            <w:rStyle w:val="Hipervnculo"/>
            <w:rFonts w:ascii="Arial" w:eastAsia="Arial" w:hAnsi="Arial" w:cs="Arial"/>
            <w:b/>
            <w:bCs/>
            <w:i/>
            <w:iCs/>
            <w:sz w:val="22"/>
            <w:szCs w:val="22"/>
            <w:vertAlign w:val="superscript"/>
          </w:rPr>
          <w:t>[1]</w:t>
        </w:r>
      </w:hyperlink>
      <w:r w:rsidRPr="00506C6C">
        <w:rPr>
          <w:rFonts w:ascii="Arial" w:eastAsia="Arial" w:hAnsi="Arial" w:cs="Arial"/>
          <w:i/>
          <w:iCs/>
          <w:sz w:val="22"/>
          <w:szCs w:val="22"/>
        </w:rPr>
        <w:t>, en las normas que la modifiquen, adicionen o sustituyan, y con la política del Ministerio de Agricultura y Desarrollo Rural.</w:t>
      </w:r>
    </w:p>
    <w:p w14:paraId="3F3BC9A3" w14:textId="42679A79"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2. Estructurar técnica, financiera, ambiental y legalmente el componente de asistencia técnica y acompañamiento integral, en los planes y proyectos integrales de desarrollo agropecuario y rural.</w:t>
      </w:r>
    </w:p>
    <w:p w14:paraId="008BA539" w14:textId="0F75AECF"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lastRenderedPageBreak/>
        <w:t>3. Diseñar esquemas de Asistencia Técnica acordes con las necesidades y diferencias de los territorios en los que se ejecuten proyectos integrales de desarrollo agropecuario y rural.</w:t>
      </w:r>
    </w:p>
    <w:p w14:paraId="7595505C" w14:textId="3147B5E3"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4. Aplicar los instrumentos a través de los cuales se ofrecen los servicios de asistencia técnica y acompañamiento integral, así como el modelo de operación y ejecución, en cumplimiento de las políticas del Ministerio de Agricultura y Desarrollo Rural.</w:t>
      </w:r>
    </w:p>
    <w:p w14:paraId="2596DE2E" w14:textId="585C69AE"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5. Establecer los criterios y prioridades que deben aplicar las entidades territoriales para la formulación del componente de asistencia técnica y acompañamiento integral en los planes y proyectos integrales de desarrollo agropecuario y rural de origen territorial o asociativo.</w:t>
      </w:r>
    </w:p>
    <w:p w14:paraId="17CAFAAE" w14:textId="06B59540"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6. Proponer criterios para la integración del componente de asistencia técnica y acompañamiento integral con los componentes de acceso a activos productivos, adecuación de tierras, y comercialización, entre otros, en la estructuración de proyectos integrales de desarrollo agropecuario y rural.</w:t>
      </w:r>
    </w:p>
    <w:p w14:paraId="18F5F774" w14:textId="7FE53B2D"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7. Diseñar manuales, procedimientos y formatos para la estructuración del componente de asistencia técnica y acompañamiento integral.</w:t>
      </w:r>
    </w:p>
    <w:p w14:paraId="37E7CD41" w14:textId="485CB541"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8. Proponer a la Dirección de Evaluación de la Vicepresidencia de Proyectos, los indicadores y metodologías para el seguimiento y control a los proyectos integrales de desarrollo agropecuario y rural en el componente de asistencia técnica y acompañamiento integral.</w:t>
      </w:r>
    </w:p>
    <w:p w14:paraId="6FFD9D98" w14:textId="5621719D"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9. Definir las condiciones técnicas y de capacidad financiera para los procesos de contratación de operadores del componente de asistencia técnica y acompañamiento integral.</w:t>
      </w:r>
    </w:p>
    <w:p w14:paraId="2256ED3A" w14:textId="2D8E37E3"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10. Apoyar el desarrollo y sostenimiento del Sistema Integrado de Gestión Institucional.</w:t>
      </w:r>
    </w:p>
    <w:p w14:paraId="79DAA5BA" w14:textId="62044094" w:rsidR="62EBA249" w:rsidRPr="00506C6C" w:rsidRDefault="62EBA249" w:rsidP="00506C6C">
      <w:pPr>
        <w:spacing w:before="240" w:after="240" w:line="276" w:lineRule="auto"/>
        <w:ind w:left="567"/>
        <w:jc w:val="both"/>
        <w:rPr>
          <w:rFonts w:ascii="Arial" w:hAnsi="Arial" w:cs="Arial"/>
          <w:sz w:val="22"/>
          <w:szCs w:val="22"/>
        </w:rPr>
      </w:pPr>
      <w:r w:rsidRPr="00506C6C">
        <w:rPr>
          <w:rFonts w:ascii="Arial" w:eastAsia="Arial" w:hAnsi="Arial" w:cs="Arial"/>
          <w:i/>
          <w:iCs/>
          <w:sz w:val="22"/>
          <w:szCs w:val="22"/>
        </w:rPr>
        <w:t>11. Las demás que le sean asignadas de conformidad con lo establecido en la ley</w:t>
      </w:r>
    </w:p>
    <w:p w14:paraId="5AEF1785" w14:textId="5C5F6407"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68DBEE19" w14:textId="2139FA95"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En consonancia con las funciones descritas, la Dirección de Asistencia Técnica bajo los lineamientos de la Vicepresidencia de Integración productiva debe cumplir con la reglamentación de la Ley 1876 de 2017, por medio de la cual se creó y puso en marcha del Sistema Nacional de Innovación Agropecuaria (SNIA), en busca de promover y dinamizar procesos de innovación para mejorar la productividad y la sostenibilidad del agro colombiano; como parte del Sistema Nacional de Competitividad, Ciencia, Tecnología e Innovación, el SNIA desarrollo tres subsistemas: 1. Investigación y desarrollo agropecuario. </w:t>
      </w:r>
      <w:r w:rsidRPr="00506C6C">
        <w:rPr>
          <w:rFonts w:ascii="Arial" w:eastAsia="Arial" w:hAnsi="Arial" w:cs="Arial"/>
          <w:sz w:val="22"/>
          <w:szCs w:val="22"/>
        </w:rPr>
        <w:lastRenderedPageBreak/>
        <w:t>2. Formación y capacitación para la innovación agropecuaria. 3. Extensión agropecuaria, con los cuales se crean nuevas funciones, competencias y mecanismos de articulación de las entidades y organismos de coordinación del orden nacional y territorial.</w:t>
      </w:r>
    </w:p>
    <w:p w14:paraId="437A874E" w14:textId="200ABF02"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2340102A" w14:textId="0C9B78FE"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El Subsistema Nacional de Extensión Agropecuaria es definido como el conjunto de políticas, instrumentos y actores, así como las relaciones que estos promueven para orientar, planificar, implementar, hacer seguimiento y evaluar la prestación del servicio de extensión agropecuaria que tiene lugar en el ámbito rural nacional, coordinado por el Ministerio de Agricultura y desarrollo Rural y del cual la Agencia de Desarrollo Rural, es uno de los principales actores.</w:t>
      </w:r>
    </w:p>
    <w:p w14:paraId="32524156" w14:textId="1CF12AE5"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22A58DCC" w14:textId="6F9B6793"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Ahora bien, de acuerdo con el parágrafo 1° del artículo 35 de la Ley 1876 de 2017 </w:t>
      </w:r>
      <w:r w:rsidRPr="00506C6C">
        <w:rPr>
          <w:rFonts w:ascii="Arial" w:eastAsia="Arial" w:hAnsi="Arial" w:cs="Arial"/>
          <w:i/>
          <w:iCs/>
          <w:sz w:val="22"/>
          <w:szCs w:val="22"/>
        </w:rPr>
        <w:t xml:space="preserve">“(..) El Ministerio de Agricultura y Desarrollo Rural y la Agencia de Desarrollo Rural estarán facultados para contratar EPSEA que presten el servicio público de extensión agropecuaria de conformidad con lo dispuesto en la presente ley (..)”. </w:t>
      </w:r>
      <w:r w:rsidRPr="00506C6C">
        <w:rPr>
          <w:rFonts w:ascii="Arial" w:eastAsia="Arial" w:hAnsi="Arial" w:cs="Arial"/>
          <w:sz w:val="22"/>
          <w:szCs w:val="22"/>
        </w:rPr>
        <w:t>En ese marco, y en cumplimiento de lo dispuesto en la normatividad de la contratación pública, la Agencia de Desarrollo Rural atendiendo la ejecución de su política pública misional para los proyectos de extensión agropecuaria y, en su autonomía, define los mecanismos para la ejecución de sus recursos, para lo cual adelanta los procesos correspondientes en función del cumplimiento de los fines estatales y con el objeto de garantizar la efectiva prestación del servicio público de extensión agropecuaria en el territorio y dirigida a los productores del campo.</w:t>
      </w:r>
    </w:p>
    <w:p w14:paraId="7C2D0594" w14:textId="29E0F470"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69C75B44" w14:textId="340AC88B" w:rsidR="62EBA249" w:rsidRPr="00506C6C" w:rsidRDefault="62EBA249" w:rsidP="00506C6C">
      <w:pPr>
        <w:spacing w:line="276" w:lineRule="auto"/>
        <w:jc w:val="both"/>
        <w:rPr>
          <w:rFonts w:ascii="Arial" w:eastAsia="Arial" w:hAnsi="Arial" w:cs="Arial"/>
          <w:sz w:val="22"/>
          <w:szCs w:val="22"/>
        </w:rPr>
      </w:pPr>
      <w:r w:rsidRPr="00506C6C">
        <w:rPr>
          <w:rFonts w:ascii="Arial" w:eastAsia="Arial" w:hAnsi="Arial" w:cs="Arial"/>
          <w:sz w:val="22"/>
          <w:szCs w:val="22"/>
        </w:rPr>
        <w:t>En ese orden de ideas, resulta importante indicar que en el marco de la Prestación ser Servicio Público de extensión Agropecuaria se promueve desde la Agencia de Desarrollo Rural la territorialización de la extensión agropecuaria y frente a esta perspectiva y orientación de trabajo se encuentra enfocada en promover la innovación, calidad, oportunidad y pertinencia, en la prestación del Servicio Público de Extensión Agropecuaria (SPEA).</w:t>
      </w:r>
    </w:p>
    <w:p w14:paraId="75DA7C2A" w14:textId="5A5F2819"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0E25BB29" w14:textId="0774EC38"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Del mismo modo, el artículo 3 de la Ley 1876 de 2017, define como principios del Sistema Nacional de Innovación Agropecuaria los siguientes: articulación, </w:t>
      </w:r>
      <w:r w:rsidRPr="00506C6C">
        <w:rPr>
          <w:rFonts w:ascii="Arial" w:eastAsia="Arial" w:hAnsi="Arial" w:cs="Arial"/>
          <w:b/>
          <w:bCs/>
          <w:sz w:val="22"/>
          <w:szCs w:val="22"/>
          <w:u w:val="single"/>
        </w:rPr>
        <w:t>enfoque territorial</w:t>
      </w:r>
      <w:r w:rsidRPr="00506C6C">
        <w:rPr>
          <w:rFonts w:ascii="Arial" w:eastAsia="Arial" w:hAnsi="Arial" w:cs="Arial"/>
          <w:sz w:val="22"/>
          <w:szCs w:val="22"/>
        </w:rPr>
        <w:t xml:space="preserve">, enfoque diferencial, enfoque de asociatividad, ordenamiento social y uso productivo del territorio, participación de los actores del Sistema Nacional de Innovación Agropecuaria, desarrollo sostenible, orientación al mercado e incorporación a cadenas de valor, gradualidad y temporalidad, propiedad intelectual, productores como agentes de I+D+i y seguridad alimentaria y nutricional, cuya aplicación debe ser integral en cada uno de los Subsistemas. </w:t>
      </w:r>
    </w:p>
    <w:p w14:paraId="61D370FC" w14:textId="0FCF134D"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2F4C186B" w14:textId="7D6BBA84"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Para el Subsistema de Extensión Agropecuaria, estos principios son un marco orientador que brinda una perspectiva amplia y clara para una adecuada planificación, implementación, seguimiento y evaluación de la prestación del Servicio Público de Extensión Agropecuaria.  </w:t>
      </w:r>
    </w:p>
    <w:p w14:paraId="77C58632" w14:textId="6B9E8479"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lastRenderedPageBreak/>
        <w:t xml:space="preserve"> </w:t>
      </w:r>
    </w:p>
    <w:p w14:paraId="048D2EB3" w14:textId="448E49F1"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Así las cosas, la Agencia de Desarrollo Rural, en cumplimiento a las funciones establecidas, debe realizar todas aquellas acciones orientadas a proveer y mejorar las capacidades, herramientas e instrumentos requeridos para ejecutar las disposiciones de la Ley 1876 de 2017, en especial todo lo relacionado con la prestación del servicio público de extensión agropecuaria con el cual, entre otras, contribuya a mejorar las competencias a los productores. </w:t>
      </w:r>
    </w:p>
    <w:p w14:paraId="62665ABE" w14:textId="3BD3252C"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7C740E5C" w14:textId="6E1A7D63"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Es así como la Agencia de Desarrollo Rural, en busca de prestar un servicio en oportunidad y calidad se articula con aliados estratégicos como actores para esta territorialización en aras de fortalecer la ejecución de proyectos de extensión agropecuaria, realizando transferencia de tecnología agropecuaria a la medida, vinculando a profesionales cualificados y con experiencia en extensión agropecuaria que permita llegar a los usuarios con una oferta de conocimientos técnicos y tecnológicos que conlleven a mejorar la productividad, competitividad y generación de ingresos de los productores del agro colombiano, logrando así una trasformación social, económica y productiva de los mismos.</w:t>
      </w:r>
    </w:p>
    <w:p w14:paraId="07258DEE" w14:textId="39346CE2"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 xml:space="preserve"> </w:t>
      </w:r>
    </w:p>
    <w:p w14:paraId="039AC973" w14:textId="24A9F088" w:rsidR="62EBA249" w:rsidRPr="00506C6C" w:rsidRDefault="62EBA249" w:rsidP="00506C6C">
      <w:pPr>
        <w:spacing w:line="276" w:lineRule="auto"/>
        <w:jc w:val="both"/>
        <w:rPr>
          <w:rFonts w:ascii="Arial" w:hAnsi="Arial" w:cs="Arial"/>
          <w:sz w:val="22"/>
          <w:szCs w:val="22"/>
        </w:rPr>
      </w:pPr>
      <w:r w:rsidRPr="00506C6C">
        <w:rPr>
          <w:rFonts w:ascii="Arial" w:eastAsia="Arial" w:hAnsi="Arial" w:cs="Arial"/>
          <w:sz w:val="22"/>
          <w:szCs w:val="22"/>
        </w:rPr>
        <w:t>En virtud de la competencia atribuida en el marco del Decreto Ley 2364 de 2015 en concordancia con la Ley 1876 de 2017, ha establecido la necesidad de que se preste el servicio público de extensión agropecuaria en el Departamento de Caquetá respondiendo a la priorización de programas y acciones contenidas en el plan departamental de extensión agropecuaria de Departamento.</w:t>
      </w:r>
    </w:p>
    <w:p w14:paraId="675E537C" w14:textId="77777777" w:rsidR="00A84C5B" w:rsidRPr="0086351C" w:rsidRDefault="00A84C5B" w:rsidP="1C5DF8D6">
      <w:pPr>
        <w:jc w:val="both"/>
        <w:rPr>
          <w:rFonts w:ascii="Arial" w:eastAsia="Tahoma" w:hAnsi="Arial" w:cs="Arial"/>
          <w:sz w:val="22"/>
          <w:szCs w:val="22"/>
          <w:lang w:val="es-ES"/>
        </w:rPr>
      </w:pPr>
    </w:p>
    <w:p w14:paraId="2FE27DB5" w14:textId="36222843" w:rsidR="00F540A0" w:rsidRPr="0086351C" w:rsidRDefault="482EE203" w:rsidP="00413003">
      <w:pPr>
        <w:pStyle w:val="Ttulo2"/>
        <w:numPr>
          <w:ilvl w:val="1"/>
          <w:numId w:val="29"/>
        </w:numPr>
        <w:rPr>
          <w:rFonts w:ascii="Arial" w:eastAsia="Tahoma" w:hAnsi="Arial" w:cs="Arial"/>
          <w:sz w:val="22"/>
          <w:szCs w:val="22"/>
          <w:lang w:val="es-ES"/>
        </w:rPr>
      </w:pPr>
      <w:bookmarkStart w:id="2" w:name="_Toc178847878"/>
      <w:r w:rsidRPr="39B1CA44">
        <w:rPr>
          <w:rFonts w:ascii="Arial" w:eastAsia="Tahoma" w:hAnsi="Arial" w:cs="Arial"/>
          <w:sz w:val="22"/>
          <w:szCs w:val="22"/>
          <w:lang w:val="es-ES"/>
        </w:rPr>
        <w:t>Plazo De Ejecución</w:t>
      </w:r>
      <w:bookmarkEnd w:id="2"/>
    </w:p>
    <w:p w14:paraId="5D1354A8" w14:textId="0B9E7B45" w:rsidR="32FDD0E3" w:rsidRPr="0086351C" w:rsidRDefault="32FDD0E3" w:rsidP="32FDD0E3">
      <w:pPr>
        <w:pStyle w:val="Textoindependiente"/>
        <w:ind w:right="49"/>
        <w:jc w:val="both"/>
        <w:rPr>
          <w:rStyle w:val="findhit"/>
          <w:rFonts w:ascii="Arial" w:hAnsi="Arial" w:cs="Arial"/>
        </w:rPr>
      </w:pPr>
    </w:p>
    <w:p w14:paraId="7ABD9A0C" w14:textId="37E55B12" w:rsidR="0036430B" w:rsidRPr="0086351C" w:rsidRDefault="0036430B" w:rsidP="00506C6C">
      <w:pPr>
        <w:pStyle w:val="Textoindependiente"/>
        <w:spacing w:line="276" w:lineRule="auto"/>
        <w:ind w:right="49"/>
        <w:jc w:val="both"/>
        <w:rPr>
          <w:rStyle w:val="normaltextrun"/>
          <w:rFonts w:ascii="Arial" w:hAnsi="Arial" w:cs="Arial"/>
        </w:rPr>
      </w:pPr>
      <w:r w:rsidRPr="0086351C">
        <w:rPr>
          <w:rStyle w:val="findhit"/>
          <w:rFonts w:ascii="Arial" w:hAnsi="Arial" w:cs="Arial"/>
        </w:rPr>
        <w:t>El plazo</w:t>
      </w:r>
      <w:r w:rsidRPr="0086351C">
        <w:rPr>
          <w:rStyle w:val="normaltextrun"/>
          <w:rFonts w:ascii="Arial" w:hAnsi="Arial" w:cs="Arial"/>
        </w:rPr>
        <w:t xml:space="preserve"> de ejecución del contrato será desde el cumplimiento de los requisitos de perfeccionamiento del contrato, y la suscripción del acta de inicio, hasta por el término </w:t>
      </w:r>
      <w:r w:rsidR="5C6746D0" w:rsidRPr="0086351C">
        <w:rPr>
          <w:rStyle w:val="normaltextrun"/>
          <w:rFonts w:ascii="Arial" w:hAnsi="Arial" w:cs="Arial"/>
        </w:rPr>
        <w:t>de dos meses y medio</w:t>
      </w:r>
      <w:r w:rsidRPr="0086351C">
        <w:rPr>
          <w:rStyle w:val="normaltextrun"/>
          <w:rFonts w:ascii="Arial" w:hAnsi="Arial" w:cs="Arial"/>
        </w:rPr>
        <w:t xml:space="preserve"> (</w:t>
      </w:r>
      <w:r w:rsidR="09F90121" w:rsidRPr="0086351C">
        <w:rPr>
          <w:rStyle w:val="normaltextrun"/>
          <w:rFonts w:ascii="Arial" w:hAnsi="Arial" w:cs="Arial"/>
        </w:rPr>
        <w:t>2</w:t>
      </w:r>
      <w:r w:rsidRPr="0086351C">
        <w:rPr>
          <w:rStyle w:val="normaltextrun"/>
          <w:rFonts w:ascii="Arial" w:hAnsi="Arial" w:cs="Arial"/>
        </w:rPr>
        <w:t>,5).</w:t>
      </w:r>
    </w:p>
    <w:p w14:paraId="2F9FABD2" w14:textId="7AA65EA6" w:rsidR="25956B64" w:rsidRPr="0086351C" w:rsidRDefault="25956B64" w:rsidP="25956B64">
      <w:pPr>
        <w:pStyle w:val="Textoindependiente"/>
        <w:ind w:right="49"/>
        <w:jc w:val="both"/>
        <w:rPr>
          <w:rStyle w:val="normaltextrun"/>
          <w:rFonts w:ascii="Arial" w:hAnsi="Arial" w:cs="Arial"/>
        </w:rPr>
      </w:pPr>
    </w:p>
    <w:p w14:paraId="4A86DDA9" w14:textId="77E03A02" w:rsidR="52121D8C" w:rsidRPr="0086351C" w:rsidRDefault="52121D8C" w:rsidP="32FDD0E3">
      <w:pPr>
        <w:pStyle w:val="Textoindependiente"/>
        <w:ind w:right="49"/>
        <w:jc w:val="both"/>
        <w:rPr>
          <w:rFonts w:ascii="Arial" w:hAnsi="Arial" w:cs="Arial"/>
        </w:rPr>
      </w:pPr>
      <w:r w:rsidRPr="0086351C">
        <w:rPr>
          <w:rFonts w:ascii="Arial" w:hAnsi="Arial" w:cs="Arial"/>
          <w:noProof/>
        </w:rPr>
        <w:drawing>
          <wp:inline distT="0" distB="0" distL="0" distR="0" wp14:anchorId="2058D915" wp14:editId="362E95AE">
            <wp:extent cx="5382176" cy="2419350"/>
            <wp:effectExtent l="0" t="0" r="9525" b="0"/>
            <wp:docPr id="1111243610" name="Imagen 111124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384497" cy="2420393"/>
                    </a:xfrm>
                    <a:prstGeom prst="rect">
                      <a:avLst/>
                    </a:prstGeom>
                  </pic:spPr>
                </pic:pic>
              </a:graphicData>
            </a:graphic>
          </wp:inline>
        </w:drawing>
      </w:r>
    </w:p>
    <w:p w14:paraId="3430F7DF" w14:textId="77777777" w:rsidR="00467A40" w:rsidRPr="0086351C" w:rsidRDefault="00467A40" w:rsidP="00467A40">
      <w:pPr>
        <w:pStyle w:val="Descripcin"/>
        <w:spacing w:after="0"/>
        <w:jc w:val="center"/>
        <w:rPr>
          <w:rFonts w:ascii="Arial" w:eastAsia="Arial" w:hAnsi="Arial" w:cs="Arial"/>
          <w:color w:val="auto"/>
        </w:rPr>
      </w:pPr>
      <w:r w:rsidRPr="0086351C">
        <w:rPr>
          <w:rFonts w:ascii="Arial" w:eastAsia="Arial" w:hAnsi="Arial" w:cs="Arial"/>
          <w:color w:val="auto"/>
        </w:rPr>
        <w:lastRenderedPageBreak/>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w:t>
      </w:r>
      <w:r w:rsidRPr="0086351C">
        <w:rPr>
          <w:rFonts w:ascii="Arial" w:hAnsi="Arial" w:cs="Arial"/>
          <w:color w:val="auto"/>
        </w:rPr>
        <w:fldChar w:fldCharType="end"/>
      </w:r>
      <w:r w:rsidRPr="0086351C">
        <w:rPr>
          <w:rFonts w:ascii="Arial" w:eastAsia="Arial" w:hAnsi="Arial" w:cs="Arial"/>
          <w:color w:val="auto"/>
        </w:rPr>
        <w:t>. Modelo del plazo de ejecución</w:t>
      </w:r>
    </w:p>
    <w:p w14:paraId="55A200AD" w14:textId="77777777" w:rsidR="00467A40" w:rsidRPr="0086351C" w:rsidRDefault="00467A40" w:rsidP="00467A40">
      <w:pPr>
        <w:pStyle w:val="Descripcin"/>
        <w:spacing w:after="0"/>
        <w:jc w:val="center"/>
        <w:rPr>
          <w:rFonts w:ascii="Arial" w:eastAsia="Arial" w:hAnsi="Arial" w:cs="Arial"/>
          <w:color w:val="auto"/>
        </w:rPr>
      </w:pPr>
      <w:r w:rsidRPr="0086351C">
        <w:rPr>
          <w:rFonts w:ascii="Arial" w:eastAsia="Arial" w:hAnsi="Arial" w:cs="Arial"/>
          <w:b/>
          <w:i w:val="0"/>
          <w:color w:val="auto"/>
        </w:rPr>
        <w:t>Fuente</w:t>
      </w:r>
      <w:r w:rsidRPr="0086351C">
        <w:rPr>
          <w:rFonts w:ascii="Arial" w:eastAsia="Arial" w:hAnsi="Arial" w:cs="Arial"/>
          <w:b/>
          <w:i w:val="0"/>
        </w:rPr>
        <w:t>:</w:t>
      </w:r>
      <w:r w:rsidRPr="0086351C">
        <w:rPr>
          <w:rFonts w:ascii="Arial" w:eastAsia="Arial" w:hAnsi="Arial" w:cs="Arial"/>
          <w:i w:val="0"/>
        </w:rPr>
        <w:t xml:space="preserve"> </w:t>
      </w:r>
      <w:r w:rsidRPr="0086351C">
        <w:rPr>
          <w:rFonts w:ascii="Arial" w:eastAsia="Arial" w:hAnsi="Arial" w:cs="Arial"/>
          <w:i w:val="0"/>
          <w:color w:val="auto"/>
        </w:rPr>
        <w:t>Equipo Técnico Dirección de Asistencia Técnica -DAT ADR,2024</w:t>
      </w:r>
    </w:p>
    <w:p w14:paraId="44FA403E" w14:textId="59130DAA" w:rsidR="0036430B" w:rsidRPr="0086351C" w:rsidRDefault="0036430B" w:rsidP="004D7F2F">
      <w:pPr>
        <w:pStyle w:val="Textoindependiente"/>
        <w:ind w:right="49"/>
        <w:jc w:val="both"/>
        <w:rPr>
          <w:rFonts w:ascii="Arial" w:hAnsi="Arial" w:cs="Arial"/>
        </w:rPr>
      </w:pPr>
    </w:p>
    <w:p w14:paraId="11370497" w14:textId="77777777" w:rsidR="0036430B" w:rsidRPr="0086351C" w:rsidRDefault="0036430B" w:rsidP="00506C6C">
      <w:pPr>
        <w:spacing w:line="276" w:lineRule="auto"/>
        <w:jc w:val="both"/>
        <w:rPr>
          <w:rFonts w:ascii="Arial" w:hAnsi="Arial" w:cs="Arial"/>
          <w:sz w:val="22"/>
          <w:szCs w:val="22"/>
        </w:rPr>
      </w:pPr>
      <w:r w:rsidRPr="0086351C">
        <w:rPr>
          <w:rFonts w:ascii="Arial" w:hAnsi="Arial" w:cs="Arial"/>
          <w:sz w:val="22"/>
          <w:szCs w:val="22"/>
        </w:rPr>
        <w:t>Esta la línea de tiempo ofrece una representación visual de cómo se distribuyen las actividades necesarias para el desarrollo del servicio de extensión agropecuaria a lo largo del plazo de ejecución del convenio, desde las fases de alistamiento y la planificación inicial hasta la implementación y evaluación, destacando la importancia de un enfoque sistémico y progresivo para lograr resultados efectivos y sostenibles. </w:t>
      </w:r>
    </w:p>
    <w:p w14:paraId="06B7D333" w14:textId="77777777" w:rsidR="0036430B" w:rsidRPr="0086351C" w:rsidRDefault="0036430B" w:rsidP="00506C6C">
      <w:pPr>
        <w:spacing w:line="276" w:lineRule="auto"/>
        <w:jc w:val="both"/>
        <w:rPr>
          <w:rFonts w:ascii="Arial" w:hAnsi="Arial" w:cs="Arial"/>
          <w:sz w:val="22"/>
          <w:szCs w:val="22"/>
        </w:rPr>
      </w:pPr>
    </w:p>
    <w:p w14:paraId="552E03CC" w14:textId="77777777" w:rsidR="0036430B" w:rsidRPr="0086351C" w:rsidRDefault="0036430B" w:rsidP="00506C6C">
      <w:pPr>
        <w:spacing w:line="276" w:lineRule="auto"/>
        <w:jc w:val="both"/>
        <w:rPr>
          <w:rFonts w:ascii="Arial" w:hAnsi="Arial" w:cs="Arial"/>
          <w:sz w:val="22"/>
          <w:szCs w:val="22"/>
        </w:rPr>
      </w:pPr>
      <w:r w:rsidRPr="0086351C">
        <w:rPr>
          <w:rFonts w:ascii="Arial" w:hAnsi="Arial" w:cs="Arial"/>
          <w:sz w:val="22"/>
          <w:szCs w:val="22"/>
        </w:rPr>
        <w:t>Se observa un enfoque inicial en acciones de alistamiento y planeación, lo que sugiere un periodo destinado a establecer las bases para una prestación de servicio de mayor calidad. Esta fase incluye la identificación de necesidades, el diseño de estrategias y la preparación de recursos necesarios para la implementación. Se encuentra que el enfoque hacia la implementación de acciones identificadas en los proyectos de extensión está orientado en la ejecución de actividades destinadas a desarrollar capacidades en los productores y a cumplir con los indicadores previstos para el servicio. Se espera que durante este periodo se vean resultados tangibles derivados de las acciones implementadas, lo que contribuirá al fortalecimiento de la extensión agropecuaria y al beneficio de los beneficiarios finales. </w:t>
      </w:r>
    </w:p>
    <w:p w14:paraId="615492C2" w14:textId="77777777" w:rsidR="0036430B" w:rsidRPr="0086351C" w:rsidRDefault="0036430B" w:rsidP="00506C6C">
      <w:pPr>
        <w:spacing w:line="276" w:lineRule="auto"/>
        <w:jc w:val="both"/>
        <w:rPr>
          <w:rStyle w:val="eop"/>
          <w:rFonts w:ascii="Arial" w:hAnsi="Arial" w:cs="Arial"/>
          <w:sz w:val="22"/>
          <w:szCs w:val="22"/>
        </w:rPr>
      </w:pPr>
    </w:p>
    <w:p w14:paraId="44645B5E" w14:textId="77777777" w:rsidR="0036430B" w:rsidRPr="0086351C" w:rsidRDefault="0036430B" w:rsidP="00506C6C">
      <w:pPr>
        <w:spacing w:line="276" w:lineRule="auto"/>
        <w:jc w:val="both"/>
        <w:rPr>
          <w:rFonts w:ascii="Arial" w:eastAsia="Tahoma" w:hAnsi="Arial" w:cs="Arial"/>
          <w:sz w:val="22"/>
          <w:szCs w:val="22"/>
        </w:rPr>
      </w:pPr>
      <w:r w:rsidRPr="0086351C">
        <w:rPr>
          <w:rStyle w:val="eop"/>
          <w:rFonts w:ascii="Arial" w:hAnsi="Arial" w:cs="Arial"/>
          <w:sz w:val="22"/>
          <w:szCs w:val="22"/>
        </w:rPr>
        <w:t>Las actividades convenidas para la ejecución del contrato serán previstas en el cronograma presentado por la Entidad Prestadora del Servicio de Extensión Agropecuaria – EPSEA dentro de su Plan Operativo de Trabajo previamente aprobado por el supervisor.</w:t>
      </w:r>
    </w:p>
    <w:p w14:paraId="59120116" w14:textId="77777777" w:rsidR="0036430B" w:rsidRPr="0086351C" w:rsidRDefault="0036430B" w:rsidP="00506C6C">
      <w:pPr>
        <w:spacing w:line="276" w:lineRule="auto"/>
        <w:jc w:val="both"/>
        <w:rPr>
          <w:rFonts w:ascii="Arial" w:eastAsia="Tahoma" w:hAnsi="Arial" w:cs="Arial"/>
          <w:sz w:val="22"/>
          <w:szCs w:val="22"/>
        </w:rPr>
      </w:pPr>
    </w:p>
    <w:p w14:paraId="22C07DF7" w14:textId="77777777" w:rsidR="0036430B" w:rsidRPr="0086351C" w:rsidRDefault="0036430B" w:rsidP="00506C6C">
      <w:pPr>
        <w:spacing w:line="276" w:lineRule="auto"/>
        <w:jc w:val="both"/>
        <w:rPr>
          <w:rFonts w:ascii="Arial" w:eastAsia="Tahoma" w:hAnsi="Arial" w:cs="Arial"/>
          <w:sz w:val="22"/>
          <w:szCs w:val="22"/>
        </w:rPr>
      </w:pPr>
      <w:r w:rsidRPr="0086351C">
        <w:rPr>
          <w:rFonts w:ascii="Arial" w:eastAsia="Tahoma" w:hAnsi="Arial" w:cs="Arial"/>
          <w:sz w:val="22"/>
          <w:szCs w:val="22"/>
        </w:rPr>
        <w:t>Dicho término empezará a partir de la suscripción del acta de inicio, previo cumplimiento de los requisitos de perfeccionamiento y ejecución, conforme al cronograma presentado por la Entidad Prestadora del Servicio de Extensión Agropecuaria - EPSEA dentro de su Plan Operativo de Trabajo previamente aprobado por el Supervisor.</w:t>
      </w:r>
    </w:p>
    <w:p w14:paraId="6EBBFF8C" w14:textId="77777777" w:rsidR="0036430B" w:rsidRPr="0086351C" w:rsidRDefault="0036430B" w:rsidP="00506C6C">
      <w:pPr>
        <w:spacing w:line="276" w:lineRule="auto"/>
        <w:jc w:val="both"/>
        <w:rPr>
          <w:rFonts w:ascii="Arial" w:eastAsia="Tahoma" w:hAnsi="Arial" w:cs="Arial"/>
          <w:sz w:val="22"/>
          <w:szCs w:val="22"/>
        </w:rPr>
      </w:pPr>
    </w:p>
    <w:p w14:paraId="23A37E27" w14:textId="5EFA6388" w:rsidR="0036430B" w:rsidRPr="0086351C" w:rsidRDefault="0036430B" w:rsidP="00506C6C">
      <w:pPr>
        <w:spacing w:line="276" w:lineRule="auto"/>
        <w:jc w:val="both"/>
        <w:rPr>
          <w:rFonts w:ascii="Arial" w:eastAsia="Tahoma" w:hAnsi="Arial" w:cs="Arial"/>
          <w:sz w:val="22"/>
          <w:szCs w:val="22"/>
        </w:rPr>
      </w:pPr>
      <w:r w:rsidRPr="0086351C">
        <w:rPr>
          <w:rFonts w:ascii="Arial" w:eastAsia="Tahoma" w:hAnsi="Arial" w:cs="Arial"/>
          <w:sz w:val="22"/>
          <w:szCs w:val="22"/>
        </w:rPr>
        <w:t xml:space="preserve">Finalmente, se destina un espacio para la evaluación del servicio, lo que permite analizar el impacto de las intervenciones realizadas. Esta fase de evaluación es crucial para medir la efectividad del servicio, identificar áreas de mejora y realizar ajustes necesarios para garantizar su eficacia a largo plazo. Además, proporciona retroalimentación valiosa que puede informar la planificación y ejecución de futuras intervenciones en el servicio de extensión agropecuaria. Considerando las particularidades de los territorios y las condiciones de movilidad y trasporte de las macrorregiones, se ha adelantado la reorganización de los métodos a desarrollar en los </w:t>
      </w:r>
      <w:r w:rsidR="0B958836" w:rsidRPr="0086351C">
        <w:rPr>
          <w:rFonts w:ascii="Arial" w:eastAsia="Tahoma" w:hAnsi="Arial" w:cs="Arial"/>
          <w:sz w:val="22"/>
          <w:szCs w:val="22"/>
        </w:rPr>
        <w:t>2</w:t>
      </w:r>
      <w:r w:rsidRPr="0086351C">
        <w:rPr>
          <w:rFonts w:ascii="Arial" w:eastAsia="Tahoma" w:hAnsi="Arial" w:cs="Arial"/>
          <w:sz w:val="22"/>
          <w:szCs w:val="22"/>
        </w:rPr>
        <w:t>,5 meses disponibles de la vigencia de la siguiente forma. </w:t>
      </w:r>
    </w:p>
    <w:p w14:paraId="4592E094" w14:textId="77777777" w:rsidR="004D7F2F" w:rsidRPr="0086351C" w:rsidRDefault="004D7F2F" w:rsidP="00506C6C">
      <w:pPr>
        <w:spacing w:line="276" w:lineRule="auto"/>
        <w:jc w:val="both"/>
        <w:rPr>
          <w:rFonts w:ascii="Arial" w:eastAsia="Tahoma" w:hAnsi="Arial" w:cs="Arial"/>
          <w:sz w:val="22"/>
          <w:szCs w:val="22"/>
          <w:lang w:val="es-ES"/>
        </w:rPr>
      </w:pPr>
    </w:p>
    <w:p w14:paraId="73497EF3" w14:textId="2900BEA6" w:rsidR="00F540A0" w:rsidRPr="0086351C" w:rsidRDefault="482EE203" w:rsidP="00506C6C">
      <w:pPr>
        <w:pStyle w:val="Ttulo2"/>
        <w:numPr>
          <w:ilvl w:val="1"/>
          <w:numId w:val="29"/>
        </w:numPr>
        <w:spacing w:line="276" w:lineRule="auto"/>
        <w:jc w:val="both"/>
        <w:rPr>
          <w:rFonts w:ascii="Arial" w:eastAsia="Tahoma" w:hAnsi="Arial" w:cs="Arial"/>
          <w:sz w:val="22"/>
          <w:szCs w:val="22"/>
        </w:rPr>
      </w:pPr>
      <w:bookmarkStart w:id="3" w:name="_Toc178847879"/>
      <w:r w:rsidRPr="39B1CA44">
        <w:rPr>
          <w:rFonts w:ascii="Arial" w:eastAsia="Tahoma" w:hAnsi="Arial" w:cs="Arial"/>
          <w:sz w:val="22"/>
          <w:szCs w:val="22"/>
        </w:rPr>
        <w:t xml:space="preserve">Resultados Esperados </w:t>
      </w:r>
      <w:r w:rsidR="6C18D684" w:rsidRPr="39B1CA44">
        <w:rPr>
          <w:rFonts w:ascii="Arial" w:eastAsia="Tahoma" w:hAnsi="Arial" w:cs="Arial"/>
          <w:sz w:val="22"/>
          <w:szCs w:val="22"/>
        </w:rPr>
        <w:t>d</w:t>
      </w:r>
      <w:r w:rsidRPr="39B1CA44">
        <w:rPr>
          <w:rFonts w:ascii="Arial" w:eastAsia="Tahoma" w:hAnsi="Arial" w:cs="Arial"/>
          <w:sz w:val="22"/>
          <w:szCs w:val="22"/>
        </w:rPr>
        <w:t xml:space="preserve">e </w:t>
      </w:r>
      <w:r w:rsidR="1A26A59D" w:rsidRPr="39B1CA44">
        <w:rPr>
          <w:rFonts w:ascii="Arial" w:eastAsia="Tahoma" w:hAnsi="Arial" w:cs="Arial"/>
          <w:sz w:val="22"/>
          <w:szCs w:val="22"/>
        </w:rPr>
        <w:t>l</w:t>
      </w:r>
      <w:r w:rsidRPr="39B1CA44">
        <w:rPr>
          <w:rFonts w:ascii="Arial" w:eastAsia="Tahoma" w:hAnsi="Arial" w:cs="Arial"/>
          <w:sz w:val="22"/>
          <w:szCs w:val="22"/>
        </w:rPr>
        <w:t xml:space="preserve">a Prestación </w:t>
      </w:r>
      <w:r w:rsidR="05C756D8" w:rsidRPr="39B1CA44">
        <w:rPr>
          <w:rFonts w:ascii="Arial" w:eastAsia="Tahoma" w:hAnsi="Arial" w:cs="Arial"/>
          <w:sz w:val="22"/>
          <w:szCs w:val="22"/>
        </w:rPr>
        <w:t>d</w:t>
      </w:r>
      <w:r w:rsidRPr="39B1CA44">
        <w:rPr>
          <w:rFonts w:ascii="Arial" w:eastAsia="Tahoma" w:hAnsi="Arial" w:cs="Arial"/>
          <w:sz w:val="22"/>
          <w:szCs w:val="22"/>
        </w:rPr>
        <w:t xml:space="preserve">el Servicio Público </w:t>
      </w:r>
      <w:r w:rsidR="61D40C87" w:rsidRPr="39B1CA44">
        <w:rPr>
          <w:rFonts w:ascii="Arial" w:eastAsia="Tahoma" w:hAnsi="Arial" w:cs="Arial"/>
          <w:sz w:val="22"/>
          <w:szCs w:val="22"/>
        </w:rPr>
        <w:t>d</w:t>
      </w:r>
      <w:r w:rsidRPr="39B1CA44">
        <w:rPr>
          <w:rFonts w:ascii="Arial" w:eastAsia="Tahoma" w:hAnsi="Arial" w:cs="Arial"/>
          <w:sz w:val="22"/>
          <w:szCs w:val="22"/>
        </w:rPr>
        <w:t>e Extensión Agropecuaria.</w:t>
      </w:r>
      <w:bookmarkEnd w:id="3"/>
    </w:p>
    <w:p w14:paraId="22B3FF43" w14:textId="77777777" w:rsidR="00240BFE" w:rsidRPr="0086351C" w:rsidRDefault="00240BFE" w:rsidP="00506C6C">
      <w:pPr>
        <w:spacing w:line="276" w:lineRule="auto"/>
        <w:jc w:val="both"/>
        <w:rPr>
          <w:rFonts w:ascii="Arial" w:eastAsia="Tahoma" w:hAnsi="Arial" w:cs="Arial"/>
          <w:sz w:val="22"/>
          <w:szCs w:val="22"/>
        </w:rPr>
      </w:pPr>
    </w:p>
    <w:p w14:paraId="294280F0" w14:textId="59B52A67" w:rsidR="00F540A0" w:rsidRPr="0086351C" w:rsidRDefault="482EE203" w:rsidP="00506C6C">
      <w:pPr>
        <w:spacing w:line="276" w:lineRule="auto"/>
        <w:jc w:val="both"/>
        <w:rPr>
          <w:rFonts w:ascii="Arial" w:eastAsia="Tahoma" w:hAnsi="Arial" w:cs="Arial"/>
          <w:sz w:val="22"/>
          <w:szCs w:val="22"/>
        </w:rPr>
      </w:pPr>
      <w:r w:rsidRPr="0086351C">
        <w:rPr>
          <w:rFonts w:ascii="Arial" w:eastAsia="Tahoma" w:hAnsi="Arial" w:cs="Arial"/>
          <w:sz w:val="22"/>
          <w:szCs w:val="22"/>
        </w:rPr>
        <w:lastRenderedPageBreak/>
        <w:t xml:space="preserve">Se espera que los usuarios del servicio público de extensión agropecuaria adquieran conocimientos mediante su integración en los sistemas productivos, en función del progreso de las habilidades fortalecidas por los métodos, actividades y metodologías implementadas.  Además, la </w:t>
      </w:r>
      <w:r w:rsidR="00CE14DF" w:rsidRPr="0086351C">
        <w:rPr>
          <w:rFonts w:ascii="Arial" w:eastAsia="Tahoma" w:hAnsi="Arial" w:cs="Arial"/>
          <w:sz w:val="22"/>
          <w:szCs w:val="22"/>
          <w:lang w:val="es-ES"/>
        </w:rPr>
        <w:t xml:space="preserve">entidad </w:t>
      </w:r>
      <w:r w:rsidRPr="0086351C">
        <w:rPr>
          <w:rFonts w:ascii="Arial" w:eastAsia="Tahoma" w:hAnsi="Arial" w:cs="Arial"/>
          <w:sz w:val="22"/>
          <w:szCs w:val="22"/>
        </w:rPr>
        <w:t xml:space="preserve">debe analizar las líneas base, caracterizaciones y brechas identificadas en cada aspecto del enfoque de la extensión agropecuaria, con el fin de establecer rutas de acción que permitan ofrecer un Servicio Público de Extensión Agropecuaria (SPEA) innovador, de calidad, oportuno y pertinente. Este impacto se medirá y evidenciará periódicamente en los informes quincenales presentados por la </w:t>
      </w:r>
      <w:r w:rsidR="00CE14DF" w:rsidRPr="0086351C">
        <w:rPr>
          <w:rFonts w:ascii="Arial" w:eastAsia="Tahoma" w:hAnsi="Arial" w:cs="Arial"/>
          <w:sz w:val="22"/>
          <w:szCs w:val="22"/>
          <w:lang w:val="es-ES"/>
        </w:rPr>
        <w:t>entidad</w:t>
      </w:r>
      <w:r w:rsidRPr="0086351C">
        <w:rPr>
          <w:rFonts w:ascii="Arial" w:eastAsia="Tahoma" w:hAnsi="Arial" w:cs="Arial"/>
          <w:sz w:val="22"/>
          <w:szCs w:val="22"/>
        </w:rPr>
        <w:t xml:space="preserve">. </w:t>
      </w:r>
    </w:p>
    <w:p w14:paraId="153297C3" w14:textId="77777777" w:rsidR="00A84C5B" w:rsidRPr="0086351C" w:rsidRDefault="00A84C5B" w:rsidP="00506C6C">
      <w:pPr>
        <w:spacing w:line="276" w:lineRule="auto"/>
        <w:jc w:val="both"/>
        <w:rPr>
          <w:rFonts w:ascii="Arial" w:eastAsia="Tahoma" w:hAnsi="Arial" w:cs="Arial"/>
          <w:sz w:val="22"/>
          <w:szCs w:val="22"/>
        </w:rPr>
      </w:pPr>
    </w:p>
    <w:p w14:paraId="69B20D67" w14:textId="1048082B" w:rsidR="00F540A0" w:rsidRPr="0086351C" w:rsidRDefault="551BCD50" w:rsidP="00506C6C">
      <w:pPr>
        <w:spacing w:line="276" w:lineRule="auto"/>
        <w:jc w:val="both"/>
        <w:rPr>
          <w:rFonts w:ascii="Arial" w:eastAsia="Tahoma" w:hAnsi="Arial" w:cs="Arial"/>
          <w:sz w:val="22"/>
          <w:szCs w:val="22"/>
        </w:rPr>
      </w:pPr>
      <w:r w:rsidRPr="0086351C">
        <w:rPr>
          <w:rFonts w:ascii="Arial" w:eastAsia="Tahoma" w:hAnsi="Arial" w:cs="Arial"/>
          <w:sz w:val="22"/>
          <w:szCs w:val="22"/>
        </w:rPr>
        <w:t xml:space="preserve">La apropiación del conocimiento y la incorporación </w:t>
      </w:r>
      <w:r w:rsidR="00272EA1" w:rsidRPr="0086351C">
        <w:rPr>
          <w:rFonts w:ascii="Arial" w:eastAsia="Tahoma" w:hAnsi="Arial" w:cs="Arial"/>
          <w:sz w:val="22"/>
          <w:szCs w:val="22"/>
        </w:rPr>
        <w:t>de este</w:t>
      </w:r>
      <w:r w:rsidRPr="0086351C">
        <w:rPr>
          <w:rFonts w:ascii="Arial" w:eastAsia="Tahoma" w:hAnsi="Arial" w:cs="Arial"/>
          <w:sz w:val="22"/>
          <w:szCs w:val="22"/>
        </w:rPr>
        <w:t xml:space="preserve"> al sistema productivo deberá estar soportada además de la evaluación final, por seguimientos mensuales a los productores conforme a las temáticas de los métodos de extensión desarrollados en ese periodo de tiempo, dicho seguimiento deberá ser aprobado por la supervisión.</w:t>
      </w:r>
    </w:p>
    <w:p w14:paraId="34411788" w14:textId="77777777" w:rsidR="00A84C5B" w:rsidRPr="0086351C" w:rsidRDefault="00A84C5B" w:rsidP="00506C6C">
      <w:pPr>
        <w:spacing w:line="276" w:lineRule="auto"/>
        <w:jc w:val="both"/>
        <w:rPr>
          <w:rFonts w:ascii="Arial" w:eastAsia="Tahoma" w:hAnsi="Arial" w:cs="Arial"/>
          <w:sz w:val="22"/>
          <w:szCs w:val="22"/>
        </w:rPr>
      </w:pPr>
    </w:p>
    <w:p w14:paraId="221255F4" w14:textId="5EF203B7" w:rsidR="000C6F96" w:rsidRPr="0086351C" w:rsidRDefault="482EE203" w:rsidP="00506C6C">
      <w:pPr>
        <w:spacing w:line="276" w:lineRule="auto"/>
        <w:jc w:val="both"/>
        <w:rPr>
          <w:rFonts w:ascii="Arial" w:eastAsia="Tahoma" w:hAnsi="Arial" w:cs="Arial"/>
          <w:sz w:val="22"/>
          <w:szCs w:val="22"/>
        </w:rPr>
      </w:pPr>
      <w:r w:rsidRPr="0086351C">
        <w:rPr>
          <w:rFonts w:ascii="Arial" w:eastAsia="Tahoma" w:hAnsi="Arial" w:cs="Arial"/>
          <w:sz w:val="22"/>
          <w:szCs w:val="22"/>
        </w:rPr>
        <w:t xml:space="preserve">Producto del acompañamiento, se culminará el convenio con un diagnóstico de cierre que permita identificar la clasificación del usuario según el avance que haya logrado demostrar entre niveles o dentro del mismo nivel, por lo que la </w:t>
      </w:r>
      <w:r w:rsidR="00CE14DF" w:rsidRPr="0086351C">
        <w:rPr>
          <w:rFonts w:ascii="Arial" w:eastAsia="Tahoma" w:hAnsi="Arial" w:cs="Arial"/>
          <w:sz w:val="22"/>
          <w:szCs w:val="22"/>
          <w:lang w:val="es-ES"/>
        </w:rPr>
        <w:t>entidad</w:t>
      </w:r>
      <w:r w:rsidRPr="0086351C">
        <w:rPr>
          <w:rFonts w:ascii="Arial" w:eastAsia="Tahoma" w:hAnsi="Arial" w:cs="Arial"/>
          <w:sz w:val="22"/>
          <w:szCs w:val="22"/>
          <w:lang w:val="es-ES"/>
        </w:rPr>
        <w:t xml:space="preserve"> </w:t>
      </w:r>
      <w:r w:rsidRPr="0086351C">
        <w:rPr>
          <w:rFonts w:ascii="Arial" w:eastAsia="Tahoma" w:hAnsi="Arial" w:cs="Arial"/>
          <w:sz w:val="22"/>
          <w:szCs w:val="22"/>
        </w:rPr>
        <w:t>deberá entregar la clasificación de los usuarios al final del convenio, al supervisor y este a su vez a los entes territoriales</w:t>
      </w:r>
    </w:p>
    <w:p w14:paraId="5AF5304A" w14:textId="77777777" w:rsidR="00A84C5B" w:rsidRPr="0086351C" w:rsidRDefault="00A84C5B" w:rsidP="1C5DF8D6">
      <w:pPr>
        <w:jc w:val="both"/>
        <w:rPr>
          <w:rFonts w:ascii="Arial" w:eastAsia="Tahoma" w:hAnsi="Arial" w:cs="Arial"/>
          <w:b/>
          <w:bCs/>
          <w:sz w:val="22"/>
          <w:szCs w:val="22"/>
        </w:rPr>
      </w:pPr>
    </w:p>
    <w:p w14:paraId="0C2CB45E" w14:textId="196BC44B" w:rsidR="000C6F96" w:rsidRPr="0086351C" w:rsidRDefault="00B170F5" w:rsidP="00413003">
      <w:pPr>
        <w:pStyle w:val="Ttulo2"/>
        <w:numPr>
          <w:ilvl w:val="1"/>
          <w:numId w:val="29"/>
        </w:numPr>
        <w:rPr>
          <w:rFonts w:ascii="Arial" w:eastAsia="Tahoma" w:hAnsi="Arial" w:cs="Arial"/>
          <w:sz w:val="22"/>
          <w:szCs w:val="22"/>
        </w:rPr>
      </w:pPr>
      <w:bookmarkStart w:id="4" w:name="_Toc178847880"/>
      <w:r w:rsidRPr="39B1CA44">
        <w:rPr>
          <w:rFonts w:ascii="Arial" w:eastAsia="Tahoma" w:hAnsi="Arial" w:cs="Arial"/>
          <w:sz w:val="22"/>
          <w:szCs w:val="22"/>
        </w:rPr>
        <w:t xml:space="preserve">Descripción </w:t>
      </w:r>
      <w:r w:rsidR="55E9A1CE" w:rsidRPr="39B1CA44">
        <w:rPr>
          <w:rFonts w:ascii="Arial" w:eastAsia="Tahoma" w:hAnsi="Arial" w:cs="Arial"/>
          <w:sz w:val="22"/>
          <w:szCs w:val="22"/>
        </w:rPr>
        <w:t>d</w:t>
      </w:r>
      <w:r w:rsidRPr="39B1CA44">
        <w:rPr>
          <w:rFonts w:ascii="Arial" w:eastAsia="Tahoma" w:hAnsi="Arial" w:cs="Arial"/>
          <w:sz w:val="22"/>
          <w:szCs w:val="22"/>
        </w:rPr>
        <w:t xml:space="preserve">el </w:t>
      </w:r>
      <w:r w:rsidR="00C62471" w:rsidRPr="39B1CA44">
        <w:rPr>
          <w:rFonts w:ascii="Arial" w:eastAsia="Tahoma" w:hAnsi="Arial" w:cs="Arial"/>
          <w:sz w:val="22"/>
          <w:szCs w:val="22"/>
        </w:rPr>
        <w:t>B</w:t>
      </w:r>
      <w:r w:rsidRPr="39B1CA44">
        <w:rPr>
          <w:rFonts w:ascii="Arial" w:eastAsia="Tahoma" w:hAnsi="Arial" w:cs="Arial"/>
          <w:sz w:val="22"/>
          <w:szCs w:val="22"/>
        </w:rPr>
        <w:t xml:space="preserve">ien </w:t>
      </w:r>
      <w:r w:rsidR="567817EE" w:rsidRPr="39B1CA44">
        <w:rPr>
          <w:rFonts w:ascii="Arial" w:eastAsia="Tahoma" w:hAnsi="Arial" w:cs="Arial"/>
          <w:sz w:val="22"/>
          <w:szCs w:val="22"/>
        </w:rPr>
        <w:t>o</w:t>
      </w:r>
      <w:r w:rsidRPr="39B1CA44">
        <w:rPr>
          <w:rFonts w:ascii="Arial" w:eastAsia="Tahoma" w:hAnsi="Arial" w:cs="Arial"/>
          <w:sz w:val="22"/>
          <w:szCs w:val="22"/>
        </w:rPr>
        <w:t xml:space="preserve"> </w:t>
      </w:r>
      <w:r w:rsidR="00C62471" w:rsidRPr="39B1CA44">
        <w:rPr>
          <w:rFonts w:ascii="Arial" w:eastAsia="Tahoma" w:hAnsi="Arial" w:cs="Arial"/>
          <w:sz w:val="22"/>
          <w:szCs w:val="22"/>
        </w:rPr>
        <w:t>S</w:t>
      </w:r>
      <w:r w:rsidRPr="39B1CA44">
        <w:rPr>
          <w:rFonts w:ascii="Arial" w:eastAsia="Tahoma" w:hAnsi="Arial" w:cs="Arial"/>
          <w:sz w:val="22"/>
          <w:szCs w:val="22"/>
        </w:rPr>
        <w:t>ervicio</w:t>
      </w:r>
      <w:r w:rsidR="00F540A0" w:rsidRPr="39B1CA44">
        <w:rPr>
          <w:rFonts w:ascii="Arial" w:eastAsia="Tahoma" w:hAnsi="Arial" w:cs="Arial"/>
          <w:sz w:val="22"/>
          <w:szCs w:val="22"/>
        </w:rPr>
        <w:t xml:space="preserve"> Requerido</w:t>
      </w:r>
      <w:bookmarkEnd w:id="4"/>
    </w:p>
    <w:p w14:paraId="6D2C934A" w14:textId="77777777" w:rsidR="008F7041" w:rsidRPr="0086351C" w:rsidRDefault="008F7041" w:rsidP="1C5DF8D6">
      <w:pPr>
        <w:jc w:val="both"/>
        <w:rPr>
          <w:rStyle w:val="eop"/>
          <w:rFonts w:ascii="Arial" w:eastAsia="Tahoma" w:hAnsi="Arial" w:cs="Arial"/>
          <w:color w:val="000000"/>
          <w:sz w:val="22"/>
          <w:szCs w:val="22"/>
          <w:shd w:val="clear" w:color="auto" w:fill="FFFFFF"/>
        </w:rPr>
      </w:pPr>
    </w:p>
    <w:p w14:paraId="4F1F7697" w14:textId="77777777" w:rsidR="008F7041" w:rsidRPr="0086351C" w:rsidRDefault="008F7041" w:rsidP="00506C6C">
      <w:pPr>
        <w:spacing w:after="240" w:line="276" w:lineRule="auto"/>
        <w:jc w:val="both"/>
        <w:rPr>
          <w:rFonts w:ascii="Arial" w:hAnsi="Arial" w:cs="Arial"/>
          <w:i/>
          <w:iCs/>
          <w:sz w:val="22"/>
          <w:szCs w:val="22"/>
        </w:rPr>
      </w:pPr>
      <w:r w:rsidRPr="0086351C">
        <w:rPr>
          <w:rFonts w:ascii="Arial" w:hAnsi="Arial" w:cs="Arial"/>
          <w:sz w:val="22"/>
          <w:szCs w:val="22"/>
        </w:rPr>
        <w:t xml:space="preserve">De acuerdo con la Ley 1876 de 2017, la Extensión Agropecuaria es el </w:t>
      </w:r>
      <w:r w:rsidRPr="0086351C">
        <w:rPr>
          <w:rFonts w:ascii="Arial" w:hAnsi="Arial" w:cs="Arial"/>
          <w:i/>
          <w:iCs/>
          <w:sz w:val="22"/>
          <w:szCs w:val="22"/>
        </w:rPr>
        <w:t>“proceso de acompañamiento mediante el cual se gestiona el desarrollo de capacidades de los productores agropecuarios, su articulación con el entorno y el acceso al conocimiento, tecnologías, productos y servicios de apoyo; con el fin de hacer competitiva y sostenible su producción al tiempo que contribuye a la mejora de la calidad de vida familiar (…). Para tal efecto, la extensión agropecuaria desarrollará actividades vinculadas a promover el cambio técnico en los diferentes eslabones que constituyen la cadena productiva, la asesoría y acompañamientos a productores en acceso al crédito, formalización de la propiedad, certificación en SPA, entre otros (…)”.</w:t>
      </w:r>
    </w:p>
    <w:p w14:paraId="05156C54" w14:textId="77777777" w:rsidR="008F7041" w:rsidRPr="0086351C" w:rsidRDefault="008F7041" w:rsidP="00506C6C">
      <w:pPr>
        <w:spacing w:after="240" w:line="276" w:lineRule="auto"/>
        <w:jc w:val="both"/>
        <w:rPr>
          <w:rFonts w:ascii="Arial" w:hAnsi="Arial" w:cs="Arial"/>
          <w:sz w:val="22"/>
          <w:szCs w:val="22"/>
        </w:rPr>
      </w:pPr>
      <w:r w:rsidRPr="0086351C">
        <w:rPr>
          <w:rFonts w:ascii="Arial" w:hAnsi="Arial" w:cs="Arial"/>
          <w:sz w:val="22"/>
          <w:szCs w:val="22"/>
        </w:rPr>
        <w:t>Es así como la extensión agropecuaria responde a los problemas de los sistemas productivos debido a que se enfoca principalmente en transferir conocimientos, tecnologías y buenas prácticas a los productores del país. La extensión agropecuaria proporciona apoyo y asistencia a los agricultores y ganaderos para abordar estos problemas y mejorar sus prácticas y resultados.</w:t>
      </w:r>
    </w:p>
    <w:p w14:paraId="21E99474" w14:textId="77777777" w:rsidR="008F7041" w:rsidRPr="0086351C" w:rsidRDefault="008F7041" w:rsidP="00506C6C">
      <w:pPr>
        <w:spacing w:after="240" w:line="276" w:lineRule="auto"/>
        <w:jc w:val="both"/>
        <w:rPr>
          <w:rFonts w:ascii="Arial" w:hAnsi="Arial" w:cs="Arial"/>
          <w:sz w:val="22"/>
          <w:szCs w:val="22"/>
        </w:rPr>
      </w:pPr>
      <w:r w:rsidRPr="0086351C">
        <w:rPr>
          <w:rFonts w:ascii="Arial" w:hAnsi="Arial" w:cs="Arial"/>
          <w:sz w:val="22"/>
          <w:szCs w:val="22"/>
        </w:rPr>
        <w:t>Algunas razones por las cuales la extensión agropecuaria es fundamental para responder a los problemas del campo:</w:t>
      </w:r>
    </w:p>
    <w:p w14:paraId="18F0F9FD" w14:textId="77777777" w:rsidR="008F7041" w:rsidRPr="0086351C" w:rsidRDefault="008F7041" w:rsidP="00506C6C">
      <w:pPr>
        <w:pStyle w:val="Prrafodelista"/>
        <w:widowControl w:val="0"/>
        <w:numPr>
          <w:ilvl w:val="0"/>
          <w:numId w:val="38"/>
        </w:numPr>
        <w:autoSpaceDE w:val="0"/>
        <w:autoSpaceDN w:val="0"/>
        <w:spacing w:after="0" w:line="276" w:lineRule="auto"/>
        <w:contextualSpacing w:val="0"/>
        <w:jc w:val="both"/>
        <w:rPr>
          <w:rFonts w:ascii="Arial" w:hAnsi="Arial" w:cs="Arial"/>
        </w:rPr>
      </w:pPr>
      <w:r w:rsidRPr="0086351C">
        <w:rPr>
          <w:rFonts w:ascii="Arial" w:hAnsi="Arial" w:cs="Arial"/>
        </w:rPr>
        <w:t xml:space="preserve">Transferencia de conocimientos: La extensión agropecuaria se encarga de transmitir los avances científicos y técnicos más recientes a los agricultores y ganaderos. Esto incluye información sobre nuevas variedades de cultivos, técnicas de manejo del </w:t>
      </w:r>
      <w:r w:rsidRPr="0086351C">
        <w:rPr>
          <w:rFonts w:ascii="Arial" w:hAnsi="Arial" w:cs="Arial"/>
        </w:rPr>
        <w:lastRenderedPageBreak/>
        <w:t>suelo, métodos de control de plagas y enfermedades, entre otros aspectos relevantes. Al contar con esta información actualizada, los productores pueden tomar decisiones informadas y mejorar la productividad y la eficiencia de sus operaciones.</w:t>
      </w:r>
    </w:p>
    <w:p w14:paraId="6FB31C33" w14:textId="77777777" w:rsidR="008F7041" w:rsidRPr="0086351C" w:rsidRDefault="008F7041" w:rsidP="00506C6C">
      <w:pPr>
        <w:pStyle w:val="Prrafodelista"/>
        <w:widowControl w:val="0"/>
        <w:numPr>
          <w:ilvl w:val="0"/>
          <w:numId w:val="38"/>
        </w:numPr>
        <w:autoSpaceDE w:val="0"/>
        <w:autoSpaceDN w:val="0"/>
        <w:spacing w:after="0" w:line="276" w:lineRule="auto"/>
        <w:contextualSpacing w:val="0"/>
        <w:jc w:val="both"/>
        <w:rPr>
          <w:rFonts w:ascii="Arial" w:hAnsi="Arial" w:cs="Arial"/>
        </w:rPr>
      </w:pPr>
      <w:r w:rsidRPr="0086351C">
        <w:rPr>
          <w:rFonts w:ascii="Arial" w:hAnsi="Arial" w:cs="Arial"/>
        </w:rPr>
        <w:t>Capacitación y formación: La extensión agropecuaria ofrece programas de capacitación y formación a los agricultores y ganaderos, brindándoles habilidades y conocimientos adicionales para enfrentar los desafíos del campo. Estos programas pueden incluir talleres, cursos, demostraciones prácticas y actividades de aprendizaje en el terreno. Al adquirir nuevas habilidades, los productores pueden implementar prácticas más sostenibles, adoptar tecnologías innovadoras y mejorar la gestión de sus actividades.</w:t>
      </w:r>
    </w:p>
    <w:p w14:paraId="454DC0B2" w14:textId="77777777" w:rsidR="008F7041" w:rsidRPr="0086351C" w:rsidRDefault="008F7041" w:rsidP="00506C6C">
      <w:pPr>
        <w:pStyle w:val="Prrafodelista"/>
        <w:widowControl w:val="0"/>
        <w:numPr>
          <w:ilvl w:val="0"/>
          <w:numId w:val="38"/>
        </w:numPr>
        <w:autoSpaceDE w:val="0"/>
        <w:autoSpaceDN w:val="0"/>
        <w:spacing w:after="0" w:line="276" w:lineRule="auto"/>
        <w:contextualSpacing w:val="0"/>
        <w:jc w:val="both"/>
        <w:rPr>
          <w:rFonts w:ascii="Arial" w:hAnsi="Arial" w:cs="Arial"/>
        </w:rPr>
      </w:pPr>
      <w:r w:rsidRPr="0086351C">
        <w:rPr>
          <w:rFonts w:ascii="Arial" w:hAnsi="Arial" w:cs="Arial"/>
        </w:rPr>
        <w:t>Asesoramiento técnico: La extensión agropecuaria proporciona asesoramiento técnico personalizado a los agricultores y ganaderos. Los extensionistas agropecuarios visitan las fincas y brindan recomendaciones específicas basadas en las condiciones locales, los recursos disponibles y los objetivos del productor. Este asesoramiento abarca desde la planificación de cultivos y la gestión del agua hasta la nutrición animal y la diversificación de productos. Al contar con el apoyo de expertos, los productores pueden resolver problemas específicos y optimizar sus prácticas.</w:t>
      </w:r>
    </w:p>
    <w:p w14:paraId="52E6435B" w14:textId="77777777" w:rsidR="008F7041" w:rsidRPr="0086351C" w:rsidRDefault="008F7041" w:rsidP="00506C6C">
      <w:pPr>
        <w:pStyle w:val="Prrafodelista"/>
        <w:widowControl w:val="0"/>
        <w:numPr>
          <w:ilvl w:val="0"/>
          <w:numId w:val="38"/>
        </w:numPr>
        <w:autoSpaceDE w:val="0"/>
        <w:autoSpaceDN w:val="0"/>
        <w:spacing w:after="240" w:line="276" w:lineRule="auto"/>
        <w:contextualSpacing w:val="0"/>
        <w:jc w:val="both"/>
        <w:rPr>
          <w:rFonts w:ascii="Arial" w:hAnsi="Arial" w:cs="Arial"/>
        </w:rPr>
      </w:pPr>
      <w:r w:rsidRPr="0086351C">
        <w:rPr>
          <w:rFonts w:ascii="Arial" w:hAnsi="Arial" w:cs="Arial"/>
        </w:rPr>
        <w:t>Acceso a recursos y servicios: La extensión agropecuaria conecta a los agricultores y ganaderos con otros recursos y servicios relevantes para su actividad. Esto puede incluir la identificación de fuentes de financiamiento, el acceso a mercados y canales de comercialización, la vinculación con proveedores de insumos agrícolas y la participación en redes y asociaciones de productores. Al facilitar el acceso a estos recursos, la extensión agropecuaria contribuye a superar barreras y desafíos que los productores puedan enfrentar en el campo.</w:t>
      </w:r>
    </w:p>
    <w:p w14:paraId="66B2D9F7" w14:textId="77777777" w:rsidR="008F7041" w:rsidRPr="0086351C" w:rsidRDefault="008F7041" w:rsidP="00506C6C">
      <w:pPr>
        <w:spacing w:after="240" w:line="276" w:lineRule="auto"/>
        <w:jc w:val="both"/>
        <w:rPr>
          <w:rFonts w:ascii="Arial" w:hAnsi="Arial" w:cs="Arial"/>
          <w:sz w:val="22"/>
          <w:szCs w:val="22"/>
        </w:rPr>
      </w:pPr>
      <w:r w:rsidRPr="0086351C">
        <w:rPr>
          <w:rFonts w:ascii="Arial" w:hAnsi="Arial" w:cs="Arial"/>
          <w:sz w:val="22"/>
          <w:szCs w:val="22"/>
        </w:rPr>
        <w:t xml:space="preserve">En resumen, la extensión agropecuaria responde a los problemas del campo al brindar conocimientos, capacitación, asesoramiento y acceso a recursos y servicios que ayudan a los agricultores y ganaderos a abordar los desafíos específicos de sus actividades. Al promover la adopción de buenas prácticas y la implementación de tecnologías adecuadas, la extensión agropecuaria contribuye a mejorar la productividad. </w:t>
      </w:r>
    </w:p>
    <w:p w14:paraId="1D38B4B7" w14:textId="77777777" w:rsidR="004C7D65" w:rsidRPr="0086351C" w:rsidRDefault="004C7D65" w:rsidP="00506C6C">
      <w:pPr>
        <w:spacing w:after="240" w:line="276" w:lineRule="auto"/>
        <w:jc w:val="both"/>
        <w:rPr>
          <w:rFonts w:ascii="Arial" w:hAnsi="Arial" w:cs="Arial"/>
          <w:b/>
          <w:bCs/>
          <w:sz w:val="22"/>
          <w:szCs w:val="22"/>
          <w:u w:val="single"/>
        </w:rPr>
      </w:pPr>
      <w:r w:rsidRPr="0086351C">
        <w:rPr>
          <w:rFonts w:ascii="Arial" w:hAnsi="Arial" w:cs="Arial"/>
          <w:sz w:val="22"/>
          <w:szCs w:val="22"/>
        </w:rPr>
        <w:t xml:space="preserve">Así las cosas, y de acuerdo con el artículo 22 de la Ley 1876 de 2017, se identifican actores del Subsistema Nacional de Extensión Agropecuaria, dentro de los cuales se destacan, “1.) el Departamento Nacional de Planeación (DNP). 2. El Ministerio de Agricultura y Desarrollo Rural (MADR). 3. La Agencia de Desarrollo Rural (ADR) (…) </w:t>
      </w:r>
      <w:r w:rsidRPr="0086351C">
        <w:rPr>
          <w:rFonts w:ascii="Arial" w:hAnsi="Arial" w:cs="Arial"/>
          <w:b/>
          <w:bCs/>
          <w:sz w:val="22"/>
          <w:szCs w:val="22"/>
          <w:u w:val="single"/>
        </w:rPr>
        <w:t>15. Las Instituciones de Educación Superior y los colegios agropecuarios. (…)”.</w:t>
      </w:r>
    </w:p>
    <w:p w14:paraId="3635FA1B" w14:textId="089DD42C" w:rsidR="7AEB34FA" w:rsidRPr="0086351C" w:rsidRDefault="7AEB34FA" w:rsidP="00506C6C">
      <w:pPr>
        <w:spacing w:after="240" w:line="276" w:lineRule="auto"/>
        <w:jc w:val="both"/>
        <w:rPr>
          <w:rFonts w:ascii="Arial" w:hAnsi="Arial" w:cs="Arial"/>
        </w:rPr>
      </w:pPr>
      <w:r w:rsidRPr="0086351C">
        <w:rPr>
          <w:rFonts w:ascii="Arial" w:eastAsia="Arial" w:hAnsi="Arial" w:cs="Arial"/>
          <w:sz w:val="22"/>
          <w:szCs w:val="22"/>
        </w:rPr>
        <w:t>Es claro que en el marco de la Ley 1876 de 2017 inciso final del artículo 24 el Servicio público de Extensión Agropecuaria deberá ser prestado por EPSEA habilitadas.</w:t>
      </w:r>
    </w:p>
    <w:p w14:paraId="0721672E"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lastRenderedPageBreak/>
        <w:t xml:space="preserve">En ese orden de ideas se identifica un actor clave en las Instituciones de Educación Superior para el fortalecimiento de los procesos de Extensión Agropecuaria, estas poseen gran capacidad de generar y transferir conocimiento técnico y científico a las comunidades rurales y al sector agropecuario en general, son entidades del orden público de amplio reconocimiento en los departamentos y territorios, con funciones claras  en el SNIA haciendo parte de las mesas de Ciencia, Tecnología e Innovación Agropecuaria de su departamento, cuyo objetivo principal es promover el desarrollo de los Sistemas Territoriales de Innovación en el marco de las Comisiones Regional de Competitividad y en los tres subsistemas descritos por la Ley 1876/17, que se señalan a continuación: </w:t>
      </w:r>
    </w:p>
    <w:p w14:paraId="76490B9F"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1. Subsistema Nacional de Investigación y Desarrollo Tecnológico Agropecuario: Las Instituciones de Educación Superior (lES), con sus grupos de investigación, están identificadas como actores que aportan a orientar, planificar, implementar y evaluar las acciones de investigación, desarrollo tecnológico, transferencia de tecnología, e innovación que se ejecutan en el ámbito agropecuario. Sus aportes investigativos permiten ampliar la oferta tecnológica, identificar nuevas metodologías, paquetes o modelos productivos y desarrollar estrategias de reconversión productiva a nivel territorial, complementando las actividades de extensión y sus enfoques.</w:t>
      </w:r>
    </w:p>
    <w:p w14:paraId="6B4FD150"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2. Subsistema Nacional de Extensión Agropecuaria: Las Instituciones de Educación Superior se identifican como actores relevantes para orientar, planificar, implementar, hacer seguimiento y evaluar la prestación del servicio de extensión agropecuaria que tiene lugar en el ámbito rural nacional. Cuando se habilitan como EPSEA están facultadas para prestar el servicio de extensión y facilitar la transferencia y construcción de conocimientos en los territorios</w:t>
      </w:r>
    </w:p>
    <w:p w14:paraId="701DE252"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3. Subsistema Nacional de Formación y Capacitación para la Innovación Agropecuaria: Las Instituciones de Educación Superior son actores relevantes para velar por la calidad y pertinencia de los programas de formación y capacitación dirigidos a generar competencias para la investigación, el desarrollo tecnológico, la extensión agropecuaria y la innovación, a través de la expedición de lineamientos y políticas orientadas a dichos objetivos, entre otras acciones. Se destacan por ser estratégicos en la formación y actualización permanente del talento humano que trabaja en el sector agropecuario y agroindustrial a nivel de pregrado, postgrado, formación continuada o extensión en las diferentes áreas del conocimiento que inciden en la ruralidad.</w:t>
      </w:r>
    </w:p>
    <w:p w14:paraId="45805229"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 xml:space="preserve">Como factor primordial de aporte en un convenio interadministrativo cuentan con profesionales altamente capacitados en diversas áreas del conocimiento del núcleo básico del conocimiento en ciencias agrarias, como Etnoeducación, Antropología, Comunicación Social, Geografía, Historia, Ingeniería de Sistemas, Ingeniería Electrónica y Telecomunicaciones, Biología, Química, Ingeniería Ambiental, Ingeniería Agroindustrial, Ingeniería Forestal, Ingeniería Agropecuaria y programas de posgrado como especializaciones, maestrías doctorados como  Especialización en Gestión Integral del </w:t>
      </w:r>
      <w:r w:rsidRPr="0086351C">
        <w:rPr>
          <w:rFonts w:ascii="Arial" w:hAnsi="Arial" w:cs="Arial"/>
          <w:sz w:val="22"/>
          <w:szCs w:val="22"/>
        </w:rPr>
        <w:lastRenderedPageBreak/>
        <w:t>Recurso Hídrico, Especialización en Sanidad en Producción Agraria Integrada, Maestría en Ciencias Agrarias, Doctorado en Ciencias Agrarias y Agroindustriales,; entre otras relacionadas con el sector agropecuario. Además, disponen de recursos e infraestructuras especializadas, como laboratorios, centros de investigación, fincas experimentales y programas de posgrado.</w:t>
      </w:r>
    </w:p>
    <w:p w14:paraId="66DCB7CC"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Gracias a esto, las universidades pueden generar y difundir conocimientos técnicos y tecnológicos de alto valor agregado para los productores agropecuarios, ofrecer servicios de asesoramiento y capacitación en diversas áreas agropecuarias, llevando a cabo investigaciones que permitan desarrollar y generar procesos de adopción de nuevas tecnologías y prácticas más sostenibles y eficientes en el campo. Estos actores son claves en la extensión agropecuaria porque permiten mejorar la productividad, la rentabilidad y la sostenibilidad del sector agropecuario a través de la generación y transferencia de conocimientos especializados y de alta calidad</w:t>
      </w:r>
    </w:p>
    <w:p w14:paraId="3C840332"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Dentro de las principales razones que permiten sustentar la idoneidad de las Universidades Públicas para prestar servicios de Extensión Agropecuaria, se destacan:</w:t>
      </w:r>
    </w:p>
    <w:p w14:paraId="2F7B7932"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Sinergias con los Subsistemas del SNIA: Las Instituciones de Educación Superior son actores relevantes y valiosos en los tres (3) Subsistemas del Sistema Nacional de Innovación Agropecuaria (SNIA); potencializando las acciones del Servicio Extensión e integrando la oferta de investigación, desarrollo y formación disponible en el sector con las necesidades de los territorios identificadas en los PDEA.</w:t>
      </w:r>
    </w:p>
    <w:p w14:paraId="2EE53973"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Experiencia en el sector agropecuario: las Universidades cuentan con un cuerpo docente e investigativo altamente capacitado en diferentes áreas y aspectos del sector agropecuario. Además, la investigación y la innovación son pilares fundamentales de las Universidades Públicas, lo que facilita que el conocimiento que se construye en los proyectos de extensión universitaria quede a disposición de los productores.</w:t>
      </w:r>
    </w:p>
    <w:p w14:paraId="2AD9B2CA"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Enfoque en el desarrollo rural: las Universidades tienen un compromiso social y una visión de desarrollo integral, lo que les permite trabajar en conjunto con las comunidades rurales, organizaciones y productores, para brindar soluciones a los problemas locales y regionales, fomentando así el desarrollo sostenible.</w:t>
      </w:r>
    </w:p>
    <w:p w14:paraId="7CACCA31"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Formación y capacitación: ofrecen programas complementarios de formación y capacitación a los usuarios en diferentes áreas del sector agropecuario, lo que contribuye al desarrollo de capacidades, competencias y habilidades relacionadas con algún enfoque de extensión agropecuaria.</w:t>
      </w:r>
    </w:p>
    <w:p w14:paraId="0BD5BFB3"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 xml:space="preserve">Capacidad de Innovación: estas entidades cuentan con equipos de investigación y desarrollo tecnológico, capaces de aportar soluciones a las problemáticas del SPEA, como la digitalización del servicio, la oferta de acompañamiento remoto, el desarrollo de </w:t>
      </w:r>
      <w:r w:rsidRPr="0086351C">
        <w:rPr>
          <w:rFonts w:ascii="Arial" w:hAnsi="Arial" w:cs="Arial"/>
          <w:sz w:val="22"/>
          <w:szCs w:val="22"/>
        </w:rPr>
        <w:lastRenderedPageBreak/>
        <w:t>actividades complementarias para usuarios virtuales o la incorporación de tecnologías 4.0 en las zonas donde la cobertura de las redes de datos lo permita. Todo lo anterior partiendo de su conocimiento y experiencia en el territorio.</w:t>
      </w:r>
    </w:p>
    <w:p w14:paraId="22280049"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Infraestructura: estas instituciones cuentan con sede y subsedes en sus departamentos dotadas con laboratorios especializados, centros de investigación, equipos y tecnología de punta para el análisis de muestras y la realización de investigaciones, lo que permite brindar un servicio de calidad y pertinencia en la PSEA a los productores.</w:t>
      </w:r>
    </w:p>
    <w:p w14:paraId="739FA438" w14:textId="77777777"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Lo anterior expone todos los elementos que se han identificado en la presente justificación y de los cuales se concluye que existe la necesidad institucional de generar las alianzas estratégicas con actores públicos que fomenten esquemas de Extensión Agropecuaria que garanticen el fortalecimiento técnico y la calidad en las actividades en la ejecución de proyectos de servicio de extensión agropecuaria, realizando procesos de transferencia de tecnología y construcción de conocimientos adaptados a las necesidades de los usuarios, vinculando a profesionales cualificados y con experiencia en trabajo con comunidades que permita llegar a los usuarios con una oferta de conocimientos técnicos y tecnológicos que conlleven a mejorar las condiciones sociales, económicas, ambientales y organizacionales de los campesinos y productores colombianos, logrando así una trasformación real de la ruralidad del país.</w:t>
      </w:r>
    </w:p>
    <w:p w14:paraId="4E6BDEEC" w14:textId="16000E7D" w:rsidR="004C7D65"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Es de recalcar que el departamento de</w:t>
      </w:r>
      <w:r w:rsidR="00A65329" w:rsidRPr="0086351C">
        <w:rPr>
          <w:rFonts w:ascii="Arial" w:hAnsi="Arial" w:cs="Arial"/>
          <w:sz w:val="22"/>
          <w:szCs w:val="22"/>
        </w:rPr>
        <w:t xml:space="preserve"> SUCRE</w:t>
      </w:r>
      <w:r w:rsidRPr="0086351C">
        <w:rPr>
          <w:rFonts w:ascii="Arial" w:hAnsi="Arial" w:cs="Arial"/>
          <w:sz w:val="22"/>
          <w:szCs w:val="22"/>
        </w:rPr>
        <w:t xml:space="preserve"> tiene los planes y documentos ya desarrollados, como los Planes Departamentales de Extensión Agropecuaria (PDEA), los Planes Integrales de Desarrollo Agropecuario con Enfoque Territorial (PIDARET), los Planes de Desarrollo Municipal, los Planes de Ordenamiento Territorial y Plan Nacional de Desarrollo, y los Planes de Acción para la Transformación Regional (PATR), los Planes de sustitución y desarrollo (PISDA). Todos estos documentos son parte de los entes territoriales y garantizan su alineación con las acciones que se desarrollarán en el marco de los proyectos que se ejecutarán.</w:t>
      </w:r>
    </w:p>
    <w:p w14:paraId="4E40702E" w14:textId="6123D796" w:rsidR="008F7041" w:rsidRPr="0086351C" w:rsidRDefault="004C7D65" w:rsidP="00506C6C">
      <w:pPr>
        <w:spacing w:after="240" w:line="276" w:lineRule="auto"/>
        <w:jc w:val="both"/>
        <w:rPr>
          <w:rFonts w:ascii="Arial" w:hAnsi="Arial" w:cs="Arial"/>
          <w:sz w:val="22"/>
          <w:szCs w:val="22"/>
        </w:rPr>
      </w:pPr>
      <w:r w:rsidRPr="0086351C">
        <w:rPr>
          <w:rFonts w:ascii="Arial" w:hAnsi="Arial" w:cs="Arial"/>
          <w:sz w:val="22"/>
          <w:szCs w:val="22"/>
        </w:rPr>
        <w:t xml:space="preserve">Para lograr lo anterior, las acciones de extensión implementadas por la Agencia contribuirán a la gestión y fortalecimiento del conocimiento y los saberes locales, ancestrales y tradicionales de la población rural en actividades, como la adecuación y transformación de la producción primaria, la administración y las finanzas relacionadas con el crédito y el ahorro individual y colectivo, el mercadeo, la distribución y la comercialización, la producción primaria y secundaria, los servicios rurales, la gestión sostenible, la participación de las mujeres y la adaptación al cambio climático, la convivencia y el desarrollo rural. Además, se enfocará en fomentar el uso efectivo de la información de apoyo, la adopción o adaptación de tecnologías, considerando los usos y costumbres de formas de producción propias o alternativas, como la agroecológica. </w:t>
      </w:r>
      <w:r w:rsidR="008F7041" w:rsidRPr="0086351C">
        <w:rPr>
          <w:rFonts w:ascii="Arial" w:hAnsi="Arial" w:cs="Arial"/>
          <w:sz w:val="22"/>
          <w:szCs w:val="22"/>
        </w:rPr>
        <w:t>Es importante destacar que el departamento de</w:t>
      </w:r>
      <w:r w:rsidR="00A65329" w:rsidRPr="0086351C">
        <w:rPr>
          <w:rFonts w:ascii="Arial" w:hAnsi="Arial" w:cs="Arial"/>
          <w:sz w:val="22"/>
          <w:szCs w:val="22"/>
        </w:rPr>
        <w:t xml:space="preserve"> SUCRE</w:t>
      </w:r>
      <w:r w:rsidR="008F7041" w:rsidRPr="0086351C">
        <w:rPr>
          <w:rFonts w:ascii="Arial" w:hAnsi="Arial" w:cs="Arial"/>
          <w:sz w:val="22"/>
          <w:szCs w:val="22"/>
        </w:rPr>
        <w:t xml:space="preserve">, cuenta con diversos planes y documentos que se han desarrollado previamente, como los Planes Departamentales de Extensión Agropecuaria (PDEA), los Planes Integrales de Desarrollo Agropecuario con Enfoque Territorial (PIDARET), los </w:t>
      </w:r>
      <w:r w:rsidR="008F7041" w:rsidRPr="0086351C">
        <w:rPr>
          <w:rFonts w:ascii="Arial" w:hAnsi="Arial" w:cs="Arial"/>
          <w:sz w:val="22"/>
          <w:szCs w:val="22"/>
        </w:rPr>
        <w:lastRenderedPageBreak/>
        <w:t>Planes de Desarrollo Municipal, los Planes de Ordenamiento Territorial y las bases del Plan Nacional de Desarrollo, así como los Planes de Acción para la Transformación Regional (PATR), los planes integrales comunitarios y municipales de sustitución y desarrollo (PISDA) y el Plan de Ordenamiento Social de la Propiedad de la Unidad de Planificación Rural Agropecuaria (UPRA), entre otros. Todos estos documentos son parte de los entes territoriales y garantizan su alineación con las acciones que se desarrollarán en el marco de los proyectos que se ejecutarán.</w:t>
      </w:r>
    </w:p>
    <w:p w14:paraId="191C6B68" w14:textId="347A3078" w:rsidR="008F7041" w:rsidRPr="0086351C" w:rsidRDefault="008F7041" w:rsidP="00506C6C">
      <w:pPr>
        <w:spacing w:after="240" w:line="276" w:lineRule="auto"/>
        <w:jc w:val="both"/>
        <w:rPr>
          <w:rFonts w:ascii="Arial" w:eastAsia="Arial" w:hAnsi="Arial" w:cs="Arial"/>
          <w:sz w:val="22"/>
          <w:szCs w:val="22"/>
        </w:rPr>
      </w:pPr>
      <w:r w:rsidRPr="0086351C">
        <w:rPr>
          <w:rFonts w:ascii="Arial" w:eastAsia="Arial" w:hAnsi="Arial" w:cs="Arial"/>
          <w:sz w:val="22"/>
          <w:szCs w:val="22"/>
        </w:rPr>
        <w:t>Para lograr lo anterior, las acciones de extensión implementadas por la Agencia contribuirán a la gestión y fortalecimiento del conocimiento y los sabres locales, ancestrales y tradicionales de la población rural en actividades, como la adecuación y transformación de la producción primaria, la administración y las finanzas relacionadas con el crédito y el ahorro individual y colectivo, el mercadeo, la distribución y la comercialización, la producción primaria y secundaria, los servicios rurales, la gestión sostenible de las mujeres y la adaptación al cambio climático, la convivencia y el desarrollo rural. Además, se harán esfuerzos para fomentar la utilización efectiva de la información de apoyo, la adopción o adaptación de tecnologías, teniendo en cuenta los usos y costumbres relacionados con formas de producción propias o alternativas, como la producción agroecológica</w:t>
      </w:r>
      <w:r w:rsidR="5475E8D0" w:rsidRPr="0086351C">
        <w:rPr>
          <w:rFonts w:ascii="Arial" w:eastAsia="Arial" w:hAnsi="Arial" w:cs="Arial"/>
          <w:sz w:val="22"/>
          <w:szCs w:val="22"/>
        </w:rPr>
        <w:t>.</w:t>
      </w:r>
    </w:p>
    <w:p w14:paraId="7FAF073B" w14:textId="5A0795A2" w:rsidR="5475E8D0" w:rsidRPr="0086351C" w:rsidRDefault="5475E8D0" w:rsidP="00506C6C">
      <w:pPr>
        <w:spacing w:after="240" w:line="276" w:lineRule="auto"/>
        <w:jc w:val="both"/>
        <w:rPr>
          <w:rFonts w:ascii="Arial" w:eastAsia="Arial" w:hAnsi="Arial" w:cs="Arial"/>
          <w:i/>
          <w:iCs/>
          <w:sz w:val="22"/>
          <w:szCs w:val="22"/>
        </w:rPr>
      </w:pPr>
      <w:r w:rsidRPr="0086351C">
        <w:rPr>
          <w:rFonts w:ascii="Arial" w:eastAsia="Arial" w:hAnsi="Arial" w:cs="Arial"/>
          <w:sz w:val="22"/>
          <w:szCs w:val="22"/>
        </w:rPr>
        <w:t>El artículo 33 de la Ley 1876 de 2017 dispone que</w:t>
      </w:r>
      <w:r w:rsidRPr="0086351C">
        <w:rPr>
          <w:rFonts w:ascii="Arial" w:eastAsia="Arial" w:hAnsi="Arial" w:cs="Arial"/>
          <w:i/>
          <w:iCs/>
          <w:sz w:val="22"/>
          <w:szCs w:val="22"/>
        </w:rPr>
        <w:t xml:space="preserve"> "para garantizar la calidad en la prestación del servicio de extensión agropecuaria, toda EPSEA deberá registrarse y cumplir los requisitos que para ello disponga la Agencia de Desarrollo Rural - ADR. El registro y los requisitos se orientarán a garantizar que estas cumplan como mínimo los siguientes aspectos: 1 Idoneidad del recurso humano, formación profesional y desarrollo de competencias; 2. Experiencia relacionada con la prestación del servicio, 3. Capacidades para desarrollar los planes de extensión agropecuaria — PDEA, según los enfoques establecidos para los mismos, de acuerdo con el artículo 25 de la Ley 1876 de 2017; 4. Vinculo comprobable con organizaciones de formación, capacitación, ciencia, tecnología e innovación; 5 Capacidad financiera; y 6. Constitución y situación legal conforme'. </w:t>
      </w:r>
    </w:p>
    <w:p w14:paraId="07ACFDD3" w14:textId="6B0DA778" w:rsidR="5475E8D0" w:rsidRPr="0086351C" w:rsidRDefault="5475E8D0" w:rsidP="00506C6C">
      <w:pPr>
        <w:spacing w:after="240" w:line="276" w:lineRule="auto"/>
        <w:jc w:val="both"/>
        <w:rPr>
          <w:rFonts w:ascii="Arial" w:eastAsia="Arial" w:hAnsi="Arial" w:cs="Arial"/>
          <w:i/>
          <w:iCs/>
          <w:sz w:val="22"/>
          <w:szCs w:val="22"/>
        </w:rPr>
      </w:pPr>
      <w:r w:rsidRPr="0086351C">
        <w:rPr>
          <w:rFonts w:ascii="Arial" w:eastAsia="Arial" w:hAnsi="Arial" w:cs="Arial"/>
          <w:sz w:val="22"/>
          <w:szCs w:val="22"/>
        </w:rPr>
        <w:t>Que el mismo artículo señala que</w:t>
      </w:r>
      <w:r w:rsidRPr="0086351C">
        <w:rPr>
          <w:rFonts w:ascii="Arial" w:eastAsia="Arial" w:hAnsi="Arial" w:cs="Arial"/>
          <w:i/>
          <w:iCs/>
          <w:sz w:val="22"/>
          <w:szCs w:val="22"/>
        </w:rPr>
        <w:t xml:space="preserve"> "la Agencia de Desarrollo Rural — (ADR), reglamentará los requisitos que trata dicha norma, habilitará las EPSEA, publicará y actualizará el registro correspondiente'.</w:t>
      </w:r>
    </w:p>
    <w:p w14:paraId="464A1ABF" w14:textId="0646CBB9" w:rsidR="5475E8D0" w:rsidRPr="0086351C" w:rsidRDefault="5475E8D0" w:rsidP="00506C6C">
      <w:pPr>
        <w:spacing w:before="251" w:line="276" w:lineRule="auto"/>
        <w:ind w:right="96"/>
        <w:jc w:val="both"/>
        <w:rPr>
          <w:rFonts w:ascii="Arial" w:eastAsia="Arial" w:hAnsi="Arial" w:cs="Arial"/>
          <w:color w:val="000000" w:themeColor="text1"/>
          <w:sz w:val="22"/>
          <w:szCs w:val="22"/>
          <w:lang w:val="es"/>
        </w:rPr>
      </w:pPr>
      <w:r w:rsidRPr="0086351C">
        <w:rPr>
          <w:rFonts w:ascii="Arial" w:eastAsia="Arial" w:hAnsi="Arial" w:cs="Arial"/>
          <w:color w:val="000000" w:themeColor="text1"/>
          <w:sz w:val="22"/>
          <w:szCs w:val="22"/>
          <w:lang w:val="es"/>
        </w:rPr>
        <w:t xml:space="preserve">Que en desarrollo a las competencias atribuidas a la ADR por mandato de la Ley 1876 de 2017, mediante la </w:t>
      </w:r>
      <w:r w:rsidRPr="0086351C">
        <w:rPr>
          <w:rFonts w:ascii="Arial" w:eastAsia="Arial" w:hAnsi="Arial" w:cs="Arial"/>
          <w:b/>
          <w:bCs/>
          <w:color w:val="000000" w:themeColor="text1"/>
          <w:sz w:val="22"/>
          <w:szCs w:val="22"/>
          <w:lang w:val="es"/>
        </w:rPr>
        <w:t>Resolución No. 0422 del 05 de julio de 2019</w:t>
      </w:r>
      <w:r w:rsidRPr="0086351C">
        <w:rPr>
          <w:rFonts w:ascii="Arial" w:eastAsia="Arial" w:hAnsi="Arial" w:cs="Arial"/>
          <w:color w:val="000000" w:themeColor="text1"/>
          <w:sz w:val="22"/>
          <w:szCs w:val="22"/>
          <w:lang w:val="es"/>
        </w:rPr>
        <w:t>, la Agencia de Desarrollo Rural reglamentó el artículo 33 de la Ley 1876 de 2017 desarrollando el procedimiento y los requisitos de habilitación de las Entidades Prestadoras del Servicio de Extensión Agropecuaria - EPSEA y la elaboración, publicación y actualización del registro de EPSEA habilitadas para la prestación del Servicio Público de Extensión Agropecuaria.</w:t>
      </w:r>
    </w:p>
    <w:p w14:paraId="39C61470" w14:textId="33D56E3F" w:rsidR="5475E8D0" w:rsidRPr="0086351C" w:rsidRDefault="5475E8D0" w:rsidP="00506C6C">
      <w:pPr>
        <w:spacing w:before="251" w:line="276" w:lineRule="auto"/>
        <w:ind w:right="96"/>
        <w:jc w:val="both"/>
        <w:rPr>
          <w:rFonts w:ascii="Arial" w:eastAsia="Arial" w:hAnsi="Arial" w:cs="Arial"/>
          <w:color w:val="000000" w:themeColor="text1"/>
          <w:sz w:val="22"/>
          <w:szCs w:val="22"/>
          <w:lang w:val="es"/>
        </w:rPr>
      </w:pPr>
      <w:r w:rsidRPr="0086351C">
        <w:rPr>
          <w:rFonts w:ascii="Arial" w:eastAsia="Arial" w:hAnsi="Arial" w:cs="Arial"/>
          <w:color w:val="000000" w:themeColor="text1"/>
          <w:sz w:val="22"/>
          <w:szCs w:val="22"/>
          <w:lang w:val="es"/>
        </w:rPr>
        <w:lastRenderedPageBreak/>
        <w:t>Teniendo en cuenta lo dispuesto en el acto administrativo enunciado, cabe indicar que éste ha sufrido una serie de modificaciones por medio de las siguientes Resoluciones, las cuales se sustentaron conforme a las siguientes consideraciones:</w:t>
      </w:r>
    </w:p>
    <w:p w14:paraId="0673DEDF" w14:textId="6FAD2570" w:rsidR="5475E8D0" w:rsidRPr="0086351C" w:rsidRDefault="5475E8D0" w:rsidP="00506C6C">
      <w:pPr>
        <w:spacing w:before="251" w:line="276" w:lineRule="auto"/>
        <w:ind w:right="96"/>
        <w:jc w:val="both"/>
        <w:rPr>
          <w:rFonts w:ascii="Arial" w:eastAsia="Arial" w:hAnsi="Arial" w:cs="Arial"/>
          <w:color w:val="000000" w:themeColor="text1"/>
          <w:sz w:val="22"/>
          <w:szCs w:val="22"/>
          <w:lang w:val="es-ES"/>
        </w:rPr>
      </w:pPr>
      <w:r w:rsidRPr="0086351C">
        <w:rPr>
          <w:rFonts w:ascii="Arial" w:eastAsia="Arial" w:hAnsi="Arial" w:cs="Arial"/>
          <w:b/>
          <w:bCs/>
          <w:color w:val="000000" w:themeColor="text1"/>
          <w:sz w:val="22"/>
          <w:szCs w:val="22"/>
          <w:lang w:val="es-ES"/>
        </w:rPr>
        <w:t>Resolución N° 042 de 2020:</w:t>
      </w:r>
      <w:r w:rsidRPr="0086351C">
        <w:rPr>
          <w:rFonts w:ascii="Arial" w:eastAsia="Arial" w:hAnsi="Arial" w:cs="Arial"/>
          <w:color w:val="000000" w:themeColor="text1"/>
          <w:sz w:val="22"/>
          <w:szCs w:val="22"/>
          <w:lang w:val="es-ES"/>
        </w:rPr>
        <w:t xml:space="preserve"> Se sustentó en el Decreto Ley 19 de 2019 </w:t>
      </w:r>
      <w:r w:rsidRPr="0086351C">
        <w:rPr>
          <w:rFonts w:ascii="Arial" w:eastAsia="Arial" w:hAnsi="Arial" w:cs="Arial"/>
          <w:i/>
          <w:iCs/>
          <w:color w:val="000000" w:themeColor="text1"/>
          <w:sz w:val="22"/>
          <w:szCs w:val="22"/>
          <w:lang w:val="es-ES"/>
        </w:rPr>
        <w:t>“Por el cual se dictan normas para suprimir, o reformar regulaciones, procedimientos y trámites innecesarios existentes en la administración pública”</w:t>
      </w:r>
      <w:r w:rsidRPr="0086351C">
        <w:rPr>
          <w:rFonts w:ascii="Arial" w:eastAsia="Arial" w:hAnsi="Arial" w:cs="Arial"/>
          <w:color w:val="000000" w:themeColor="text1"/>
          <w:sz w:val="22"/>
          <w:szCs w:val="22"/>
          <w:lang w:val="es-ES"/>
        </w:rPr>
        <w:t xml:space="preserve"> y en que la expedición de actos administrativos corresponde a la expresión de la voluntad de la administración, la cual busca producir efectos jurídicos, sea creando, modificando o extinguiendo derechos para los administrados o en contra de éstos sobre un determinado asunto y tiene como presupuestos esenciales, su sujeción al orden jurídico y el respeto por las garantías y derechos de los administrados. </w:t>
      </w:r>
    </w:p>
    <w:p w14:paraId="27D257ED" w14:textId="4AA12891" w:rsidR="5475E8D0" w:rsidRPr="0086351C" w:rsidRDefault="5475E8D0" w:rsidP="00506C6C">
      <w:pPr>
        <w:spacing w:before="251" w:line="276" w:lineRule="auto"/>
        <w:ind w:right="96"/>
        <w:jc w:val="both"/>
        <w:rPr>
          <w:rFonts w:ascii="Arial" w:eastAsia="Arial" w:hAnsi="Arial" w:cs="Arial"/>
          <w:color w:val="000000" w:themeColor="text1"/>
          <w:sz w:val="22"/>
          <w:szCs w:val="22"/>
          <w:lang w:val="es"/>
        </w:rPr>
      </w:pPr>
      <w:r w:rsidRPr="0086351C">
        <w:rPr>
          <w:rFonts w:ascii="Arial" w:eastAsia="Arial" w:hAnsi="Arial" w:cs="Arial"/>
          <w:color w:val="000000" w:themeColor="text1"/>
          <w:sz w:val="22"/>
          <w:szCs w:val="22"/>
          <w:lang w:val="es"/>
        </w:rPr>
        <w:t>En la Resolución 0422 de 2019 se estableció el trámite de habilitación y renovación y renovación de las EPSEA, así como el de actualización y modificación de la información suministrada por las EPSEA dentro del registro, omitiéndose indicar los requisitos y términos previstos para el trámite de renovación, actualización o modificación de la información.</w:t>
      </w:r>
    </w:p>
    <w:p w14:paraId="00200F68" w14:textId="77C8E608" w:rsidR="5475E8D0" w:rsidRPr="0086351C" w:rsidRDefault="5475E8D0" w:rsidP="00506C6C">
      <w:pPr>
        <w:spacing w:before="251" w:line="276" w:lineRule="auto"/>
        <w:ind w:right="96"/>
        <w:jc w:val="both"/>
        <w:rPr>
          <w:rFonts w:ascii="Arial" w:eastAsia="Arial" w:hAnsi="Arial" w:cs="Arial"/>
          <w:color w:val="000000" w:themeColor="text1"/>
          <w:sz w:val="22"/>
          <w:szCs w:val="22"/>
          <w:lang w:val="es"/>
        </w:rPr>
      </w:pPr>
      <w:r w:rsidRPr="0086351C">
        <w:rPr>
          <w:rFonts w:ascii="Arial" w:eastAsia="Arial" w:hAnsi="Arial" w:cs="Arial"/>
          <w:color w:val="000000" w:themeColor="text1"/>
          <w:sz w:val="22"/>
          <w:szCs w:val="22"/>
          <w:lang w:val="es"/>
        </w:rPr>
        <w:t xml:space="preserve">Por lo anterior, resultó procedente modificar el contenido de la Resolución 0422 de 2019, por medio de la Resolución 042 de 2020, en el sentido de sujetarla a lo previsto en la normatividad vigente frente a lo dispuesto de suprimir o reformar regulaciones, procedimientos y trámites permitiendo establecer los términos y tiempos previstos para cada uno en los trámites de renovación, actualización y modificación dentro del procedimiento de habilitación de EPSEA y de esta manera garantizar seguridad jurídica en el marco de estos procesos. </w:t>
      </w:r>
    </w:p>
    <w:p w14:paraId="38D715DA" w14:textId="2B9CEE08" w:rsidR="5475E8D0" w:rsidRPr="0086351C" w:rsidRDefault="5475E8D0" w:rsidP="00506C6C">
      <w:pPr>
        <w:spacing w:before="251" w:line="276" w:lineRule="auto"/>
        <w:ind w:right="96"/>
        <w:jc w:val="both"/>
        <w:rPr>
          <w:rFonts w:ascii="Arial" w:eastAsia="Arial" w:hAnsi="Arial" w:cs="Arial"/>
          <w:i/>
          <w:iCs/>
          <w:color w:val="000000" w:themeColor="text1"/>
          <w:sz w:val="22"/>
          <w:szCs w:val="22"/>
          <w:lang w:val="es-ES"/>
        </w:rPr>
      </w:pPr>
      <w:r w:rsidRPr="0086351C">
        <w:rPr>
          <w:rFonts w:ascii="Arial" w:eastAsia="Arial" w:hAnsi="Arial" w:cs="Arial"/>
          <w:color w:val="000000" w:themeColor="text1"/>
          <w:sz w:val="22"/>
          <w:szCs w:val="22"/>
          <w:lang w:val="es-ES"/>
        </w:rPr>
        <w:t>Posteriormente fue emitida la Resolución N° 213 de 2020</w:t>
      </w:r>
      <w:r w:rsidRPr="0086351C">
        <w:rPr>
          <w:rFonts w:ascii="Arial" w:eastAsia="Arial" w:hAnsi="Arial" w:cs="Arial"/>
          <w:b/>
          <w:bCs/>
          <w:color w:val="000000" w:themeColor="text1"/>
          <w:sz w:val="22"/>
          <w:szCs w:val="22"/>
          <w:lang w:val="es-ES"/>
        </w:rPr>
        <w:t xml:space="preserve"> </w:t>
      </w:r>
      <w:r w:rsidRPr="0086351C">
        <w:rPr>
          <w:rFonts w:ascii="Arial" w:eastAsia="Arial" w:hAnsi="Arial" w:cs="Arial"/>
          <w:i/>
          <w:iCs/>
          <w:color w:val="000000" w:themeColor="text1"/>
          <w:sz w:val="22"/>
          <w:szCs w:val="22"/>
          <w:lang w:val="es-ES"/>
        </w:rPr>
        <w:t xml:space="preserve">“por la cual se revoca de oficio el parágrafo tercero de los artículos quinto y décimo de la Resolución 0422 de 2019”. </w:t>
      </w:r>
      <w:r w:rsidRPr="0086351C">
        <w:rPr>
          <w:rFonts w:ascii="Arial" w:eastAsia="Arial" w:hAnsi="Arial" w:cs="Arial"/>
          <w:color w:val="000000" w:themeColor="text1"/>
          <w:sz w:val="22"/>
          <w:szCs w:val="22"/>
          <w:lang w:val="es-ES"/>
        </w:rPr>
        <w:t xml:space="preserve">Con este acto administrativo se revoca el parágrafo tercero de dichos artículos sustentado en el artículo 3 de la Ley 489 de 1998 y el artículo 3 de la ley 1437 de 2011, que establecen que la función y actuaciones administrativas se desarrollan, con arreglo a </w:t>
      </w:r>
      <w:r w:rsidRPr="0086351C">
        <w:rPr>
          <w:rFonts w:ascii="Arial" w:eastAsia="Arial" w:hAnsi="Arial" w:cs="Arial"/>
          <w:i/>
          <w:iCs/>
          <w:color w:val="000000" w:themeColor="text1"/>
          <w:sz w:val="22"/>
          <w:szCs w:val="22"/>
          <w:lang w:val="es-ES"/>
        </w:rPr>
        <w:t>“(…) los principios del debido proceso, igualdad, imparcialidad, buena fe, moralidad, participación, responsabilidad, transparencia, publicidad, coordinación, eficacia, economía y celeridad (…)”.</w:t>
      </w:r>
    </w:p>
    <w:p w14:paraId="6E32467B" w14:textId="2822D19C" w:rsidR="5475E8D0" w:rsidRPr="0086351C" w:rsidRDefault="5475E8D0" w:rsidP="00506C6C">
      <w:pPr>
        <w:spacing w:before="251" w:line="276" w:lineRule="auto"/>
        <w:ind w:right="96"/>
        <w:jc w:val="both"/>
        <w:rPr>
          <w:rFonts w:ascii="Arial" w:eastAsia="Arial" w:hAnsi="Arial" w:cs="Arial"/>
          <w:i/>
          <w:iCs/>
          <w:color w:val="000000" w:themeColor="text1"/>
          <w:sz w:val="22"/>
          <w:szCs w:val="22"/>
          <w:lang w:val="es-ES"/>
        </w:rPr>
      </w:pPr>
      <w:r w:rsidRPr="0086351C">
        <w:rPr>
          <w:rFonts w:ascii="Arial" w:eastAsia="Arial" w:hAnsi="Arial" w:cs="Arial"/>
          <w:color w:val="000000" w:themeColor="text1"/>
          <w:sz w:val="22"/>
          <w:szCs w:val="22"/>
          <w:lang w:val="es-ES"/>
        </w:rPr>
        <w:t xml:space="preserve">Lo anterior se sustentó en los numerales 3 y 11 del artículo 3 de la Ley 1437 de 2011 disponen lo siguiente: </w:t>
      </w:r>
      <w:r w:rsidRPr="0086351C">
        <w:rPr>
          <w:rFonts w:ascii="Arial" w:eastAsia="Arial" w:hAnsi="Arial" w:cs="Arial"/>
          <w:i/>
          <w:iCs/>
          <w:color w:val="000000" w:themeColor="text1"/>
          <w:sz w:val="22"/>
          <w:szCs w:val="22"/>
          <w:lang w:val="es-ES"/>
        </w:rPr>
        <w:t xml:space="preserve">“3. En virtud del principio de imparcialidad, las autoridades deberán actuar teniendo en cuenta que la finalidad de los procedimientos consiste en asegurar y garantizar los derechos de todas las personas sin discriminación alguna y sin tener en consideración factores de afecto o de interés y, en general cualquier clase de motivación subjetiva (…) 11. En virtud del principio de eficacia, las autoridades buscaran que los procedimientos logren su finalidad y para el efecto removerán de oficio los obstáculos </w:t>
      </w:r>
      <w:r w:rsidRPr="0086351C">
        <w:rPr>
          <w:rFonts w:ascii="Arial" w:eastAsia="Arial" w:hAnsi="Arial" w:cs="Arial"/>
          <w:i/>
          <w:iCs/>
          <w:color w:val="000000" w:themeColor="text1"/>
          <w:sz w:val="22"/>
          <w:szCs w:val="22"/>
          <w:lang w:val="es-ES"/>
        </w:rPr>
        <w:lastRenderedPageBreak/>
        <w:t>puramente formales, evitaran decisiones inhibitorias, dilaciones o retardos y sanearan de acuerdo con este código las irregularidades procedimentales que se presente, en procura de la efectividad del derecho material objeto de la actuación administrativa”.</w:t>
      </w:r>
    </w:p>
    <w:p w14:paraId="648C593D" w14:textId="55FF52B9" w:rsidR="25956B64" w:rsidRPr="0086351C" w:rsidRDefault="25956B64" w:rsidP="00506C6C">
      <w:pPr>
        <w:spacing w:before="251" w:line="276" w:lineRule="auto"/>
        <w:ind w:right="96"/>
        <w:jc w:val="both"/>
        <w:rPr>
          <w:rFonts w:ascii="Arial" w:eastAsia="Arial" w:hAnsi="Arial" w:cs="Arial"/>
          <w:i/>
          <w:iCs/>
          <w:color w:val="000000" w:themeColor="text1"/>
          <w:sz w:val="22"/>
          <w:szCs w:val="22"/>
          <w:lang w:val="es-ES"/>
        </w:rPr>
      </w:pPr>
    </w:p>
    <w:p w14:paraId="3418DE0E" w14:textId="60707E8C" w:rsidR="351CA44B" w:rsidRPr="0086351C" w:rsidRDefault="351CA44B" w:rsidP="00506C6C">
      <w:pPr>
        <w:spacing w:after="240" w:line="276" w:lineRule="auto"/>
        <w:jc w:val="both"/>
        <w:rPr>
          <w:rFonts w:ascii="Arial" w:eastAsia="Arial" w:hAnsi="Arial" w:cs="Arial"/>
          <w:sz w:val="22"/>
          <w:szCs w:val="22"/>
        </w:rPr>
      </w:pPr>
      <w:r w:rsidRPr="0086351C">
        <w:rPr>
          <w:rFonts w:ascii="Arial" w:eastAsia="Arial" w:hAnsi="Arial" w:cs="Arial"/>
          <w:sz w:val="22"/>
          <w:szCs w:val="22"/>
        </w:rPr>
        <w:t xml:space="preserve">Así las cosas, la Agencia de Desarrollo Rural previo a la invitación  de un aliado estratégico recibió propuesta técnica de La </w:t>
      </w:r>
      <w:r w:rsidRPr="0086351C">
        <w:rPr>
          <w:rFonts w:ascii="Arial" w:eastAsia="Arial" w:hAnsi="Arial" w:cs="Arial"/>
          <w:b/>
          <w:bCs/>
          <w:sz w:val="22"/>
          <w:szCs w:val="22"/>
        </w:rPr>
        <w:t>UNIVERSIDAD DE SUCRE</w:t>
      </w:r>
      <w:r w:rsidRPr="0086351C">
        <w:rPr>
          <w:rFonts w:ascii="Arial" w:eastAsia="Arial" w:hAnsi="Arial" w:cs="Arial"/>
          <w:sz w:val="22"/>
          <w:szCs w:val="22"/>
        </w:rPr>
        <w:t xml:space="preserve"> la cual fue verificada técnica y financieramente, identificando que esta por su carácter público aporta en la territorialización del servicio como actor reconocido y con experiencia específica en el departamento, disponiendo así con el conocimiento del territorio para el desarrollo de las fases del SPEA, detallando los diferentes métodos de extensión y todas aquellas actividades propias de la construcción y transferencia de conocimiento.</w:t>
      </w:r>
    </w:p>
    <w:p w14:paraId="38E57A60" w14:textId="2B7D64AB" w:rsidR="351CA44B" w:rsidRPr="0086351C" w:rsidRDefault="351CA44B" w:rsidP="00506C6C">
      <w:pPr>
        <w:spacing w:line="276" w:lineRule="auto"/>
        <w:jc w:val="both"/>
        <w:rPr>
          <w:rFonts w:ascii="Arial" w:hAnsi="Arial" w:cs="Arial"/>
        </w:rPr>
      </w:pPr>
      <w:r w:rsidRPr="0086351C">
        <w:rPr>
          <w:rFonts w:ascii="Arial" w:eastAsia="Arial" w:hAnsi="Arial" w:cs="Arial"/>
          <w:sz w:val="22"/>
          <w:szCs w:val="22"/>
        </w:rPr>
        <w:t xml:space="preserve">La Vicepresidencia de Integración Productiva bajo  el acompañamiento de su área Técnica quien tiene a cargo las funciones enmarca en la Extensión Agropecuaria, ha identificado desde el punto de vista técnico, jurídico y financiero la conveniencia de realizar un convenio interadministrativo mediante la modalidad de contratación directa con La </w:t>
      </w:r>
      <w:r w:rsidRPr="0086351C">
        <w:rPr>
          <w:rFonts w:ascii="Arial" w:eastAsia="Arial" w:hAnsi="Arial" w:cs="Arial"/>
          <w:b/>
          <w:bCs/>
          <w:sz w:val="22"/>
          <w:szCs w:val="22"/>
        </w:rPr>
        <w:t>UNIVERSIDAD DE SUCRE</w:t>
      </w:r>
      <w:r w:rsidRPr="0086351C">
        <w:rPr>
          <w:rFonts w:ascii="Arial" w:eastAsia="Arial" w:hAnsi="Arial" w:cs="Arial"/>
          <w:sz w:val="22"/>
          <w:szCs w:val="22"/>
        </w:rPr>
        <w:t xml:space="preserve"> , justificada en las ventajas atribuibles a la representativa experiencia e idoneidad materializada en la capacidad técnica, conocimiento del territorio, capacidad de articulación con los actores territoriales y la competencia atribuida por la Ley 1876 de 2017, además en la propuesta técnica presentada se puede identificar en términos de costo beneficio una mejora sustancial en los valores asociados a la prestación del servicio que se reflejan en los aspectos ya señalados y el desarrollo de acciones que hacen más enriquecedor el proceso de extensión agropecuaria para el cumplimiento de las metas previstas en el Plan Nacional de Asistencia Técnica.</w:t>
      </w:r>
    </w:p>
    <w:p w14:paraId="5EB18171" w14:textId="77777777" w:rsidR="00175C78" w:rsidRPr="0086351C" w:rsidRDefault="00175C78" w:rsidP="00175C78">
      <w:pPr>
        <w:jc w:val="center"/>
        <w:rPr>
          <w:rFonts w:ascii="Arial" w:eastAsia="Tahoma" w:hAnsi="Arial" w:cs="Arial"/>
          <w:sz w:val="22"/>
          <w:szCs w:val="22"/>
        </w:rPr>
      </w:pPr>
    </w:p>
    <w:p w14:paraId="5ABFC50F" w14:textId="77777777" w:rsidR="00175C78" w:rsidRPr="0086351C" w:rsidRDefault="00175C78" w:rsidP="00175C78">
      <w:pPr>
        <w:pStyle w:val="Ttulo1"/>
        <w:framePr w:w="8566" w:wrap="around" w:hAnchor="page" w:x="1779" w:y="5"/>
        <w:spacing w:line="240" w:lineRule="auto"/>
        <w:ind w:left="0" w:firstLine="0"/>
        <w:jc w:val="left"/>
        <w:rPr>
          <w:rFonts w:ascii="Arial" w:eastAsia="Tahoma" w:hAnsi="Arial" w:cs="Arial"/>
          <w:sz w:val="22"/>
          <w:szCs w:val="22"/>
        </w:rPr>
      </w:pPr>
      <w:bookmarkStart w:id="5" w:name="_Toc178847881"/>
      <w:r w:rsidRPr="0086351C">
        <w:rPr>
          <w:rFonts w:ascii="Arial" w:hAnsi="Arial" w:cs="Arial"/>
          <w:sz w:val="22"/>
          <w:szCs w:val="22"/>
        </w:rPr>
        <w:t>ASPECTO ECONÓMICO</w:t>
      </w:r>
      <w:bookmarkEnd w:id="5"/>
    </w:p>
    <w:p w14:paraId="6E04D918" w14:textId="77777777" w:rsidR="00506C6C" w:rsidRDefault="00506C6C" w:rsidP="00506C6C">
      <w:pPr>
        <w:pStyle w:val="paragraph"/>
        <w:spacing w:before="0" w:beforeAutospacing="0" w:after="0" w:afterAutospacing="0" w:line="276" w:lineRule="auto"/>
        <w:jc w:val="both"/>
        <w:rPr>
          <w:rStyle w:val="normaltextrun"/>
          <w:rFonts w:ascii="Arial" w:eastAsia="Tahoma" w:hAnsi="Arial" w:cs="Arial"/>
          <w:sz w:val="22"/>
          <w:szCs w:val="22"/>
        </w:rPr>
      </w:pPr>
    </w:p>
    <w:p w14:paraId="7F4F3367" w14:textId="10DF9FDF" w:rsidR="00175C78" w:rsidRPr="0086351C" w:rsidRDefault="00175C78" w:rsidP="00506C6C">
      <w:pPr>
        <w:pStyle w:val="paragraph"/>
        <w:spacing w:before="0" w:beforeAutospacing="0" w:after="0" w:afterAutospacing="0" w:line="276" w:lineRule="auto"/>
        <w:jc w:val="both"/>
        <w:rPr>
          <w:rStyle w:val="normaltextrun"/>
          <w:rFonts w:ascii="Arial" w:eastAsia="Tahoma" w:hAnsi="Arial" w:cs="Arial"/>
          <w:sz w:val="22"/>
          <w:szCs w:val="22"/>
        </w:rPr>
      </w:pPr>
      <w:r w:rsidRPr="0086351C">
        <w:rPr>
          <w:rStyle w:val="normaltextrun"/>
          <w:rFonts w:ascii="Arial" w:eastAsia="Tahoma" w:hAnsi="Arial" w:cs="Arial"/>
          <w:sz w:val="22"/>
          <w:szCs w:val="22"/>
        </w:rPr>
        <w:t>La actividad económica se divide en sectores económicos, cada uno caracterizado por elementos comunes, unidad y diferenciación. Esta división se basa en los procesos de producción. Según la economía clásica, los sectores son el Primario (Agropecuario), el Secundario (Industrial) y el Terciario (Servicios). El sector terciario, altamente diversificado, abarca principalmente áreas de soporte, distribución y comercialización. El soporte incluye servicios que resuelven problemas específicos o proporcionan recursos humanos y tecnológicos. La distribución implica el transporte de mercancías y personas con distintos propósitos. La comercialización, último eslabón de las cadenas productivas, lleva los productos finales al mercado consumidor local. A continuación, se describirá la situación macroeconómica del país y se analizará el sector agropecuario, en el contexto de un proceso de contratación para servicios de extensión agropecuaria.</w:t>
      </w:r>
    </w:p>
    <w:p w14:paraId="1C73ED68" w14:textId="77777777" w:rsidR="00175C78" w:rsidRPr="0086351C" w:rsidRDefault="00175C78" w:rsidP="00175C78">
      <w:pPr>
        <w:pStyle w:val="paragraph"/>
        <w:spacing w:before="0" w:beforeAutospacing="0" w:after="0" w:afterAutospacing="0"/>
        <w:jc w:val="both"/>
        <w:textAlignment w:val="baseline"/>
        <w:rPr>
          <w:rStyle w:val="normaltextrun"/>
          <w:rFonts w:ascii="Arial" w:eastAsia="Tahoma" w:hAnsi="Arial" w:cs="Arial"/>
          <w:sz w:val="22"/>
          <w:szCs w:val="22"/>
        </w:rPr>
      </w:pPr>
    </w:p>
    <w:p w14:paraId="26677358" w14:textId="2B0286E9" w:rsidR="00175C78" w:rsidRPr="0086351C" w:rsidRDefault="00175C78" w:rsidP="00175C78">
      <w:pPr>
        <w:pStyle w:val="Ttulo2"/>
        <w:numPr>
          <w:ilvl w:val="1"/>
          <w:numId w:val="29"/>
        </w:numPr>
        <w:rPr>
          <w:rStyle w:val="eop"/>
          <w:rFonts w:ascii="Arial" w:eastAsia="Tahoma" w:hAnsi="Arial" w:cs="Arial"/>
          <w:b w:val="0"/>
          <w:bCs/>
          <w:color w:val="000000"/>
          <w:sz w:val="22"/>
          <w:szCs w:val="22"/>
          <w:shd w:val="clear" w:color="auto" w:fill="FFFFFF"/>
        </w:rPr>
      </w:pPr>
      <w:bookmarkStart w:id="6" w:name="_Toc178847882"/>
      <w:r w:rsidRPr="0086351C">
        <w:rPr>
          <w:rStyle w:val="normaltextrun"/>
          <w:rFonts w:ascii="Arial" w:eastAsia="Tahoma" w:hAnsi="Arial" w:cs="Arial"/>
          <w:bCs/>
          <w:color w:val="000000"/>
          <w:sz w:val="22"/>
          <w:szCs w:val="22"/>
          <w:shd w:val="clear" w:color="auto" w:fill="FFFFFF"/>
        </w:rPr>
        <w:lastRenderedPageBreak/>
        <w:t>Producto Interno Bruto - PIB</w:t>
      </w:r>
      <w:r w:rsidR="0041494D" w:rsidRPr="0086351C">
        <w:rPr>
          <w:rStyle w:val="Refdenotaalpie"/>
          <w:rFonts w:ascii="Arial" w:eastAsia="Tahoma" w:hAnsi="Arial" w:cs="Arial"/>
          <w:bCs/>
          <w:color w:val="000000"/>
          <w:sz w:val="22"/>
          <w:szCs w:val="22"/>
          <w:shd w:val="clear" w:color="auto" w:fill="FFFFFF"/>
        </w:rPr>
        <w:footnoteReference w:id="2"/>
      </w:r>
      <w:bookmarkEnd w:id="6"/>
    </w:p>
    <w:p w14:paraId="69C0B229"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207FBBC5" w14:textId="4D569048" w:rsidR="00175C78" w:rsidRPr="0086351C" w:rsidRDefault="00151D1A" w:rsidP="00175C78">
      <w:pPr>
        <w:pStyle w:val="paragraph"/>
        <w:spacing w:before="0" w:beforeAutospacing="0" w:after="0" w:afterAutospacing="0"/>
        <w:ind w:right="255"/>
        <w:jc w:val="both"/>
        <w:textAlignment w:val="baseline"/>
        <w:rPr>
          <w:rStyle w:val="normaltextrun"/>
          <w:rFonts w:ascii="Arial" w:eastAsia="Tahoma" w:hAnsi="Arial" w:cs="Arial"/>
          <w:sz w:val="22"/>
          <w:szCs w:val="22"/>
        </w:rPr>
      </w:pPr>
      <w:r w:rsidRPr="0086351C">
        <w:rPr>
          <w:rStyle w:val="normaltextrun"/>
          <w:rFonts w:ascii="Arial" w:eastAsia="Tahoma" w:hAnsi="Arial" w:cs="Arial"/>
          <w:noProof/>
          <w:sz w:val="22"/>
          <w:szCs w:val="22"/>
        </w:rPr>
        <w:drawing>
          <wp:inline distT="0" distB="0" distL="0" distR="0" wp14:anchorId="0CEA060E" wp14:editId="6E7078A1">
            <wp:extent cx="5320619" cy="3129280"/>
            <wp:effectExtent l="0" t="0" r="0" b="0"/>
            <wp:docPr id="16268953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895335" name=""/>
                    <pic:cNvPicPr/>
                  </pic:nvPicPr>
                  <pic:blipFill>
                    <a:blip r:embed="rId14"/>
                    <a:stretch>
                      <a:fillRect/>
                    </a:stretch>
                  </pic:blipFill>
                  <pic:spPr>
                    <a:xfrm>
                      <a:off x="0" y="0"/>
                      <a:ext cx="5323279" cy="3130845"/>
                    </a:xfrm>
                    <a:prstGeom prst="rect">
                      <a:avLst/>
                    </a:prstGeom>
                  </pic:spPr>
                </pic:pic>
              </a:graphicData>
            </a:graphic>
          </wp:inline>
        </w:drawing>
      </w:r>
    </w:p>
    <w:p w14:paraId="609C8DBE" w14:textId="77777777" w:rsidR="000120A6" w:rsidRPr="0086351C" w:rsidRDefault="000120A6" w:rsidP="000120A6">
      <w:pPr>
        <w:pStyle w:val="Descripcin"/>
        <w:spacing w:after="0"/>
        <w:jc w:val="center"/>
        <w:rPr>
          <w:rStyle w:val="normaltextrun"/>
          <w:rFonts w:ascii="Arial" w:eastAsia="Arial" w:hAnsi="Arial" w:cs="Arial"/>
          <w:i w:val="0"/>
          <w:color w:val="auto"/>
        </w:rPr>
      </w:pPr>
      <w:r w:rsidRPr="0086351C">
        <w:rPr>
          <w:rStyle w:val="normaltextrun"/>
          <w:rFonts w:ascii="Arial" w:eastAsia="Tahoma" w:hAnsi="Arial" w:cs="Arial"/>
          <w:sz w:val="22"/>
          <w:szCs w:val="22"/>
        </w:rPr>
        <w:tab/>
      </w: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2</w:t>
      </w:r>
      <w:r w:rsidRPr="0086351C">
        <w:rPr>
          <w:rFonts w:ascii="Arial" w:hAnsi="Arial" w:cs="Arial"/>
          <w:color w:val="auto"/>
        </w:rPr>
        <w:fldChar w:fldCharType="end"/>
      </w:r>
      <w:r w:rsidRPr="0086351C">
        <w:rPr>
          <w:rStyle w:val="normaltextrun"/>
          <w:rFonts w:ascii="Arial" w:eastAsia="Arial" w:hAnsi="Arial" w:cs="Arial"/>
          <w:color w:val="auto"/>
        </w:rPr>
        <w:t>. Producto Interno Bruto – PIB vigencia II trimestre 2024</w:t>
      </w:r>
    </w:p>
    <w:p w14:paraId="70F6AE40" w14:textId="77777777" w:rsidR="000120A6" w:rsidRPr="0086351C" w:rsidRDefault="000120A6" w:rsidP="000120A6">
      <w:pPr>
        <w:pStyle w:val="paragraph"/>
        <w:spacing w:before="0" w:beforeAutospacing="0" w:after="0" w:afterAutospacing="0"/>
        <w:ind w:right="255"/>
        <w:jc w:val="center"/>
        <w:textAlignment w:val="baseline"/>
        <w:rPr>
          <w:rStyle w:val="normaltextrun"/>
          <w:rFonts w:ascii="Arial" w:eastAsia="Arial" w:hAnsi="Arial" w:cs="Arial"/>
          <w:i/>
          <w:sz w:val="18"/>
          <w:szCs w:val="18"/>
        </w:rPr>
      </w:pPr>
      <w:r w:rsidRPr="0086351C">
        <w:rPr>
          <w:rStyle w:val="normaltextrun"/>
          <w:rFonts w:ascii="Arial" w:eastAsia="Arial" w:hAnsi="Arial" w:cs="Arial"/>
          <w:i/>
          <w:sz w:val="18"/>
          <w:szCs w:val="18"/>
        </w:rPr>
        <w:t>Fuente: Informe trimestral PIB II-2024 – DANE 2024.</w:t>
      </w:r>
    </w:p>
    <w:p w14:paraId="5F53251E" w14:textId="4287D399" w:rsidR="00175C78" w:rsidRPr="0086351C" w:rsidRDefault="00175C78" w:rsidP="000120A6">
      <w:pPr>
        <w:pStyle w:val="paragraph"/>
        <w:tabs>
          <w:tab w:val="left" w:pos="5070"/>
        </w:tabs>
        <w:spacing w:before="0" w:beforeAutospacing="0" w:after="0" w:afterAutospacing="0"/>
        <w:ind w:right="255"/>
        <w:jc w:val="both"/>
        <w:textAlignment w:val="baseline"/>
        <w:rPr>
          <w:rStyle w:val="normaltextrun"/>
          <w:rFonts w:ascii="Arial" w:eastAsia="Tahoma" w:hAnsi="Arial" w:cs="Arial"/>
          <w:sz w:val="22"/>
          <w:szCs w:val="22"/>
        </w:rPr>
      </w:pPr>
    </w:p>
    <w:p w14:paraId="3385F269" w14:textId="77777777" w:rsidR="00151D1A" w:rsidRPr="0086351C" w:rsidRDefault="00151D1A"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En el segundo trimestre de 2024pr, el Producto Interno Bruto en su serie original, crece 2,1% respecto al mismo periodo de 2023pr (ver tabla 1). </w:t>
      </w:r>
    </w:p>
    <w:p w14:paraId="168AEF1D" w14:textId="77777777" w:rsidR="00151D1A" w:rsidRPr="0086351C" w:rsidRDefault="00151D1A" w:rsidP="00F365B4">
      <w:pPr>
        <w:pStyle w:val="paragraph"/>
        <w:spacing w:before="0" w:beforeAutospacing="0" w:after="0" w:afterAutospacing="0" w:line="276" w:lineRule="auto"/>
        <w:jc w:val="both"/>
        <w:textAlignment w:val="baseline"/>
        <w:rPr>
          <w:rFonts w:ascii="Arial" w:eastAsia="Tahoma" w:hAnsi="Arial" w:cs="Arial"/>
          <w:sz w:val="22"/>
          <w:szCs w:val="22"/>
        </w:rPr>
      </w:pPr>
    </w:p>
    <w:p w14:paraId="0E9227A3" w14:textId="77777777" w:rsidR="00151D1A" w:rsidRPr="0086351C" w:rsidRDefault="00151D1A"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Las actividades económicas que más contribuyen a la dinámica del valor agregado son: </w:t>
      </w:r>
    </w:p>
    <w:p w14:paraId="6C2A394D" w14:textId="77777777" w:rsidR="00F365B4" w:rsidRDefault="00151D1A" w:rsidP="00F365B4">
      <w:pPr>
        <w:pStyle w:val="paragraph"/>
        <w:numPr>
          <w:ilvl w:val="0"/>
          <w:numId w:val="46"/>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Agricultura, ganadería, caza, silvicultura y pesca crece 10,2% (contribuye 1,0 puntos porcentuales a la variación anual). </w:t>
      </w:r>
    </w:p>
    <w:p w14:paraId="4EB5BE13" w14:textId="77777777" w:rsidR="00F365B4" w:rsidRDefault="00151D1A" w:rsidP="00F365B4">
      <w:pPr>
        <w:pStyle w:val="paragraph"/>
        <w:numPr>
          <w:ilvl w:val="0"/>
          <w:numId w:val="46"/>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Administración pública y defensa; planes de seguridad social de afiliación obligatoria; Educación; Actividades de atención de la salud humana y de servicios sociales crece 4,8% (contribuye 0,8 puntos porcentuales a la variación anual). </w:t>
      </w:r>
    </w:p>
    <w:p w14:paraId="2E3D632E" w14:textId="2B1E9137" w:rsidR="00175C78" w:rsidRPr="0086351C" w:rsidRDefault="00151D1A" w:rsidP="00F365B4">
      <w:pPr>
        <w:pStyle w:val="paragraph"/>
        <w:numPr>
          <w:ilvl w:val="0"/>
          <w:numId w:val="46"/>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11,1% (contribuye 0,4 puntos porcentuales a la variación anual).</w:t>
      </w:r>
    </w:p>
    <w:p w14:paraId="6309557B" w14:textId="77777777" w:rsidR="00151D1A" w:rsidRPr="0086351C" w:rsidRDefault="00151D1A" w:rsidP="00F365B4">
      <w:pPr>
        <w:pStyle w:val="paragraph"/>
        <w:spacing w:before="0" w:beforeAutospacing="0" w:after="0" w:afterAutospacing="0" w:line="276" w:lineRule="auto"/>
        <w:jc w:val="both"/>
        <w:textAlignment w:val="baseline"/>
        <w:rPr>
          <w:rStyle w:val="normaltextrun"/>
          <w:rFonts w:ascii="Arial" w:eastAsia="Tahoma" w:hAnsi="Arial" w:cs="Arial"/>
          <w:sz w:val="22"/>
          <w:szCs w:val="22"/>
        </w:rPr>
      </w:pPr>
    </w:p>
    <w:p w14:paraId="6C35C3F6" w14:textId="7468820F" w:rsidR="00151D1A" w:rsidRPr="0086351C" w:rsidRDefault="00151D1A"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Durante el primer semestre de 2024pr, respecto al mismo periodo del año anterior, el Producto Interno Bruto presenta un crecimiento de 1,5%. Las actividades económicas que más contribuyen a la dinámica del valor agregado son: </w:t>
      </w:r>
    </w:p>
    <w:p w14:paraId="047DB658" w14:textId="1C1A7F42" w:rsidR="00151D1A" w:rsidRPr="0086351C" w:rsidRDefault="00151D1A" w:rsidP="00F365B4">
      <w:pPr>
        <w:pStyle w:val="paragraph"/>
        <w:numPr>
          <w:ilvl w:val="0"/>
          <w:numId w:val="47"/>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lastRenderedPageBreak/>
        <w:t xml:space="preserve">Administración pública y defensa; planes de seguridad social de afiliación obligatoria; Educación; Actividades de atención de la salud humana y de servicios sociales crece 5,1% (contribuye 0,8 puntos porcentuales a la variación anual). </w:t>
      </w:r>
    </w:p>
    <w:p w14:paraId="6D79CADD" w14:textId="2F4ABA6F" w:rsidR="00151D1A" w:rsidRPr="0086351C" w:rsidRDefault="00151D1A" w:rsidP="00F365B4">
      <w:pPr>
        <w:pStyle w:val="paragraph"/>
        <w:numPr>
          <w:ilvl w:val="0"/>
          <w:numId w:val="47"/>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Agricultura, ganadería, caza, silvicultura y pesca crece 8,0% (contribuye 0,8 puntos porcentuales a la variación anual). </w:t>
      </w:r>
    </w:p>
    <w:p w14:paraId="1C42DD7A" w14:textId="658311B5" w:rsidR="00175C78" w:rsidRPr="0086351C" w:rsidRDefault="00151D1A" w:rsidP="00F365B4">
      <w:pPr>
        <w:pStyle w:val="paragraph"/>
        <w:numPr>
          <w:ilvl w:val="0"/>
          <w:numId w:val="47"/>
        </w:numPr>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75E8915E" w14:textId="77777777" w:rsidR="00151D1A" w:rsidRPr="0086351C" w:rsidRDefault="00151D1A" w:rsidP="00175C78">
      <w:pPr>
        <w:pStyle w:val="paragraph"/>
        <w:spacing w:before="0" w:beforeAutospacing="0" w:after="0" w:afterAutospacing="0"/>
        <w:jc w:val="both"/>
        <w:textAlignment w:val="baseline"/>
        <w:rPr>
          <w:rStyle w:val="normaltextrun"/>
          <w:rFonts w:ascii="Arial" w:eastAsia="Tahoma" w:hAnsi="Arial" w:cs="Arial"/>
          <w:sz w:val="22"/>
          <w:szCs w:val="22"/>
        </w:rPr>
      </w:pPr>
    </w:p>
    <w:p w14:paraId="2F5E71B9" w14:textId="4DAD3D78" w:rsidR="00175C78" w:rsidRPr="0086351C" w:rsidRDefault="00151D1A" w:rsidP="00BF46AC">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rPr>
        <w:drawing>
          <wp:inline distT="0" distB="0" distL="0" distR="0" wp14:anchorId="05AB7C5D" wp14:editId="1ECEABD1">
            <wp:extent cx="4258269" cy="3810532"/>
            <wp:effectExtent l="0" t="0" r="0" b="0"/>
            <wp:docPr id="1977532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32779" name=""/>
                    <pic:cNvPicPr/>
                  </pic:nvPicPr>
                  <pic:blipFill>
                    <a:blip r:embed="rId15"/>
                    <a:stretch>
                      <a:fillRect/>
                    </a:stretch>
                  </pic:blipFill>
                  <pic:spPr>
                    <a:xfrm>
                      <a:off x="0" y="0"/>
                      <a:ext cx="4258269" cy="3810532"/>
                    </a:xfrm>
                    <a:prstGeom prst="rect">
                      <a:avLst/>
                    </a:prstGeom>
                  </pic:spPr>
                </pic:pic>
              </a:graphicData>
            </a:graphic>
          </wp:inline>
        </w:drawing>
      </w:r>
    </w:p>
    <w:p w14:paraId="406B8E0B" w14:textId="77777777" w:rsidR="00B058FB" w:rsidRPr="0086351C" w:rsidRDefault="00B058FB" w:rsidP="00B058FB">
      <w:pPr>
        <w:pStyle w:val="Descripcin"/>
        <w:spacing w:after="0"/>
        <w:jc w:val="center"/>
        <w:rPr>
          <w:rStyle w:val="normaltextrun"/>
          <w:rFonts w:ascii="Arial" w:eastAsia="Arial" w:hAnsi="Arial" w:cs="Arial"/>
          <w:i w:val="0"/>
          <w:color w:val="auto"/>
        </w:rPr>
      </w:pPr>
      <w:r w:rsidRPr="0086351C">
        <w:rPr>
          <w:rStyle w:val="normaltextrun"/>
          <w:rFonts w:ascii="Arial" w:eastAsia="Tahoma" w:hAnsi="Arial" w:cs="Arial"/>
          <w:sz w:val="22"/>
          <w:szCs w:val="22"/>
        </w:rPr>
        <w:tab/>
      </w:r>
      <w:r w:rsidRPr="0086351C">
        <w:rPr>
          <w:rFonts w:ascii="Arial" w:eastAsia="Arial" w:hAnsi="Arial" w:cs="Arial"/>
          <w:i w:val="0"/>
          <w:color w:val="auto"/>
        </w:rPr>
        <w:t xml:space="preserve">Tabla </w:t>
      </w:r>
      <w:r w:rsidRPr="0086351C">
        <w:rPr>
          <w:rFonts w:ascii="Arial" w:hAnsi="Arial" w:cs="Arial"/>
          <w:i w:val="0"/>
          <w:iCs w:val="0"/>
          <w:color w:val="auto"/>
        </w:rPr>
        <w:fldChar w:fldCharType="begin"/>
      </w:r>
      <w:r w:rsidRPr="0086351C">
        <w:rPr>
          <w:rFonts w:ascii="Arial" w:hAnsi="Arial" w:cs="Arial"/>
          <w:i w:val="0"/>
          <w:iCs w:val="0"/>
          <w:color w:val="auto"/>
        </w:rPr>
        <w:instrText xml:space="preserve"> SEQ Tabla \* ARABIC </w:instrText>
      </w:r>
      <w:r w:rsidRPr="0086351C">
        <w:rPr>
          <w:rFonts w:ascii="Arial" w:hAnsi="Arial" w:cs="Arial"/>
          <w:i w:val="0"/>
          <w:iCs w:val="0"/>
          <w:color w:val="auto"/>
        </w:rPr>
        <w:fldChar w:fldCharType="separate"/>
      </w:r>
      <w:r w:rsidRPr="0086351C">
        <w:rPr>
          <w:rFonts w:ascii="Arial" w:hAnsi="Arial" w:cs="Arial"/>
          <w:i w:val="0"/>
          <w:iCs w:val="0"/>
          <w:noProof/>
          <w:color w:val="auto"/>
        </w:rPr>
        <w:t>1</w:t>
      </w:r>
      <w:r w:rsidRPr="0086351C">
        <w:rPr>
          <w:rFonts w:ascii="Arial" w:hAnsi="Arial" w:cs="Arial"/>
          <w:i w:val="0"/>
          <w:iCs w:val="0"/>
          <w:color w:val="auto"/>
        </w:rPr>
        <w:fldChar w:fldCharType="end"/>
      </w:r>
      <w:r w:rsidRPr="0086351C">
        <w:rPr>
          <w:rFonts w:ascii="Arial" w:eastAsia="Arial" w:hAnsi="Arial" w:cs="Arial"/>
          <w:i w:val="0"/>
          <w:color w:val="auto"/>
        </w:rPr>
        <w:t>.</w:t>
      </w:r>
      <w:r w:rsidRPr="0086351C">
        <w:rPr>
          <w:rStyle w:val="normaltextrun"/>
          <w:rFonts w:ascii="Arial" w:eastAsia="Arial" w:hAnsi="Arial" w:cs="Arial"/>
          <w:i w:val="0"/>
          <w:color w:val="auto"/>
        </w:rPr>
        <w:t>Valor Agregado por Actividad Económica – II trimestre 2024</w:t>
      </w:r>
    </w:p>
    <w:p w14:paraId="79350D24" w14:textId="77777777" w:rsidR="00B058FB" w:rsidRPr="0086351C" w:rsidRDefault="00B058FB" w:rsidP="00B058FB">
      <w:pPr>
        <w:pStyle w:val="paragraph"/>
        <w:spacing w:before="0" w:beforeAutospacing="0" w:after="0" w:afterAutospacing="0"/>
        <w:jc w:val="center"/>
        <w:textAlignment w:val="baseline"/>
        <w:rPr>
          <w:rStyle w:val="normaltextrun"/>
          <w:rFonts w:ascii="Arial" w:eastAsia="Arial" w:hAnsi="Arial" w:cs="Arial"/>
          <w:i/>
          <w:sz w:val="18"/>
          <w:szCs w:val="18"/>
        </w:rPr>
      </w:pPr>
      <w:r w:rsidRPr="0086351C">
        <w:rPr>
          <w:rStyle w:val="normaltextrun"/>
          <w:rFonts w:ascii="Arial" w:eastAsia="Arial" w:hAnsi="Arial" w:cs="Arial"/>
          <w:i/>
          <w:sz w:val="18"/>
          <w:szCs w:val="18"/>
        </w:rPr>
        <w:t>Fuente: Informe trimestral PIB II-2024 – DANE 2024.</w:t>
      </w:r>
    </w:p>
    <w:p w14:paraId="1C07F574" w14:textId="77777777" w:rsidR="00F365B4" w:rsidRDefault="00F365B4" w:rsidP="00175C78">
      <w:pPr>
        <w:pStyle w:val="paragraph"/>
        <w:spacing w:before="0" w:beforeAutospacing="0" w:after="0" w:afterAutospacing="0"/>
        <w:ind w:right="255"/>
        <w:jc w:val="both"/>
        <w:textAlignment w:val="baseline"/>
        <w:rPr>
          <w:rFonts w:ascii="Arial" w:eastAsia="Tahoma" w:hAnsi="Arial" w:cs="Arial"/>
          <w:sz w:val="22"/>
          <w:szCs w:val="22"/>
        </w:rPr>
      </w:pPr>
    </w:p>
    <w:p w14:paraId="54A428BC" w14:textId="0979ADAA" w:rsidR="00151D1A" w:rsidRPr="0086351C"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Fonts w:ascii="Arial" w:eastAsia="Tahoma" w:hAnsi="Arial" w:cs="Arial"/>
          <w:sz w:val="22"/>
          <w:szCs w:val="22"/>
        </w:rPr>
        <w:t xml:space="preserve">En el segundo trimestre de 2024pr, el valor agregado de la agricultura, ganadería, caza, silvicultura y pesca crece 10,2% en su serie original, respecto al mismo periodo de 2023pr. </w:t>
      </w:r>
    </w:p>
    <w:p w14:paraId="1219FA6B" w14:textId="77777777" w:rsidR="00151D1A" w:rsidRPr="0086351C"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p>
    <w:p w14:paraId="2515DF3A" w14:textId="77777777" w:rsidR="00151D1A"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Fonts w:ascii="Arial" w:eastAsia="Tahoma" w:hAnsi="Arial" w:cs="Arial"/>
          <w:sz w:val="22"/>
          <w:szCs w:val="22"/>
        </w:rPr>
        <w:t xml:space="preserve">Esta dinámica se explica por los siguientes comportamientos (ver tabla 2): </w:t>
      </w:r>
    </w:p>
    <w:p w14:paraId="19E3167A" w14:textId="77777777" w:rsidR="00F365B4" w:rsidRPr="0086351C" w:rsidRDefault="00F365B4"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p>
    <w:p w14:paraId="45FB1B99" w14:textId="6A2E6DC9"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Cultivos agrícolas transitorios; cultivos agrícolas permanentes; propagación de plantas (actividades de viveros, excepto viveros forestales); actividades de apoyo a </w:t>
      </w:r>
      <w:r w:rsidRPr="0086351C">
        <w:rPr>
          <w:rFonts w:ascii="Arial" w:eastAsia="Tahoma" w:hAnsi="Arial" w:cs="Arial"/>
          <w:sz w:val="22"/>
          <w:szCs w:val="22"/>
        </w:rPr>
        <w:lastRenderedPageBreak/>
        <w:t xml:space="preserve">la agricultura y la ganadería y posteriores a la cosecha; explotación mixta (agrícola y pecuaria) y caza ordinaria y mediante trampas; y actividades de servicios conexas crece 10,9%. </w:t>
      </w:r>
    </w:p>
    <w:p w14:paraId="3F814D22" w14:textId="3E018743"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Cultivo permanente de café crece 25,8%. </w:t>
      </w:r>
    </w:p>
    <w:p w14:paraId="5EC41567" w14:textId="5BAEE80F"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Ganadería crece 6,5%. • Silvicultura y extracción de madera decrece 7,3%. </w:t>
      </w:r>
    </w:p>
    <w:p w14:paraId="3B3904CF" w14:textId="77777777"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Pesca y acuicultura decrece 9,1%. </w:t>
      </w:r>
    </w:p>
    <w:p w14:paraId="3D1585D5" w14:textId="77777777" w:rsidR="00151D1A" w:rsidRPr="0086351C"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p>
    <w:p w14:paraId="01DBC749" w14:textId="56740CA2" w:rsidR="00151D1A" w:rsidRPr="0086351C"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Fonts w:ascii="Arial" w:eastAsia="Tahoma" w:hAnsi="Arial" w:cs="Arial"/>
          <w:sz w:val="22"/>
          <w:szCs w:val="22"/>
        </w:rPr>
        <w:t xml:space="preserve">Respecto al trimestre inmediatamente anterior en su serie ajustada por efecto estacional y calendario, el valor agregado de la agricultura, ganadería, caza, silvicultura y pesca crece en 1,5%, cuando se observa el comportamiento de las actividades económicas relacionadas: </w:t>
      </w:r>
    </w:p>
    <w:p w14:paraId="7651924F" w14:textId="77777777" w:rsidR="00151D1A" w:rsidRPr="0086351C" w:rsidRDefault="00151D1A"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p>
    <w:p w14:paraId="24618ABA" w14:textId="510D05E0"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1,5%. </w:t>
      </w:r>
    </w:p>
    <w:p w14:paraId="0D42836A" w14:textId="7BA74EA5"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Cultivo permanente de café crece 10,9%. </w:t>
      </w:r>
    </w:p>
    <w:p w14:paraId="06058D61" w14:textId="77777777"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 xml:space="preserve">Ganadería crece 1,1%. </w:t>
      </w:r>
    </w:p>
    <w:p w14:paraId="62D13C96" w14:textId="1E0D62E9" w:rsidR="00175C78"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sz w:val="22"/>
          <w:szCs w:val="22"/>
        </w:rPr>
      </w:pPr>
      <w:r w:rsidRPr="0086351C">
        <w:rPr>
          <w:rFonts w:ascii="Arial" w:eastAsia="Tahoma" w:hAnsi="Arial" w:cs="Arial"/>
          <w:sz w:val="22"/>
          <w:szCs w:val="22"/>
        </w:rPr>
        <w:t>Silvicultura y extracción de madera decrece 2,1%.</w:t>
      </w:r>
    </w:p>
    <w:p w14:paraId="7931BD5B" w14:textId="5B4A3029" w:rsidR="00151D1A" w:rsidRPr="0086351C" w:rsidRDefault="00151D1A" w:rsidP="00F365B4">
      <w:pPr>
        <w:pStyle w:val="paragraph"/>
        <w:numPr>
          <w:ilvl w:val="0"/>
          <w:numId w:val="40"/>
        </w:numPr>
        <w:spacing w:before="0" w:beforeAutospacing="0" w:after="0" w:afterAutospacing="0" w:line="276" w:lineRule="auto"/>
        <w:ind w:left="426" w:right="255"/>
        <w:jc w:val="both"/>
        <w:textAlignment w:val="baseline"/>
        <w:rPr>
          <w:rFonts w:ascii="Arial" w:eastAsia="Tahoma" w:hAnsi="Arial" w:cs="Arial"/>
        </w:rPr>
      </w:pPr>
      <w:r w:rsidRPr="0086351C">
        <w:rPr>
          <w:rFonts w:ascii="Arial" w:eastAsia="Tahoma" w:hAnsi="Arial" w:cs="Arial"/>
          <w:sz w:val="22"/>
          <w:szCs w:val="22"/>
        </w:rPr>
        <w:t>Pesca y acuicultura decrece 0,2%.</w:t>
      </w:r>
    </w:p>
    <w:p w14:paraId="25CD4201" w14:textId="77777777" w:rsidR="00151D1A" w:rsidRPr="0086351C" w:rsidRDefault="00151D1A" w:rsidP="00151D1A">
      <w:pPr>
        <w:pStyle w:val="paragraph"/>
        <w:spacing w:before="0" w:beforeAutospacing="0" w:after="0" w:afterAutospacing="0"/>
        <w:ind w:left="426" w:right="255"/>
        <w:jc w:val="both"/>
        <w:textAlignment w:val="baseline"/>
        <w:rPr>
          <w:rFonts w:ascii="Arial" w:eastAsia="Tahoma" w:hAnsi="Arial" w:cs="Arial"/>
        </w:rPr>
      </w:pPr>
    </w:p>
    <w:p w14:paraId="100E22A8" w14:textId="27E14A73"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r w:rsidRPr="0086351C">
        <w:rPr>
          <w:rStyle w:val="normaltextrun"/>
          <w:rFonts w:ascii="Arial" w:eastAsia="Tahoma" w:hAnsi="Arial" w:cs="Arial"/>
          <w:sz w:val="22"/>
          <w:szCs w:val="22"/>
        </w:rPr>
        <w:t> </w:t>
      </w:r>
      <w:r w:rsidR="00151D1A" w:rsidRPr="0086351C">
        <w:rPr>
          <w:rStyle w:val="normaltextrun"/>
          <w:rFonts w:ascii="Arial" w:eastAsia="Tahoma" w:hAnsi="Arial" w:cs="Arial"/>
          <w:noProof/>
          <w:sz w:val="22"/>
          <w:szCs w:val="22"/>
        </w:rPr>
        <w:drawing>
          <wp:inline distT="0" distB="0" distL="0" distR="0" wp14:anchorId="08F1F4B3" wp14:editId="45451F1D">
            <wp:extent cx="4220164" cy="2572109"/>
            <wp:effectExtent l="0" t="0" r="9525" b="0"/>
            <wp:docPr id="2951188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18864" name=""/>
                    <pic:cNvPicPr/>
                  </pic:nvPicPr>
                  <pic:blipFill>
                    <a:blip r:embed="rId16"/>
                    <a:stretch>
                      <a:fillRect/>
                    </a:stretch>
                  </pic:blipFill>
                  <pic:spPr>
                    <a:xfrm>
                      <a:off x="0" y="0"/>
                      <a:ext cx="4220164" cy="2572109"/>
                    </a:xfrm>
                    <a:prstGeom prst="rect">
                      <a:avLst/>
                    </a:prstGeom>
                  </pic:spPr>
                </pic:pic>
              </a:graphicData>
            </a:graphic>
          </wp:inline>
        </w:drawing>
      </w:r>
      <w:r w:rsidRPr="0086351C">
        <w:rPr>
          <w:rStyle w:val="eop"/>
          <w:rFonts w:ascii="Arial" w:eastAsia="Tahoma" w:hAnsi="Arial" w:cs="Arial"/>
          <w:sz w:val="22"/>
          <w:szCs w:val="22"/>
        </w:rPr>
        <w:t> </w:t>
      </w:r>
    </w:p>
    <w:p w14:paraId="5736C78C" w14:textId="77777777" w:rsidR="00ED074A" w:rsidRPr="0086351C" w:rsidRDefault="00175C78" w:rsidP="00ED074A">
      <w:pPr>
        <w:pStyle w:val="Descripcin"/>
        <w:spacing w:after="0"/>
        <w:jc w:val="center"/>
        <w:rPr>
          <w:rStyle w:val="normaltextrun"/>
          <w:rFonts w:ascii="Arial" w:eastAsia="Arial" w:hAnsi="Arial" w:cs="Arial"/>
          <w:i w:val="0"/>
          <w:color w:val="auto"/>
        </w:rPr>
      </w:pPr>
      <w:r w:rsidRPr="0086351C">
        <w:rPr>
          <w:rStyle w:val="eop"/>
          <w:rFonts w:ascii="Arial" w:eastAsia="Tahoma" w:hAnsi="Arial" w:cs="Arial"/>
          <w:sz w:val="22"/>
          <w:szCs w:val="22"/>
        </w:rPr>
        <w:t> </w:t>
      </w:r>
      <w:r w:rsidR="00ED074A" w:rsidRPr="0086351C">
        <w:rPr>
          <w:rFonts w:ascii="Arial" w:eastAsia="Arial" w:hAnsi="Arial" w:cs="Arial"/>
          <w:color w:val="auto"/>
        </w:rPr>
        <w:t xml:space="preserve">Tabla </w:t>
      </w:r>
      <w:r w:rsidR="00ED074A" w:rsidRPr="0086351C">
        <w:rPr>
          <w:rFonts w:ascii="Arial" w:hAnsi="Arial" w:cs="Arial"/>
          <w:color w:val="auto"/>
        </w:rPr>
        <w:fldChar w:fldCharType="begin"/>
      </w:r>
      <w:r w:rsidR="00ED074A" w:rsidRPr="0086351C">
        <w:rPr>
          <w:rFonts w:ascii="Arial" w:hAnsi="Arial" w:cs="Arial"/>
          <w:color w:val="auto"/>
        </w:rPr>
        <w:instrText xml:space="preserve"> SEQ Tabla \* ARABIC </w:instrText>
      </w:r>
      <w:r w:rsidR="00ED074A" w:rsidRPr="0086351C">
        <w:rPr>
          <w:rFonts w:ascii="Arial" w:hAnsi="Arial" w:cs="Arial"/>
          <w:color w:val="auto"/>
        </w:rPr>
        <w:fldChar w:fldCharType="separate"/>
      </w:r>
      <w:r w:rsidR="00ED074A" w:rsidRPr="0086351C">
        <w:rPr>
          <w:rFonts w:ascii="Arial" w:hAnsi="Arial" w:cs="Arial"/>
          <w:noProof/>
          <w:color w:val="auto"/>
        </w:rPr>
        <w:t>2</w:t>
      </w:r>
      <w:r w:rsidR="00ED074A" w:rsidRPr="0086351C">
        <w:rPr>
          <w:rFonts w:ascii="Arial" w:hAnsi="Arial" w:cs="Arial"/>
          <w:color w:val="auto"/>
        </w:rPr>
        <w:fldChar w:fldCharType="end"/>
      </w:r>
      <w:r w:rsidR="00ED074A" w:rsidRPr="0086351C">
        <w:rPr>
          <w:rStyle w:val="normaltextrun"/>
          <w:rFonts w:ascii="Arial" w:eastAsia="Arial" w:hAnsi="Arial" w:cs="Arial"/>
          <w:color w:val="auto"/>
        </w:rPr>
        <w:t>. Valor Agregado por Actividad Económica; Actividad Agricultura, ganadería, caza, silvicultura y pesca - II trimestre 2024</w:t>
      </w:r>
    </w:p>
    <w:p w14:paraId="6B921F3F" w14:textId="77777777" w:rsidR="00ED074A" w:rsidRPr="0086351C" w:rsidRDefault="00ED074A" w:rsidP="00ED074A">
      <w:pPr>
        <w:pStyle w:val="paragraph"/>
        <w:spacing w:before="0" w:beforeAutospacing="0" w:after="0" w:afterAutospacing="0"/>
        <w:jc w:val="center"/>
        <w:textAlignment w:val="baseline"/>
        <w:rPr>
          <w:rStyle w:val="normaltextrun"/>
          <w:rFonts w:ascii="Arial" w:eastAsia="Arial" w:hAnsi="Arial" w:cs="Arial"/>
          <w:i/>
          <w:sz w:val="18"/>
          <w:szCs w:val="18"/>
        </w:rPr>
      </w:pPr>
      <w:r w:rsidRPr="0086351C">
        <w:rPr>
          <w:rStyle w:val="normaltextrun"/>
          <w:rFonts w:ascii="Arial" w:eastAsia="Arial" w:hAnsi="Arial" w:cs="Arial"/>
          <w:i/>
          <w:sz w:val="18"/>
          <w:szCs w:val="18"/>
        </w:rPr>
        <w:t>Fuente: Informe trimestral PIB II-2024 – DANE 2024.</w:t>
      </w:r>
    </w:p>
    <w:p w14:paraId="3802FB8C" w14:textId="456384A0" w:rsidR="00175C78" w:rsidRPr="0086351C" w:rsidRDefault="00175C78" w:rsidP="00FB5528">
      <w:pPr>
        <w:pStyle w:val="Ttulo2"/>
        <w:numPr>
          <w:ilvl w:val="1"/>
          <w:numId w:val="29"/>
        </w:numPr>
        <w:rPr>
          <w:rStyle w:val="normaltextrun"/>
          <w:rFonts w:ascii="Arial" w:eastAsia="Tahoma" w:hAnsi="Arial" w:cs="Arial"/>
          <w:color w:val="000000"/>
          <w:sz w:val="22"/>
          <w:szCs w:val="22"/>
          <w:shd w:val="clear" w:color="auto" w:fill="FFFFFF"/>
        </w:rPr>
      </w:pPr>
      <w:bookmarkStart w:id="7" w:name="_Toc178847883"/>
      <w:r w:rsidRPr="0086351C">
        <w:rPr>
          <w:rStyle w:val="normaltextrun"/>
          <w:rFonts w:ascii="Arial" w:eastAsia="Tahoma" w:hAnsi="Arial" w:cs="Arial"/>
          <w:bCs/>
          <w:color w:val="000000"/>
          <w:sz w:val="22"/>
          <w:szCs w:val="22"/>
          <w:shd w:val="clear" w:color="auto" w:fill="FFFFFF"/>
        </w:rPr>
        <w:lastRenderedPageBreak/>
        <w:t>Inflación - IPC</w:t>
      </w:r>
      <w:r w:rsidR="00ED074A" w:rsidRPr="0086351C">
        <w:rPr>
          <w:rStyle w:val="Refdenotaalpie"/>
          <w:rFonts w:ascii="Arial" w:eastAsia="Tahoma" w:hAnsi="Arial" w:cs="Arial"/>
          <w:bCs/>
          <w:color w:val="000000"/>
          <w:sz w:val="22"/>
          <w:szCs w:val="22"/>
          <w:shd w:val="clear" w:color="auto" w:fill="FFFFFF"/>
        </w:rPr>
        <w:footnoteReference w:id="3"/>
      </w:r>
      <w:bookmarkEnd w:id="7"/>
    </w:p>
    <w:p w14:paraId="6578FB88"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6D5680CC"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normaltextrun"/>
          <w:rFonts w:ascii="Arial" w:eastAsia="Tahoma" w:hAnsi="Arial" w:cs="Arial"/>
          <w:sz w:val="22"/>
          <w:szCs w:val="22"/>
        </w:rPr>
        <w:t>Indicador económico, cuyo valor numérico refleja las variaciones que experimentan los precios en un período determinado de tiempo.</w:t>
      </w:r>
      <w:r w:rsidRPr="0086351C">
        <w:rPr>
          <w:rStyle w:val="eop"/>
          <w:rFonts w:ascii="Arial" w:eastAsia="Tahoma" w:hAnsi="Arial" w:cs="Arial"/>
          <w:sz w:val="22"/>
          <w:szCs w:val="22"/>
        </w:rPr>
        <w:t> </w:t>
      </w:r>
    </w:p>
    <w:p w14:paraId="23E9FC81" w14:textId="74C4B6F0"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6288B3BB"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31640917" w14:textId="77777777"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14:ligatures w14:val="standardContextual"/>
        </w:rPr>
        <w:t xml:space="preserve"> </w:t>
      </w:r>
      <w:r w:rsidRPr="0086351C">
        <w:rPr>
          <w:rFonts w:ascii="Arial" w:hAnsi="Arial" w:cs="Arial"/>
          <w:noProof/>
          <w:sz w:val="22"/>
          <w:szCs w:val="22"/>
          <w14:ligatures w14:val="standardContextual"/>
        </w:rPr>
        <w:drawing>
          <wp:inline distT="0" distB="0" distL="0" distR="0" wp14:anchorId="3D4DD1F8" wp14:editId="307438D0">
            <wp:extent cx="5106113" cy="4039164"/>
            <wp:effectExtent l="0" t="0" r="0" b="0"/>
            <wp:docPr id="2013204648" name="Imagen 1" descr="Gráfico, Gráfico de barras,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04648" name="Imagen 1" descr="Gráfico, Gráfico de barras, Histograma&#10;&#10;Descripción generada automáticamente"/>
                    <pic:cNvPicPr/>
                  </pic:nvPicPr>
                  <pic:blipFill>
                    <a:blip r:embed="rId17"/>
                    <a:stretch>
                      <a:fillRect/>
                    </a:stretch>
                  </pic:blipFill>
                  <pic:spPr>
                    <a:xfrm>
                      <a:off x="0" y="0"/>
                      <a:ext cx="5106113" cy="4039164"/>
                    </a:xfrm>
                    <a:prstGeom prst="rect">
                      <a:avLst/>
                    </a:prstGeom>
                  </pic:spPr>
                </pic:pic>
              </a:graphicData>
            </a:graphic>
          </wp:inline>
        </w:drawing>
      </w:r>
      <w:r w:rsidRPr="0086351C">
        <w:rPr>
          <w:rStyle w:val="eop"/>
          <w:rFonts w:ascii="Arial" w:eastAsia="Tahoma" w:hAnsi="Arial" w:cs="Arial"/>
          <w:sz w:val="22"/>
          <w:szCs w:val="22"/>
        </w:rPr>
        <w:t> </w:t>
      </w:r>
    </w:p>
    <w:p w14:paraId="024EC1C3" w14:textId="77777777" w:rsidR="0029568C" w:rsidRPr="0086351C" w:rsidRDefault="0029568C" w:rsidP="0029568C">
      <w:pPr>
        <w:pStyle w:val="Descripcin"/>
        <w:spacing w:after="0"/>
        <w:jc w:val="center"/>
        <w:rPr>
          <w:rStyle w:val="normaltextrun"/>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3</w:t>
      </w:r>
      <w:r w:rsidRPr="0086351C">
        <w:rPr>
          <w:rFonts w:ascii="Arial" w:hAnsi="Arial" w:cs="Arial"/>
          <w:color w:val="auto"/>
        </w:rPr>
        <w:fldChar w:fldCharType="end"/>
      </w:r>
      <w:r w:rsidRPr="0086351C">
        <w:rPr>
          <w:rStyle w:val="normaltextrun"/>
          <w:rFonts w:ascii="Arial" w:eastAsia="Arial" w:hAnsi="Arial" w:cs="Arial"/>
          <w:color w:val="auto"/>
        </w:rPr>
        <w:t>. Índice de precios al consumidor – IPC a Julio 2024</w:t>
      </w:r>
    </w:p>
    <w:p w14:paraId="226BF90F" w14:textId="77777777" w:rsidR="0029568C" w:rsidRPr="0086351C" w:rsidRDefault="0029568C" w:rsidP="0029568C">
      <w:pPr>
        <w:pStyle w:val="paragraph"/>
        <w:spacing w:before="0" w:beforeAutospacing="0" w:after="0" w:afterAutospacing="0"/>
        <w:jc w:val="center"/>
        <w:rPr>
          <w:rStyle w:val="normaltextrun"/>
          <w:rFonts w:ascii="Arial" w:eastAsia="Arial" w:hAnsi="Arial" w:cs="Arial"/>
          <w:i/>
          <w:sz w:val="18"/>
          <w:szCs w:val="18"/>
        </w:rPr>
      </w:pPr>
      <w:r w:rsidRPr="0086351C">
        <w:rPr>
          <w:rStyle w:val="normaltextrun"/>
          <w:rFonts w:ascii="Arial" w:eastAsia="Arial" w:hAnsi="Arial" w:cs="Arial"/>
          <w:i/>
          <w:sz w:val="18"/>
          <w:szCs w:val="18"/>
        </w:rPr>
        <w:t>Fuente: Informe trimestral de IPC; II trimestre 2024 – DANE.</w:t>
      </w:r>
    </w:p>
    <w:p w14:paraId="65BD905E" w14:textId="77777777" w:rsidR="00175C78" w:rsidRPr="0086351C" w:rsidRDefault="00175C78" w:rsidP="00175C78">
      <w:pPr>
        <w:pStyle w:val="paragraph"/>
        <w:spacing w:before="0" w:beforeAutospacing="0" w:after="0" w:afterAutospacing="0"/>
        <w:jc w:val="both"/>
        <w:rPr>
          <w:rStyle w:val="normaltextrun"/>
          <w:rFonts w:ascii="Arial" w:eastAsia="Tahoma" w:hAnsi="Arial" w:cs="Arial"/>
          <w:b/>
          <w:bCs/>
          <w:sz w:val="22"/>
          <w:szCs w:val="22"/>
        </w:rPr>
      </w:pPr>
    </w:p>
    <w:p w14:paraId="34585E42" w14:textId="77777777" w:rsidR="00175C78" w:rsidRPr="0086351C" w:rsidRDefault="00175C78" w:rsidP="00175C78">
      <w:pPr>
        <w:pStyle w:val="Ttulo2"/>
        <w:numPr>
          <w:ilvl w:val="2"/>
          <w:numId w:val="29"/>
        </w:numPr>
        <w:rPr>
          <w:rFonts w:ascii="Arial" w:eastAsia="Tahoma" w:hAnsi="Arial" w:cs="Arial"/>
          <w:sz w:val="22"/>
          <w:szCs w:val="22"/>
        </w:rPr>
      </w:pPr>
      <w:bookmarkStart w:id="8" w:name="_Toc178847884"/>
      <w:r w:rsidRPr="0086351C">
        <w:rPr>
          <w:rStyle w:val="normaltextrun"/>
          <w:rFonts w:ascii="Arial" w:eastAsia="Tahoma" w:hAnsi="Arial" w:cs="Arial"/>
          <w:bCs/>
          <w:sz w:val="22"/>
          <w:szCs w:val="22"/>
        </w:rPr>
        <w:t>Variación y contribución mensual por divisiones de gasto</w:t>
      </w:r>
      <w:bookmarkEnd w:id="8"/>
      <w:r w:rsidRPr="0086351C">
        <w:rPr>
          <w:rStyle w:val="eop"/>
          <w:rFonts w:ascii="Arial" w:eastAsia="Tahoma" w:hAnsi="Arial" w:cs="Arial"/>
          <w:sz w:val="22"/>
          <w:szCs w:val="22"/>
        </w:rPr>
        <w:t> </w:t>
      </w:r>
    </w:p>
    <w:p w14:paraId="3D24EA56"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p>
    <w:p w14:paraId="4C3EAF59" w14:textId="77777777"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 xml:space="preserve">En el mes de julio de 2024, el IPC registró una variación de 0,20% en comparación con junio de 2024, cinco divisiones se ubicaron por encima del promedio nacional (0,20%): Alojamiento, agua, electricidad, gas y otros combustibles (0,45%), Bebidas alcohólicas y tabaco (0,33%), Salud (0,24%), Restaurantes y hoteles (0,22%) y por último, Alimentos y bebidas no alcohólicas (0,21%). Por debajo se ubicaron: Bienes y servicios diversos (0,10%), Recreación y cultura (0,02%), Educación (0,00%), Muebles, artículos para el hogar </w:t>
      </w:r>
      <w:r w:rsidRPr="0086351C">
        <w:rPr>
          <w:rFonts w:ascii="Arial" w:eastAsia="Tahoma" w:hAnsi="Arial" w:cs="Arial"/>
          <w:sz w:val="22"/>
          <w:szCs w:val="22"/>
        </w:rPr>
        <w:lastRenderedPageBreak/>
        <w:t xml:space="preserve">y para la conservación ordinaria del hogar (-0,06%), Transporte (-0,08%), Prendas de vestir y calzado (-0,08%) y por último, Información y comunicación (-0,15%). </w:t>
      </w:r>
    </w:p>
    <w:p w14:paraId="1BD9B576" w14:textId="77777777" w:rsidR="00175C78" w:rsidRPr="0086351C" w:rsidRDefault="00175C78" w:rsidP="00175C78">
      <w:pPr>
        <w:pStyle w:val="paragraph"/>
        <w:spacing w:before="0" w:beforeAutospacing="0" w:after="0" w:afterAutospacing="0"/>
        <w:jc w:val="center"/>
        <w:textAlignment w:val="baseline"/>
        <w:rPr>
          <w:rFonts w:ascii="Arial" w:hAnsi="Arial" w:cs="Arial"/>
          <w:noProof/>
          <w:sz w:val="22"/>
          <w:szCs w:val="22"/>
          <w14:ligatures w14:val="standardContextual"/>
        </w:rPr>
      </w:pPr>
      <w:r w:rsidRPr="0086351C">
        <w:rPr>
          <w:rFonts w:ascii="Arial" w:hAnsi="Arial" w:cs="Arial"/>
          <w:noProof/>
          <w:sz w:val="22"/>
          <w:szCs w:val="22"/>
          <w14:ligatures w14:val="standardContextual"/>
        </w:rPr>
        <w:drawing>
          <wp:inline distT="0" distB="0" distL="0" distR="0" wp14:anchorId="6E75CF79" wp14:editId="75B43F6D">
            <wp:extent cx="5410200" cy="2747367"/>
            <wp:effectExtent l="0" t="0" r="0" b="0"/>
            <wp:docPr id="38262179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21797" name="Imagen 1" descr="Tabla&#10;&#10;Descripción generada automáticamente"/>
                    <pic:cNvPicPr/>
                  </pic:nvPicPr>
                  <pic:blipFill>
                    <a:blip r:embed="rId18"/>
                    <a:stretch>
                      <a:fillRect/>
                    </a:stretch>
                  </pic:blipFill>
                  <pic:spPr>
                    <a:xfrm>
                      <a:off x="0" y="0"/>
                      <a:ext cx="5415409" cy="2750012"/>
                    </a:xfrm>
                    <a:prstGeom prst="rect">
                      <a:avLst/>
                    </a:prstGeom>
                  </pic:spPr>
                </pic:pic>
              </a:graphicData>
            </a:graphic>
          </wp:inline>
        </w:drawing>
      </w:r>
    </w:p>
    <w:p w14:paraId="7815B559" w14:textId="77777777" w:rsidR="00FF1E56" w:rsidRPr="0086351C" w:rsidRDefault="00FF1E56" w:rsidP="00FF1E56">
      <w:pPr>
        <w:pStyle w:val="Descripcin"/>
        <w:spacing w:after="0"/>
        <w:jc w:val="center"/>
        <w:rPr>
          <w:rStyle w:val="normaltextrun"/>
          <w:rFonts w:ascii="Arial" w:eastAsia="Arial" w:hAnsi="Arial" w:cs="Arial"/>
          <w:i w:val="0"/>
          <w:color w:val="auto"/>
        </w:rPr>
      </w:pPr>
      <w:r w:rsidRPr="0086351C">
        <w:rPr>
          <w:rFonts w:ascii="Arial" w:eastAsia="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3</w:t>
      </w:r>
      <w:r w:rsidRPr="0086351C">
        <w:rPr>
          <w:rFonts w:ascii="Arial" w:hAnsi="Arial" w:cs="Arial"/>
          <w:color w:val="auto"/>
        </w:rPr>
        <w:fldChar w:fldCharType="end"/>
      </w:r>
      <w:r w:rsidRPr="0086351C">
        <w:rPr>
          <w:rStyle w:val="normaltextrun"/>
          <w:rFonts w:ascii="Arial" w:eastAsia="Arial" w:hAnsi="Arial" w:cs="Arial"/>
          <w:color w:val="auto"/>
        </w:rPr>
        <w:t>. Valor Agregado por Actividad Económica; Actividad Agricultura, ganadería, caza, silvicultura y pesca - II trimestre 2024</w:t>
      </w:r>
    </w:p>
    <w:p w14:paraId="73DB1F79" w14:textId="77777777" w:rsidR="00FF1E56" w:rsidRPr="0086351C" w:rsidRDefault="00FF1E56" w:rsidP="00FF1E56">
      <w:pPr>
        <w:pStyle w:val="paragraph"/>
        <w:spacing w:before="0" w:beforeAutospacing="0" w:after="0" w:afterAutospacing="0"/>
        <w:jc w:val="center"/>
        <w:textAlignment w:val="baseline"/>
        <w:rPr>
          <w:rFonts w:ascii="Arial" w:eastAsia="Arial" w:hAnsi="Arial" w:cs="Arial"/>
          <w:sz w:val="22"/>
          <w:szCs w:val="22"/>
        </w:rPr>
      </w:pPr>
      <w:r w:rsidRPr="0086351C">
        <w:rPr>
          <w:rStyle w:val="normaltextrun"/>
          <w:rFonts w:ascii="Arial" w:eastAsia="Arial" w:hAnsi="Arial" w:cs="Arial"/>
          <w:i/>
          <w:sz w:val="18"/>
          <w:szCs w:val="18"/>
        </w:rPr>
        <w:t>Fuente: Informe trimestral PIB II-2024 – DANE 2024.</w:t>
      </w:r>
    </w:p>
    <w:p w14:paraId="0A133854" w14:textId="77777777" w:rsidR="00175C78" w:rsidRPr="0086351C" w:rsidRDefault="00175C78" w:rsidP="00175C78">
      <w:pPr>
        <w:pStyle w:val="paragraph"/>
        <w:spacing w:before="0" w:beforeAutospacing="0" w:after="0" w:afterAutospacing="0"/>
        <w:jc w:val="both"/>
        <w:textAlignment w:val="baseline"/>
        <w:rPr>
          <w:rFonts w:ascii="Arial" w:eastAsia="Tahoma" w:hAnsi="Arial" w:cs="Arial"/>
          <w:sz w:val="22"/>
          <w:szCs w:val="22"/>
        </w:rPr>
      </w:pPr>
    </w:p>
    <w:p w14:paraId="1E64946F" w14:textId="77777777"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Los mayores aportes a la variación mensual del IPC (0,20%), se ubicaron en las divisiones de: Alojamiento, agua, electricidad, gas y otros combustibles y Alimentos y bebidas no alcohólicas, las cuales aportaron 0,18 puntos porcentuales a la variación total.</w:t>
      </w:r>
    </w:p>
    <w:p w14:paraId="139F165B"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59296518" w14:textId="77777777" w:rsidR="00175C78" w:rsidRPr="0086351C" w:rsidRDefault="00175C78" w:rsidP="00F365B4">
      <w:pPr>
        <w:pStyle w:val="Ttulo2"/>
        <w:numPr>
          <w:ilvl w:val="2"/>
          <w:numId w:val="29"/>
        </w:numPr>
        <w:spacing w:line="276" w:lineRule="auto"/>
        <w:rPr>
          <w:rFonts w:ascii="Arial" w:eastAsia="Tahoma" w:hAnsi="Arial" w:cs="Arial"/>
          <w:sz w:val="22"/>
          <w:szCs w:val="22"/>
        </w:rPr>
      </w:pPr>
      <w:bookmarkStart w:id="9" w:name="_Toc178847885"/>
      <w:r w:rsidRPr="0086351C">
        <w:rPr>
          <w:rStyle w:val="normaltextrun"/>
          <w:rFonts w:ascii="Arial" w:eastAsia="Tahoma" w:hAnsi="Arial" w:cs="Arial"/>
          <w:bCs/>
          <w:sz w:val="22"/>
          <w:szCs w:val="22"/>
        </w:rPr>
        <w:t>Variaciones y contribuciones de las subclases en el mes</w:t>
      </w:r>
      <w:bookmarkEnd w:id="9"/>
    </w:p>
    <w:p w14:paraId="241820DD"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4FD32716" w14:textId="365DAF25" w:rsidR="00175C78" w:rsidRPr="0086351C" w:rsidRDefault="00175C78" w:rsidP="00F365B4">
      <w:pPr>
        <w:pStyle w:val="paragraph"/>
        <w:spacing w:before="0" w:beforeAutospacing="0" w:after="0" w:afterAutospacing="0" w:line="276" w:lineRule="auto"/>
        <w:jc w:val="both"/>
        <w:textAlignment w:val="baseline"/>
        <w:rPr>
          <w:rFonts w:ascii="Arial" w:hAnsi="Arial" w:cs="Arial"/>
          <w:noProof/>
          <w14:ligatures w14:val="standardContextual"/>
        </w:rPr>
      </w:pPr>
      <w:r w:rsidRPr="0086351C">
        <w:rPr>
          <w:rFonts w:ascii="Arial" w:eastAsia="Tahoma" w:hAnsi="Arial" w:cs="Arial"/>
          <w:sz w:val="22"/>
          <w:szCs w:val="22"/>
        </w:rPr>
        <w:t xml:space="preserve">En julio de 2024 en comparación con junio de 2024, la variación de las subclases que más aportaron al índice total </w:t>
      </w:r>
      <w:r w:rsidR="00272EA1" w:rsidRPr="0086351C">
        <w:rPr>
          <w:rFonts w:ascii="Arial" w:eastAsia="Tahoma" w:hAnsi="Arial" w:cs="Arial"/>
          <w:sz w:val="22"/>
          <w:szCs w:val="22"/>
        </w:rPr>
        <w:t>fue</w:t>
      </w:r>
      <w:r w:rsidRPr="0086351C">
        <w:rPr>
          <w:rFonts w:ascii="Arial" w:eastAsia="Tahoma" w:hAnsi="Arial" w:cs="Arial"/>
          <w:sz w:val="22"/>
          <w:szCs w:val="22"/>
        </w:rPr>
        <w:t>: arriendo imputado (0,43%), papas (8,92%), arriendo efectivo (0,47%), cebolla (11,62%), suministro de agua (1,35%), gas (1,76%), chocolate y productos a base de chocolate (6,04%), comidas en establecimientos de servicio a la mesa y autoservicio (0,16%), servicios relacionados con la copropiedad (0,79%) y comidas preparadas fuera del hogar para consumo inmediato (0,36%). Las subclases con aportes negativos a la variación fueron: frutas frescas (-2,78%), electricidad (-0,58%), plátanos (-3,41%), transporte de pasajeros y equipaje en avión (-4,15%) y huevos (-0,93%)</w:t>
      </w:r>
      <w:r w:rsidR="00F365B4">
        <w:rPr>
          <w:rFonts w:ascii="Arial" w:eastAsia="Tahoma" w:hAnsi="Arial" w:cs="Arial"/>
          <w:sz w:val="22"/>
          <w:szCs w:val="22"/>
        </w:rPr>
        <w:t>.</w:t>
      </w:r>
    </w:p>
    <w:p w14:paraId="728F5E17" w14:textId="77777777" w:rsidR="00175C78" w:rsidRPr="0086351C" w:rsidRDefault="00175C78" w:rsidP="00175C78">
      <w:pPr>
        <w:pStyle w:val="paragraph"/>
        <w:spacing w:before="0" w:beforeAutospacing="0" w:after="0" w:afterAutospacing="0"/>
        <w:jc w:val="center"/>
        <w:textAlignment w:val="baseline"/>
        <w:rPr>
          <w:rFonts w:ascii="Arial" w:hAnsi="Arial" w:cs="Arial"/>
          <w:noProof/>
          <w:sz w:val="22"/>
          <w:szCs w:val="22"/>
          <w14:ligatures w14:val="standardContextual"/>
        </w:rPr>
      </w:pPr>
      <w:r w:rsidRPr="0086351C">
        <w:rPr>
          <w:rFonts w:ascii="Arial" w:hAnsi="Arial" w:cs="Arial"/>
          <w:noProof/>
          <w:sz w:val="22"/>
          <w:szCs w:val="22"/>
          <w14:ligatures w14:val="standardContextual"/>
        </w:rPr>
        <w:lastRenderedPageBreak/>
        <w:drawing>
          <wp:inline distT="0" distB="0" distL="0" distR="0" wp14:anchorId="3850E832" wp14:editId="1EF23DD3">
            <wp:extent cx="5372100" cy="2474550"/>
            <wp:effectExtent l="0" t="0" r="0" b="2540"/>
            <wp:docPr id="1833473532" name="Imagen 1"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73532" name="Imagen 1" descr="Interfaz de usuario gráfica, Texto, Aplicación, Correo electrónico&#10;&#10;Descripción generada automáticamente"/>
                    <pic:cNvPicPr/>
                  </pic:nvPicPr>
                  <pic:blipFill>
                    <a:blip r:embed="rId19"/>
                    <a:stretch>
                      <a:fillRect/>
                    </a:stretch>
                  </pic:blipFill>
                  <pic:spPr>
                    <a:xfrm>
                      <a:off x="0" y="0"/>
                      <a:ext cx="5382436" cy="2479311"/>
                    </a:xfrm>
                    <a:prstGeom prst="rect">
                      <a:avLst/>
                    </a:prstGeom>
                  </pic:spPr>
                </pic:pic>
              </a:graphicData>
            </a:graphic>
          </wp:inline>
        </w:drawing>
      </w:r>
    </w:p>
    <w:p w14:paraId="6381FD77" w14:textId="77777777" w:rsidR="002A065A" w:rsidRPr="0086351C" w:rsidRDefault="002A065A" w:rsidP="002A065A">
      <w:pPr>
        <w:pStyle w:val="Descripcin"/>
        <w:spacing w:after="0"/>
        <w:jc w:val="center"/>
        <w:rPr>
          <w:rStyle w:val="normaltextrun"/>
          <w:rFonts w:ascii="Arial" w:eastAsia="Arial" w:hAnsi="Arial" w:cs="Arial"/>
          <w:i w:val="0"/>
          <w:color w:val="auto"/>
        </w:rPr>
      </w:pPr>
      <w:r w:rsidRPr="0086351C">
        <w:rPr>
          <w:rFonts w:ascii="Arial" w:eastAsia="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4</w:t>
      </w:r>
      <w:r w:rsidRPr="0086351C">
        <w:rPr>
          <w:rFonts w:ascii="Arial" w:hAnsi="Arial" w:cs="Arial"/>
          <w:color w:val="auto"/>
        </w:rPr>
        <w:fldChar w:fldCharType="end"/>
      </w:r>
      <w:r w:rsidRPr="0086351C">
        <w:rPr>
          <w:rStyle w:val="normaltextrun"/>
          <w:rFonts w:ascii="Arial" w:eastAsia="Arial" w:hAnsi="Arial" w:cs="Arial"/>
          <w:color w:val="auto"/>
        </w:rPr>
        <w:t>. Valor Agregado por Actividad Económica; Actividad Agricultura, ganadería, caza, silvicultura y pesca - II trimestre 2024</w:t>
      </w:r>
    </w:p>
    <w:p w14:paraId="0CE59AC5" w14:textId="77777777" w:rsidR="002A065A" w:rsidRPr="0086351C" w:rsidRDefault="002A065A" w:rsidP="002A065A">
      <w:pPr>
        <w:pStyle w:val="paragraph"/>
        <w:spacing w:before="0" w:beforeAutospacing="0" w:after="0" w:afterAutospacing="0"/>
        <w:jc w:val="center"/>
        <w:textAlignment w:val="baseline"/>
        <w:rPr>
          <w:rFonts w:ascii="Arial" w:eastAsia="Arial" w:hAnsi="Arial" w:cs="Arial"/>
          <w:sz w:val="22"/>
          <w:szCs w:val="22"/>
        </w:rPr>
      </w:pPr>
      <w:r w:rsidRPr="0086351C">
        <w:rPr>
          <w:rStyle w:val="normaltextrun"/>
          <w:rFonts w:ascii="Arial" w:eastAsia="Arial" w:hAnsi="Arial" w:cs="Arial"/>
          <w:i/>
          <w:sz w:val="18"/>
          <w:szCs w:val="18"/>
        </w:rPr>
        <w:t>Fuente: Informe trimestral PIB II-2024 – DANE 2024.</w:t>
      </w:r>
    </w:p>
    <w:p w14:paraId="0119962A" w14:textId="77777777" w:rsidR="00175C78" w:rsidRPr="0086351C" w:rsidRDefault="00175C78" w:rsidP="00175C78">
      <w:pPr>
        <w:pStyle w:val="paragraph"/>
        <w:spacing w:before="0" w:beforeAutospacing="0" w:after="0" w:afterAutospacing="0"/>
        <w:jc w:val="center"/>
        <w:textAlignment w:val="baseline"/>
        <w:rPr>
          <w:rFonts w:ascii="Arial" w:hAnsi="Arial" w:cs="Arial"/>
          <w:noProof/>
          <w:sz w:val="22"/>
          <w:szCs w:val="22"/>
          <w14:ligatures w14:val="standardContextual"/>
        </w:rPr>
      </w:pPr>
    </w:p>
    <w:p w14:paraId="4DA27BD5" w14:textId="77777777" w:rsidR="00175C78" w:rsidRPr="0086351C" w:rsidRDefault="00175C78" w:rsidP="002A065A">
      <w:pPr>
        <w:pStyle w:val="Ttulo2"/>
        <w:numPr>
          <w:ilvl w:val="1"/>
          <w:numId w:val="29"/>
        </w:numPr>
        <w:rPr>
          <w:rStyle w:val="normaltextrun"/>
          <w:rFonts w:ascii="Arial" w:eastAsia="Tahoma" w:hAnsi="Arial" w:cs="Arial"/>
          <w:color w:val="000000"/>
          <w:sz w:val="22"/>
          <w:szCs w:val="22"/>
          <w:shd w:val="clear" w:color="auto" w:fill="FFFFFF"/>
        </w:rPr>
      </w:pPr>
      <w:bookmarkStart w:id="10" w:name="_Toc178847886"/>
      <w:r w:rsidRPr="0086351C">
        <w:rPr>
          <w:rStyle w:val="normaltextrun"/>
          <w:rFonts w:ascii="Arial" w:eastAsia="Tahoma" w:hAnsi="Arial" w:cs="Arial"/>
          <w:bCs/>
          <w:color w:val="000000"/>
          <w:sz w:val="22"/>
          <w:szCs w:val="22"/>
          <w:shd w:val="clear" w:color="auto" w:fill="FFFFFF"/>
        </w:rPr>
        <w:t>Mercado Laboral</w:t>
      </w:r>
      <w:bookmarkEnd w:id="10"/>
      <w:r w:rsidRPr="0086351C">
        <w:rPr>
          <w:rStyle w:val="normaltextrun"/>
          <w:rFonts w:ascii="Arial" w:eastAsia="Tahoma" w:hAnsi="Arial" w:cs="Arial"/>
          <w:color w:val="000000"/>
          <w:sz w:val="22"/>
          <w:szCs w:val="22"/>
          <w:shd w:val="clear" w:color="auto" w:fill="FFFFFF"/>
        </w:rPr>
        <w:t> </w:t>
      </w:r>
    </w:p>
    <w:p w14:paraId="6D758B85"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51765D42" w14:textId="77777777" w:rsidR="00175C78" w:rsidRPr="0086351C" w:rsidRDefault="00175C78"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Style w:val="normaltextrun"/>
          <w:rFonts w:ascii="Arial" w:eastAsia="Tahoma" w:hAnsi="Arial" w:cs="Arial"/>
          <w:sz w:val="22"/>
          <w:szCs w:val="22"/>
        </w:rPr>
        <w:t>El DANE, mediante La Gran Encuesta Integrada de Hogares (GEIH) tiene como objetivo principal proporcionar información básica sobre el tamaño y estructura de la fuerza de trabajo del país (empleo, desempleo e inactividad), así como de las características sociodemográficas que permiten caracterizar a la población según sexo, edad, parentesco con el jefe del hogar, nivel educativo, la afiliación al sistema de seguridad social en salud, entre otros.</w:t>
      </w:r>
      <w:r w:rsidRPr="0086351C">
        <w:rPr>
          <w:rStyle w:val="eop"/>
          <w:rFonts w:ascii="Arial" w:eastAsia="Tahoma" w:hAnsi="Arial" w:cs="Arial"/>
          <w:sz w:val="22"/>
          <w:szCs w:val="22"/>
        </w:rPr>
        <w:t> </w:t>
      </w:r>
    </w:p>
    <w:p w14:paraId="44E49534"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103CB8C5" w14:textId="77777777" w:rsidR="00175C78" w:rsidRPr="0086351C" w:rsidRDefault="00175C78"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Style w:val="normaltextrun"/>
          <w:rFonts w:ascii="Arial" w:eastAsia="Tahoma" w:hAnsi="Arial" w:cs="Arial"/>
          <w:sz w:val="22"/>
          <w:szCs w:val="22"/>
        </w:rPr>
        <w:t>Igualmente, a través de la encuesta se clasifica a las personas según su fuerza de trabajo en ocupadas, desocupadas o inactivas. De esta forma, es posible estimar los principales indicadores del mercado laboral colombiano, como son la Tasa Global de Participación (TGP), la Tasa de Ocupación (TO) y la Tasa de Desempleo (TD).</w:t>
      </w:r>
      <w:r w:rsidRPr="0086351C">
        <w:rPr>
          <w:rStyle w:val="eop"/>
          <w:rFonts w:ascii="Arial" w:eastAsia="Tahoma" w:hAnsi="Arial" w:cs="Arial"/>
          <w:sz w:val="22"/>
          <w:szCs w:val="22"/>
        </w:rPr>
        <w:t> </w:t>
      </w:r>
    </w:p>
    <w:p w14:paraId="04891EFC"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1B764C9E" w14:textId="77777777" w:rsidR="00175C78" w:rsidRPr="0086351C" w:rsidRDefault="00175C78" w:rsidP="00F365B4">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Style w:val="normaltextrun"/>
          <w:rFonts w:ascii="Arial" w:eastAsia="Tahoma" w:hAnsi="Arial" w:cs="Arial"/>
          <w:sz w:val="22"/>
          <w:szCs w:val="22"/>
        </w:rPr>
        <w:t>Así las cosas, de acuerdo con el último informe reportado por el DANE, a continuación, se dan a conocer el estado actual del empleo en Colombia:</w:t>
      </w:r>
      <w:r w:rsidRPr="0086351C">
        <w:rPr>
          <w:rStyle w:val="eop"/>
          <w:rFonts w:ascii="Arial" w:eastAsia="Tahoma" w:hAnsi="Arial" w:cs="Arial"/>
          <w:sz w:val="22"/>
          <w:szCs w:val="22"/>
        </w:rPr>
        <w:t> </w:t>
      </w:r>
    </w:p>
    <w:p w14:paraId="2465FD2D" w14:textId="77777777" w:rsidR="00175C78" w:rsidRPr="0086351C" w:rsidRDefault="00175C78" w:rsidP="00F365B4">
      <w:pPr>
        <w:pStyle w:val="paragraph"/>
        <w:spacing w:before="0" w:beforeAutospacing="0" w:after="0" w:afterAutospacing="0" w:line="276" w:lineRule="auto"/>
        <w:textAlignment w:val="baseline"/>
        <w:rPr>
          <w:rStyle w:val="eop"/>
          <w:rFonts w:ascii="Arial" w:eastAsia="Tahoma" w:hAnsi="Arial" w:cs="Arial"/>
          <w:sz w:val="22"/>
          <w:szCs w:val="22"/>
        </w:rPr>
      </w:pPr>
      <w:r w:rsidRPr="0086351C">
        <w:rPr>
          <w:rStyle w:val="eop"/>
          <w:rFonts w:ascii="Arial" w:eastAsia="Tahoma" w:hAnsi="Arial" w:cs="Arial"/>
          <w:sz w:val="22"/>
          <w:szCs w:val="22"/>
        </w:rPr>
        <w:t> </w:t>
      </w:r>
    </w:p>
    <w:p w14:paraId="77AE6E87" w14:textId="77777777" w:rsidR="00175C78" w:rsidRPr="0086351C" w:rsidRDefault="00175C78" w:rsidP="00F365B4">
      <w:pPr>
        <w:pStyle w:val="paragraph"/>
        <w:spacing w:before="0" w:beforeAutospacing="0" w:after="0" w:afterAutospacing="0" w:line="276" w:lineRule="auto"/>
        <w:ind w:right="255"/>
        <w:jc w:val="both"/>
        <w:textAlignment w:val="baseline"/>
        <w:rPr>
          <w:rStyle w:val="normaltextrun"/>
          <w:rFonts w:ascii="Arial" w:eastAsia="Tahoma" w:hAnsi="Arial" w:cs="Arial"/>
        </w:rPr>
      </w:pPr>
      <w:r w:rsidRPr="0086351C">
        <w:rPr>
          <w:rFonts w:ascii="Arial" w:eastAsia="Tahoma" w:hAnsi="Arial" w:cs="Arial"/>
          <w:sz w:val="22"/>
          <w:szCs w:val="22"/>
        </w:rPr>
        <w:t>Para el mes de junio de 2024, la tasa de desocupación del total nacional fue 10,3%, lo que representó un aumento de 0,9 puntos porcentuales respecto al mismo mes de 2023 (9,3%). La tasa global de participación se ubicó en 63,7%, mientras que en junio de 2023 fue 64,3%. Finalmente, la tasa de ocupación fue 57,2%, lo que representó una disminución de 1,2 puntos porcentuales respecto al mismo mes de 2023 (58,3%)</w:t>
      </w:r>
      <w:r w:rsidRPr="0086351C">
        <w:rPr>
          <w:rStyle w:val="normaltextrun"/>
          <w:rFonts w:ascii="Arial" w:eastAsia="Tahoma" w:hAnsi="Arial" w:cs="Arial"/>
          <w:sz w:val="22"/>
          <w:szCs w:val="22"/>
        </w:rPr>
        <w:t>.</w:t>
      </w:r>
    </w:p>
    <w:p w14:paraId="79D3204F" w14:textId="0C080DE9" w:rsidR="00175C78" w:rsidRPr="0086351C" w:rsidRDefault="00151D1A" w:rsidP="00175C78">
      <w:pPr>
        <w:pStyle w:val="paragraph"/>
        <w:spacing w:before="0" w:beforeAutospacing="0" w:after="0" w:afterAutospacing="0"/>
        <w:textAlignment w:val="baseline"/>
        <w:rPr>
          <w:rFonts w:ascii="Arial" w:eastAsia="Tahoma" w:hAnsi="Arial" w:cs="Arial"/>
          <w:sz w:val="22"/>
          <w:szCs w:val="22"/>
        </w:rPr>
      </w:pPr>
      <w:r w:rsidRPr="0086351C">
        <w:rPr>
          <w:rFonts w:ascii="Arial" w:eastAsia="Tahoma" w:hAnsi="Arial" w:cs="Arial"/>
          <w:noProof/>
          <w:sz w:val="22"/>
          <w:szCs w:val="22"/>
        </w:rPr>
        <w:lastRenderedPageBreak/>
        <w:drawing>
          <wp:inline distT="0" distB="0" distL="0" distR="0" wp14:anchorId="2C0A5A58" wp14:editId="363714E0">
            <wp:extent cx="5612130" cy="2513965"/>
            <wp:effectExtent l="0" t="0" r="7620" b="635"/>
            <wp:docPr id="15851428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42834" name=""/>
                    <pic:cNvPicPr/>
                  </pic:nvPicPr>
                  <pic:blipFill>
                    <a:blip r:embed="rId20"/>
                    <a:stretch>
                      <a:fillRect/>
                    </a:stretch>
                  </pic:blipFill>
                  <pic:spPr>
                    <a:xfrm>
                      <a:off x="0" y="0"/>
                      <a:ext cx="5612130" cy="2513965"/>
                    </a:xfrm>
                    <a:prstGeom prst="rect">
                      <a:avLst/>
                    </a:prstGeom>
                  </pic:spPr>
                </pic:pic>
              </a:graphicData>
            </a:graphic>
          </wp:inline>
        </w:drawing>
      </w:r>
    </w:p>
    <w:p w14:paraId="5C1FEBD3" w14:textId="77777777" w:rsidR="001C4E44" w:rsidRPr="0086351C" w:rsidRDefault="001C4E44" w:rsidP="001C4E44">
      <w:pPr>
        <w:pStyle w:val="Descripcin"/>
        <w:spacing w:after="0"/>
        <w:jc w:val="center"/>
        <w:rPr>
          <w:rStyle w:val="normaltextrun"/>
          <w:rFonts w:ascii="Arial" w:eastAsia="Arial" w:hAnsi="Arial" w:cs="Arial"/>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4</w:t>
      </w:r>
      <w:r w:rsidRPr="0086351C">
        <w:rPr>
          <w:rFonts w:ascii="Arial" w:hAnsi="Arial" w:cs="Arial"/>
          <w:color w:val="auto"/>
        </w:rPr>
        <w:fldChar w:fldCharType="end"/>
      </w:r>
      <w:r w:rsidRPr="0086351C">
        <w:rPr>
          <w:rStyle w:val="normaltextrun"/>
          <w:rFonts w:ascii="Arial" w:eastAsia="Arial" w:hAnsi="Arial" w:cs="Arial"/>
          <w:color w:val="auto"/>
        </w:rPr>
        <w:t>. Tasa global de participación – TGP, Tasa de ocupación – TO y Tasa de desocupación – TD</w:t>
      </w:r>
    </w:p>
    <w:p w14:paraId="4FA6D372" w14:textId="77777777" w:rsidR="001C4E44" w:rsidRPr="0086351C" w:rsidRDefault="001C4E44" w:rsidP="001C4E44">
      <w:pPr>
        <w:pStyle w:val="paragraph"/>
        <w:spacing w:before="0" w:beforeAutospacing="0" w:after="0" w:afterAutospacing="0"/>
        <w:jc w:val="center"/>
        <w:textAlignment w:val="baseline"/>
        <w:rPr>
          <w:rStyle w:val="normaltextrun"/>
          <w:rFonts w:ascii="Arial" w:eastAsia="Arial" w:hAnsi="Arial" w:cs="Arial"/>
          <w:b/>
          <w:i/>
          <w:sz w:val="22"/>
          <w:szCs w:val="22"/>
        </w:rPr>
      </w:pPr>
      <w:r w:rsidRPr="0086351C">
        <w:rPr>
          <w:rStyle w:val="normaltextrun"/>
          <w:rFonts w:ascii="Arial" w:eastAsia="Arial" w:hAnsi="Arial" w:cs="Arial"/>
          <w:i/>
          <w:sz w:val="18"/>
          <w:szCs w:val="18"/>
        </w:rPr>
        <w:t>Fuente: Informe variables socioeconómicas DANE – Julio 2024</w:t>
      </w:r>
    </w:p>
    <w:p w14:paraId="338B6CDD" w14:textId="77777777" w:rsidR="00175C78" w:rsidRPr="0086351C" w:rsidRDefault="00175C78" w:rsidP="00175C78">
      <w:pPr>
        <w:pStyle w:val="paragraph"/>
        <w:spacing w:before="0" w:beforeAutospacing="0" w:after="0" w:afterAutospacing="0"/>
        <w:jc w:val="both"/>
        <w:textAlignment w:val="baseline"/>
        <w:rPr>
          <w:rStyle w:val="normaltextrun"/>
          <w:rFonts w:ascii="Arial" w:eastAsia="Tahoma" w:hAnsi="Arial" w:cs="Arial"/>
          <w:b/>
          <w:bCs/>
          <w:sz w:val="22"/>
          <w:szCs w:val="22"/>
        </w:rPr>
      </w:pPr>
    </w:p>
    <w:p w14:paraId="06DC1F00" w14:textId="77777777" w:rsidR="00175C78" w:rsidRPr="0086351C" w:rsidRDefault="00175C78" w:rsidP="00175C78">
      <w:pPr>
        <w:pStyle w:val="paragraph"/>
        <w:spacing w:before="0" w:beforeAutospacing="0" w:after="0" w:afterAutospacing="0"/>
        <w:jc w:val="both"/>
        <w:textAlignment w:val="baseline"/>
        <w:rPr>
          <w:rStyle w:val="normaltextrun"/>
          <w:rFonts w:ascii="Arial" w:eastAsia="Tahoma" w:hAnsi="Arial" w:cs="Arial"/>
          <w:b/>
          <w:bCs/>
          <w:sz w:val="22"/>
          <w:szCs w:val="22"/>
        </w:rPr>
      </w:pPr>
    </w:p>
    <w:p w14:paraId="459DE5C4" w14:textId="62BBE55E" w:rsidR="00175C78" w:rsidRPr="0086351C" w:rsidRDefault="00F365B4" w:rsidP="00F365B4">
      <w:pPr>
        <w:pStyle w:val="paragraph"/>
        <w:spacing w:before="0" w:beforeAutospacing="0" w:after="0" w:afterAutospacing="0" w:line="276" w:lineRule="auto"/>
        <w:jc w:val="both"/>
        <w:textAlignment w:val="baseline"/>
        <w:rPr>
          <w:rFonts w:ascii="Arial" w:eastAsia="Tahoma" w:hAnsi="Arial" w:cs="Arial"/>
          <w:b/>
          <w:bCs/>
          <w:sz w:val="22"/>
          <w:szCs w:val="22"/>
        </w:rPr>
      </w:pPr>
      <w:r w:rsidRPr="0086351C">
        <w:rPr>
          <w:rStyle w:val="normaltextrun"/>
          <w:rFonts w:ascii="Arial" w:eastAsia="Tahoma" w:hAnsi="Arial" w:cs="Arial"/>
          <w:b/>
          <w:bCs/>
          <w:sz w:val="22"/>
          <w:szCs w:val="22"/>
        </w:rPr>
        <w:t>Total,</w:t>
      </w:r>
      <w:r w:rsidR="00175C78" w:rsidRPr="0086351C">
        <w:rPr>
          <w:rStyle w:val="normaltextrun"/>
          <w:rFonts w:ascii="Arial" w:eastAsia="Tahoma" w:hAnsi="Arial" w:cs="Arial"/>
          <w:b/>
          <w:bCs/>
          <w:sz w:val="22"/>
          <w:szCs w:val="22"/>
        </w:rPr>
        <w:t xml:space="preserve"> nacional</w:t>
      </w:r>
      <w:r w:rsidR="00175C78" w:rsidRPr="0086351C">
        <w:rPr>
          <w:rStyle w:val="eop"/>
          <w:rFonts w:ascii="Arial" w:eastAsia="Tahoma" w:hAnsi="Arial" w:cs="Arial"/>
          <w:b/>
          <w:bCs/>
          <w:sz w:val="22"/>
          <w:szCs w:val="22"/>
        </w:rPr>
        <w:t> mensual</w:t>
      </w:r>
    </w:p>
    <w:p w14:paraId="558474D5" w14:textId="77777777" w:rsidR="00175C78" w:rsidRPr="0086351C" w:rsidRDefault="00175C78" w:rsidP="00F365B4">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19E67EC5" w14:textId="54007BE7" w:rsidR="00175C78" w:rsidRPr="0086351C" w:rsidRDefault="00151D1A"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Para el mes de julio de 2024, la tasa de desocupación del total nacional fue 9,9%, mientras que en julio de 2023 fue 9,6%. Por su parte, la tasa global de participación se ubicó en 64,2% y la tasa de ocupación en 57,8%. En el mismo mes del año anterior estas tasas fueron 64,8% y 58,6%, respectivamente.</w:t>
      </w:r>
      <w:r w:rsidR="00175C78" w:rsidRPr="0086351C">
        <w:rPr>
          <w:rFonts w:ascii="Arial" w:hAnsi="Arial" w:cs="Arial"/>
          <w:noProof/>
          <w:sz w:val="22"/>
          <w:szCs w:val="22"/>
          <w14:ligatures w14:val="standardContextual"/>
        </w:rPr>
        <w:t xml:space="preserve"> </w:t>
      </w:r>
      <w:r w:rsidR="00175C78" w:rsidRPr="0086351C">
        <w:rPr>
          <w:rStyle w:val="eop"/>
          <w:rFonts w:ascii="Arial" w:eastAsia="Tahoma" w:hAnsi="Arial" w:cs="Arial"/>
          <w:sz w:val="22"/>
          <w:szCs w:val="22"/>
        </w:rPr>
        <w:t> </w:t>
      </w:r>
    </w:p>
    <w:p w14:paraId="3A9A0304" w14:textId="6E3B8948" w:rsidR="00175C78" w:rsidRPr="0086351C" w:rsidRDefault="00151D1A" w:rsidP="00175C78">
      <w:pPr>
        <w:pStyle w:val="paragraph"/>
        <w:spacing w:before="0" w:beforeAutospacing="0" w:after="0" w:afterAutospacing="0"/>
        <w:textAlignment w:val="baseline"/>
        <w:rPr>
          <w:rStyle w:val="eop"/>
          <w:rFonts w:ascii="Arial" w:eastAsia="Tahoma" w:hAnsi="Arial" w:cs="Arial"/>
          <w:sz w:val="22"/>
          <w:szCs w:val="22"/>
        </w:rPr>
      </w:pPr>
      <w:r w:rsidRPr="0086351C">
        <w:rPr>
          <w:rStyle w:val="eop"/>
          <w:rFonts w:ascii="Arial" w:eastAsia="Tahoma" w:hAnsi="Arial" w:cs="Arial"/>
          <w:noProof/>
          <w:sz w:val="22"/>
          <w:szCs w:val="22"/>
        </w:rPr>
        <w:drawing>
          <wp:inline distT="0" distB="0" distL="0" distR="0" wp14:anchorId="7D0E8B62" wp14:editId="35086214">
            <wp:extent cx="5612130" cy="3277870"/>
            <wp:effectExtent l="0" t="0" r="7620" b="0"/>
            <wp:docPr id="640075308" name="Imagen 1" descr="Gráfico, Gráfico de líneas,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75308" name="Imagen 1" descr="Gráfico, Gráfico de líneas, Histograma&#10;&#10;Descripción generada automáticamente"/>
                    <pic:cNvPicPr/>
                  </pic:nvPicPr>
                  <pic:blipFill>
                    <a:blip r:embed="rId21"/>
                    <a:stretch>
                      <a:fillRect/>
                    </a:stretch>
                  </pic:blipFill>
                  <pic:spPr>
                    <a:xfrm>
                      <a:off x="0" y="0"/>
                      <a:ext cx="5612130" cy="3277870"/>
                    </a:xfrm>
                    <a:prstGeom prst="rect">
                      <a:avLst/>
                    </a:prstGeom>
                  </pic:spPr>
                </pic:pic>
              </a:graphicData>
            </a:graphic>
          </wp:inline>
        </w:drawing>
      </w:r>
    </w:p>
    <w:p w14:paraId="425D6CFA" w14:textId="77777777" w:rsidR="00D77037" w:rsidRPr="0086351C" w:rsidRDefault="00D77037" w:rsidP="00D77037">
      <w:pPr>
        <w:pStyle w:val="paragraph"/>
        <w:spacing w:before="0" w:beforeAutospacing="0" w:after="0" w:afterAutospacing="0"/>
        <w:jc w:val="center"/>
        <w:textAlignment w:val="baseline"/>
        <w:rPr>
          <w:rStyle w:val="normaltextrun"/>
          <w:rFonts w:ascii="Arial" w:eastAsia="Arial" w:hAnsi="Arial" w:cs="Arial"/>
          <w:i/>
          <w:sz w:val="18"/>
          <w:szCs w:val="18"/>
        </w:rPr>
      </w:pPr>
      <w:r w:rsidRPr="0086351C">
        <w:rPr>
          <w:rStyle w:val="normaltextrun"/>
          <w:rFonts w:ascii="Arial" w:eastAsia="Arial" w:hAnsi="Arial" w:cs="Arial"/>
          <w:i/>
          <w:sz w:val="18"/>
          <w:szCs w:val="18"/>
        </w:rPr>
        <w:t xml:space="preserve">Gráfico </w:t>
      </w:r>
      <w:r w:rsidRPr="0086351C">
        <w:rPr>
          <w:rStyle w:val="normaltextrun"/>
          <w:rFonts w:ascii="Arial" w:eastAsia="Tahoma" w:hAnsi="Arial" w:cs="Arial"/>
          <w:i/>
          <w:iCs/>
          <w:sz w:val="18"/>
          <w:szCs w:val="18"/>
        </w:rPr>
        <w:fldChar w:fldCharType="begin"/>
      </w:r>
      <w:r w:rsidRPr="0086351C">
        <w:rPr>
          <w:rStyle w:val="normaltextrun"/>
          <w:rFonts w:ascii="Arial" w:eastAsia="Tahoma" w:hAnsi="Arial" w:cs="Arial"/>
          <w:i/>
          <w:iCs/>
          <w:sz w:val="18"/>
          <w:szCs w:val="18"/>
        </w:rPr>
        <w:instrText xml:space="preserve"> SEQ Grafico \* ARABIC </w:instrText>
      </w:r>
      <w:r w:rsidRPr="0086351C">
        <w:rPr>
          <w:rStyle w:val="normaltextrun"/>
          <w:rFonts w:ascii="Arial" w:eastAsia="Tahoma" w:hAnsi="Arial" w:cs="Arial"/>
          <w:i/>
          <w:iCs/>
          <w:sz w:val="18"/>
          <w:szCs w:val="18"/>
        </w:rPr>
        <w:fldChar w:fldCharType="separate"/>
      </w:r>
      <w:r w:rsidRPr="0086351C">
        <w:rPr>
          <w:rStyle w:val="normaltextrun"/>
          <w:rFonts w:ascii="Arial" w:eastAsia="Tahoma" w:hAnsi="Arial" w:cs="Arial"/>
          <w:i/>
          <w:iCs/>
          <w:noProof/>
          <w:sz w:val="18"/>
          <w:szCs w:val="18"/>
        </w:rPr>
        <w:t>5</w:t>
      </w:r>
      <w:r w:rsidRPr="0086351C">
        <w:rPr>
          <w:rStyle w:val="normaltextrun"/>
          <w:rFonts w:ascii="Arial" w:eastAsia="Tahoma" w:hAnsi="Arial" w:cs="Arial"/>
          <w:i/>
          <w:iCs/>
          <w:sz w:val="18"/>
          <w:szCs w:val="18"/>
        </w:rPr>
        <w:fldChar w:fldCharType="end"/>
      </w:r>
      <w:r w:rsidRPr="0086351C">
        <w:rPr>
          <w:rStyle w:val="normaltextrun"/>
          <w:rFonts w:ascii="Arial" w:eastAsia="Arial" w:hAnsi="Arial" w:cs="Arial"/>
          <w:i/>
          <w:sz w:val="18"/>
          <w:szCs w:val="18"/>
        </w:rPr>
        <w:t>.</w:t>
      </w:r>
      <w:r w:rsidRPr="0086351C">
        <w:rPr>
          <w:rStyle w:val="normaltextrun"/>
          <w:rFonts w:ascii="Arial" w:eastAsia="Arial" w:hAnsi="Arial" w:cs="Arial"/>
          <w:sz w:val="18"/>
          <w:szCs w:val="18"/>
        </w:rPr>
        <w:t xml:space="preserve"> </w:t>
      </w:r>
      <w:r w:rsidRPr="0086351C">
        <w:rPr>
          <w:rStyle w:val="normaltextrun"/>
          <w:rFonts w:ascii="Arial" w:eastAsia="Arial" w:hAnsi="Arial" w:cs="Arial"/>
          <w:i/>
          <w:sz w:val="18"/>
          <w:szCs w:val="18"/>
        </w:rPr>
        <w:t>Tasa global de participación – TGP, Tasa de ocupación – TO y Tasa de desocupación – TD; Total Nacional (Julio 2016 – 2024)</w:t>
      </w:r>
    </w:p>
    <w:p w14:paraId="152A920F" w14:textId="77777777" w:rsidR="00D77037" w:rsidRPr="0086351C" w:rsidRDefault="00D77037" w:rsidP="00D77037">
      <w:pPr>
        <w:pStyle w:val="paragraph"/>
        <w:spacing w:before="0" w:beforeAutospacing="0" w:after="0" w:afterAutospacing="0"/>
        <w:jc w:val="center"/>
        <w:textAlignment w:val="baseline"/>
        <w:rPr>
          <w:rStyle w:val="eop"/>
          <w:rFonts w:ascii="Arial" w:eastAsia="Arial" w:hAnsi="Arial" w:cs="Arial"/>
          <w:sz w:val="22"/>
          <w:szCs w:val="22"/>
        </w:rPr>
      </w:pPr>
      <w:r w:rsidRPr="0086351C">
        <w:rPr>
          <w:rStyle w:val="normaltextrun"/>
          <w:rFonts w:ascii="Arial" w:eastAsia="Arial" w:hAnsi="Arial" w:cs="Arial"/>
          <w:i/>
          <w:sz w:val="18"/>
          <w:szCs w:val="18"/>
        </w:rPr>
        <w:lastRenderedPageBreak/>
        <w:t>Fuente: Informe variables socioeconómicas DANE – Julio 2024.</w:t>
      </w:r>
    </w:p>
    <w:p w14:paraId="417273D0" w14:textId="77777777" w:rsidR="00175C78" w:rsidRPr="0086351C" w:rsidRDefault="00175C78" w:rsidP="00175C78">
      <w:pPr>
        <w:pStyle w:val="paragraph"/>
        <w:spacing w:before="0" w:beforeAutospacing="0" w:after="0" w:afterAutospacing="0"/>
        <w:textAlignment w:val="baseline"/>
        <w:rPr>
          <w:rStyle w:val="eop"/>
          <w:rFonts w:ascii="Arial" w:eastAsia="Tahoma" w:hAnsi="Arial" w:cs="Arial"/>
          <w:sz w:val="22"/>
          <w:szCs w:val="22"/>
        </w:rPr>
      </w:pPr>
    </w:p>
    <w:p w14:paraId="5ED1D7B7" w14:textId="77777777" w:rsidR="00175C78" w:rsidRPr="0086351C" w:rsidRDefault="00175C78" w:rsidP="00D77037">
      <w:pPr>
        <w:pStyle w:val="Ttulo2"/>
        <w:numPr>
          <w:ilvl w:val="1"/>
          <w:numId w:val="29"/>
        </w:numPr>
        <w:rPr>
          <w:rStyle w:val="normaltextrun"/>
          <w:rFonts w:ascii="Arial" w:eastAsia="Tahoma" w:hAnsi="Arial" w:cs="Arial"/>
          <w:bCs/>
          <w:sz w:val="22"/>
          <w:szCs w:val="22"/>
          <w:shd w:val="clear" w:color="auto" w:fill="FCFCFC"/>
        </w:rPr>
      </w:pPr>
      <w:bookmarkStart w:id="11" w:name="_Toc178847887"/>
      <w:r w:rsidRPr="0086351C">
        <w:rPr>
          <w:rStyle w:val="normaltextrun"/>
          <w:rFonts w:ascii="Arial" w:eastAsia="Tahoma" w:hAnsi="Arial" w:cs="Arial"/>
          <w:bCs/>
          <w:sz w:val="22"/>
          <w:szCs w:val="22"/>
          <w:shd w:val="clear" w:color="auto" w:fill="FCFCFC"/>
        </w:rPr>
        <w:t>Salario Mínimo</w:t>
      </w:r>
      <w:bookmarkEnd w:id="11"/>
      <w:r w:rsidRPr="0086351C">
        <w:rPr>
          <w:rStyle w:val="normaltextrun"/>
          <w:rFonts w:ascii="Arial" w:eastAsia="Tahoma" w:hAnsi="Arial" w:cs="Arial"/>
          <w:bCs/>
          <w:sz w:val="22"/>
          <w:szCs w:val="22"/>
          <w:shd w:val="clear" w:color="auto" w:fill="FCFCFC"/>
        </w:rPr>
        <w:t> </w:t>
      </w:r>
    </w:p>
    <w:p w14:paraId="334D6990"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3BD78A3C" w14:textId="77777777"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normaltextrun"/>
          <w:rFonts w:ascii="Arial" w:eastAsia="Tahoma" w:hAnsi="Arial" w:cs="Arial"/>
          <w:sz w:val="22"/>
          <w:szCs w:val="22"/>
        </w:rPr>
        <w:t>El SMMLV para el año 2024 se fijó en $1.300.000 aumentando en 12.07% con respecto al año anterior, el cual sumada al auxilio de transporte ($162.000) queda en un total de $1.462.000 que recibe un trabajador con salario mínimo, variable importante para el análisis debido a que, al aumentar el valor de la mano de obra, se incrementan en muchos casos los precios de los bienes y servicios.</w:t>
      </w:r>
      <w:r w:rsidRPr="0086351C">
        <w:rPr>
          <w:rStyle w:val="eop"/>
          <w:rFonts w:ascii="Arial" w:eastAsia="Tahoma" w:hAnsi="Arial" w:cs="Arial"/>
          <w:sz w:val="22"/>
          <w:szCs w:val="22"/>
        </w:rPr>
        <w:t> </w:t>
      </w:r>
    </w:p>
    <w:p w14:paraId="56DF003B" w14:textId="77777777" w:rsidR="00175C78" w:rsidRPr="0086351C" w:rsidRDefault="00175C78" w:rsidP="00175C78">
      <w:pPr>
        <w:pStyle w:val="paragraph"/>
        <w:spacing w:before="0" w:beforeAutospacing="0" w:after="0" w:afterAutospacing="0"/>
        <w:ind w:left="525" w:right="315"/>
        <w:jc w:val="both"/>
        <w:textAlignment w:val="baseline"/>
        <w:rPr>
          <w:rFonts w:ascii="Arial" w:eastAsia="Tahoma" w:hAnsi="Arial" w:cs="Arial"/>
          <w:b/>
          <w:bCs/>
          <w:sz w:val="22"/>
          <w:szCs w:val="22"/>
        </w:rPr>
      </w:pPr>
      <w:r w:rsidRPr="0086351C">
        <w:rPr>
          <w:rStyle w:val="eop"/>
          <w:rFonts w:ascii="Arial" w:eastAsia="Tahoma" w:hAnsi="Arial" w:cs="Arial"/>
          <w:sz w:val="22"/>
          <w:szCs w:val="22"/>
        </w:rPr>
        <w:t> </w:t>
      </w:r>
    </w:p>
    <w:p w14:paraId="4418A882" w14:textId="57C5AEE3" w:rsidR="00175C78" w:rsidRPr="0086351C" w:rsidRDefault="00175C78" w:rsidP="00F365B4">
      <w:pPr>
        <w:pStyle w:val="Ttulo2"/>
        <w:numPr>
          <w:ilvl w:val="1"/>
          <w:numId w:val="29"/>
        </w:numPr>
        <w:spacing w:before="0" w:line="276" w:lineRule="auto"/>
        <w:textAlignment w:val="baseline"/>
        <w:rPr>
          <w:rFonts w:ascii="Arial" w:eastAsia="Tahoma" w:hAnsi="Arial" w:cs="Arial"/>
          <w:sz w:val="22"/>
          <w:szCs w:val="22"/>
        </w:rPr>
      </w:pPr>
      <w:bookmarkStart w:id="12" w:name="_Toc178847888"/>
      <w:r w:rsidRPr="0086351C">
        <w:rPr>
          <w:rStyle w:val="normaltextrun"/>
          <w:rFonts w:ascii="Arial" w:eastAsia="Tahoma" w:hAnsi="Arial" w:cs="Arial"/>
          <w:sz w:val="22"/>
          <w:szCs w:val="22"/>
          <w:shd w:val="clear" w:color="auto" w:fill="FCFCFC"/>
        </w:rPr>
        <w:t xml:space="preserve">Encuesta Mensual de Servicios </w:t>
      </w:r>
      <w:r w:rsidRPr="0086351C">
        <w:rPr>
          <w:rStyle w:val="normaltextrun"/>
          <w:rFonts w:ascii="Arial" w:eastAsia="Tahoma" w:hAnsi="Arial" w:cs="Arial"/>
          <w:sz w:val="22"/>
          <w:szCs w:val="22"/>
        </w:rPr>
        <w:t>(EMS)</w:t>
      </w:r>
      <w:r w:rsidR="00D77037" w:rsidRPr="0086351C">
        <w:rPr>
          <w:rStyle w:val="Refdenotaalpie"/>
          <w:rFonts w:ascii="Arial" w:eastAsia="Tahoma" w:hAnsi="Arial" w:cs="Arial"/>
          <w:sz w:val="22"/>
          <w:szCs w:val="22"/>
        </w:rPr>
        <w:footnoteReference w:id="4"/>
      </w:r>
      <w:bookmarkEnd w:id="12"/>
      <w:r w:rsidRPr="0086351C">
        <w:rPr>
          <w:rStyle w:val="eop"/>
          <w:rFonts w:ascii="Arial" w:eastAsia="Tahoma" w:hAnsi="Arial" w:cs="Arial"/>
          <w:sz w:val="22"/>
          <w:szCs w:val="22"/>
        </w:rPr>
        <w:t> </w:t>
      </w:r>
    </w:p>
    <w:p w14:paraId="57F8BA3E" w14:textId="77777777" w:rsidR="00175C78" w:rsidRPr="0086351C" w:rsidRDefault="00175C78" w:rsidP="00F365B4">
      <w:pPr>
        <w:pStyle w:val="paragraph"/>
        <w:spacing w:before="240" w:beforeAutospacing="0" w:after="0" w:afterAutospacing="0" w:line="276" w:lineRule="auto"/>
        <w:ind w:right="255"/>
        <w:jc w:val="both"/>
        <w:textAlignment w:val="baseline"/>
        <w:rPr>
          <w:rStyle w:val="eop"/>
          <w:rFonts w:ascii="Arial" w:eastAsia="Tahoma" w:hAnsi="Arial" w:cs="Arial"/>
          <w:sz w:val="22"/>
          <w:szCs w:val="22"/>
        </w:rPr>
      </w:pPr>
      <w:r w:rsidRPr="0086351C">
        <w:rPr>
          <w:rStyle w:val="normaltextrun"/>
          <w:rFonts w:ascii="Arial" w:eastAsia="Tahoma" w:hAnsi="Arial" w:cs="Arial"/>
          <w:sz w:val="22"/>
          <w:szCs w:val="22"/>
        </w:rPr>
        <w:t>La Encuesta Mensual de Servicios es una operación estadística por medio de la cual el Departamento Administrativo Nacional de Estadística (DANE) obtiene la información de las variables principales del sector servicios para el análisis de su evolución en el corto plazo.</w:t>
      </w:r>
      <w:r w:rsidRPr="0086351C">
        <w:rPr>
          <w:rStyle w:val="eop"/>
          <w:rFonts w:ascii="Arial" w:eastAsia="Tahoma" w:hAnsi="Arial" w:cs="Arial"/>
          <w:sz w:val="22"/>
          <w:szCs w:val="22"/>
        </w:rPr>
        <w:t> </w:t>
      </w:r>
    </w:p>
    <w:p w14:paraId="7C0DD022" w14:textId="77777777" w:rsidR="00175C78" w:rsidRPr="0086351C" w:rsidRDefault="00175C78" w:rsidP="00175C78">
      <w:pPr>
        <w:pStyle w:val="paragraph"/>
        <w:spacing w:before="0" w:beforeAutospacing="0" w:after="0" w:afterAutospacing="0"/>
        <w:jc w:val="both"/>
        <w:textAlignment w:val="baseline"/>
        <w:rPr>
          <w:rStyle w:val="normaltextrun"/>
          <w:rFonts w:ascii="Arial" w:eastAsia="Tahoma" w:hAnsi="Arial" w:cs="Arial"/>
          <w:sz w:val="22"/>
          <w:szCs w:val="22"/>
        </w:rPr>
      </w:pPr>
    </w:p>
    <w:p w14:paraId="38F6B2F8" w14:textId="0C37EF8C" w:rsidR="00175C78" w:rsidRPr="0086351C" w:rsidRDefault="000E37D0" w:rsidP="00175C78">
      <w:pPr>
        <w:pStyle w:val="paragraph"/>
        <w:spacing w:before="0" w:beforeAutospacing="0" w:after="0" w:afterAutospacing="0"/>
        <w:jc w:val="center"/>
        <w:textAlignment w:val="baseline"/>
        <w:rPr>
          <w:rStyle w:val="normaltextrun"/>
          <w:rFonts w:ascii="Arial" w:eastAsia="Tahoma" w:hAnsi="Arial" w:cs="Arial"/>
          <w:sz w:val="22"/>
          <w:szCs w:val="22"/>
        </w:rPr>
      </w:pPr>
      <w:r w:rsidRPr="0086351C">
        <w:rPr>
          <w:rStyle w:val="normaltextrun"/>
          <w:rFonts w:ascii="Arial" w:eastAsia="Tahoma" w:hAnsi="Arial" w:cs="Arial"/>
          <w:noProof/>
          <w:sz w:val="22"/>
          <w:szCs w:val="22"/>
        </w:rPr>
        <w:drawing>
          <wp:inline distT="0" distB="0" distL="0" distR="0" wp14:anchorId="58ED92B8" wp14:editId="16D16F56">
            <wp:extent cx="3208487" cy="4095750"/>
            <wp:effectExtent l="0" t="0" r="0" b="0"/>
            <wp:docPr id="1410992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92586" name=""/>
                    <pic:cNvPicPr/>
                  </pic:nvPicPr>
                  <pic:blipFill>
                    <a:blip r:embed="rId22"/>
                    <a:stretch>
                      <a:fillRect/>
                    </a:stretch>
                  </pic:blipFill>
                  <pic:spPr>
                    <a:xfrm>
                      <a:off x="0" y="0"/>
                      <a:ext cx="3209588" cy="4097155"/>
                    </a:xfrm>
                    <a:prstGeom prst="rect">
                      <a:avLst/>
                    </a:prstGeom>
                  </pic:spPr>
                </pic:pic>
              </a:graphicData>
            </a:graphic>
          </wp:inline>
        </w:drawing>
      </w:r>
    </w:p>
    <w:p w14:paraId="79F0C0F9" w14:textId="77777777" w:rsidR="007F6A3D" w:rsidRPr="0086351C" w:rsidRDefault="007F6A3D" w:rsidP="007F6A3D">
      <w:pPr>
        <w:pStyle w:val="paragraph"/>
        <w:spacing w:before="0" w:beforeAutospacing="0" w:after="0" w:afterAutospacing="0"/>
        <w:jc w:val="center"/>
        <w:textAlignment w:val="baseline"/>
        <w:rPr>
          <w:rStyle w:val="normaltextrun"/>
          <w:rFonts w:ascii="Arial" w:eastAsia="Arial" w:hAnsi="Arial" w:cs="Arial"/>
          <w:i/>
          <w:sz w:val="18"/>
          <w:szCs w:val="18"/>
        </w:rPr>
      </w:pPr>
      <w:r w:rsidRPr="0086351C">
        <w:rPr>
          <w:rStyle w:val="normaltextrun"/>
          <w:rFonts w:ascii="Arial" w:eastAsia="Arial" w:hAnsi="Arial" w:cs="Arial"/>
          <w:i/>
          <w:sz w:val="18"/>
          <w:szCs w:val="18"/>
        </w:rPr>
        <w:t xml:space="preserve">Gráfico </w:t>
      </w:r>
      <w:r w:rsidRPr="0086351C">
        <w:rPr>
          <w:rStyle w:val="normaltextrun"/>
          <w:rFonts w:ascii="Arial" w:eastAsia="Tahoma" w:hAnsi="Arial" w:cs="Arial"/>
          <w:i/>
          <w:iCs/>
          <w:sz w:val="18"/>
          <w:szCs w:val="18"/>
        </w:rPr>
        <w:fldChar w:fldCharType="begin"/>
      </w:r>
      <w:r w:rsidRPr="0086351C">
        <w:rPr>
          <w:rStyle w:val="normaltextrun"/>
          <w:rFonts w:ascii="Arial" w:eastAsia="Tahoma" w:hAnsi="Arial" w:cs="Arial"/>
          <w:i/>
          <w:iCs/>
          <w:sz w:val="18"/>
          <w:szCs w:val="18"/>
        </w:rPr>
        <w:instrText xml:space="preserve"> SEQ Grafico \* ARABIC </w:instrText>
      </w:r>
      <w:r w:rsidRPr="0086351C">
        <w:rPr>
          <w:rStyle w:val="normaltextrun"/>
          <w:rFonts w:ascii="Arial" w:eastAsia="Tahoma" w:hAnsi="Arial" w:cs="Arial"/>
          <w:i/>
          <w:iCs/>
          <w:sz w:val="18"/>
          <w:szCs w:val="18"/>
        </w:rPr>
        <w:fldChar w:fldCharType="separate"/>
      </w:r>
      <w:r w:rsidRPr="0086351C">
        <w:rPr>
          <w:rStyle w:val="normaltextrun"/>
          <w:rFonts w:ascii="Arial" w:eastAsia="Tahoma" w:hAnsi="Arial" w:cs="Arial"/>
          <w:i/>
          <w:iCs/>
          <w:noProof/>
          <w:sz w:val="18"/>
          <w:szCs w:val="18"/>
        </w:rPr>
        <w:t>6</w:t>
      </w:r>
      <w:r w:rsidRPr="0086351C">
        <w:rPr>
          <w:rStyle w:val="normaltextrun"/>
          <w:rFonts w:ascii="Arial" w:eastAsia="Tahoma" w:hAnsi="Arial" w:cs="Arial"/>
          <w:i/>
          <w:iCs/>
          <w:sz w:val="18"/>
          <w:szCs w:val="18"/>
        </w:rPr>
        <w:fldChar w:fldCharType="end"/>
      </w:r>
      <w:r w:rsidRPr="0086351C">
        <w:rPr>
          <w:rStyle w:val="normaltextrun"/>
          <w:rFonts w:ascii="Arial" w:eastAsia="Arial" w:hAnsi="Arial" w:cs="Arial"/>
          <w:i/>
          <w:sz w:val="18"/>
          <w:szCs w:val="18"/>
        </w:rPr>
        <w:t>. Resultados Encuesta Mensual de Servicios – EMS; Total Nacional junio (2024 – 2023)</w:t>
      </w:r>
    </w:p>
    <w:p w14:paraId="2428086B" w14:textId="77777777" w:rsidR="007F6A3D" w:rsidRPr="0086351C" w:rsidRDefault="007F6A3D" w:rsidP="007F6A3D">
      <w:pPr>
        <w:pStyle w:val="paragraph"/>
        <w:spacing w:before="0" w:beforeAutospacing="0" w:after="0" w:afterAutospacing="0"/>
        <w:ind w:left="465" w:right="315"/>
        <w:jc w:val="center"/>
        <w:textAlignment w:val="baseline"/>
        <w:rPr>
          <w:rFonts w:ascii="Arial" w:eastAsia="Arial" w:hAnsi="Arial" w:cs="Arial"/>
          <w:i/>
          <w:sz w:val="18"/>
          <w:szCs w:val="18"/>
        </w:rPr>
      </w:pPr>
      <w:r w:rsidRPr="0086351C">
        <w:rPr>
          <w:rStyle w:val="normaltextrun"/>
          <w:rFonts w:ascii="Arial" w:eastAsia="Arial" w:hAnsi="Arial" w:cs="Arial"/>
          <w:i/>
          <w:sz w:val="18"/>
          <w:szCs w:val="18"/>
        </w:rPr>
        <w:t>Fuente: Informe de resultados Encuesta Mensual de Servicios DANE – junio 2024.</w:t>
      </w:r>
      <w:r w:rsidRPr="0086351C">
        <w:rPr>
          <w:rFonts w:ascii="Arial" w:eastAsia="Arial" w:hAnsi="Arial" w:cs="Arial"/>
          <w:i/>
          <w:sz w:val="18"/>
          <w:szCs w:val="18"/>
        </w:rPr>
        <w:t xml:space="preserve"> </w:t>
      </w:r>
    </w:p>
    <w:p w14:paraId="28385D11" w14:textId="47FE4A8D" w:rsidR="00175C78" w:rsidRPr="0086351C" w:rsidRDefault="000E37D0" w:rsidP="00F365B4">
      <w:pPr>
        <w:pStyle w:val="paragraph"/>
        <w:spacing w:before="0" w:beforeAutospacing="0" w:after="0" w:afterAutospacing="0" w:line="276" w:lineRule="auto"/>
        <w:ind w:right="15"/>
        <w:jc w:val="both"/>
        <w:textAlignment w:val="baseline"/>
        <w:rPr>
          <w:rFonts w:ascii="Arial" w:eastAsia="Tahoma" w:hAnsi="Arial" w:cs="Arial"/>
          <w:b/>
          <w:bCs/>
          <w:sz w:val="22"/>
          <w:szCs w:val="22"/>
        </w:rPr>
      </w:pPr>
      <w:r w:rsidRPr="0086351C">
        <w:rPr>
          <w:rFonts w:ascii="Arial" w:eastAsia="Tahoma" w:hAnsi="Arial" w:cs="Arial"/>
          <w:b/>
          <w:bCs/>
          <w:sz w:val="22"/>
          <w:szCs w:val="22"/>
        </w:rPr>
        <w:lastRenderedPageBreak/>
        <w:t>Variación anual de los ingresos nominales y contribución por tipo de ingresos, según subsector de servicios (junio 2024 / junio 2023)</w:t>
      </w:r>
    </w:p>
    <w:p w14:paraId="7B65FE7F" w14:textId="77777777" w:rsidR="000E37D0" w:rsidRPr="0086351C" w:rsidRDefault="000E37D0" w:rsidP="00F365B4">
      <w:pPr>
        <w:pStyle w:val="paragraph"/>
        <w:spacing w:before="0" w:beforeAutospacing="0" w:after="0" w:afterAutospacing="0" w:line="276" w:lineRule="auto"/>
        <w:ind w:right="15"/>
        <w:jc w:val="both"/>
        <w:textAlignment w:val="baseline"/>
        <w:rPr>
          <w:rStyle w:val="normaltextrun"/>
          <w:rFonts w:ascii="Arial" w:eastAsia="Tahoma" w:hAnsi="Arial" w:cs="Arial"/>
          <w:b/>
          <w:bCs/>
          <w:sz w:val="22"/>
          <w:szCs w:val="22"/>
        </w:rPr>
      </w:pPr>
    </w:p>
    <w:p w14:paraId="4A4C59CD" w14:textId="78582704" w:rsidR="00175C78" w:rsidRPr="0086351C" w:rsidRDefault="000E37D0" w:rsidP="00F365B4">
      <w:pPr>
        <w:pStyle w:val="paragraph"/>
        <w:spacing w:before="0" w:beforeAutospacing="0" w:after="0" w:afterAutospacing="0" w:line="276" w:lineRule="auto"/>
        <w:ind w:right="15"/>
        <w:jc w:val="both"/>
        <w:textAlignment w:val="baseline"/>
        <w:rPr>
          <w:rStyle w:val="eop"/>
          <w:rFonts w:ascii="Arial" w:eastAsia="Tahoma" w:hAnsi="Arial" w:cs="Arial"/>
          <w:sz w:val="22"/>
          <w:szCs w:val="22"/>
        </w:rPr>
      </w:pPr>
      <w:r w:rsidRPr="0086351C">
        <w:rPr>
          <w:rFonts w:ascii="Arial" w:eastAsia="Tahoma" w:hAnsi="Arial" w:cs="Arial"/>
          <w:sz w:val="22"/>
          <w:szCs w:val="22"/>
        </w:rPr>
        <w:t>En junio de 2024, trece de los dieciocho subsectores de servicios presentaron variación positiva en los ingresos totales, en comparación con junio de 2023.</w:t>
      </w:r>
      <w:r w:rsidR="00175C78" w:rsidRPr="0086351C">
        <w:rPr>
          <w:rStyle w:val="eop"/>
          <w:rFonts w:ascii="Arial" w:eastAsia="Tahoma" w:hAnsi="Arial" w:cs="Arial"/>
          <w:sz w:val="22"/>
          <w:szCs w:val="22"/>
        </w:rPr>
        <w:t xml:space="preserve"> </w:t>
      </w:r>
    </w:p>
    <w:p w14:paraId="1CA25D0E" w14:textId="77777777" w:rsidR="007F6A3D" w:rsidRPr="0086351C" w:rsidRDefault="00175C78" w:rsidP="007F6A3D">
      <w:pPr>
        <w:pStyle w:val="paragraph"/>
        <w:spacing w:before="0" w:beforeAutospacing="0" w:after="0" w:afterAutospacing="0"/>
        <w:ind w:right="15"/>
        <w:jc w:val="center"/>
        <w:textAlignment w:val="baseline"/>
        <w:rPr>
          <w:rFonts w:ascii="Arial" w:eastAsia="Tahoma" w:hAnsi="Arial" w:cs="Arial"/>
          <w:sz w:val="22"/>
          <w:szCs w:val="22"/>
        </w:rPr>
      </w:pPr>
      <w:r w:rsidRPr="0086351C">
        <w:rPr>
          <w:rFonts w:ascii="Arial" w:hAnsi="Arial" w:cs="Arial"/>
          <w:noProof/>
          <w:sz w:val="22"/>
          <w:szCs w:val="22"/>
          <w14:ligatures w14:val="standardContextual"/>
        </w:rPr>
        <w:t xml:space="preserve"> </w:t>
      </w:r>
      <w:r w:rsidR="000E37D0" w:rsidRPr="0086351C">
        <w:rPr>
          <w:rFonts w:ascii="Arial" w:hAnsi="Arial" w:cs="Arial"/>
          <w:noProof/>
          <w:sz w:val="22"/>
          <w:szCs w:val="22"/>
          <w14:ligatures w14:val="standardContextual"/>
        </w:rPr>
        <w:drawing>
          <wp:inline distT="0" distB="0" distL="0" distR="0" wp14:anchorId="0E23BF0D" wp14:editId="1A9A8127">
            <wp:extent cx="4667901" cy="4401164"/>
            <wp:effectExtent l="0" t="0" r="0" b="0"/>
            <wp:docPr id="701983396"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83396" name="Imagen 1" descr="Interfaz de usuario gráfica, Aplicación&#10;&#10;Descripción generada automáticamente"/>
                    <pic:cNvPicPr/>
                  </pic:nvPicPr>
                  <pic:blipFill>
                    <a:blip r:embed="rId23"/>
                    <a:stretch>
                      <a:fillRect/>
                    </a:stretch>
                  </pic:blipFill>
                  <pic:spPr>
                    <a:xfrm>
                      <a:off x="0" y="0"/>
                      <a:ext cx="4667901" cy="4401164"/>
                    </a:xfrm>
                    <a:prstGeom prst="rect">
                      <a:avLst/>
                    </a:prstGeom>
                  </pic:spPr>
                </pic:pic>
              </a:graphicData>
            </a:graphic>
          </wp:inline>
        </w:drawing>
      </w:r>
    </w:p>
    <w:p w14:paraId="4DF4848A" w14:textId="77777777" w:rsidR="002F326A" w:rsidRPr="0086351C" w:rsidRDefault="002F326A" w:rsidP="002F326A">
      <w:pPr>
        <w:pStyle w:val="Descripcin"/>
        <w:spacing w:after="0"/>
        <w:jc w:val="center"/>
        <w:rPr>
          <w:rFonts w:ascii="Arial" w:eastAsia="Arial" w:hAnsi="Arial" w:cs="Arial"/>
          <w:i w:val="0"/>
          <w:color w:val="auto"/>
        </w:rPr>
      </w:pPr>
      <w:r w:rsidRPr="0086351C">
        <w:rPr>
          <w:rFonts w:ascii="Arial" w:eastAsia="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5</w:t>
      </w:r>
      <w:r w:rsidRPr="0086351C">
        <w:rPr>
          <w:rFonts w:ascii="Arial" w:hAnsi="Arial" w:cs="Arial"/>
          <w:color w:val="auto"/>
        </w:rPr>
        <w:fldChar w:fldCharType="end"/>
      </w:r>
      <w:r w:rsidRPr="0086351C">
        <w:rPr>
          <w:rFonts w:ascii="Arial" w:eastAsia="Arial" w:hAnsi="Arial" w:cs="Arial"/>
          <w:color w:val="auto"/>
        </w:rPr>
        <w:t>. Variación anual de los ingresos y contribución por tipo de ingresos, según subsector de servicios; junio (2024 – 2023)</w:t>
      </w:r>
    </w:p>
    <w:p w14:paraId="388D894F" w14:textId="77777777" w:rsidR="002F326A" w:rsidRPr="0086351C" w:rsidRDefault="002F326A" w:rsidP="002F326A">
      <w:pPr>
        <w:pStyle w:val="Descripcin"/>
        <w:spacing w:after="0"/>
        <w:jc w:val="center"/>
        <w:rPr>
          <w:rFonts w:ascii="Arial" w:eastAsia="Arial" w:hAnsi="Arial" w:cs="Arial"/>
          <w:color w:val="auto"/>
        </w:rPr>
      </w:pPr>
      <w:r w:rsidRPr="0086351C">
        <w:rPr>
          <w:rStyle w:val="normaltextrun"/>
          <w:rFonts w:ascii="Arial" w:eastAsia="Arial" w:hAnsi="Arial" w:cs="Arial"/>
          <w:color w:val="auto"/>
        </w:rPr>
        <w:t>Fuente: Informe de resultados Encuesta Mensual de Servicios DANE – junio 2024</w:t>
      </w:r>
    </w:p>
    <w:p w14:paraId="2DD2125D" w14:textId="106C0FAF" w:rsidR="00175C78" w:rsidRPr="0086351C" w:rsidRDefault="00175C78" w:rsidP="007F6A3D">
      <w:pPr>
        <w:pStyle w:val="paragraph"/>
        <w:spacing w:before="0" w:beforeAutospacing="0" w:after="0" w:afterAutospacing="0"/>
        <w:ind w:right="15"/>
        <w:jc w:val="center"/>
        <w:textAlignment w:val="baseline"/>
        <w:rPr>
          <w:rFonts w:ascii="Arial" w:eastAsia="Tahoma" w:hAnsi="Arial" w:cs="Arial"/>
          <w:sz w:val="22"/>
          <w:szCs w:val="22"/>
        </w:rPr>
      </w:pPr>
      <w:r w:rsidRPr="0086351C">
        <w:rPr>
          <w:rStyle w:val="eop"/>
          <w:rFonts w:ascii="Arial" w:eastAsia="Tahoma" w:hAnsi="Arial" w:cs="Arial"/>
          <w:sz w:val="22"/>
          <w:szCs w:val="22"/>
        </w:rPr>
        <w:t> </w:t>
      </w:r>
    </w:p>
    <w:p w14:paraId="444647FA" w14:textId="77777777" w:rsidR="000E37D0" w:rsidRPr="0086351C" w:rsidRDefault="000E37D0" w:rsidP="00F365B4">
      <w:pPr>
        <w:pStyle w:val="paragraph"/>
        <w:spacing w:before="0" w:beforeAutospacing="0" w:after="0" w:afterAutospacing="0" w:line="276" w:lineRule="auto"/>
        <w:jc w:val="both"/>
        <w:textAlignment w:val="baseline"/>
        <w:rPr>
          <w:rFonts w:ascii="Arial" w:eastAsia="Tahoma" w:hAnsi="Arial" w:cs="Arial"/>
          <w:b/>
          <w:bCs/>
          <w:sz w:val="22"/>
          <w:szCs w:val="22"/>
        </w:rPr>
      </w:pPr>
      <w:r w:rsidRPr="0086351C">
        <w:rPr>
          <w:rFonts w:ascii="Arial" w:eastAsia="Tahoma" w:hAnsi="Arial" w:cs="Arial"/>
          <w:b/>
          <w:bCs/>
          <w:sz w:val="22"/>
          <w:szCs w:val="22"/>
        </w:rPr>
        <w:t>Variación anual del personal ocupado total y contribución por tipo de contratación, según subsector de servicios (junio 2024 / junio 2023)</w:t>
      </w:r>
    </w:p>
    <w:p w14:paraId="6D884BF1" w14:textId="008332F3"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eop"/>
          <w:rFonts w:ascii="Arial" w:eastAsia="Tahoma" w:hAnsi="Arial" w:cs="Arial"/>
          <w:sz w:val="22"/>
          <w:szCs w:val="22"/>
        </w:rPr>
        <w:t> </w:t>
      </w:r>
    </w:p>
    <w:p w14:paraId="20D641C8" w14:textId="51652B3D" w:rsidR="00175C78" w:rsidRPr="0086351C" w:rsidRDefault="000E37D0" w:rsidP="00F365B4">
      <w:pPr>
        <w:pStyle w:val="paragraph"/>
        <w:spacing w:before="0" w:beforeAutospacing="0" w:after="0" w:afterAutospacing="0" w:line="276" w:lineRule="auto"/>
        <w:jc w:val="both"/>
        <w:textAlignment w:val="baseline"/>
        <w:rPr>
          <w:rFonts w:ascii="Arial" w:hAnsi="Arial" w:cs="Arial"/>
          <w:noProof/>
          <w:sz w:val="22"/>
          <w:szCs w:val="22"/>
          <w14:ligatures w14:val="standardContextual"/>
        </w:rPr>
      </w:pPr>
      <w:r w:rsidRPr="0086351C">
        <w:rPr>
          <w:rFonts w:ascii="Arial" w:eastAsia="Tahoma" w:hAnsi="Arial" w:cs="Arial"/>
          <w:sz w:val="22"/>
          <w:szCs w:val="22"/>
        </w:rPr>
        <w:t>En junio de 2024, cinco de los dieciocho subsectores de servicios presentaron variación positiva en el personal ocupado total, en comparación con junio de 2023.</w:t>
      </w:r>
    </w:p>
    <w:p w14:paraId="56A6586B" w14:textId="3138AD43"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p>
    <w:p w14:paraId="63E09425" w14:textId="39F3E960" w:rsidR="000E37D0" w:rsidRPr="0086351C" w:rsidRDefault="000E37D0" w:rsidP="00175C78">
      <w:pPr>
        <w:pStyle w:val="paragraph"/>
        <w:spacing w:before="0" w:beforeAutospacing="0" w:after="0" w:afterAutospacing="0"/>
        <w:jc w:val="center"/>
        <w:textAlignment w:val="baseline"/>
        <w:rPr>
          <w:rFonts w:ascii="Arial" w:eastAsia="Tahoma" w:hAnsi="Arial" w:cs="Arial"/>
          <w:sz w:val="22"/>
          <w:szCs w:val="22"/>
        </w:rPr>
      </w:pPr>
      <w:r w:rsidRPr="0086351C">
        <w:rPr>
          <w:rFonts w:ascii="Arial" w:eastAsia="Tahoma" w:hAnsi="Arial" w:cs="Arial"/>
          <w:noProof/>
          <w:sz w:val="22"/>
          <w:szCs w:val="22"/>
        </w:rPr>
        <w:lastRenderedPageBreak/>
        <w:drawing>
          <wp:inline distT="0" distB="0" distL="0" distR="0" wp14:anchorId="5D4CE2C4" wp14:editId="5FAB2352">
            <wp:extent cx="4639322" cy="4286848"/>
            <wp:effectExtent l="0" t="0" r="8890" b="0"/>
            <wp:docPr id="1177221324"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21324" name="Imagen 1" descr="Interfaz de usuario gráfica, Aplicación&#10;&#10;Descripción generada automáticamente"/>
                    <pic:cNvPicPr/>
                  </pic:nvPicPr>
                  <pic:blipFill>
                    <a:blip r:embed="rId24"/>
                    <a:stretch>
                      <a:fillRect/>
                    </a:stretch>
                  </pic:blipFill>
                  <pic:spPr>
                    <a:xfrm>
                      <a:off x="0" y="0"/>
                      <a:ext cx="4639322" cy="4286848"/>
                    </a:xfrm>
                    <a:prstGeom prst="rect">
                      <a:avLst/>
                    </a:prstGeom>
                  </pic:spPr>
                </pic:pic>
              </a:graphicData>
            </a:graphic>
          </wp:inline>
        </w:drawing>
      </w:r>
    </w:p>
    <w:p w14:paraId="2EDF0232" w14:textId="77777777" w:rsidR="00FB201D" w:rsidRPr="0086351C" w:rsidRDefault="00175C78" w:rsidP="00FB201D">
      <w:pPr>
        <w:pStyle w:val="Descripcin"/>
        <w:spacing w:after="0"/>
        <w:jc w:val="center"/>
        <w:rPr>
          <w:rStyle w:val="normaltextrun"/>
          <w:rFonts w:ascii="Arial" w:eastAsia="Arial" w:hAnsi="Arial" w:cs="Arial"/>
          <w:i w:val="0"/>
        </w:rPr>
      </w:pPr>
      <w:r w:rsidRPr="0086351C">
        <w:rPr>
          <w:rStyle w:val="eop"/>
          <w:rFonts w:ascii="Arial" w:eastAsia="Tahoma" w:hAnsi="Arial" w:cs="Arial"/>
          <w:sz w:val="22"/>
          <w:szCs w:val="22"/>
        </w:rPr>
        <w:t> </w:t>
      </w:r>
      <w:r w:rsidR="00FB201D" w:rsidRPr="0086351C">
        <w:rPr>
          <w:rFonts w:ascii="Arial" w:eastAsia="Arial" w:hAnsi="Arial" w:cs="Arial"/>
          <w:color w:val="auto"/>
        </w:rPr>
        <w:t xml:space="preserve">Tabla </w:t>
      </w:r>
      <w:r w:rsidR="00FB201D" w:rsidRPr="0086351C">
        <w:rPr>
          <w:rFonts w:ascii="Arial" w:hAnsi="Arial" w:cs="Arial"/>
          <w:color w:val="auto"/>
        </w:rPr>
        <w:fldChar w:fldCharType="begin"/>
      </w:r>
      <w:r w:rsidR="00FB201D" w:rsidRPr="0086351C">
        <w:rPr>
          <w:rFonts w:ascii="Arial" w:hAnsi="Arial" w:cs="Arial"/>
          <w:color w:val="auto"/>
        </w:rPr>
        <w:instrText xml:space="preserve"> SEQ Tabla \* ARABIC </w:instrText>
      </w:r>
      <w:r w:rsidR="00FB201D" w:rsidRPr="0086351C">
        <w:rPr>
          <w:rFonts w:ascii="Arial" w:hAnsi="Arial" w:cs="Arial"/>
          <w:color w:val="auto"/>
        </w:rPr>
        <w:fldChar w:fldCharType="separate"/>
      </w:r>
      <w:r w:rsidR="00FB201D" w:rsidRPr="0086351C">
        <w:rPr>
          <w:rFonts w:ascii="Arial" w:hAnsi="Arial" w:cs="Arial"/>
          <w:noProof/>
          <w:color w:val="auto"/>
        </w:rPr>
        <w:t>6</w:t>
      </w:r>
      <w:r w:rsidR="00FB201D" w:rsidRPr="0086351C">
        <w:rPr>
          <w:rFonts w:ascii="Arial" w:hAnsi="Arial" w:cs="Arial"/>
          <w:color w:val="auto"/>
        </w:rPr>
        <w:fldChar w:fldCharType="end"/>
      </w:r>
      <w:r w:rsidR="00FB201D" w:rsidRPr="0086351C">
        <w:rPr>
          <w:rFonts w:ascii="Arial" w:eastAsia="Arial" w:hAnsi="Arial" w:cs="Arial"/>
          <w:color w:val="auto"/>
        </w:rPr>
        <w:t>. Variación anual del personal ocupado total y contribución por categoría de contratación, según subsector de servicios; junio (2024 – 2023)</w:t>
      </w:r>
    </w:p>
    <w:p w14:paraId="3C640557" w14:textId="77777777" w:rsidR="00FB201D" w:rsidRPr="0086351C" w:rsidRDefault="00FB201D" w:rsidP="00FB201D">
      <w:pPr>
        <w:pStyle w:val="paragraph"/>
        <w:spacing w:before="0" w:beforeAutospacing="0" w:after="0" w:afterAutospacing="0"/>
        <w:jc w:val="center"/>
        <w:textAlignment w:val="baseline"/>
        <w:rPr>
          <w:rStyle w:val="eop"/>
          <w:rFonts w:ascii="Arial" w:eastAsia="Arial" w:hAnsi="Arial" w:cs="Arial"/>
          <w:sz w:val="22"/>
          <w:szCs w:val="22"/>
        </w:rPr>
      </w:pPr>
      <w:r w:rsidRPr="0086351C">
        <w:rPr>
          <w:rStyle w:val="normaltextrun"/>
          <w:rFonts w:ascii="Arial" w:eastAsia="Arial" w:hAnsi="Arial" w:cs="Arial"/>
          <w:i/>
          <w:sz w:val="18"/>
          <w:szCs w:val="18"/>
        </w:rPr>
        <w:t>Fuente: Informe de resultados Encuesta Mensual de Servicios DANE – junio 2024</w:t>
      </w:r>
    </w:p>
    <w:p w14:paraId="469AD4A4" w14:textId="642DB7E4"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p>
    <w:p w14:paraId="5CFD1ADD" w14:textId="77777777" w:rsidR="000E37D0" w:rsidRPr="0086351C" w:rsidRDefault="000E37D0" w:rsidP="00F365B4">
      <w:pPr>
        <w:pStyle w:val="paragraph"/>
        <w:spacing w:before="0" w:beforeAutospacing="0" w:after="0" w:afterAutospacing="0" w:line="276" w:lineRule="auto"/>
        <w:jc w:val="both"/>
        <w:textAlignment w:val="baseline"/>
        <w:rPr>
          <w:rFonts w:ascii="Arial" w:eastAsia="Tahoma" w:hAnsi="Arial" w:cs="Arial"/>
          <w:b/>
          <w:bCs/>
          <w:sz w:val="22"/>
          <w:szCs w:val="22"/>
        </w:rPr>
      </w:pPr>
      <w:r w:rsidRPr="0086351C">
        <w:rPr>
          <w:rFonts w:ascii="Arial" w:eastAsia="Tahoma" w:hAnsi="Arial" w:cs="Arial"/>
          <w:b/>
          <w:bCs/>
          <w:sz w:val="22"/>
          <w:szCs w:val="22"/>
        </w:rPr>
        <w:t>Variación anual de los salarios y contribución por tipo de contratación, según subsector de servicios (junio 2024 / junio 2023)</w:t>
      </w:r>
    </w:p>
    <w:p w14:paraId="706522A0" w14:textId="51D7C067"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eop"/>
          <w:rFonts w:ascii="Arial" w:eastAsia="Tahoma" w:hAnsi="Arial" w:cs="Arial"/>
          <w:sz w:val="22"/>
          <w:szCs w:val="22"/>
        </w:rPr>
        <w:t> </w:t>
      </w:r>
    </w:p>
    <w:p w14:paraId="554B2ED0" w14:textId="77777777" w:rsidR="000E37D0" w:rsidRPr="0086351C" w:rsidRDefault="000E37D0"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Fonts w:ascii="Arial" w:eastAsia="Tahoma" w:hAnsi="Arial" w:cs="Arial"/>
          <w:sz w:val="22"/>
          <w:szCs w:val="22"/>
        </w:rPr>
        <w:t>En junio de 2024, todos los subsectores de servicios presentaron variación positiva en los salarios, en comparación con junio de 2023.</w:t>
      </w:r>
    </w:p>
    <w:p w14:paraId="3B9BF278" w14:textId="74FC7C41" w:rsidR="00175C78" w:rsidRPr="0086351C" w:rsidRDefault="00175C78" w:rsidP="00175C78">
      <w:pPr>
        <w:pStyle w:val="paragraph"/>
        <w:spacing w:before="0" w:beforeAutospacing="0" w:after="0" w:afterAutospacing="0"/>
        <w:textAlignment w:val="baseline"/>
        <w:rPr>
          <w:rStyle w:val="normaltextrun"/>
          <w:rFonts w:ascii="Arial" w:eastAsia="Tahoma" w:hAnsi="Arial" w:cs="Arial"/>
          <w:noProof/>
          <w:sz w:val="22"/>
          <w:szCs w:val="22"/>
        </w:rPr>
      </w:pPr>
    </w:p>
    <w:p w14:paraId="16CD998B" w14:textId="15DACA15" w:rsidR="000E37D0" w:rsidRPr="0086351C" w:rsidRDefault="000E37D0" w:rsidP="00175C78">
      <w:pPr>
        <w:pStyle w:val="paragraph"/>
        <w:spacing w:before="0" w:beforeAutospacing="0" w:after="0" w:afterAutospacing="0"/>
        <w:textAlignment w:val="baseline"/>
        <w:rPr>
          <w:rStyle w:val="normaltextrun"/>
          <w:rFonts w:ascii="Arial" w:eastAsia="Tahoma" w:hAnsi="Arial" w:cs="Arial"/>
          <w:sz w:val="22"/>
          <w:szCs w:val="22"/>
        </w:rPr>
      </w:pPr>
      <w:r w:rsidRPr="0086351C">
        <w:rPr>
          <w:rStyle w:val="normaltextrun"/>
          <w:rFonts w:ascii="Arial" w:eastAsia="Tahoma" w:hAnsi="Arial" w:cs="Arial"/>
          <w:noProof/>
          <w:sz w:val="22"/>
          <w:szCs w:val="22"/>
        </w:rPr>
        <w:lastRenderedPageBreak/>
        <w:drawing>
          <wp:inline distT="0" distB="0" distL="0" distR="0" wp14:anchorId="05875496" wp14:editId="28B806E8">
            <wp:extent cx="5524500" cy="5983600"/>
            <wp:effectExtent l="0" t="0" r="0" b="0"/>
            <wp:docPr id="1343700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00750" name=""/>
                    <pic:cNvPicPr/>
                  </pic:nvPicPr>
                  <pic:blipFill>
                    <a:blip r:embed="rId25"/>
                    <a:stretch>
                      <a:fillRect/>
                    </a:stretch>
                  </pic:blipFill>
                  <pic:spPr>
                    <a:xfrm>
                      <a:off x="0" y="0"/>
                      <a:ext cx="5531506" cy="5991188"/>
                    </a:xfrm>
                    <a:prstGeom prst="rect">
                      <a:avLst/>
                    </a:prstGeom>
                  </pic:spPr>
                </pic:pic>
              </a:graphicData>
            </a:graphic>
          </wp:inline>
        </w:drawing>
      </w:r>
    </w:p>
    <w:p w14:paraId="149765F1" w14:textId="77777777" w:rsidR="004319F5" w:rsidRPr="0086351C" w:rsidRDefault="004319F5" w:rsidP="004319F5">
      <w:pPr>
        <w:pStyle w:val="paragraph"/>
        <w:spacing w:before="0" w:beforeAutospacing="0" w:after="0" w:afterAutospacing="0"/>
        <w:jc w:val="center"/>
        <w:textAlignment w:val="baseline"/>
        <w:rPr>
          <w:rStyle w:val="normaltextrun"/>
          <w:rFonts w:ascii="Arial" w:eastAsia="Arial" w:hAnsi="Arial" w:cs="Arial"/>
          <w:i/>
          <w:sz w:val="18"/>
          <w:szCs w:val="18"/>
        </w:rPr>
      </w:pPr>
      <w:r w:rsidRPr="0086351C">
        <w:rPr>
          <w:rFonts w:ascii="Arial" w:eastAsia="Arial" w:hAnsi="Arial" w:cs="Arial"/>
          <w:i/>
          <w:sz w:val="18"/>
          <w:szCs w:val="18"/>
        </w:rPr>
        <w:t xml:space="preserve">Tabla </w:t>
      </w:r>
      <w:r w:rsidRPr="0086351C">
        <w:rPr>
          <w:rFonts w:ascii="Arial" w:eastAsia="Tahoma" w:hAnsi="Arial" w:cs="Arial"/>
          <w:i/>
          <w:iCs/>
          <w:noProof/>
          <w:sz w:val="18"/>
          <w:szCs w:val="18"/>
        </w:rPr>
        <w:fldChar w:fldCharType="begin"/>
      </w:r>
      <w:r w:rsidRPr="0086351C">
        <w:rPr>
          <w:rFonts w:ascii="Arial" w:eastAsia="Tahoma" w:hAnsi="Arial" w:cs="Arial"/>
          <w:i/>
          <w:iCs/>
          <w:noProof/>
          <w:sz w:val="18"/>
          <w:szCs w:val="18"/>
        </w:rPr>
        <w:instrText xml:space="preserve"> SEQ Tabla \* ARABIC </w:instrText>
      </w:r>
      <w:r w:rsidRPr="0086351C">
        <w:rPr>
          <w:rFonts w:ascii="Arial" w:eastAsia="Tahoma" w:hAnsi="Arial" w:cs="Arial"/>
          <w:i/>
          <w:iCs/>
          <w:noProof/>
          <w:sz w:val="18"/>
          <w:szCs w:val="18"/>
        </w:rPr>
        <w:fldChar w:fldCharType="separate"/>
      </w:r>
      <w:r w:rsidRPr="0086351C">
        <w:rPr>
          <w:rFonts w:ascii="Arial" w:eastAsia="Tahoma" w:hAnsi="Arial" w:cs="Arial"/>
          <w:i/>
          <w:iCs/>
          <w:noProof/>
          <w:sz w:val="18"/>
          <w:szCs w:val="18"/>
        </w:rPr>
        <w:t>7</w:t>
      </w:r>
      <w:r w:rsidRPr="0086351C">
        <w:rPr>
          <w:rFonts w:ascii="Arial" w:eastAsia="Tahoma" w:hAnsi="Arial" w:cs="Arial"/>
          <w:i/>
          <w:iCs/>
          <w:noProof/>
          <w:sz w:val="18"/>
          <w:szCs w:val="18"/>
        </w:rPr>
        <w:fldChar w:fldCharType="end"/>
      </w:r>
      <w:r w:rsidRPr="0086351C">
        <w:rPr>
          <w:rFonts w:ascii="Arial" w:eastAsia="Arial" w:hAnsi="Arial" w:cs="Arial"/>
          <w:i/>
          <w:sz w:val="18"/>
          <w:szCs w:val="18"/>
        </w:rPr>
        <w:t>.Variación anual de los salarios y contribución por categoría de contratación, según subsector de servicios; junio (2024 – 2023)</w:t>
      </w:r>
    </w:p>
    <w:p w14:paraId="0F2E7F8F" w14:textId="77777777" w:rsidR="004319F5" w:rsidRPr="0086351C" w:rsidRDefault="004319F5" w:rsidP="004319F5">
      <w:pPr>
        <w:pStyle w:val="paragraph"/>
        <w:spacing w:before="0" w:beforeAutospacing="0" w:after="0" w:afterAutospacing="0"/>
        <w:jc w:val="center"/>
        <w:textAlignment w:val="baseline"/>
        <w:rPr>
          <w:rStyle w:val="eop"/>
          <w:rFonts w:ascii="Arial" w:eastAsia="Arial" w:hAnsi="Arial" w:cs="Arial"/>
          <w:sz w:val="22"/>
          <w:szCs w:val="22"/>
        </w:rPr>
      </w:pPr>
      <w:r w:rsidRPr="0086351C">
        <w:rPr>
          <w:rStyle w:val="normaltextrun"/>
          <w:rFonts w:ascii="Arial" w:eastAsia="Arial" w:hAnsi="Arial" w:cs="Arial"/>
          <w:i/>
          <w:sz w:val="18"/>
          <w:szCs w:val="18"/>
        </w:rPr>
        <w:t>Fuente: Informe de resultados Encuesta Mensual de Servicios DANE – junio 2024.</w:t>
      </w:r>
    </w:p>
    <w:p w14:paraId="68B1CC05" w14:textId="77777777" w:rsidR="00175C78" w:rsidRPr="0086351C" w:rsidRDefault="00175C78" w:rsidP="00175C78">
      <w:pPr>
        <w:pStyle w:val="paragraph"/>
        <w:spacing w:before="0" w:beforeAutospacing="0" w:after="0" w:afterAutospacing="0"/>
        <w:jc w:val="center"/>
        <w:textAlignment w:val="baseline"/>
        <w:rPr>
          <w:rStyle w:val="eop"/>
          <w:rFonts w:ascii="Arial" w:eastAsia="Tahoma" w:hAnsi="Arial" w:cs="Arial"/>
          <w:sz w:val="22"/>
          <w:szCs w:val="22"/>
        </w:rPr>
      </w:pPr>
    </w:p>
    <w:p w14:paraId="07ECC146" w14:textId="21D32392" w:rsidR="00175C78" w:rsidRPr="0086351C" w:rsidRDefault="00175C78" w:rsidP="00F365B4">
      <w:pPr>
        <w:pStyle w:val="Ttulo2"/>
        <w:numPr>
          <w:ilvl w:val="1"/>
          <w:numId w:val="29"/>
        </w:numPr>
        <w:spacing w:line="276" w:lineRule="auto"/>
        <w:jc w:val="both"/>
        <w:rPr>
          <w:rStyle w:val="normaltextrun"/>
          <w:rFonts w:ascii="Arial" w:eastAsia="Tahoma" w:hAnsi="Arial" w:cs="Arial"/>
          <w:sz w:val="22"/>
          <w:szCs w:val="22"/>
          <w:shd w:val="clear" w:color="auto" w:fill="FCFCFC"/>
        </w:rPr>
      </w:pPr>
      <w:bookmarkStart w:id="13" w:name="_Toc178847889"/>
      <w:r w:rsidRPr="0086351C">
        <w:rPr>
          <w:rStyle w:val="normaltextrun"/>
          <w:rFonts w:ascii="Arial" w:eastAsia="Tahoma" w:hAnsi="Arial" w:cs="Arial"/>
          <w:bCs/>
          <w:sz w:val="22"/>
          <w:szCs w:val="22"/>
          <w:shd w:val="clear" w:color="auto" w:fill="FCFCFC"/>
        </w:rPr>
        <w:t>Encuesta Nacional Agropecuaria (ENA)</w:t>
      </w:r>
      <w:r w:rsidR="004319F5" w:rsidRPr="0086351C">
        <w:rPr>
          <w:rStyle w:val="Refdenotaalpie"/>
          <w:rFonts w:ascii="Arial" w:eastAsia="Tahoma" w:hAnsi="Arial" w:cs="Arial"/>
          <w:bCs/>
          <w:sz w:val="22"/>
          <w:szCs w:val="22"/>
          <w:shd w:val="clear" w:color="auto" w:fill="FCFCFC"/>
        </w:rPr>
        <w:footnoteReference w:id="5"/>
      </w:r>
      <w:bookmarkEnd w:id="13"/>
    </w:p>
    <w:p w14:paraId="20BF4BA9" w14:textId="77777777" w:rsidR="00175C78" w:rsidRPr="0086351C" w:rsidRDefault="00175C78" w:rsidP="00F365B4">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eop"/>
          <w:rFonts w:ascii="Arial" w:eastAsia="Tahoma" w:hAnsi="Arial" w:cs="Arial"/>
          <w:sz w:val="22"/>
          <w:szCs w:val="22"/>
        </w:rPr>
        <w:t> </w:t>
      </w:r>
      <w:r w:rsidRPr="0086351C">
        <w:rPr>
          <w:rStyle w:val="eop"/>
          <w:rFonts w:ascii="Arial" w:eastAsia="Tahoma" w:hAnsi="Arial" w:cs="Arial"/>
          <w:sz w:val="22"/>
          <w:szCs w:val="22"/>
        </w:rPr>
        <w:tab/>
      </w:r>
    </w:p>
    <w:p w14:paraId="65C652D5" w14:textId="77777777" w:rsidR="00175C78" w:rsidRDefault="00175C78" w:rsidP="00F365B4">
      <w:pPr>
        <w:pStyle w:val="paragraph"/>
        <w:spacing w:before="0" w:beforeAutospacing="0" w:after="0" w:afterAutospacing="0" w:line="276" w:lineRule="auto"/>
        <w:ind w:right="255"/>
        <w:jc w:val="both"/>
        <w:textAlignment w:val="baseline"/>
        <w:rPr>
          <w:rStyle w:val="eop"/>
          <w:rFonts w:ascii="Arial" w:eastAsia="Tahoma" w:hAnsi="Arial" w:cs="Arial"/>
          <w:sz w:val="22"/>
          <w:szCs w:val="22"/>
        </w:rPr>
      </w:pPr>
      <w:r w:rsidRPr="0086351C">
        <w:rPr>
          <w:rStyle w:val="normaltextrun"/>
          <w:rFonts w:ascii="Arial" w:eastAsia="Tahoma" w:hAnsi="Arial" w:cs="Arial"/>
          <w:sz w:val="22"/>
          <w:szCs w:val="22"/>
        </w:rPr>
        <w:t xml:space="preserve">De acuerdo con el último informe publicado por el DANE en la vigencia 2019 La Encuesta Nacional Agropecuaria – ENA indicó que, la producción total registrada fue de </w:t>
      </w:r>
      <w:r w:rsidRPr="0086351C">
        <w:rPr>
          <w:rStyle w:val="normaltextrun"/>
          <w:rFonts w:ascii="Arial" w:eastAsia="Tahoma" w:hAnsi="Arial" w:cs="Arial"/>
          <w:sz w:val="22"/>
          <w:szCs w:val="22"/>
        </w:rPr>
        <w:lastRenderedPageBreak/>
        <w:t>63.247.863 toneladas de las cuales 42.208.363 toneladas corresponden al grupo de agroindustriales (66,7%), 6.712.167 toneladas a frutales (10,6%), 6.404.514 toneladas a tubérculos y plátano (10,1%), 4.423.183 toneladas a cereales (7,0%), 3.051.481 toneladas a las hortalizas, verduras y legumbres (4,8%) y 448.154 toneladas (0,7%) a árboles frutales dispersos.</w:t>
      </w:r>
      <w:r w:rsidRPr="0086351C">
        <w:rPr>
          <w:rStyle w:val="eop"/>
          <w:rFonts w:ascii="Arial" w:eastAsia="Tahoma" w:hAnsi="Arial" w:cs="Arial"/>
          <w:sz w:val="22"/>
          <w:szCs w:val="22"/>
        </w:rPr>
        <w:t> </w:t>
      </w:r>
    </w:p>
    <w:p w14:paraId="0CEA8906" w14:textId="77777777" w:rsidR="00F365B4" w:rsidRPr="0086351C" w:rsidRDefault="00F365B4" w:rsidP="00F365B4">
      <w:pPr>
        <w:pStyle w:val="paragraph"/>
        <w:spacing w:before="0" w:beforeAutospacing="0" w:after="0" w:afterAutospacing="0" w:line="276" w:lineRule="auto"/>
        <w:ind w:right="255"/>
        <w:jc w:val="both"/>
        <w:textAlignment w:val="baseline"/>
        <w:rPr>
          <w:rStyle w:val="eop"/>
          <w:rFonts w:ascii="Arial" w:eastAsia="Tahoma" w:hAnsi="Arial" w:cs="Arial"/>
          <w:sz w:val="22"/>
          <w:szCs w:val="22"/>
        </w:rPr>
      </w:pPr>
    </w:p>
    <w:p w14:paraId="04649750" w14:textId="77777777"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rPr>
        <w:drawing>
          <wp:inline distT="0" distB="0" distL="0" distR="0" wp14:anchorId="6B1C9EF5" wp14:editId="264F6D12">
            <wp:extent cx="3438525" cy="1933575"/>
            <wp:effectExtent l="0" t="0" r="9525" b="9525"/>
            <wp:docPr id="1465190027" name="Imagen 2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90027" name="Imagen 22" descr="Gráfico, Gráfico de barras&#10;&#10;Descripción generada automáticamente"/>
                    <pic:cNvPicPr/>
                  </pic:nvPicPr>
                  <pic:blipFill>
                    <a:blip r:embed="rId26">
                      <a:extLst>
                        <a:ext uri="{28A0092B-C50C-407E-A947-70E740481C1C}">
                          <a14:useLocalDpi xmlns:a14="http://schemas.microsoft.com/office/drawing/2010/main" val="0"/>
                        </a:ext>
                      </a:extLst>
                    </a:blip>
                    <a:stretch>
                      <a:fillRect/>
                    </a:stretch>
                  </pic:blipFill>
                  <pic:spPr>
                    <a:xfrm>
                      <a:off x="0" y="0"/>
                      <a:ext cx="3438525" cy="1933575"/>
                    </a:xfrm>
                    <a:prstGeom prst="rect">
                      <a:avLst/>
                    </a:prstGeom>
                  </pic:spPr>
                </pic:pic>
              </a:graphicData>
            </a:graphic>
          </wp:inline>
        </w:drawing>
      </w:r>
    </w:p>
    <w:p w14:paraId="16D668E2" w14:textId="77777777" w:rsidR="00AA0484" w:rsidRPr="0086351C" w:rsidRDefault="00175C78" w:rsidP="00AA0484">
      <w:pPr>
        <w:pStyle w:val="Descripcin"/>
        <w:spacing w:after="0"/>
        <w:jc w:val="center"/>
        <w:rPr>
          <w:rStyle w:val="eop"/>
          <w:rFonts w:ascii="Arial" w:eastAsia="Arial" w:hAnsi="Arial" w:cs="Arial"/>
          <w:i w:val="0"/>
          <w:color w:val="auto"/>
        </w:rPr>
      </w:pPr>
      <w:r w:rsidRPr="0086351C">
        <w:rPr>
          <w:rStyle w:val="eop"/>
          <w:rFonts w:ascii="Arial" w:eastAsia="Tahoma" w:hAnsi="Arial" w:cs="Arial"/>
          <w:sz w:val="22"/>
          <w:szCs w:val="22"/>
        </w:rPr>
        <w:t> </w:t>
      </w:r>
      <w:r w:rsidR="00AA0484" w:rsidRPr="0086351C">
        <w:rPr>
          <w:rStyle w:val="eop"/>
          <w:rFonts w:ascii="Arial" w:eastAsia="Tahoma" w:hAnsi="Arial" w:cs="Arial"/>
          <w:sz w:val="22"/>
          <w:szCs w:val="22"/>
        </w:rPr>
        <w:tab/>
      </w:r>
      <w:r w:rsidR="00AA0484" w:rsidRPr="0086351C">
        <w:rPr>
          <w:rStyle w:val="eop"/>
          <w:rFonts w:ascii="Arial" w:eastAsia="Arial" w:hAnsi="Arial" w:cs="Arial"/>
          <w:sz w:val="22"/>
          <w:szCs w:val="22"/>
        </w:rPr>
        <w:t> </w:t>
      </w:r>
      <w:r w:rsidR="00AA0484" w:rsidRPr="0086351C">
        <w:rPr>
          <w:rFonts w:ascii="Arial" w:hAnsi="Arial" w:cs="Arial"/>
        </w:rPr>
        <w:tab/>
      </w:r>
      <w:r w:rsidR="00AA0484" w:rsidRPr="0086351C">
        <w:rPr>
          <w:rFonts w:ascii="Arial" w:eastAsia="Arial" w:hAnsi="Arial" w:cs="Arial"/>
          <w:color w:val="auto"/>
        </w:rPr>
        <w:t xml:space="preserve">Gráfico </w:t>
      </w:r>
      <w:r w:rsidR="00AA0484" w:rsidRPr="0086351C">
        <w:rPr>
          <w:rFonts w:ascii="Arial" w:hAnsi="Arial" w:cs="Arial"/>
          <w:color w:val="auto"/>
        </w:rPr>
        <w:fldChar w:fldCharType="begin"/>
      </w:r>
      <w:r w:rsidR="00AA0484" w:rsidRPr="0086351C">
        <w:rPr>
          <w:rFonts w:ascii="Arial" w:hAnsi="Arial" w:cs="Arial"/>
          <w:color w:val="auto"/>
        </w:rPr>
        <w:instrText xml:space="preserve"> SEQ Grafico \* ARABIC </w:instrText>
      </w:r>
      <w:r w:rsidR="00AA0484" w:rsidRPr="0086351C">
        <w:rPr>
          <w:rFonts w:ascii="Arial" w:hAnsi="Arial" w:cs="Arial"/>
          <w:color w:val="auto"/>
        </w:rPr>
        <w:fldChar w:fldCharType="separate"/>
      </w:r>
      <w:r w:rsidR="00AA0484" w:rsidRPr="0086351C">
        <w:rPr>
          <w:rFonts w:ascii="Arial" w:hAnsi="Arial" w:cs="Arial"/>
          <w:noProof/>
          <w:color w:val="auto"/>
        </w:rPr>
        <w:t>7</w:t>
      </w:r>
      <w:r w:rsidR="00AA0484" w:rsidRPr="0086351C">
        <w:rPr>
          <w:rFonts w:ascii="Arial" w:hAnsi="Arial" w:cs="Arial"/>
          <w:color w:val="auto"/>
        </w:rPr>
        <w:fldChar w:fldCharType="end"/>
      </w:r>
      <w:r w:rsidR="00AA0484" w:rsidRPr="0086351C">
        <w:rPr>
          <w:rFonts w:ascii="Arial" w:eastAsia="Arial" w:hAnsi="Arial" w:cs="Arial"/>
          <w:color w:val="auto"/>
        </w:rPr>
        <w:t>.</w:t>
      </w:r>
      <w:r w:rsidR="00AA0484" w:rsidRPr="0086351C">
        <w:rPr>
          <w:rStyle w:val="eop"/>
          <w:rFonts w:ascii="Arial" w:eastAsia="Arial" w:hAnsi="Arial" w:cs="Arial"/>
          <w:color w:val="auto"/>
        </w:rPr>
        <w:t>Producción por grupo de cultivo (toneladas); Total nacional 2019</w:t>
      </w:r>
    </w:p>
    <w:p w14:paraId="3A825695" w14:textId="77777777" w:rsidR="00AA0484" w:rsidRPr="0086351C" w:rsidRDefault="00AA0484" w:rsidP="00AA0484">
      <w:pPr>
        <w:pStyle w:val="paragraph"/>
        <w:spacing w:before="0" w:beforeAutospacing="0" w:after="0" w:afterAutospacing="0"/>
        <w:jc w:val="center"/>
        <w:textAlignment w:val="baseline"/>
        <w:rPr>
          <w:rStyle w:val="eop"/>
          <w:rFonts w:ascii="Arial" w:eastAsia="Arial" w:hAnsi="Arial" w:cs="Arial"/>
          <w:i/>
          <w:sz w:val="18"/>
          <w:szCs w:val="18"/>
        </w:rPr>
      </w:pPr>
      <w:r w:rsidRPr="0086351C">
        <w:rPr>
          <w:rStyle w:val="eop"/>
          <w:rFonts w:ascii="Arial" w:eastAsia="Arial" w:hAnsi="Arial" w:cs="Arial"/>
          <w:i/>
          <w:sz w:val="18"/>
          <w:szCs w:val="18"/>
        </w:rPr>
        <w:t xml:space="preserve">Fuente: Informe Encuesta Nacional Agropecuaria – ENA – DANE 2019. </w:t>
      </w:r>
    </w:p>
    <w:p w14:paraId="220D9B0D" w14:textId="3540599D" w:rsidR="00175C78" w:rsidRPr="0086351C" w:rsidRDefault="00175C78" w:rsidP="00AA0484">
      <w:pPr>
        <w:pStyle w:val="paragraph"/>
        <w:tabs>
          <w:tab w:val="center" w:pos="4419"/>
        </w:tabs>
        <w:spacing w:before="0" w:beforeAutospacing="0" w:after="0" w:afterAutospacing="0"/>
        <w:textAlignment w:val="baseline"/>
        <w:rPr>
          <w:rFonts w:ascii="Arial" w:eastAsia="Tahoma" w:hAnsi="Arial" w:cs="Arial"/>
          <w:sz w:val="22"/>
          <w:szCs w:val="22"/>
        </w:rPr>
      </w:pPr>
    </w:p>
    <w:p w14:paraId="7F020408" w14:textId="77777777" w:rsidR="00175C78" w:rsidRPr="0086351C" w:rsidRDefault="00175C78" w:rsidP="00F365B4">
      <w:pPr>
        <w:pStyle w:val="paragraph"/>
        <w:spacing w:before="0" w:beforeAutospacing="0" w:after="0" w:afterAutospacing="0" w:line="276" w:lineRule="auto"/>
        <w:ind w:right="255"/>
        <w:jc w:val="both"/>
        <w:textAlignment w:val="baseline"/>
        <w:rPr>
          <w:rStyle w:val="eop"/>
          <w:rFonts w:ascii="Arial" w:eastAsia="Tahoma" w:hAnsi="Arial" w:cs="Arial"/>
          <w:sz w:val="22"/>
          <w:szCs w:val="22"/>
        </w:rPr>
      </w:pPr>
      <w:r w:rsidRPr="0086351C">
        <w:rPr>
          <w:rStyle w:val="normaltextrun"/>
          <w:rFonts w:ascii="Arial" w:eastAsia="Tahoma" w:hAnsi="Arial" w:cs="Arial"/>
          <w:sz w:val="22"/>
          <w:szCs w:val="22"/>
        </w:rPr>
        <w:t>La Encuesta Nacional Agropecuaria – ENA 2019 indicó que, el total del uso del suelo fue de 50.102.269 hectáreas, encontrando que, predomina el uso pecuario con 39.017.179 hectáreas y una participación del 77,9%, seguido de los bosques con 5.175.846 hectáreas (10,3%), el uso agrícola con 4.617.116 hectáreas (9,2%) y otros usos con 1.292.128 hectáreas (2,6%). Se destaca el área destinada a cultivos permanentes con 3.038.552 hectáreas en el uso agrícola, el área en pastos y forrajes con 22.946.697 hectáreas en el uso pecuario y el área en bosques naturales con 4.605.850 hectáreas en el uso en bosques.</w:t>
      </w:r>
      <w:r w:rsidRPr="0086351C">
        <w:rPr>
          <w:rStyle w:val="eop"/>
          <w:rFonts w:ascii="Arial" w:eastAsia="Tahoma" w:hAnsi="Arial" w:cs="Arial"/>
          <w:sz w:val="22"/>
          <w:szCs w:val="22"/>
        </w:rPr>
        <w:t> </w:t>
      </w:r>
    </w:p>
    <w:p w14:paraId="0B619D99" w14:textId="77777777" w:rsidR="00175C78" w:rsidRPr="0086351C" w:rsidRDefault="00175C78" w:rsidP="00175C78">
      <w:pPr>
        <w:pStyle w:val="paragraph"/>
        <w:spacing w:before="0" w:beforeAutospacing="0" w:after="0" w:afterAutospacing="0"/>
        <w:ind w:left="465" w:right="255"/>
        <w:jc w:val="both"/>
        <w:textAlignment w:val="baseline"/>
        <w:rPr>
          <w:rFonts w:ascii="Arial" w:eastAsia="Tahoma" w:hAnsi="Arial" w:cs="Arial"/>
          <w:sz w:val="22"/>
          <w:szCs w:val="22"/>
        </w:rPr>
      </w:pPr>
    </w:p>
    <w:p w14:paraId="3AE79F45" w14:textId="77777777"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rPr>
        <w:drawing>
          <wp:inline distT="0" distB="0" distL="0" distR="0" wp14:anchorId="74A982D5" wp14:editId="501816D7">
            <wp:extent cx="3990975" cy="2009775"/>
            <wp:effectExtent l="0" t="0" r="9525" b="9525"/>
            <wp:docPr id="776455587" name="Imagen 21"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55587" name="Imagen 21" descr="Gráfico, Gráfico en cascada&#10;&#10;Descripción generada automáticamente"/>
                    <pic:cNvPicPr/>
                  </pic:nvPicPr>
                  <pic:blipFill>
                    <a:blip r:embed="rId27">
                      <a:extLst>
                        <a:ext uri="{28A0092B-C50C-407E-A947-70E740481C1C}">
                          <a14:useLocalDpi xmlns:a14="http://schemas.microsoft.com/office/drawing/2010/main" val="0"/>
                        </a:ext>
                      </a:extLst>
                    </a:blip>
                    <a:stretch>
                      <a:fillRect/>
                    </a:stretch>
                  </pic:blipFill>
                  <pic:spPr>
                    <a:xfrm>
                      <a:off x="0" y="0"/>
                      <a:ext cx="3990975" cy="2009775"/>
                    </a:xfrm>
                    <a:prstGeom prst="rect">
                      <a:avLst/>
                    </a:prstGeom>
                  </pic:spPr>
                </pic:pic>
              </a:graphicData>
            </a:graphic>
          </wp:inline>
        </w:drawing>
      </w:r>
    </w:p>
    <w:p w14:paraId="0B08D3C8" w14:textId="77777777" w:rsidR="004028E1" w:rsidRPr="0086351C" w:rsidRDefault="00175C78" w:rsidP="004028E1">
      <w:pPr>
        <w:pStyle w:val="paragraph"/>
        <w:spacing w:before="0" w:beforeAutospacing="0" w:after="0" w:afterAutospacing="0"/>
        <w:jc w:val="center"/>
        <w:textAlignment w:val="baseline"/>
        <w:rPr>
          <w:rStyle w:val="eop"/>
          <w:rFonts w:ascii="Arial" w:eastAsia="Arial" w:hAnsi="Arial" w:cs="Arial"/>
          <w:i/>
          <w:sz w:val="18"/>
          <w:szCs w:val="18"/>
        </w:rPr>
      </w:pPr>
      <w:r w:rsidRPr="0086351C">
        <w:rPr>
          <w:rStyle w:val="eop"/>
          <w:rFonts w:ascii="Arial" w:eastAsia="Tahoma" w:hAnsi="Arial" w:cs="Arial"/>
          <w:sz w:val="22"/>
          <w:szCs w:val="22"/>
        </w:rPr>
        <w:t> </w:t>
      </w:r>
      <w:r w:rsidR="004028E1" w:rsidRPr="0086351C">
        <w:rPr>
          <w:rStyle w:val="eop"/>
          <w:rFonts w:ascii="Arial" w:eastAsia="Arial" w:hAnsi="Arial" w:cs="Arial"/>
          <w:sz w:val="22"/>
          <w:szCs w:val="22"/>
        </w:rPr>
        <w:t> </w:t>
      </w:r>
      <w:r w:rsidR="004028E1" w:rsidRPr="0086351C">
        <w:rPr>
          <w:rFonts w:ascii="Arial" w:eastAsia="Tahoma" w:hAnsi="Arial" w:cs="Arial"/>
        </w:rPr>
        <w:tab/>
      </w:r>
      <w:r w:rsidR="004028E1" w:rsidRPr="0086351C">
        <w:rPr>
          <w:rStyle w:val="eop"/>
          <w:rFonts w:ascii="Arial" w:eastAsia="Arial" w:hAnsi="Arial" w:cs="Arial"/>
          <w:i/>
          <w:sz w:val="18"/>
          <w:szCs w:val="18"/>
        </w:rPr>
        <w:t xml:space="preserve">Gráfico </w:t>
      </w:r>
      <w:r w:rsidR="004028E1" w:rsidRPr="0086351C">
        <w:rPr>
          <w:rStyle w:val="eop"/>
          <w:rFonts w:ascii="Arial" w:eastAsia="Tahoma" w:hAnsi="Arial" w:cs="Arial"/>
          <w:i/>
          <w:iCs/>
          <w:sz w:val="18"/>
          <w:szCs w:val="18"/>
        </w:rPr>
        <w:fldChar w:fldCharType="begin"/>
      </w:r>
      <w:r w:rsidR="004028E1" w:rsidRPr="0086351C">
        <w:rPr>
          <w:rStyle w:val="eop"/>
          <w:rFonts w:ascii="Arial" w:eastAsia="Tahoma" w:hAnsi="Arial" w:cs="Arial"/>
          <w:i/>
          <w:iCs/>
          <w:sz w:val="18"/>
          <w:szCs w:val="18"/>
        </w:rPr>
        <w:instrText xml:space="preserve"> SEQ Grafico \* ARABIC </w:instrText>
      </w:r>
      <w:r w:rsidR="004028E1" w:rsidRPr="0086351C">
        <w:rPr>
          <w:rStyle w:val="eop"/>
          <w:rFonts w:ascii="Arial" w:eastAsia="Tahoma" w:hAnsi="Arial" w:cs="Arial"/>
          <w:i/>
          <w:iCs/>
          <w:sz w:val="18"/>
          <w:szCs w:val="18"/>
        </w:rPr>
        <w:fldChar w:fldCharType="separate"/>
      </w:r>
      <w:r w:rsidR="004028E1" w:rsidRPr="0086351C">
        <w:rPr>
          <w:rStyle w:val="eop"/>
          <w:rFonts w:ascii="Arial" w:eastAsia="Tahoma" w:hAnsi="Arial" w:cs="Arial"/>
          <w:i/>
          <w:iCs/>
          <w:noProof/>
          <w:sz w:val="18"/>
          <w:szCs w:val="18"/>
        </w:rPr>
        <w:t>8</w:t>
      </w:r>
      <w:r w:rsidR="004028E1" w:rsidRPr="0086351C">
        <w:rPr>
          <w:rStyle w:val="eop"/>
          <w:rFonts w:ascii="Arial" w:eastAsia="Tahoma" w:hAnsi="Arial" w:cs="Arial"/>
          <w:i/>
          <w:iCs/>
          <w:sz w:val="18"/>
          <w:szCs w:val="18"/>
        </w:rPr>
        <w:fldChar w:fldCharType="end"/>
      </w:r>
      <w:r w:rsidR="004028E1" w:rsidRPr="0086351C">
        <w:rPr>
          <w:rStyle w:val="eop"/>
          <w:rFonts w:ascii="Arial" w:eastAsia="Arial" w:hAnsi="Arial" w:cs="Arial"/>
          <w:i/>
          <w:sz w:val="18"/>
          <w:szCs w:val="18"/>
        </w:rPr>
        <w:t>. Uso del suelo (hectáreas); Total nacional 2019</w:t>
      </w:r>
    </w:p>
    <w:p w14:paraId="6CB16496" w14:textId="77777777" w:rsidR="004028E1" w:rsidRPr="0086351C" w:rsidRDefault="004028E1" w:rsidP="004028E1">
      <w:pPr>
        <w:pStyle w:val="paragraph"/>
        <w:spacing w:before="0" w:beforeAutospacing="0" w:after="0" w:afterAutospacing="0"/>
        <w:jc w:val="center"/>
        <w:textAlignment w:val="baseline"/>
        <w:rPr>
          <w:rStyle w:val="eop"/>
          <w:rFonts w:ascii="Arial" w:eastAsia="Arial" w:hAnsi="Arial" w:cs="Arial"/>
          <w:i/>
          <w:sz w:val="18"/>
          <w:szCs w:val="18"/>
        </w:rPr>
      </w:pPr>
      <w:r w:rsidRPr="0086351C">
        <w:rPr>
          <w:rStyle w:val="eop"/>
          <w:rFonts w:ascii="Arial" w:eastAsia="Arial" w:hAnsi="Arial" w:cs="Arial"/>
          <w:i/>
          <w:sz w:val="18"/>
          <w:szCs w:val="18"/>
        </w:rPr>
        <w:t>Fuente: Informe Encuesta Nacional Agropecuaria – ENA – DANE 2019.</w:t>
      </w:r>
    </w:p>
    <w:p w14:paraId="62D5E5BE" w14:textId="6C6CD2E3"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p>
    <w:p w14:paraId="42DB9565" w14:textId="77777777" w:rsidR="00175C78" w:rsidRPr="0086351C" w:rsidRDefault="00175C78" w:rsidP="00627621">
      <w:pPr>
        <w:pStyle w:val="Ttulo2"/>
        <w:numPr>
          <w:ilvl w:val="2"/>
          <w:numId w:val="29"/>
        </w:numPr>
        <w:spacing w:line="276" w:lineRule="auto"/>
        <w:rPr>
          <w:rFonts w:ascii="Arial" w:eastAsia="Tahoma" w:hAnsi="Arial" w:cs="Arial"/>
          <w:sz w:val="22"/>
          <w:szCs w:val="22"/>
        </w:rPr>
      </w:pPr>
      <w:bookmarkStart w:id="14" w:name="_Toc178847890"/>
      <w:r w:rsidRPr="0086351C">
        <w:rPr>
          <w:rStyle w:val="normaltextrun"/>
          <w:rFonts w:ascii="Arial" w:eastAsia="Tahoma" w:hAnsi="Arial" w:cs="Arial"/>
          <w:bCs/>
          <w:sz w:val="22"/>
          <w:szCs w:val="22"/>
        </w:rPr>
        <w:lastRenderedPageBreak/>
        <w:t>Área sembrada, cosechada y producción por grupos de cultivos</w:t>
      </w:r>
      <w:r w:rsidRPr="0086351C">
        <w:rPr>
          <w:rStyle w:val="normaltextrun"/>
          <w:rFonts w:ascii="Arial" w:eastAsia="Tahoma" w:hAnsi="Arial" w:cs="Arial"/>
          <w:sz w:val="22"/>
          <w:szCs w:val="22"/>
        </w:rPr>
        <w:t>:</w:t>
      </w:r>
      <w:bookmarkEnd w:id="14"/>
      <w:r w:rsidRPr="0086351C">
        <w:rPr>
          <w:rStyle w:val="eop"/>
          <w:rFonts w:ascii="Arial" w:eastAsia="Tahoma" w:hAnsi="Arial" w:cs="Arial"/>
          <w:bCs/>
          <w:sz w:val="22"/>
          <w:szCs w:val="22"/>
        </w:rPr>
        <w:t> </w:t>
      </w:r>
    </w:p>
    <w:p w14:paraId="7CFF28B1" w14:textId="77777777" w:rsidR="00175C78" w:rsidRPr="0086351C" w:rsidRDefault="00175C78" w:rsidP="00627621">
      <w:pPr>
        <w:pStyle w:val="paragraph"/>
        <w:spacing w:before="0" w:beforeAutospacing="0" w:after="0" w:afterAutospacing="0" w:line="276" w:lineRule="auto"/>
        <w:textAlignment w:val="baseline"/>
        <w:rPr>
          <w:rFonts w:ascii="Arial" w:eastAsia="Tahoma" w:hAnsi="Arial" w:cs="Arial"/>
          <w:sz w:val="22"/>
          <w:szCs w:val="22"/>
        </w:rPr>
      </w:pPr>
      <w:r w:rsidRPr="0086351C">
        <w:rPr>
          <w:rStyle w:val="eop"/>
          <w:rFonts w:ascii="Arial" w:eastAsia="Tahoma" w:hAnsi="Arial" w:cs="Arial"/>
          <w:sz w:val="22"/>
          <w:szCs w:val="22"/>
        </w:rPr>
        <w:t> </w:t>
      </w:r>
    </w:p>
    <w:p w14:paraId="3263C671" w14:textId="5B530AF9" w:rsidR="00175C78" w:rsidRPr="0086351C" w:rsidRDefault="00175C78" w:rsidP="00627621">
      <w:pPr>
        <w:pStyle w:val="paragraph"/>
        <w:spacing w:before="0" w:beforeAutospacing="0" w:after="0" w:afterAutospacing="0" w:line="276" w:lineRule="auto"/>
        <w:ind w:right="255"/>
        <w:jc w:val="both"/>
        <w:textAlignment w:val="baseline"/>
        <w:rPr>
          <w:rFonts w:ascii="Arial" w:eastAsia="Tahoma" w:hAnsi="Arial" w:cs="Arial"/>
          <w:sz w:val="22"/>
          <w:szCs w:val="22"/>
        </w:rPr>
      </w:pPr>
      <w:r w:rsidRPr="0086351C">
        <w:rPr>
          <w:rStyle w:val="normaltextrun"/>
          <w:rFonts w:ascii="Arial" w:eastAsia="Tahoma" w:hAnsi="Arial" w:cs="Arial"/>
          <w:sz w:val="22"/>
          <w:szCs w:val="22"/>
        </w:rPr>
        <w:t>Según la Encuesta Nacional Agropecuaria 2019, el área total sembrada en el país fue de 5.311.977 hectáreas, encontrando que, los cultivos agroindustriales presentaron la mayor participación con un 41,2% y un área de 2.186.389 hectáreas, seguido de los cereales que representaron el 18,5% con un área de 984.859 hectáreas y las plantaciones forestales con el 13,5% y un área de</w:t>
      </w:r>
      <w:r w:rsidRPr="0086351C">
        <w:rPr>
          <w:rStyle w:val="eop"/>
          <w:rFonts w:ascii="Arial" w:eastAsia="Tahoma" w:hAnsi="Arial" w:cs="Arial"/>
          <w:sz w:val="22"/>
          <w:szCs w:val="22"/>
        </w:rPr>
        <w:t> </w:t>
      </w:r>
      <w:r w:rsidRPr="0086351C">
        <w:rPr>
          <w:rStyle w:val="normaltextrun"/>
          <w:rFonts w:ascii="Arial" w:eastAsia="Tahoma" w:hAnsi="Arial" w:cs="Arial"/>
          <w:sz w:val="22"/>
          <w:szCs w:val="22"/>
        </w:rPr>
        <w:t>716.501 hectáreas. Los tubérculos y plátano contaron con una participación del 10,8% y un área de 574.770 hectáreas, le siguen los frutales con 9,5% y un área de 505.164 hectáreas, el grupo de hortalizas, verduras y legumbres con 5,4% y un área de</w:t>
      </w:r>
      <w:r w:rsidR="00E8130D">
        <w:rPr>
          <w:rStyle w:val="normaltextrun"/>
          <w:rFonts w:ascii="Arial" w:eastAsia="Tahoma" w:hAnsi="Arial" w:cs="Arial"/>
          <w:sz w:val="22"/>
          <w:szCs w:val="22"/>
        </w:rPr>
        <w:t xml:space="preserve"> </w:t>
      </w:r>
      <w:r w:rsidRPr="0086351C">
        <w:rPr>
          <w:rStyle w:val="normaltextrun"/>
          <w:rFonts w:ascii="Arial" w:eastAsia="Tahoma" w:hAnsi="Arial" w:cs="Arial"/>
          <w:sz w:val="22"/>
          <w:szCs w:val="22"/>
        </w:rPr>
        <w:t>288.212 hectáreas y las otras áreas cultivadas con 1,1% y un área de 56.083 hectáreas.</w:t>
      </w:r>
      <w:r w:rsidRPr="0086351C">
        <w:rPr>
          <w:rStyle w:val="eop"/>
          <w:rFonts w:ascii="Arial" w:eastAsia="Tahoma" w:hAnsi="Arial" w:cs="Arial"/>
          <w:sz w:val="22"/>
          <w:szCs w:val="22"/>
        </w:rPr>
        <w:t> </w:t>
      </w:r>
    </w:p>
    <w:p w14:paraId="0A1818EA" w14:textId="6BC31842" w:rsidR="00175C78" w:rsidRPr="0086351C" w:rsidRDefault="00175C78" w:rsidP="00627621">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eop"/>
          <w:rFonts w:ascii="Arial" w:eastAsia="Tahoma" w:hAnsi="Arial" w:cs="Arial"/>
          <w:sz w:val="22"/>
          <w:szCs w:val="22"/>
        </w:rPr>
        <w:t>  </w:t>
      </w:r>
    </w:p>
    <w:p w14:paraId="54D3E836" w14:textId="77777777" w:rsidR="00597C3F" w:rsidRPr="0086351C" w:rsidRDefault="00175C78" w:rsidP="00597C3F">
      <w:pPr>
        <w:pStyle w:val="Descripcin"/>
        <w:spacing w:after="0"/>
        <w:jc w:val="center"/>
        <w:rPr>
          <w:rStyle w:val="eop"/>
          <w:rFonts w:ascii="Arial" w:eastAsia="Arial" w:hAnsi="Arial" w:cs="Arial"/>
          <w:i w:val="0"/>
          <w:color w:val="auto"/>
        </w:rPr>
      </w:pPr>
      <w:r w:rsidRPr="0086351C">
        <w:rPr>
          <w:rFonts w:ascii="Arial" w:hAnsi="Arial" w:cs="Arial"/>
          <w:noProof/>
          <w:sz w:val="22"/>
          <w:szCs w:val="22"/>
        </w:rPr>
        <w:drawing>
          <wp:inline distT="0" distB="0" distL="0" distR="0" wp14:anchorId="4DEDC5E4" wp14:editId="47312500">
            <wp:extent cx="5612130" cy="2706370"/>
            <wp:effectExtent l="0" t="0" r="7620" b="0"/>
            <wp:docPr id="1388958804" name="Imagen 19"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58804" name="Imagen 19" descr="Tabla&#10;&#10;Descripción generada automáticamente"/>
                    <pic:cNvPicPr/>
                  </pic:nvPicPr>
                  <pic:blipFill>
                    <a:blip r:embed="rId28">
                      <a:extLst>
                        <a:ext uri="{28A0092B-C50C-407E-A947-70E740481C1C}">
                          <a14:useLocalDpi xmlns:a14="http://schemas.microsoft.com/office/drawing/2010/main" val="0"/>
                        </a:ext>
                      </a:extLst>
                    </a:blip>
                    <a:stretch>
                      <a:fillRect/>
                    </a:stretch>
                  </pic:blipFill>
                  <pic:spPr>
                    <a:xfrm>
                      <a:off x="0" y="0"/>
                      <a:ext cx="5612130" cy="2706370"/>
                    </a:xfrm>
                    <a:prstGeom prst="rect">
                      <a:avLst/>
                    </a:prstGeom>
                  </pic:spPr>
                </pic:pic>
              </a:graphicData>
            </a:graphic>
          </wp:inline>
        </w:drawing>
      </w:r>
      <w:r w:rsidRPr="0086351C">
        <w:rPr>
          <w:rStyle w:val="eop"/>
          <w:rFonts w:ascii="Arial" w:eastAsia="Tahoma" w:hAnsi="Arial" w:cs="Arial"/>
          <w:sz w:val="22"/>
          <w:szCs w:val="22"/>
        </w:rPr>
        <w:t>  </w:t>
      </w:r>
      <w:r w:rsidR="00597C3F" w:rsidRPr="0086351C">
        <w:rPr>
          <w:rFonts w:ascii="Arial" w:eastAsia="Arial" w:hAnsi="Arial" w:cs="Arial"/>
          <w:color w:val="auto"/>
        </w:rPr>
        <w:t xml:space="preserve">Tabla </w:t>
      </w:r>
      <w:r w:rsidR="00597C3F" w:rsidRPr="0086351C">
        <w:rPr>
          <w:rFonts w:ascii="Arial" w:hAnsi="Arial" w:cs="Arial"/>
          <w:color w:val="auto"/>
        </w:rPr>
        <w:fldChar w:fldCharType="begin"/>
      </w:r>
      <w:r w:rsidR="00597C3F" w:rsidRPr="0086351C">
        <w:rPr>
          <w:rFonts w:ascii="Arial" w:hAnsi="Arial" w:cs="Arial"/>
          <w:color w:val="auto"/>
        </w:rPr>
        <w:instrText xml:space="preserve"> SEQ Tabla \* ARABIC </w:instrText>
      </w:r>
      <w:r w:rsidR="00597C3F" w:rsidRPr="0086351C">
        <w:rPr>
          <w:rFonts w:ascii="Arial" w:hAnsi="Arial" w:cs="Arial"/>
          <w:color w:val="auto"/>
        </w:rPr>
        <w:fldChar w:fldCharType="separate"/>
      </w:r>
      <w:r w:rsidR="00597C3F" w:rsidRPr="0086351C">
        <w:rPr>
          <w:rFonts w:ascii="Arial" w:hAnsi="Arial" w:cs="Arial"/>
          <w:noProof/>
          <w:color w:val="auto"/>
        </w:rPr>
        <w:t>8</w:t>
      </w:r>
      <w:r w:rsidR="00597C3F" w:rsidRPr="0086351C">
        <w:rPr>
          <w:rFonts w:ascii="Arial" w:hAnsi="Arial" w:cs="Arial"/>
          <w:color w:val="auto"/>
        </w:rPr>
        <w:fldChar w:fldCharType="end"/>
      </w:r>
      <w:r w:rsidR="00597C3F" w:rsidRPr="0086351C">
        <w:rPr>
          <w:rFonts w:ascii="Arial" w:eastAsia="Arial" w:hAnsi="Arial" w:cs="Arial"/>
          <w:color w:val="auto"/>
        </w:rPr>
        <w:t>.</w:t>
      </w:r>
      <w:r w:rsidR="00597C3F" w:rsidRPr="0086351C">
        <w:rPr>
          <w:rStyle w:val="eop"/>
          <w:rFonts w:ascii="Arial" w:eastAsia="Arial" w:hAnsi="Arial" w:cs="Arial"/>
          <w:color w:val="auto"/>
        </w:rPr>
        <w:t>Área sembrada o plantada, área cosechada o en edad productiva y producción por grupo de cultivo (hectáreas y toneladas); Total nacional 2019</w:t>
      </w:r>
    </w:p>
    <w:p w14:paraId="60803569" w14:textId="77777777" w:rsidR="00597C3F" w:rsidRPr="0086351C" w:rsidRDefault="00597C3F" w:rsidP="00597C3F">
      <w:pPr>
        <w:pStyle w:val="paragraph"/>
        <w:spacing w:before="0" w:beforeAutospacing="0" w:after="0" w:afterAutospacing="0"/>
        <w:jc w:val="center"/>
        <w:textAlignment w:val="baseline"/>
        <w:rPr>
          <w:rFonts w:ascii="Arial" w:eastAsia="Arial" w:hAnsi="Arial" w:cs="Arial"/>
          <w:sz w:val="22"/>
          <w:szCs w:val="22"/>
        </w:rPr>
      </w:pPr>
      <w:r w:rsidRPr="0086351C">
        <w:rPr>
          <w:rStyle w:val="eop"/>
          <w:rFonts w:ascii="Arial" w:eastAsia="Arial" w:hAnsi="Arial" w:cs="Arial"/>
          <w:i/>
          <w:sz w:val="18"/>
          <w:szCs w:val="18"/>
        </w:rPr>
        <w:t>Fuente: Informe Encuesta Nacional Agropecuaria – ENA – DANE 2019.</w:t>
      </w:r>
    </w:p>
    <w:p w14:paraId="59807A02" w14:textId="318DD629" w:rsidR="00175C78" w:rsidRPr="0086351C" w:rsidRDefault="00175C78" w:rsidP="00175C78">
      <w:pPr>
        <w:pStyle w:val="paragraph"/>
        <w:spacing w:before="0" w:beforeAutospacing="0" w:after="0" w:afterAutospacing="0"/>
        <w:jc w:val="both"/>
        <w:textAlignment w:val="baseline"/>
        <w:rPr>
          <w:rFonts w:ascii="Arial" w:eastAsia="Tahoma" w:hAnsi="Arial" w:cs="Arial"/>
          <w:sz w:val="22"/>
          <w:szCs w:val="22"/>
        </w:rPr>
      </w:pPr>
    </w:p>
    <w:p w14:paraId="30D596FD" w14:textId="77777777" w:rsidR="00175C78" w:rsidRPr="0086351C" w:rsidRDefault="00175C78" w:rsidP="00627621">
      <w:pPr>
        <w:pStyle w:val="Ttulo2"/>
        <w:numPr>
          <w:ilvl w:val="1"/>
          <w:numId w:val="29"/>
        </w:numPr>
        <w:spacing w:line="276" w:lineRule="auto"/>
        <w:jc w:val="both"/>
        <w:rPr>
          <w:rStyle w:val="normaltextrun"/>
          <w:rFonts w:ascii="Arial" w:eastAsia="Tahoma" w:hAnsi="Arial" w:cs="Arial"/>
          <w:sz w:val="22"/>
          <w:szCs w:val="22"/>
          <w:shd w:val="clear" w:color="auto" w:fill="FCFCFC"/>
        </w:rPr>
      </w:pPr>
      <w:bookmarkStart w:id="15" w:name="_Toc178847891"/>
      <w:r w:rsidRPr="0086351C">
        <w:rPr>
          <w:rStyle w:val="normaltextrun"/>
          <w:rFonts w:ascii="Arial" w:eastAsia="Tahoma" w:hAnsi="Arial" w:cs="Arial"/>
          <w:sz w:val="22"/>
          <w:szCs w:val="22"/>
          <w:shd w:val="clear" w:color="auto" w:fill="FCFCFC"/>
        </w:rPr>
        <w:t>Índice de Seguimiento Económico</w:t>
      </w:r>
      <w:bookmarkEnd w:id="15"/>
    </w:p>
    <w:p w14:paraId="0D0E2FD8" w14:textId="77777777" w:rsidR="00175C78" w:rsidRPr="0086351C" w:rsidRDefault="00175C78" w:rsidP="00627621">
      <w:pPr>
        <w:spacing w:line="276" w:lineRule="auto"/>
        <w:jc w:val="both"/>
        <w:rPr>
          <w:rFonts w:ascii="Arial" w:eastAsia="Tahoma" w:hAnsi="Arial" w:cs="Arial"/>
          <w:sz w:val="22"/>
          <w:szCs w:val="22"/>
          <w:lang w:eastAsia="en-US"/>
        </w:rPr>
      </w:pPr>
    </w:p>
    <w:p w14:paraId="744E3354" w14:textId="11E230DA" w:rsidR="00175C78" w:rsidRPr="0086351C" w:rsidRDefault="00597C3F" w:rsidP="00627621">
      <w:pPr>
        <w:spacing w:line="276" w:lineRule="auto"/>
        <w:jc w:val="both"/>
        <w:rPr>
          <w:rFonts w:ascii="Arial" w:eastAsia="Tahoma" w:hAnsi="Arial" w:cs="Arial"/>
          <w:sz w:val="22"/>
          <w:szCs w:val="22"/>
          <w:lang w:eastAsia="en-US"/>
        </w:rPr>
      </w:pPr>
      <w:r w:rsidRPr="0086351C">
        <w:rPr>
          <w:rFonts w:ascii="Arial" w:eastAsia="Tahoma" w:hAnsi="Arial" w:cs="Arial"/>
          <w:sz w:val="22"/>
          <w:szCs w:val="22"/>
          <w:lang w:eastAsia="en-US"/>
        </w:rPr>
        <w:t>De acuerdo con el</w:t>
      </w:r>
      <w:r w:rsidR="00175C78" w:rsidRPr="0086351C">
        <w:rPr>
          <w:rFonts w:ascii="Arial" w:eastAsia="Tahoma" w:hAnsi="Arial" w:cs="Arial"/>
          <w:sz w:val="22"/>
          <w:szCs w:val="22"/>
          <w:lang w:eastAsia="en-US"/>
        </w:rPr>
        <w:t xml:space="preserve"> boletín corte de </w:t>
      </w:r>
      <w:r w:rsidR="000E37D0" w:rsidRPr="0086351C">
        <w:rPr>
          <w:rFonts w:ascii="Arial" w:eastAsia="Tahoma" w:hAnsi="Arial" w:cs="Arial"/>
          <w:sz w:val="22"/>
          <w:szCs w:val="22"/>
          <w:lang w:eastAsia="en-US"/>
        </w:rPr>
        <w:t>junio</w:t>
      </w:r>
      <w:r w:rsidR="00175C78" w:rsidRPr="0086351C">
        <w:rPr>
          <w:rFonts w:ascii="Arial" w:eastAsia="Tahoma" w:hAnsi="Arial" w:cs="Arial"/>
          <w:sz w:val="22"/>
          <w:szCs w:val="22"/>
          <w:lang w:eastAsia="en-US"/>
        </w:rPr>
        <w:t xml:space="preserve"> de 2024 el indicador de seguimiento a la Economía muestra para el mes de mayo un crecimiento al alza.</w:t>
      </w:r>
    </w:p>
    <w:p w14:paraId="771410C1" w14:textId="77777777" w:rsidR="00175C78" w:rsidRPr="0086351C" w:rsidRDefault="00175C78" w:rsidP="00175C78">
      <w:pPr>
        <w:rPr>
          <w:rFonts w:ascii="Arial" w:hAnsi="Arial" w:cs="Arial"/>
          <w:noProof/>
          <w:sz w:val="22"/>
          <w:szCs w:val="22"/>
          <w14:ligatures w14:val="standardContextual"/>
        </w:rPr>
      </w:pPr>
    </w:p>
    <w:p w14:paraId="57D3A40A" w14:textId="464AF6E1" w:rsidR="00175C78" w:rsidRPr="0086351C" w:rsidRDefault="000E37D0" w:rsidP="00175C78">
      <w:pPr>
        <w:rPr>
          <w:rFonts w:ascii="Arial" w:eastAsia="Tahoma" w:hAnsi="Arial" w:cs="Arial"/>
          <w:sz w:val="22"/>
          <w:szCs w:val="22"/>
          <w:lang w:eastAsia="en-US"/>
        </w:rPr>
      </w:pPr>
      <w:r w:rsidRPr="0086351C">
        <w:rPr>
          <w:rFonts w:ascii="Arial" w:eastAsia="Tahoma" w:hAnsi="Arial" w:cs="Arial"/>
          <w:noProof/>
          <w:sz w:val="22"/>
          <w:szCs w:val="22"/>
          <w:lang w:eastAsia="en-US"/>
        </w:rPr>
        <w:lastRenderedPageBreak/>
        <w:drawing>
          <wp:inline distT="0" distB="0" distL="0" distR="0" wp14:anchorId="44EDDD98" wp14:editId="5B4E7D86">
            <wp:extent cx="5469255" cy="2559685"/>
            <wp:effectExtent l="0" t="0" r="0" b="0"/>
            <wp:docPr id="150117259"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7259" name="Imagen 1" descr="Gráfico, Gráfico de líneas&#10;&#10;Descripción generada automáticamente"/>
                    <pic:cNvPicPr/>
                  </pic:nvPicPr>
                  <pic:blipFill rotWithShape="1">
                    <a:blip r:embed="rId29"/>
                    <a:srcRect l="1205"/>
                    <a:stretch/>
                  </pic:blipFill>
                  <pic:spPr bwMode="auto">
                    <a:xfrm>
                      <a:off x="0" y="0"/>
                      <a:ext cx="5472911" cy="2561396"/>
                    </a:xfrm>
                    <a:prstGeom prst="rect">
                      <a:avLst/>
                    </a:prstGeom>
                    <a:ln>
                      <a:noFill/>
                    </a:ln>
                    <a:extLst>
                      <a:ext uri="{53640926-AAD7-44D8-BBD7-CCE9431645EC}">
                        <a14:shadowObscured xmlns:a14="http://schemas.microsoft.com/office/drawing/2010/main"/>
                      </a:ext>
                    </a:extLst>
                  </pic:spPr>
                </pic:pic>
              </a:graphicData>
            </a:graphic>
          </wp:inline>
        </w:drawing>
      </w:r>
    </w:p>
    <w:p w14:paraId="6D48EB12" w14:textId="77777777" w:rsidR="00175C78" w:rsidRPr="0086351C" w:rsidRDefault="00175C78" w:rsidP="00175C78">
      <w:pPr>
        <w:rPr>
          <w:rFonts w:ascii="Arial" w:eastAsia="Tahoma" w:hAnsi="Arial" w:cs="Arial"/>
          <w:sz w:val="22"/>
          <w:szCs w:val="22"/>
          <w:lang w:eastAsia="en-US"/>
        </w:rPr>
      </w:pPr>
    </w:p>
    <w:p w14:paraId="54C3EFC6" w14:textId="77777777" w:rsidR="00487755" w:rsidRPr="0086351C" w:rsidRDefault="00487755" w:rsidP="00487755">
      <w:pPr>
        <w:pStyle w:val="Descripcin"/>
        <w:spacing w:after="0"/>
        <w:jc w:val="center"/>
        <w:rPr>
          <w:rStyle w:val="eop"/>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9</w:t>
      </w:r>
      <w:r w:rsidRPr="0086351C">
        <w:rPr>
          <w:rFonts w:ascii="Arial" w:hAnsi="Arial" w:cs="Arial"/>
          <w:color w:val="auto"/>
        </w:rPr>
        <w:fldChar w:fldCharType="end"/>
      </w:r>
      <w:r w:rsidRPr="0086351C">
        <w:rPr>
          <w:rStyle w:val="eop"/>
          <w:rFonts w:ascii="Arial" w:eastAsia="Arial" w:hAnsi="Arial" w:cs="Arial"/>
          <w:color w:val="auto"/>
        </w:rPr>
        <w:t xml:space="preserve"> Área sembrada o plantada, área cosechada o en edad productiva y producción por grupo de cultivo (hectáreas y toneladas); Total nacional 2019</w:t>
      </w:r>
    </w:p>
    <w:p w14:paraId="7BD26C3F" w14:textId="77777777" w:rsidR="00487755" w:rsidRPr="0086351C" w:rsidRDefault="00487755" w:rsidP="00487755">
      <w:pPr>
        <w:jc w:val="center"/>
        <w:rPr>
          <w:rFonts w:ascii="Arial" w:eastAsia="Arial" w:hAnsi="Arial" w:cs="Arial"/>
          <w:sz w:val="22"/>
          <w:szCs w:val="22"/>
          <w:lang w:eastAsia="en-US"/>
        </w:rPr>
      </w:pPr>
      <w:r w:rsidRPr="0086351C">
        <w:rPr>
          <w:rStyle w:val="eop"/>
          <w:rFonts w:ascii="Arial" w:eastAsia="Arial" w:hAnsi="Arial" w:cs="Arial"/>
          <w:i/>
          <w:sz w:val="18"/>
          <w:szCs w:val="18"/>
        </w:rPr>
        <w:t>Fuente: Informe Encuesta Nacional Agropecuaria – ENA – DANE 2019</w:t>
      </w:r>
    </w:p>
    <w:p w14:paraId="216F10C5" w14:textId="77777777" w:rsidR="00175C78" w:rsidRPr="0086351C" w:rsidRDefault="00175C78" w:rsidP="00175C78">
      <w:pPr>
        <w:rPr>
          <w:rFonts w:ascii="Arial" w:eastAsia="Tahoma" w:hAnsi="Arial" w:cs="Arial"/>
          <w:b/>
          <w:bCs/>
          <w:sz w:val="22"/>
          <w:szCs w:val="22"/>
        </w:rPr>
      </w:pPr>
    </w:p>
    <w:p w14:paraId="6F572037" w14:textId="77777777" w:rsidR="00175C78" w:rsidRPr="001B6A10" w:rsidRDefault="00175C78" w:rsidP="00627621">
      <w:pPr>
        <w:spacing w:line="276" w:lineRule="auto"/>
        <w:jc w:val="both"/>
        <w:rPr>
          <w:rFonts w:ascii="Arial" w:eastAsia="Tahoma" w:hAnsi="Arial" w:cs="Arial"/>
          <w:b/>
          <w:bCs/>
          <w:sz w:val="22"/>
          <w:szCs w:val="22"/>
        </w:rPr>
      </w:pPr>
      <w:r w:rsidRPr="001B6A10">
        <w:rPr>
          <w:rFonts w:ascii="Arial" w:eastAsia="Tahoma" w:hAnsi="Arial" w:cs="Arial"/>
          <w:b/>
          <w:bCs/>
          <w:sz w:val="22"/>
          <w:szCs w:val="22"/>
        </w:rPr>
        <w:t xml:space="preserve">Comportamiento anual </w:t>
      </w:r>
    </w:p>
    <w:p w14:paraId="7C7BC574" w14:textId="77777777" w:rsidR="00175C78" w:rsidRPr="001B6A10" w:rsidRDefault="00175C78" w:rsidP="00627621">
      <w:pPr>
        <w:spacing w:line="276" w:lineRule="auto"/>
        <w:jc w:val="both"/>
        <w:rPr>
          <w:rFonts w:ascii="Arial" w:eastAsia="Tahoma" w:hAnsi="Arial" w:cs="Arial"/>
          <w:sz w:val="22"/>
          <w:szCs w:val="22"/>
        </w:rPr>
      </w:pPr>
    </w:p>
    <w:p w14:paraId="0F6E12CE" w14:textId="51E2AEBA" w:rsidR="00175C78" w:rsidRPr="001B6A10" w:rsidRDefault="000E37D0" w:rsidP="00627621">
      <w:pPr>
        <w:spacing w:line="276" w:lineRule="auto"/>
        <w:jc w:val="both"/>
        <w:rPr>
          <w:rFonts w:ascii="Arial" w:eastAsia="Tahoma" w:hAnsi="Arial" w:cs="Arial"/>
          <w:sz w:val="22"/>
          <w:szCs w:val="22"/>
        </w:rPr>
      </w:pPr>
      <w:r w:rsidRPr="001B6A10">
        <w:rPr>
          <w:rFonts w:ascii="Arial" w:eastAsia="Tahoma" w:hAnsi="Arial" w:cs="Arial"/>
          <w:sz w:val="22"/>
          <w:szCs w:val="22"/>
        </w:rPr>
        <w:t xml:space="preserve">Para el mes de junio de 2024pr el ISE en su serie original, se ubicó en 119,32, lo que representó un decrecimiento de 1,12% respecto al mes de junio de 2023pr (120,67). (Ver gráficos </w:t>
      </w:r>
      <w:r w:rsidR="00801C83" w:rsidRPr="001B6A10">
        <w:rPr>
          <w:rFonts w:ascii="Arial" w:eastAsia="Tahoma" w:hAnsi="Arial" w:cs="Arial"/>
          <w:sz w:val="22"/>
          <w:szCs w:val="22"/>
        </w:rPr>
        <w:t>10</w:t>
      </w:r>
      <w:r w:rsidRPr="001B6A10">
        <w:rPr>
          <w:rFonts w:ascii="Arial" w:eastAsia="Tahoma" w:hAnsi="Arial" w:cs="Arial"/>
          <w:sz w:val="22"/>
          <w:szCs w:val="22"/>
        </w:rPr>
        <w:t xml:space="preserve"> y </w:t>
      </w:r>
      <w:r w:rsidR="00801C83" w:rsidRPr="001B6A10">
        <w:rPr>
          <w:rFonts w:ascii="Arial" w:eastAsia="Tahoma" w:hAnsi="Arial" w:cs="Arial"/>
          <w:sz w:val="22"/>
          <w:szCs w:val="22"/>
        </w:rPr>
        <w:t>11</w:t>
      </w:r>
      <w:r w:rsidRPr="001B6A10">
        <w:rPr>
          <w:rFonts w:ascii="Arial" w:eastAsia="Tahoma" w:hAnsi="Arial" w:cs="Arial"/>
          <w:sz w:val="22"/>
          <w:szCs w:val="22"/>
        </w:rPr>
        <w:t>).</w:t>
      </w:r>
    </w:p>
    <w:p w14:paraId="2326A73C" w14:textId="77777777" w:rsidR="000E37D0" w:rsidRPr="001B6A10" w:rsidRDefault="000E37D0" w:rsidP="00175C78">
      <w:pPr>
        <w:jc w:val="both"/>
        <w:rPr>
          <w:rFonts w:ascii="Arial" w:eastAsia="Tahoma" w:hAnsi="Arial" w:cs="Arial"/>
          <w:sz w:val="22"/>
          <w:szCs w:val="22"/>
        </w:rPr>
      </w:pPr>
    </w:p>
    <w:p w14:paraId="0CD4315F" w14:textId="5DD16611" w:rsidR="00175C78" w:rsidRPr="0086351C" w:rsidRDefault="000E37D0" w:rsidP="00175C78">
      <w:pPr>
        <w:jc w:val="both"/>
        <w:rPr>
          <w:rFonts w:ascii="Arial" w:eastAsia="Tahoma" w:hAnsi="Arial" w:cs="Arial"/>
          <w:sz w:val="22"/>
          <w:szCs w:val="22"/>
          <w:lang w:eastAsia="en-US"/>
        </w:rPr>
      </w:pPr>
      <w:r w:rsidRPr="0086351C">
        <w:rPr>
          <w:rFonts w:ascii="Arial" w:eastAsia="Tahoma" w:hAnsi="Arial" w:cs="Arial"/>
          <w:noProof/>
          <w:sz w:val="22"/>
          <w:szCs w:val="22"/>
          <w:lang w:eastAsia="en-US"/>
        </w:rPr>
        <w:drawing>
          <wp:inline distT="0" distB="0" distL="0" distR="0" wp14:anchorId="45458B3E" wp14:editId="49A571C3">
            <wp:extent cx="5297805" cy="3236349"/>
            <wp:effectExtent l="0" t="0" r="0" b="2540"/>
            <wp:docPr id="1243986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86550" name=""/>
                    <pic:cNvPicPr/>
                  </pic:nvPicPr>
                  <pic:blipFill>
                    <a:blip r:embed="rId30"/>
                    <a:stretch>
                      <a:fillRect/>
                    </a:stretch>
                  </pic:blipFill>
                  <pic:spPr>
                    <a:xfrm>
                      <a:off x="0" y="0"/>
                      <a:ext cx="5299902" cy="3237630"/>
                    </a:xfrm>
                    <a:prstGeom prst="rect">
                      <a:avLst/>
                    </a:prstGeom>
                  </pic:spPr>
                </pic:pic>
              </a:graphicData>
            </a:graphic>
          </wp:inline>
        </w:drawing>
      </w:r>
    </w:p>
    <w:p w14:paraId="76636294" w14:textId="77777777" w:rsidR="00801C83" w:rsidRPr="0086351C" w:rsidRDefault="00801C83" w:rsidP="00801C83">
      <w:pPr>
        <w:pStyle w:val="Descripcin"/>
        <w:spacing w:after="0"/>
        <w:jc w:val="center"/>
        <w:rPr>
          <w:rStyle w:val="eop"/>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10</w:t>
      </w:r>
      <w:r w:rsidRPr="0086351C">
        <w:rPr>
          <w:rFonts w:ascii="Arial" w:hAnsi="Arial" w:cs="Arial"/>
          <w:color w:val="auto"/>
        </w:rPr>
        <w:fldChar w:fldCharType="end"/>
      </w:r>
      <w:r w:rsidRPr="0086351C">
        <w:rPr>
          <w:rStyle w:val="eop"/>
          <w:rFonts w:ascii="Arial" w:eastAsia="Arial" w:hAnsi="Arial" w:cs="Arial"/>
          <w:color w:val="auto"/>
        </w:rPr>
        <w:t>. Indicador de seguimiento a la Economía – ISE; Tasa de crecimiento anual junio (2022 – 2024)</w:t>
      </w:r>
    </w:p>
    <w:p w14:paraId="5DC9C0C6" w14:textId="77777777" w:rsidR="00801C83" w:rsidRPr="0086351C" w:rsidRDefault="00801C83" w:rsidP="00801C83">
      <w:pPr>
        <w:jc w:val="center"/>
        <w:rPr>
          <w:rFonts w:ascii="Arial" w:eastAsia="Arial" w:hAnsi="Arial" w:cs="Arial"/>
          <w:sz w:val="22"/>
          <w:szCs w:val="22"/>
          <w:lang w:eastAsia="en-US"/>
        </w:rPr>
      </w:pPr>
      <w:r w:rsidRPr="0086351C">
        <w:rPr>
          <w:rStyle w:val="eop"/>
          <w:rFonts w:ascii="Arial" w:eastAsia="Arial" w:hAnsi="Arial" w:cs="Arial"/>
          <w:i/>
          <w:sz w:val="18"/>
          <w:szCs w:val="18"/>
        </w:rPr>
        <w:lastRenderedPageBreak/>
        <w:t>Fuente: Informe de Cuentas Nacionales –DANE junio 2024</w:t>
      </w:r>
    </w:p>
    <w:p w14:paraId="4376B665" w14:textId="77777777" w:rsidR="00175C78" w:rsidRPr="0086351C" w:rsidRDefault="00175C78" w:rsidP="00175C78">
      <w:pPr>
        <w:rPr>
          <w:rFonts w:ascii="Arial" w:eastAsia="Tahoma" w:hAnsi="Arial" w:cs="Arial"/>
          <w:sz w:val="22"/>
          <w:szCs w:val="22"/>
          <w:lang w:eastAsia="en-US"/>
        </w:rPr>
      </w:pPr>
    </w:p>
    <w:p w14:paraId="3C4012F7" w14:textId="7F406EA7" w:rsidR="00175C78" w:rsidRPr="0086351C" w:rsidRDefault="000E37D0" w:rsidP="00175C78">
      <w:pPr>
        <w:rPr>
          <w:rFonts w:ascii="Arial" w:eastAsia="Tahoma" w:hAnsi="Arial" w:cs="Arial"/>
          <w:sz w:val="22"/>
          <w:szCs w:val="22"/>
          <w:lang w:eastAsia="en-US"/>
        </w:rPr>
      </w:pPr>
      <w:r w:rsidRPr="0086351C">
        <w:rPr>
          <w:rFonts w:ascii="Arial" w:eastAsia="Tahoma" w:hAnsi="Arial" w:cs="Arial"/>
          <w:noProof/>
          <w:sz w:val="22"/>
          <w:szCs w:val="22"/>
          <w:lang w:eastAsia="en-US"/>
        </w:rPr>
        <w:drawing>
          <wp:inline distT="0" distB="0" distL="0" distR="0" wp14:anchorId="65E1F3BA" wp14:editId="585F1FDF">
            <wp:extent cx="4200525" cy="2922972"/>
            <wp:effectExtent l="0" t="0" r="0" b="0"/>
            <wp:docPr id="1753666131"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66131" name="Imagen 1" descr="Gráfico, Gráfico de líneas&#10;&#10;Descripción generada automáticamente"/>
                    <pic:cNvPicPr/>
                  </pic:nvPicPr>
                  <pic:blipFill>
                    <a:blip r:embed="rId31"/>
                    <a:stretch>
                      <a:fillRect/>
                    </a:stretch>
                  </pic:blipFill>
                  <pic:spPr>
                    <a:xfrm>
                      <a:off x="0" y="0"/>
                      <a:ext cx="4207338" cy="2927713"/>
                    </a:xfrm>
                    <a:prstGeom prst="rect">
                      <a:avLst/>
                    </a:prstGeom>
                  </pic:spPr>
                </pic:pic>
              </a:graphicData>
            </a:graphic>
          </wp:inline>
        </w:drawing>
      </w:r>
    </w:p>
    <w:p w14:paraId="01245225" w14:textId="77777777" w:rsidR="00175C78" w:rsidRPr="0086351C" w:rsidRDefault="00175C78" w:rsidP="00175C78">
      <w:pPr>
        <w:rPr>
          <w:rFonts w:ascii="Arial" w:eastAsia="Tahoma" w:hAnsi="Arial" w:cs="Arial"/>
          <w:sz w:val="22"/>
          <w:szCs w:val="22"/>
          <w:lang w:eastAsia="en-US"/>
        </w:rPr>
      </w:pPr>
    </w:p>
    <w:p w14:paraId="507466FF" w14:textId="77777777" w:rsidR="002567E7" w:rsidRPr="0086351C" w:rsidRDefault="002567E7" w:rsidP="002567E7">
      <w:pPr>
        <w:pStyle w:val="Descripcin"/>
        <w:spacing w:after="0"/>
        <w:jc w:val="center"/>
        <w:rPr>
          <w:rStyle w:val="eop"/>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11</w:t>
      </w:r>
      <w:r w:rsidRPr="0086351C">
        <w:rPr>
          <w:rFonts w:ascii="Arial" w:hAnsi="Arial" w:cs="Arial"/>
          <w:color w:val="auto"/>
        </w:rPr>
        <w:fldChar w:fldCharType="end"/>
      </w:r>
      <w:r w:rsidRPr="0086351C">
        <w:rPr>
          <w:rFonts w:ascii="Arial" w:eastAsia="Arial" w:hAnsi="Arial" w:cs="Arial"/>
          <w:color w:val="auto"/>
        </w:rPr>
        <w:t>.</w:t>
      </w:r>
      <w:r w:rsidRPr="0086351C">
        <w:rPr>
          <w:rStyle w:val="eop"/>
          <w:rFonts w:ascii="Arial" w:eastAsia="Arial" w:hAnsi="Arial" w:cs="Arial"/>
          <w:color w:val="auto"/>
        </w:rPr>
        <w:t>Tasa de crecimiento anual de índice de indicador de seguimiento a la economía; Serie ajustada por efecto estacional y calendario junio (2022 – 2024)</w:t>
      </w:r>
    </w:p>
    <w:p w14:paraId="1CA033C2" w14:textId="77777777" w:rsidR="002567E7" w:rsidRPr="0086351C" w:rsidRDefault="002567E7" w:rsidP="002567E7">
      <w:pPr>
        <w:jc w:val="center"/>
        <w:rPr>
          <w:rFonts w:ascii="Arial" w:eastAsia="Arial" w:hAnsi="Arial" w:cs="Arial"/>
          <w:sz w:val="22"/>
          <w:szCs w:val="22"/>
          <w:lang w:eastAsia="en-US"/>
        </w:rPr>
      </w:pPr>
      <w:r w:rsidRPr="0086351C">
        <w:rPr>
          <w:rStyle w:val="eop"/>
          <w:rFonts w:ascii="Arial" w:eastAsia="Arial" w:hAnsi="Arial" w:cs="Arial"/>
          <w:i/>
          <w:sz w:val="18"/>
          <w:szCs w:val="18"/>
        </w:rPr>
        <w:t>Fuente: Informe de Indicador de Seguimiento a la Economía –DANE junio 2024</w:t>
      </w:r>
    </w:p>
    <w:p w14:paraId="697002B2" w14:textId="77777777" w:rsidR="00175C78" w:rsidRPr="0086351C" w:rsidRDefault="00175C78" w:rsidP="00175C78">
      <w:pPr>
        <w:jc w:val="both"/>
        <w:rPr>
          <w:rFonts w:ascii="Arial" w:eastAsia="Tahoma" w:hAnsi="Arial" w:cs="Arial"/>
          <w:b/>
          <w:bCs/>
          <w:sz w:val="22"/>
          <w:szCs w:val="22"/>
          <w:lang w:eastAsia="en-US"/>
        </w:rPr>
      </w:pPr>
    </w:p>
    <w:p w14:paraId="09245BC8" w14:textId="77777777" w:rsidR="00175C78" w:rsidRPr="001B6A10" w:rsidRDefault="00175C78" w:rsidP="00627621">
      <w:pPr>
        <w:spacing w:line="276" w:lineRule="auto"/>
        <w:jc w:val="both"/>
        <w:rPr>
          <w:rFonts w:ascii="Arial" w:eastAsia="Tahoma" w:hAnsi="Arial" w:cs="Arial"/>
          <w:b/>
          <w:bCs/>
          <w:sz w:val="22"/>
          <w:szCs w:val="22"/>
          <w:lang w:eastAsia="en-US"/>
        </w:rPr>
      </w:pPr>
      <w:r w:rsidRPr="001B6A10">
        <w:rPr>
          <w:rFonts w:ascii="Arial" w:eastAsia="Tahoma" w:hAnsi="Arial" w:cs="Arial"/>
          <w:b/>
          <w:bCs/>
          <w:sz w:val="22"/>
          <w:szCs w:val="22"/>
          <w:lang w:eastAsia="en-US"/>
        </w:rPr>
        <w:t>Comportamiento mensual</w:t>
      </w:r>
    </w:p>
    <w:p w14:paraId="52E1C2EC" w14:textId="77777777" w:rsidR="00175C78" w:rsidRPr="001B6A10" w:rsidRDefault="00175C78" w:rsidP="00627621">
      <w:pPr>
        <w:spacing w:line="276" w:lineRule="auto"/>
        <w:jc w:val="both"/>
        <w:rPr>
          <w:rFonts w:ascii="Arial" w:eastAsia="Tahoma" w:hAnsi="Arial" w:cs="Arial"/>
          <w:b/>
          <w:bCs/>
          <w:sz w:val="22"/>
          <w:szCs w:val="22"/>
          <w:lang w:eastAsia="en-US"/>
        </w:rPr>
      </w:pPr>
    </w:p>
    <w:p w14:paraId="25319933" w14:textId="5E0C8AC7" w:rsidR="00175C78" w:rsidRPr="001B6A10" w:rsidRDefault="000E37D0" w:rsidP="00627621">
      <w:pPr>
        <w:spacing w:line="276" w:lineRule="auto"/>
        <w:jc w:val="both"/>
        <w:rPr>
          <w:rFonts w:ascii="Arial" w:eastAsia="Tahoma" w:hAnsi="Arial" w:cs="Arial"/>
          <w:sz w:val="22"/>
          <w:szCs w:val="22"/>
          <w:lang w:eastAsia="en-US"/>
        </w:rPr>
      </w:pPr>
      <w:r w:rsidRPr="001B6A10">
        <w:rPr>
          <w:rFonts w:ascii="Arial" w:eastAsia="Tahoma" w:hAnsi="Arial" w:cs="Arial"/>
          <w:sz w:val="22"/>
          <w:szCs w:val="22"/>
          <w:lang w:eastAsia="en-US"/>
        </w:rPr>
        <w:t xml:space="preserve">Para el mes de junio de 2024pr el ISE en su serie ajustada por efecto estacional y calendario, se ubicó en 120,10, lo que representó un decrecimiento de 0,97% respecto al mes de junio de 2023pr (121,28). (Ver gráficos </w:t>
      </w:r>
      <w:r w:rsidR="004B6D93" w:rsidRPr="001B6A10">
        <w:rPr>
          <w:rFonts w:ascii="Arial" w:eastAsia="Tahoma" w:hAnsi="Arial" w:cs="Arial"/>
          <w:sz w:val="22"/>
          <w:szCs w:val="22"/>
          <w:lang w:eastAsia="en-US"/>
        </w:rPr>
        <w:t>12</w:t>
      </w:r>
      <w:r w:rsidRPr="001B6A10">
        <w:rPr>
          <w:rFonts w:ascii="Arial" w:eastAsia="Tahoma" w:hAnsi="Arial" w:cs="Arial"/>
          <w:sz w:val="22"/>
          <w:szCs w:val="22"/>
          <w:lang w:eastAsia="en-US"/>
        </w:rPr>
        <w:t xml:space="preserve"> y</w:t>
      </w:r>
      <w:r w:rsidR="004B6D93" w:rsidRPr="001B6A10">
        <w:rPr>
          <w:rFonts w:ascii="Arial" w:eastAsia="Tahoma" w:hAnsi="Arial" w:cs="Arial"/>
          <w:sz w:val="22"/>
          <w:szCs w:val="22"/>
          <w:lang w:eastAsia="en-US"/>
        </w:rPr>
        <w:t xml:space="preserve"> 13</w:t>
      </w:r>
      <w:r w:rsidRPr="001B6A10">
        <w:rPr>
          <w:rFonts w:ascii="Arial" w:eastAsia="Tahoma" w:hAnsi="Arial" w:cs="Arial"/>
          <w:sz w:val="22"/>
          <w:szCs w:val="22"/>
          <w:lang w:eastAsia="en-US"/>
        </w:rPr>
        <w:t>).</w:t>
      </w:r>
    </w:p>
    <w:p w14:paraId="11A97506" w14:textId="77777777" w:rsidR="000E37D0" w:rsidRPr="001B6A10" w:rsidRDefault="000E37D0" w:rsidP="00175C78">
      <w:pPr>
        <w:jc w:val="both"/>
        <w:rPr>
          <w:rFonts w:ascii="Arial" w:eastAsia="Tahoma" w:hAnsi="Arial" w:cs="Arial"/>
          <w:sz w:val="22"/>
          <w:szCs w:val="22"/>
          <w:lang w:eastAsia="en-US"/>
        </w:rPr>
      </w:pPr>
    </w:p>
    <w:p w14:paraId="7ACF0859" w14:textId="20112369" w:rsidR="00175C78" w:rsidRPr="0086351C" w:rsidRDefault="000E37D0" w:rsidP="00175C78">
      <w:pPr>
        <w:jc w:val="both"/>
        <w:rPr>
          <w:rFonts w:ascii="Arial" w:eastAsia="Tahoma" w:hAnsi="Arial" w:cs="Arial"/>
          <w:sz w:val="22"/>
          <w:szCs w:val="22"/>
          <w:lang w:eastAsia="en-US"/>
        </w:rPr>
      </w:pPr>
      <w:r w:rsidRPr="0086351C">
        <w:rPr>
          <w:rFonts w:ascii="Arial" w:eastAsia="Tahoma" w:hAnsi="Arial" w:cs="Arial"/>
          <w:noProof/>
          <w:sz w:val="22"/>
          <w:szCs w:val="22"/>
          <w:lang w:eastAsia="en-US"/>
        </w:rPr>
        <w:drawing>
          <wp:inline distT="0" distB="0" distL="0" distR="0" wp14:anchorId="4C883468" wp14:editId="1E93BB6C">
            <wp:extent cx="5090795" cy="2476500"/>
            <wp:effectExtent l="0" t="0" r="0" b="0"/>
            <wp:docPr id="113644487"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4487" name="Imagen 1" descr="Gráfico, Gráfico de líneas&#10;&#10;Descripción generada automáticamente"/>
                    <pic:cNvPicPr/>
                  </pic:nvPicPr>
                  <pic:blipFill>
                    <a:blip r:embed="rId32"/>
                    <a:stretch>
                      <a:fillRect/>
                    </a:stretch>
                  </pic:blipFill>
                  <pic:spPr>
                    <a:xfrm>
                      <a:off x="0" y="0"/>
                      <a:ext cx="5091860" cy="2477018"/>
                    </a:xfrm>
                    <a:prstGeom prst="rect">
                      <a:avLst/>
                    </a:prstGeom>
                  </pic:spPr>
                </pic:pic>
              </a:graphicData>
            </a:graphic>
          </wp:inline>
        </w:drawing>
      </w:r>
    </w:p>
    <w:p w14:paraId="07F923B6" w14:textId="77777777" w:rsidR="00D44652" w:rsidRPr="0086351C" w:rsidRDefault="00D44652" w:rsidP="00D44652">
      <w:pPr>
        <w:pStyle w:val="Descripcin"/>
        <w:spacing w:after="0"/>
        <w:jc w:val="center"/>
        <w:rPr>
          <w:rStyle w:val="eop"/>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12</w:t>
      </w:r>
      <w:r w:rsidRPr="0086351C">
        <w:rPr>
          <w:rFonts w:ascii="Arial" w:hAnsi="Arial" w:cs="Arial"/>
          <w:color w:val="auto"/>
        </w:rPr>
        <w:fldChar w:fldCharType="end"/>
      </w:r>
      <w:r w:rsidRPr="0086351C">
        <w:rPr>
          <w:rFonts w:ascii="Arial" w:eastAsia="Arial" w:hAnsi="Arial" w:cs="Arial"/>
          <w:color w:val="auto"/>
        </w:rPr>
        <w:t>.</w:t>
      </w:r>
      <w:r w:rsidRPr="0086351C">
        <w:rPr>
          <w:rStyle w:val="eop"/>
          <w:rFonts w:ascii="Arial" w:eastAsia="Arial" w:hAnsi="Arial" w:cs="Arial"/>
          <w:i w:val="0"/>
          <w:color w:val="auto"/>
        </w:rPr>
        <w:t xml:space="preserve"> </w:t>
      </w:r>
      <w:r w:rsidRPr="0086351C">
        <w:rPr>
          <w:rStyle w:val="eop"/>
          <w:rFonts w:ascii="Arial" w:eastAsia="Arial" w:hAnsi="Arial" w:cs="Arial"/>
          <w:color w:val="auto"/>
        </w:rPr>
        <w:t>Índice de indicador de seguimiento a la economía; Serie ajustada por efecto estacional y calendario junio (2022 – 2024)</w:t>
      </w:r>
    </w:p>
    <w:p w14:paraId="7BDBC0B3" w14:textId="77777777" w:rsidR="00D44652" w:rsidRPr="0086351C" w:rsidRDefault="00D44652" w:rsidP="00D44652">
      <w:pPr>
        <w:jc w:val="center"/>
        <w:rPr>
          <w:rFonts w:ascii="Arial" w:eastAsia="Arial" w:hAnsi="Arial" w:cs="Arial"/>
          <w:sz w:val="22"/>
          <w:szCs w:val="22"/>
          <w:lang w:eastAsia="en-US"/>
        </w:rPr>
      </w:pPr>
      <w:r w:rsidRPr="0086351C">
        <w:rPr>
          <w:rStyle w:val="eop"/>
          <w:rFonts w:ascii="Arial" w:eastAsia="Arial" w:hAnsi="Arial" w:cs="Arial"/>
          <w:i/>
          <w:sz w:val="18"/>
          <w:szCs w:val="18"/>
        </w:rPr>
        <w:lastRenderedPageBreak/>
        <w:t>Fuente: Informe de Indicador de Seguimiento a la Economía –DANE junio 2024</w:t>
      </w:r>
    </w:p>
    <w:p w14:paraId="211A45EC" w14:textId="77777777" w:rsidR="00D44652" w:rsidRPr="0086351C" w:rsidRDefault="00D44652" w:rsidP="00175C78">
      <w:pPr>
        <w:jc w:val="both"/>
        <w:rPr>
          <w:rFonts w:ascii="Arial" w:eastAsia="Tahoma" w:hAnsi="Arial" w:cs="Arial"/>
          <w:noProof/>
          <w:sz w:val="22"/>
          <w:szCs w:val="22"/>
          <w:lang w:eastAsia="en-US"/>
        </w:rPr>
      </w:pPr>
    </w:p>
    <w:p w14:paraId="738041D4" w14:textId="6FB22AA1" w:rsidR="00175C78" w:rsidRPr="0086351C" w:rsidRDefault="000E37D0" w:rsidP="00175C78">
      <w:pPr>
        <w:jc w:val="both"/>
        <w:rPr>
          <w:rFonts w:ascii="Arial" w:eastAsia="Tahoma" w:hAnsi="Arial" w:cs="Arial"/>
          <w:sz w:val="22"/>
          <w:szCs w:val="22"/>
          <w:lang w:eastAsia="en-US"/>
        </w:rPr>
      </w:pPr>
      <w:r w:rsidRPr="0086351C">
        <w:rPr>
          <w:rFonts w:ascii="Arial" w:eastAsia="Tahoma" w:hAnsi="Arial" w:cs="Arial"/>
          <w:noProof/>
          <w:sz w:val="22"/>
          <w:szCs w:val="22"/>
          <w:lang w:eastAsia="en-US"/>
        </w:rPr>
        <w:drawing>
          <wp:inline distT="0" distB="0" distL="0" distR="0" wp14:anchorId="140B81E4" wp14:editId="4296AD17">
            <wp:extent cx="5612130" cy="2985135"/>
            <wp:effectExtent l="0" t="0" r="7620" b="5715"/>
            <wp:docPr id="1608502361"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02361" name="Imagen 1" descr="Gráfico, Gráfico de líneas&#10;&#10;Descripción generada automáticamente"/>
                    <pic:cNvPicPr/>
                  </pic:nvPicPr>
                  <pic:blipFill>
                    <a:blip r:embed="rId33"/>
                    <a:stretch>
                      <a:fillRect/>
                    </a:stretch>
                  </pic:blipFill>
                  <pic:spPr>
                    <a:xfrm>
                      <a:off x="0" y="0"/>
                      <a:ext cx="5612130" cy="2985135"/>
                    </a:xfrm>
                    <a:prstGeom prst="rect">
                      <a:avLst/>
                    </a:prstGeom>
                  </pic:spPr>
                </pic:pic>
              </a:graphicData>
            </a:graphic>
          </wp:inline>
        </w:drawing>
      </w:r>
    </w:p>
    <w:p w14:paraId="7E29DA88" w14:textId="77777777" w:rsidR="004B6D93" w:rsidRPr="0086351C" w:rsidRDefault="004B6D93" w:rsidP="004B6D93">
      <w:pPr>
        <w:pStyle w:val="Descripcin"/>
        <w:spacing w:after="0"/>
        <w:jc w:val="center"/>
        <w:rPr>
          <w:rFonts w:ascii="Arial" w:eastAsia="Arial" w:hAnsi="Arial" w:cs="Arial"/>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13</w:t>
      </w:r>
      <w:r w:rsidRPr="0086351C">
        <w:rPr>
          <w:rFonts w:ascii="Arial" w:hAnsi="Arial" w:cs="Arial"/>
          <w:color w:val="auto"/>
        </w:rPr>
        <w:fldChar w:fldCharType="end"/>
      </w:r>
      <w:r w:rsidRPr="0086351C">
        <w:rPr>
          <w:rFonts w:ascii="Arial" w:eastAsia="Arial" w:hAnsi="Arial" w:cs="Arial"/>
          <w:color w:val="auto"/>
        </w:rPr>
        <w:t>.Tasa de crecimiento anual de índice de indicador de seguimiento a la economía; Serie ajustada por efecto estacional y calendario junio (2022 – 2024)</w:t>
      </w:r>
    </w:p>
    <w:p w14:paraId="26B1915D" w14:textId="77777777" w:rsidR="004B6D93" w:rsidRPr="0086351C" w:rsidRDefault="004B6D93" w:rsidP="004B6D93">
      <w:pPr>
        <w:jc w:val="center"/>
        <w:rPr>
          <w:rFonts w:ascii="Arial" w:eastAsia="Arial" w:hAnsi="Arial" w:cs="Arial"/>
          <w:sz w:val="22"/>
          <w:szCs w:val="22"/>
          <w:lang w:eastAsia="en-US"/>
        </w:rPr>
      </w:pPr>
      <w:r w:rsidRPr="0086351C">
        <w:rPr>
          <w:rFonts w:ascii="Arial" w:eastAsia="Arial" w:hAnsi="Arial" w:cs="Arial"/>
          <w:i/>
          <w:sz w:val="18"/>
          <w:szCs w:val="18"/>
          <w:lang w:val="es-ES" w:eastAsia="en-US"/>
        </w:rPr>
        <w:t>Fuente: Informe de Indicador de Seguimiento a la Economía –DANE junio</w:t>
      </w:r>
      <w:r w:rsidRPr="0086351C">
        <w:rPr>
          <w:rFonts w:ascii="Arial" w:eastAsia="Arial" w:hAnsi="Arial" w:cs="Arial"/>
          <w:sz w:val="22"/>
          <w:szCs w:val="22"/>
          <w:lang w:eastAsia="en-US"/>
        </w:rPr>
        <w:t xml:space="preserve"> 2024</w:t>
      </w:r>
    </w:p>
    <w:p w14:paraId="1A6A59D4" w14:textId="77777777" w:rsidR="00175C78" w:rsidRPr="0086351C" w:rsidRDefault="00175C78" w:rsidP="00175C78">
      <w:pPr>
        <w:jc w:val="both"/>
        <w:rPr>
          <w:rFonts w:ascii="Arial" w:eastAsia="Tahoma" w:hAnsi="Arial" w:cs="Arial"/>
          <w:sz w:val="22"/>
          <w:szCs w:val="22"/>
          <w:lang w:eastAsia="en-US"/>
        </w:rPr>
      </w:pPr>
    </w:p>
    <w:p w14:paraId="7D04DE92" w14:textId="77777777" w:rsidR="00175C78" w:rsidRPr="0086351C" w:rsidRDefault="00175C78" w:rsidP="00175C78">
      <w:pPr>
        <w:jc w:val="both"/>
        <w:rPr>
          <w:rFonts w:ascii="Arial" w:eastAsia="Tahoma" w:hAnsi="Arial" w:cs="Arial"/>
          <w:sz w:val="22"/>
          <w:szCs w:val="22"/>
          <w:lang w:eastAsia="en-US"/>
        </w:rPr>
      </w:pPr>
    </w:p>
    <w:p w14:paraId="3EDB8EF6" w14:textId="77777777" w:rsidR="00175C78" w:rsidRPr="0086351C" w:rsidRDefault="00175C78" w:rsidP="00175C78">
      <w:pPr>
        <w:jc w:val="both"/>
        <w:rPr>
          <w:rFonts w:ascii="Arial" w:eastAsia="Tahoma" w:hAnsi="Arial" w:cs="Arial"/>
          <w:b/>
          <w:bCs/>
          <w:sz w:val="22"/>
          <w:szCs w:val="22"/>
          <w:lang w:eastAsia="en-US"/>
        </w:rPr>
      </w:pPr>
    </w:p>
    <w:p w14:paraId="08083A07" w14:textId="77777777" w:rsidR="00175C78" w:rsidRPr="001B6A10" w:rsidRDefault="00175C78" w:rsidP="00627621">
      <w:pPr>
        <w:jc w:val="both"/>
        <w:rPr>
          <w:rFonts w:ascii="Arial" w:eastAsia="Tahoma" w:hAnsi="Arial" w:cs="Arial"/>
          <w:b/>
          <w:bCs/>
          <w:sz w:val="22"/>
          <w:szCs w:val="22"/>
          <w:lang w:eastAsia="en-US"/>
        </w:rPr>
      </w:pPr>
      <w:r w:rsidRPr="001B6A10">
        <w:rPr>
          <w:rFonts w:ascii="Arial" w:eastAsia="Tahoma" w:hAnsi="Arial" w:cs="Arial"/>
          <w:b/>
          <w:bCs/>
          <w:sz w:val="22"/>
          <w:szCs w:val="22"/>
          <w:lang w:eastAsia="en-US"/>
        </w:rPr>
        <w:t xml:space="preserve">Comportamiento año corrido </w:t>
      </w:r>
    </w:p>
    <w:p w14:paraId="3EA6DD09" w14:textId="77777777" w:rsidR="00175C78" w:rsidRPr="001B6A10" w:rsidRDefault="00175C78" w:rsidP="00627621">
      <w:pPr>
        <w:jc w:val="both"/>
        <w:rPr>
          <w:rFonts w:ascii="Arial" w:eastAsia="Tahoma" w:hAnsi="Arial" w:cs="Arial"/>
          <w:sz w:val="22"/>
          <w:szCs w:val="22"/>
          <w:lang w:eastAsia="en-US"/>
        </w:rPr>
      </w:pPr>
    </w:p>
    <w:p w14:paraId="76611091" w14:textId="7C3D5CA5" w:rsidR="000E37D0" w:rsidRDefault="000E37D0" w:rsidP="00627621">
      <w:pPr>
        <w:jc w:val="both"/>
        <w:rPr>
          <w:rFonts w:ascii="Arial" w:eastAsia="Tahoma" w:hAnsi="Arial" w:cs="Arial"/>
          <w:sz w:val="22"/>
          <w:szCs w:val="22"/>
          <w:lang w:eastAsia="en-US"/>
        </w:rPr>
      </w:pPr>
      <w:r w:rsidRPr="001B6A10">
        <w:rPr>
          <w:rFonts w:ascii="Arial" w:eastAsia="Tahoma" w:hAnsi="Arial" w:cs="Arial"/>
          <w:sz w:val="22"/>
          <w:szCs w:val="22"/>
          <w:lang w:eastAsia="en-US"/>
        </w:rPr>
        <w:t xml:space="preserve">Para el periodo enero-junio de 2024pr, el ISE en su serie original, registró un crecimiento de 1,58% respecto al mismo periodo del año anterior, mientras que, para el año 2023pr, de enero-junio registró un crecimiento de 1,24%. (Ver gráfico </w:t>
      </w:r>
      <w:r w:rsidR="004B6D93" w:rsidRPr="001B6A10">
        <w:rPr>
          <w:rFonts w:ascii="Arial" w:eastAsia="Tahoma" w:hAnsi="Arial" w:cs="Arial"/>
          <w:sz w:val="22"/>
          <w:szCs w:val="22"/>
          <w:lang w:eastAsia="en-US"/>
        </w:rPr>
        <w:t>14</w:t>
      </w:r>
      <w:r w:rsidRPr="001B6A10">
        <w:rPr>
          <w:rFonts w:ascii="Arial" w:eastAsia="Tahoma" w:hAnsi="Arial" w:cs="Arial"/>
          <w:sz w:val="22"/>
          <w:szCs w:val="22"/>
          <w:lang w:eastAsia="en-US"/>
        </w:rPr>
        <w:t>)</w:t>
      </w:r>
      <w:r w:rsidR="00627621">
        <w:rPr>
          <w:rFonts w:ascii="Arial" w:eastAsia="Tahoma" w:hAnsi="Arial" w:cs="Arial"/>
          <w:sz w:val="22"/>
          <w:szCs w:val="22"/>
          <w:lang w:eastAsia="en-US"/>
        </w:rPr>
        <w:t>.</w:t>
      </w:r>
    </w:p>
    <w:p w14:paraId="0B5D0F25" w14:textId="77777777" w:rsidR="00627621" w:rsidRPr="001B6A10" w:rsidRDefault="00627621" w:rsidP="00627621">
      <w:pPr>
        <w:jc w:val="both"/>
        <w:rPr>
          <w:rFonts w:ascii="Arial" w:eastAsia="Tahoma" w:hAnsi="Arial" w:cs="Arial"/>
          <w:sz w:val="22"/>
          <w:szCs w:val="22"/>
          <w:lang w:eastAsia="en-US"/>
        </w:rPr>
      </w:pPr>
    </w:p>
    <w:p w14:paraId="74CA45C5" w14:textId="003B523D" w:rsidR="000E37D0" w:rsidRPr="0086351C" w:rsidRDefault="000E37D0" w:rsidP="00175C78">
      <w:pPr>
        <w:rPr>
          <w:rFonts w:ascii="Arial" w:eastAsia="Tahoma" w:hAnsi="Arial" w:cs="Arial"/>
          <w:sz w:val="22"/>
          <w:szCs w:val="22"/>
          <w:lang w:eastAsia="en-US"/>
        </w:rPr>
      </w:pPr>
      <w:r w:rsidRPr="0086351C">
        <w:rPr>
          <w:rFonts w:ascii="Arial" w:eastAsia="Tahoma" w:hAnsi="Arial" w:cs="Arial"/>
          <w:noProof/>
          <w:sz w:val="22"/>
          <w:szCs w:val="22"/>
          <w:lang w:eastAsia="en-US"/>
        </w:rPr>
        <w:drawing>
          <wp:inline distT="0" distB="0" distL="0" distR="0" wp14:anchorId="7ECE8F5A" wp14:editId="6C5B82B2">
            <wp:extent cx="4818760" cy="2495550"/>
            <wp:effectExtent l="0" t="0" r="1270" b="0"/>
            <wp:docPr id="1975817305" name="Imagen 1"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17305" name="Imagen 1" descr="Gráfico, Histograma&#10;&#10;Descripción generada automáticamente"/>
                    <pic:cNvPicPr/>
                  </pic:nvPicPr>
                  <pic:blipFill>
                    <a:blip r:embed="rId34"/>
                    <a:stretch>
                      <a:fillRect/>
                    </a:stretch>
                  </pic:blipFill>
                  <pic:spPr>
                    <a:xfrm>
                      <a:off x="0" y="0"/>
                      <a:ext cx="4825372" cy="2498974"/>
                    </a:xfrm>
                    <a:prstGeom prst="rect">
                      <a:avLst/>
                    </a:prstGeom>
                  </pic:spPr>
                </pic:pic>
              </a:graphicData>
            </a:graphic>
          </wp:inline>
        </w:drawing>
      </w:r>
    </w:p>
    <w:p w14:paraId="1E744B82" w14:textId="77E18244" w:rsidR="00175C78" w:rsidRPr="0086351C" w:rsidRDefault="00175C78" w:rsidP="00175C78">
      <w:pPr>
        <w:rPr>
          <w:rFonts w:ascii="Arial" w:eastAsia="Tahoma" w:hAnsi="Arial" w:cs="Arial"/>
          <w:sz w:val="22"/>
          <w:szCs w:val="22"/>
          <w:lang w:eastAsia="en-US"/>
        </w:rPr>
      </w:pPr>
    </w:p>
    <w:p w14:paraId="5A3E9A2E" w14:textId="77777777" w:rsidR="0034363C" w:rsidRPr="0086351C" w:rsidRDefault="0034363C" w:rsidP="0034363C">
      <w:pPr>
        <w:pStyle w:val="Descripcin"/>
        <w:spacing w:after="0"/>
        <w:jc w:val="center"/>
        <w:rPr>
          <w:rFonts w:ascii="Arial" w:eastAsia="Arial" w:hAnsi="Arial" w:cs="Arial"/>
          <w:color w:val="auto"/>
        </w:rPr>
      </w:pPr>
      <w:r w:rsidRPr="0086351C">
        <w:rPr>
          <w:rFonts w:ascii="Arial" w:eastAsia="Arial" w:hAnsi="Arial" w:cs="Arial"/>
          <w:color w:val="auto"/>
        </w:rPr>
        <w:lastRenderedPageBreak/>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14</w:t>
      </w:r>
      <w:r w:rsidRPr="0086351C">
        <w:rPr>
          <w:rFonts w:ascii="Arial" w:hAnsi="Arial" w:cs="Arial"/>
          <w:color w:val="auto"/>
        </w:rPr>
        <w:fldChar w:fldCharType="end"/>
      </w:r>
      <w:r w:rsidRPr="0086351C">
        <w:rPr>
          <w:rFonts w:ascii="Arial" w:eastAsia="Arial" w:hAnsi="Arial" w:cs="Arial"/>
          <w:color w:val="auto"/>
        </w:rPr>
        <w:t>.</w:t>
      </w:r>
      <w:r w:rsidRPr="0086351C">
        <w:rPr>
          <w:rFonts w:ascii="Arial" w:eastAsia="Arial" w:hAnsi="Arial" w:cs="Arial"/>
          <w:color w:val="auto"/>
          <w:sz w:val="22"/>
          <w:szCs w:val="22"/>
        </w:rPr>
        <w:t xml:space="preserve"> </w:t>
      </w:r>
      <w:r w:rsidRPr="0086351C">
        <w:rPr>
          <w:rFonts w:ascii="Arial" w:eastAsia="Arial" w:hAnsi="Arial" w:cs="Arial"/>
          <w:color w:val="auto"/>
        </w:rPr>
        <w:t>Tasa de crecimiento año corrido de Índice de indicador de seguimiento a la economía; Serie original junio (2022 – 2024)</w:t>
      </w:r>
    </w:p>
    <w:p w14:paraId="2EADB56C" w14:textId="77777777" w:rsidR="0034363C" w:rsidRPr="0086351C" w:rsidRDefault="0034363C" w:rsidP="0034363C">
      <w:pPr>
        <w:jc w:val="center"/>
        <w:rPr>
          <w:rFonts w:ascii="Arial" w:eastAsia="Arial" w:hAnsi="Arial" w:cs="Arial"/>
          <w:i/>
          <w:sz w:val="18"/>
          <w:szCs w:val="18"/>
          <w:lang w:val="es-ES" w:eastAsia="en-US"/>
        </w:rPr>
      </w:pPr>
      <w:r w:rsidRPr="0086351C">
        <w:rPr>
          <w:rFonts w:ascii="Arial" w:eastAsia="Arial" w:hAnsi="Arial" w:cs="Arial"/>
          <w:i/>
          <w:sz w:val="18"/>
          <w:szCs w:val="18"/>
          <w:lang w:val="es-ES" w:eastAsia="en-US"/>
        </w:rPr>
        <w:t>Fuente: Informe de Indicador de Seguimiento a la Economía –DANE junio 2024</w:t>
      </w:r>
    </w:p>
    <w:p w14:paraId="6E817305" w14:textId="77777777" w:rsidR="00175C78" w:rsidRPr="0086351C" w:rsidRDefault="00175C78" w:rsidP="00175C78">
      <w:pPr>
        <w:rPr>
          <w:rFonts w:ascii="Arial" w:eastAsia="Tahoma" w:hAnsi="Arial" w:cs="Arial"/>
          <w:sz w:val="22"/>
          <w:szCs w:val="22"/>
          <w:lang w:eastAsia="en-US"/>
        </w:rPr>
      </w:pPr>
    </w:p>
    <w:p w14:paraId="20874F9D" w14:textId="7CF62153" w:rsidR="00175C78" w:rsidRPr="0086351C" w:rsidRDefault="00175C78" w:rsidP="00272EA1">
      <w:pPr>
        <w:spacing w:after="160" w:line="259" w:lineRule="auto"/>
        <w:rPr>
          <w:rStyle w:val="normaltextrun"/>
          <w:rFonts w:ascii="Arial" w:eastAsia="Tahoma" w:hAnsi="Arial" w:cs="Arial"/>
          <w:sz w:val="22"/>
          <w:szCs w:val="22"/>
          <w:shd w:val="clear" w:color="auto" w:fill="FCFCFC"/>
        </w:rPr>
      </w:pPr>
      <w:r w:rsidRPr="0086351C">
        <w:rPr>
          <w:rStyle w:val="normaltextrun"/>
          <w:rFonts w:ascii="Arial" w:eastAsia="Tahoma" w:hAnsi="Arial" w:cs="Arial"/>
          <w:bCs/>
          <w:sz w:val="22"/>
          <w:szCs w:val="22"/>
          <w:shd w:val="clear" w:color="auto" w:fill="FCFCFC"/>
        </w:rPr>
        <w:t>Perspectivas de la Economía Mundial</w:t>
      </w:r>
      <w:r w:rsidR="008C52D5" w:rsidRPr="0086351C">
        <w:rPr>
          <w:rStyle w:val="Refdenotaalpie"/>
          <w:rFonts w:ascii="Arial" w:eastAsia="Tahoma" w:hAnsi="Arial" w:cs="Arial"/>
          <w:bCs/>
          <w:sz w:val="22"/>
          <w:szCs w:val="22"/>
          <w:shd w:val="clear" w:color="auto" w:fill="FCFCFC"/>
        </w:rPr>
        <w:footnoteReference w:id="6"/>
      </w:r>
    </w:p>
    <w:p w14:paraId="0205FD1A" w14:textId="77777777" w:rsidR="00175C78" w:rsidRPr="0086351C" w:rsidRDefault="00175C78" w:rsidP="00175C78">
      <w:pPr>
        <w:pStyle w:val="paragraph"/>
        <w:spacing w:before="0" w:beforeAutospacing="0" w:after="0" w:afterAutospacing="0"/>
        <w:ind w:left="720"/>
        <w:textAlignment w:val="baseline"/>
        <w:rPr>
          <w:rStyle w:val="normaltextrun"/>
          <w:rFonts w:ascii="Arial" w:eastAsia="Tahoma" w:hAnsi="Arial" w:cs="Arial"/>
          <w:sz w:val="22"/>
          <w:szCs w:val="22"/>
          <w:shd w:val="clear" w:color="auto" w:fill="FCFCFC"/>
        </w:rPr>
      </w:pPr>
      <w:r w:rsidRPr="0086351C">
        <w:rPr>
          <w:rStyle w:val="normaltextrun"/>
          <w:rFonts w:ascii="Arial" w:eastAsia="Tahoma" w:hAnsi="Arial" w:cs="Arial"/>
          <w:sz w:val="22"/>
          <w:szCs w:val="22"/>
          <w:shd w:val="clear" w:color="auto" w:fill="FCFCFC"/>
        </w:rPr>
        <w:t> </w:t>
      </w:r>
    </w:p>
    <w:p w14:paraId="3ACB715D" w14:textId="77777777" w:rsidR="00175C78" w:rsidRPr="0086351C" w:rsidRDefault="00175C78" w:rsidP="00175C78">
      <w:pPr>
        <w:pStyle w:val="paragraph"/>
        <w:shd w:val="clear" w:color="auto" w:fill="FFFFFF" w:themeFill="background1"/>
        <w:spacing w:before="0" w:beforeAutospacing="0" w:after="0" w:afterAutospacing="0"/>
        <w:jc w:val="center"/>
        <w:textAlignment w:val="baseline"/>
        <w:rPr>
          <w:rStyle w:val="normaltextrun"/>
          <w:rFonts w:ascii="Arial" w:eastAsia="Tahoma" w:hAnsi="Arial" w:cs="Arial"/>
          <w:sz w:val="22"/>
          <w:szCs w:val="22"/>
        </w:rPr>
      </w:pPr>
      <w:r w:rsidRPr="0086351C">
        <w:rPr>
          <w:rFonts w:ascii="Arial" w:hAnsi="Arial" w:cs="Arial"/>
          <w:noProof/>
          <w:sz w:val="22"/>
          <w:szCs w:val="22"/>
        </w:rPr>
        <w:drawing>
          <wp:inline distT="0" distB="0" distL="0" distR="0" wp14:anchorId="5AA199BE" wp14:editId="29D1A44E">
            <wp:extent cx="3009900" cy="4943176"/>
            <wp:effectExtent l="0" t="0" r="0" b="0"/>
            <wp:docPr id="121598053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80532" name="Imagen 1" descr="Tabla&#10;&#10;Descripción generada automáticament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13547" cy="4949165"/>
                    </a:xfrm>
                    <a:prstGeom prst="rect">
                      <a:avLst/>
                    </a:prstGeom>
                    <a:noFill/>
                    <a:ln>
                      <a:noFill/>
                    </a:ln>
                  </pic:spPr>
                </pic:pic>
              </a:graphicData>
            </a:graphic>
          </wp:inline>
        </w:drawing>
      </w:r>
    </w:p>
    <w:p w14:paraId="32DA02ED" w14:textId="77777777" w:rsidR="00B805BB" w:rsidRPr="0086351C" w:rsidRDefault="00B805BB" w:rsidP="00B805BB">
      <w:pPr>
        <w:pStyle w:val="Descripcin"/>
        <w:spacing w:after="0"/>
        <w:jc w:val="center"/>
        <w:rPr>
          <w:rStyle w:val="eop"/>
          <w:rFonts w:ascii="Arial" w:eastAsia="Arial" w:hAnsi="Arial" w:cs="Arial"/>
          <w:i w:val="0"/>
          <w:color w:val="auto"/>
        </w:rPr>
      </w:pPr>
      <w:r w:rsidRPr="0086351C">
        <w:rPr>
          <w:rStyle w:val="normaltextrun"/>
          <w:rFonts w:ascii="Arial" w:eastAsia="Tahoma" w:hAnsi="Arial" w:cs="Arial"/>
          <w:sz w:val="22"/>
          <w:szCs w:val="22"/>
        </w:rPr>
        <w:tab/>
      </w:r>
      <w:r w:rsidRPr="0086351C">
        <w:rPr>
          <w:rFonts w:ascii="Arial" w:eastAsia="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9</w:t>
      </w:r>
      <w:r w:rsidRPr="0086351C">
        <w:rPr>
          <w:rFonts w:ascii="Arial" w:hAnsi="Arial" w:cs="Arial"/>
          <w:color w:val="auto"/>
        </w:rPr>
        <w:fldChar w:fldCharType="end"/>
      </w:r>
      <w:r w:rsidRPr="0086351C">
        <w:rPr>
          <w:rFonts w:ascii="Arial" w:eastAsia="Arial" w:hAnsi="Arial" w:cs="Arial"/>
          <w:color w:val="auto"/>
        </w:rPr>
        <w:t>.</w:t>
      </w:r>
      <w:r w:rsidRPr="0086351C">
        <w:rPr>
          <w:rStyle w:val="eop"/>
          <w:rFonts w:ascii="Arial" w:eastAsia="Arial" w:hAnsi="Arial" w:cs="Arial"/>
          <w:color w:val="auto"/>
        </w:rPr>
        <w:t>Proyecciones de crecimiento de perspectivas de la economía mundial</w:t>
      </w:r>
    </w:p>
    <w:p w14:paraId="70AF05A7" w14:textId="77777777" w:rsidR="00B805BB" w:rsidRPr="0086351C" w:rsidRDefault="00B805BB" w:rsidP="00B805BB">
      <w:pPr>
        <w:jc w:val="center"/>
        <w:rPr>
          <w:rFonts w:ascii="Arial" w:eastAsia="Arial" w:hAnsi="Arial" w:cs="Arial"/>
          <w:sz w:val="22"/>
          <w:szCs w:val="22"/>
          <w:lang w:eastAsia="en-US"/>
        </w:rPr>
      </w:pPr>
      <w:r w:rsidRPr="0086351C">
        <w:rPr>
          <w:rStyle w:val="eop"/>
          <w:rFonts w:ascii="Arial" w:eastAsia="Arial" w:hAnsi="Arial" w:cs="Arial"/>
          <w:i/>
          <w:sz w:val="18"/>
          <w:szCs w:val="18"/>
        </w:rPr>
        <w:t>Fuente: Informe de proyecciones de crecimiento de perspectivas de la economía mundial- Fondo Monetario Internacional – FMI; abril 2024.</w:t>
      </w:r>
    </w:p>
    <w:p w14:paraId="16D37857" w14:textId="77777777" w:rsidR="00175C78" w:rsidRPr="001B6A10" w:rsidRDefault="00175C78" w:rsidP="00627621">
      <w:pPr>
        <w:pStyle w:val="NormalWeb"/>
        <w:spacing w:line="276" w:lineRule="auto"/>
        <w:jc w:val="both"/>
        <w:rPr>
          <w:rStyle w:val="normaltextrun"/>
          <w:rFonts w:ascii="Arial" w:eastAsia="Tahoma" w:hAnsi="Arial" w:cs="Arial"/>
          <w:sz w:val="22"/>
          <w:szCs w:val="22"/>
        </w:rPr>
      </w:pPr>
      <w:r w:rsidRPr="001B6A10">
        <w:rPr>
          <w:rStyle w:val="normaltextrun"/>
          <w:rFonts w:ascii="Arial" w:eastAsia="Tahoma" w:hAnsi="Arial" w:cs="Arial"/>
          <w:sz w:val="22"/>
          <w:szCs w:val="22"/>
        </w:rPr>
        <w:t xml:space="preserve">Según el pronóstico de base, la economía mundial continuará creciendo un 3,2% en 2024 y 2025, al mismo ritmo que en 2023. Una ligera aceleración en las economías avanzadas —de 1,6% en 2023 a 1,7% en 2024 y 1,8% en 2025— quedará compensada por una leve ralentización en las economías emergentes y en desarrollo, de 4,3% en 2023 a 4,2% en 2024 y 2025. La proyección de crecimiento mundial a cinco años, 3,1%, es la menor de las </w:t>
      </w:r>
      <w:r w:rsidRPr="001B6A10">
        <w:rPr>
          <w:rStyle w:val="normaltextrun"/>
          <w:rFonts w:ascii="Arial" w:eastAsia="Tahoma" w:hAnsi="Arial" w:cs="Arial"/>
          <w:sz w:val="22"/>
          <w:szCs w:val="22"/>
        </w:rPr>
        <w:lastRenderedPageBreak/>
        <w:t>últimas décadas. Se prevé que la inflación mundial descienda de manera constante, de 6,8% en 2023 a 5,9% en 2024 y 4,5% en 2025, y que las economías avanzadas alcancen sus metas de inflación antes que las emergentes y en desarrollo. En general, se proyecta que la inflación subyacente descienda más gradualmente.</w:t>
      </w:r>
    </w:p>
    <w:p w14:paraId="49BC60B2" w14:textId="77777777" w:rsidR="00175C78" w:rsidRPr="001B6A10" w:rsidRDefault="00175C78" w:rsidP="00627621">
      <w:pPr>
        <w:pStyle w:val="NormalWeb"/>
        <w:spacing w:line="276" w:lineRule="auto"/>
        <w:jc w:val="both"/>
        <w:rPr>
          <w:rStyle w:val="normaltextrun"/>
          <w:rFonts w:ascii="Arial" w:eastAsia="Tahoma" w:hAnsi="Arial" w:cs="Arial"/>
          <w:sz w:val="22"/>
          <w:szCs w:val="22"/>
        </w:rPr>
      </w:pPr>
      <w:r w:rsidRPr="001B6A10">
        <w:rPr>
          <w:rStyle w:val="normaltextrun"/>
          <w:rFonts w:ascii="Arial" w:eastAsia="Tahoma" w:hAnsi="Arial" w:cs="Arial"/>
          <w:sz w:val="22"/>
          <w:szCs w:val="22"/>
        </w:rPr>
        <w:t>La economía mundial ha sido sorprendentemente resiliente, pese a las considerables subidas de las tasas de interés de los bancos centrales en aras de la estabilidad de precios. El capítulo 2 explica que los cambios en los mercados hipotecarios y de vivienda en la década prepandémica de tasas bajas moderaron el impacto inmediato de las mayores tasas de política monetaria. El capítulo 3 se centra en las perspectivas a mediano plazo y muestra que el menor crecimiento previsto del producto per cápita obedece sobre todo a las persistentes fricciones estructurales que impiden atraer capital y mano de obra hacia las empresas productivas. El capítulo 4 indica que el deterioro de las perspectivas de crecimiento en China y otras grandes economías emergentes lastrará a los socios comerciales.</w:t>
      </w:r>
    </w:p>
    <w:p w14:paraId="04D6DC71" w14:textId="77777777" w:rsidR="00175C78" w:rsidRPr="0086351C" w:rsidRDefault="00175C78" w:rsidP="00175C78">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rPr>
        <w:drawing>
          <wp:inline distT="0" distB="0" distL="0" distR="0" wp14:anchorId="3A2A0FD6" wp14:editId="6A9917F4">
            <wp:extent cx="3950281" cy="2114550"/>
            <wp:effectExtent l="0" t="0" r="0" b="0"/>
            <wp:docPr id="385120255" name="Imagen 2"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20255" name="Imagen 2" descr="Interfaz de usuario gráfica&#10;&#10;Descripción generada automáticament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54109" cy="2116599"/>
                    </a:xfrm>
                    <a:prstGeom prst="rect">
                      <a:avLst/>
                    </a:prstGeom>
                    <a:noFill/>
                    <a:ln>
                      <a:noFill/>
                    </a:ln>
                  </pic:spPr>
                </pic:pic>
              </a:graphicData>
            </a:graphic>
          </wp:inline>
        </w:drawing>
      </w:r>
      <w:r w:rsidRPr="0086351C">
        <w:rPr>
          <w:rStyle w:val="eop"/>
          <w:rFonts w:ascii="Arial" w:eastAsia="Tahoma" w:hAnsi="Arial" w:cs="Arial"/>
          <w:sz w:val="22"/>
          <w:szCs w:val="22"/>
        </w:rPr>
        <w:t> </w:t>
      </w:r>
    </w:p>
    <w:p w14:paraId="41D39E1D" w14:textId="77777777" w:rsidR="00175C78" w:rsidRPr="0086351C" w:rsidRDefault="00175C78" w:rsidP="00175C78">
      <w:pPr>
        <w:pStyle w:val="paragraph"/>
        <w:spacing w:before="0" w:beforeAutospacing="0" w:after="0" w:afterAutospacing="0"/>
        <w:textAlignment w:val="baseline"/>
        <w:rPr>
          <w:rFonts w:ascii="Arial" w:eastAsia="Tahoma" w:hAnsi="Arial" w:cs="Arial"/>
          <w:sz w:val="22"/>
          <w:szCs w:val="22"/>
        </w:rPr>
      </w:pPr>
      <w:r w:rsidRPr="0086351C">
        <w:rPr>
          <w:rStyle w:val="eop"/>
          <w:rFonts w:ascii="Arial" w:eastAsia="Tahoma" w:hAnsi="Arial" w:cs="Arial"/>
          <w:sz w:val="22"/>
          <w:szCs w:val="22"/>
        </w:rPr>
        <w:t> </w:t>
      </w:r>
    </w:p>
    <w:p w14:paraId="48182921" w14:textId="549FCF7F" w:rsidR="00175C78" w:rsidRDefault="00175C78" w:rsidP="00627621">
      <w:pPr>
        <w:pStyle w:val="paragraph"/>
        <w:spacing w:before="0" w:beforeAutospacing="0" w:after="0" w:afterAutospacing="0"/>
        <w:jc w:val="center"/>
        <w:textAlignment w:val="baseline"/>
        <w:rPr>
          <w:rFonts w:ascii="Arial" w:eastAsia="Tahoma" w:hAnsi="Arial" w:cs="Arial"/>
          <w:sz w:val="22"/>
          <w:szCs w:val="22"/>
        </w:rPr>
      </w:pPr>
      <w:r w:rsidRPr="0086351C">
        <w:rPr>
          <w:rFonts w:ascii="Arial" w:hAnsi="Arial" w:cs="Arial"/>
          <w:noProof/>
          <w:sz w:val="22"/>
          <w:szCs w:val="22"/>
        </w:rPr>
        <w:drawing>
          <wp:inline distT="0" distB="0" distL="0" distR="0" wp14:anchorId="0CFF5C5C" wp14:editId="0E38E0C2">
            <wp:extent cx="3857625" cy="1905000"/>
            <wp:effectExtent l="0" t="0" r="9525" b="0"/>
            <wp:docPr id="961939321"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39321" name="Imagen 3" descr="Interfaz de usuario gráfica&#10;&#10;Descripción generada automáticament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74299" cy="1913234"/>
                    </a:xfrm>
                    <a:prstGeom prst="rect">
                      <a:avLst/>
                    </a:prstGeom>
                    <a:noFill/>
                    <a:ln>
                      <a:noFill/>
                    </a:ln>
                  </pic:spPr>
                </pic:pic>
              </a:graphicData>
            </a:graphic>
          </wp:inline>
        </w:drawing>
      </w:r>
    </w:p>
    <w:p w14:paraId="0FBE8964" w14:textId="77777777" w:rsidR="00627621" w:rsidRPr="0086351C" w:rsidRDefault="00627621" w:rsidP="00627621">
      <w:pPr>
        <w:pStyle w:val="paragraph"/>
        <w:spacing w:before="0" w:beforeAutospacing="0" w:after="0" w:afterAutospacing="0"/>
        <w:jc w:val="center"/>
        <w:textAlignment w:val="baseline"/>
        <w:rPr>
          <w:rFonts w:ascii="Arial" w:eastAsia="Tahoma" w:hAnsi="Arial" w:cs="Arial"/>
          <w:sz w:val="22"/>
          <w:szCs w:val="22"/>
        </w:rPr>
      </w:pPr>
    </w:p>
    <w:p w14:paraId="623C4FC2" w14:textId="77777777" w:rsidR="00FB5B22" w:rsidRPr="0086351C" w:rsidRDefault="00FB5B22" w:rsidP="00FB5B22">
      <w:pPr>
        <w:pStyle w:val="Descripcin"/>
        <w:spacing w:after="0"/>
        <w:jc w:val="center"/>
        <w:rPr>
          <w:rStyle w:val="eop"/>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15</w:t>
      </w:r>
      <w:r w:rsidRPr="0086351C">
        <w:rPr>
          <w:rFonts w:ascii="Arial" w:hAnsi="Arial" w:cs="Arial"/>
          <w:color w:val="auto"/>
        </w:rPr>
        <w:fldChar w:fldCharType="end"/>
      </w:r>
      <w:r w:rsidRPr="0086351C">
        <w:rPr>
          <w:rFonts w:ascii="Arial" w:eastAsia="Arial" w:hAnsi="Arial" w:cs="Arial"/>
          <w:color w:val="auto"/>
        </w:rPr>
        <w:t>.</w:t>
      </w:r>
      <w:r w:rsidRPr="0086351C">
        <w:rPr>
          <w:rStyle w:val="eop"/>
          <w:rFonts w:ascii="Arial" w:eastAsia="Arial" w:hAnsi="Arial" w:cs="Arial"/>
          <w:color w:val="auto"/>
        </w:rPr>
        <w:t>Proyecciones de crecimiento de perspectivas de la economía mundial</w:t>
      </w:r>
    </w:p>
    <w:p w14:paraId="3ECCB079" w14:textId="77777777" w:rsidR="00FB5B22" w:rsidRPr="0086351C" w:rsidRDefault="00FB5B22" w:rsidP="00FB5B22">
      <w:pPr>
        <w:jc w:val="center"/>
        <w:rPr>
          <w:rFonts w:ascii="Arial" w:eastAsia="Arial" w:hAnsi="Arial" w:cs="Arial"/>
          <w:sz w:val="22"/>
          <w:szCs w:val="22"/>
          <w:lang w:eastAsia="en-US"/>
        </w:rPr>
      </w:pPr>
      <w:r w:rsidRPr="0086351C">
        <w:rPr>
          <w:rStyle w:val="eop"/>
          <w:rFonts w:ascii="Arial" w:eastAsia="Arial" w:hAnsi="Arial" w:cs="Arial"/>
          <w:i/>
          <w:sz w:val="18"/>
          <w:szCs w:val="18"/>
        </w:rPr>
        <w:t>Fuente: Informe de proyecciones de crecimiento de perspectivas de la economía mundial- Fondo Monetario Internacional – FMI; abril 2024.</w:t>
      </w:r>
    </w:p>
    <w:p w14:paraId="498E54AA" w14:textId="77777777" w:rsidR="00175C78" w:rsidRPr="0086351C" w:rsidRDefault="00175C78" w:rsidP="00175C78">
      <w:pPr>
        <w:jc w:val="center"/>
        <w:rPr>
          <w:rFonts w:ascii="Arial" w:eastAsia="Tahoma" w:hAnsi="Arial" w:cs="Arial"/>
          <w:sz w:val="22"/>
          <w:szCs w:val="22"/>
        </w:rPr>
      </w:pPr>
    </w:p>
    <w:p w14:paraId="7452EC0D" w14:textId="77777777" w:rsidR="00175C78" w:rsidRPr="0086351C" w:rsidRDefault="00175C78" w:rsidP="00175C78">
      <w:pPr>
        <w:pStyle w:val="Ttulo1"/>
        <w:framePr w:w="8566" w:wrap="around" w:hAnchor="page" w:x="1779" w:y="5"/>
        <w:spacing w:line="240" w:lineRule="auto"/>
        <w:ind w:left="0" w:firstLine="0"/>
        <w:jc w:val="left"/>
        <w:rPr>
          <w:rFonts w:ascii="Arial" w:eastAsia="Tahoma" w:hAnsi="Arial" w:cs="Arial"/>
          <w:sz w:val="22"/>
          <w:szCs w:val="22"/>
        </w:rPr>
      </w:pPr>
      <w:bookmarkStart w:id="16" w:name="_Toc178847892"/>
      <w:r w:rsidRPr="0086351C">
        <w:rPr>
          <w:rFonts w:ascii="Arial" w:hAnsi="Arial" w:cs="Arial"/>
          <w:sz w:val="22"/>
          <w:szCs w:val="22"/>
        </w:rPr>
        <w:t>ASPECTO TECNICO</w:t>
      </w:r>
      <w:bookmarkEnd w:id="16"/>
    </w:p>
    <w:p w14:paraId="5158B54B" w14:textId="77777777" w:rsidR="008F7041" w:rsidRPr="000F3E8A" w:rsidRDefault="008F7041" w:rsidP="00627621">
      <w:pPr>
        <w:spacing w:before="240" w:after="240" w:line="276" w:lineRule="auto"/>
        <w:jc w:val="both"/>
        <w:rPr>
          <w:rFonts w:ascii="Arial" w:hAnsi="Arial" w:cs="Arial"/>
          <w:sz w:val="22"/>
          <w:szCs w:val="22"/>
        </w:rPr>
      </w:pPr>
      <w:r w:rsidRPr="000F3E8A">
        <w:rPr>
          <w:rFonts w:ascii="Arial" w:hAnsi="Arial" w:cs="Arial"/>
          <w:sz w:val="22"/>
          <w:szCs w:val="22"/>
        </w:rPr>
        <w:t>El proceso de contratación se basará en cumplir los Planes Departamentales de Extensión Agropecuaria, para aumentar las capacidades técnicas, productivas, ambientales, organizacionales y de participación de los actores presentes en los territorios, para generar trasformaciones sociales comunitarias e individuales que aporten a mejorar la calidad de vida de los beneficiarios del SPEA.</w:t>
      </w:r>
    </w:p>
    <w:p w14:paraId="532FD084"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sz w:val="22"/>
          <w:szCs w:val="22"/>
        </w:rPr>
        <w:t>El foco de acción está en los usuarios y asociaciones de productores Inscritos en el Registro de Usuarios de Extensión Agropecuaria, para lo cual se han priorizado acciones en virtud de sus características poblacionales, territoriales y productivas (líneas y/o sistemas productivos o agroalimentarios) para atender mediante el servicio y se planea contratar las EPSEA idóneas que están actualmente habilitadas para la prestación del servicio de extensión agropecuaria.</w:t>
      </w:r>
    </w:p>
    <w:p w14:paraId="6C5F42B9"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sz w:val="22"/>
          <w:szCs w:val="22"/>
        </w:rPr>
        <w:t xml:space="preserve">Para lograr esto, las Entidades Prestadoras de Servicios de Extensión Agropecuaria (EPSEA) deben desarrollar el servicio cumpliendo con los objetivos de cada fase que lo integra, como ejecutores de proyectos de extensión agropecuaria. Esto implica considerar los aspectos del enfoque de extensión y su coherencia, los objetivos específicos, las actividades, las metas, los indicadores y los resultados esperados, según los entregables de cada fase y las metodologías de extensión validadas en el anexo técnico de la Resolución 132/22 para el sector. </w:t>
      </w:r>
    </w:p>
    <w:p w14:paraId="1D8FAD31"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sz w:val="22"/>
          <w:szCs w:val="22"/>
        </w:rPr>
        <w:t>El objetivo del proceso de extensión se logra desarrollando cada fase del servicio y aplicando de forma coherente y articulada los métodos de trabajo individuales, grupales y masivos, buscando promover el cambio progresivo en el ámbito social, técnico, ambiental y económico de los usuarios del servicio, con un enfoque comunitario, reconociendo los saberes y capacidades de las comunidades priorizadas y fortaleciendo su capacidad de autogestión. Este acompañamiento debe basarse en los principios establecidos en el artículo 3 de la Ley 1876 de 2017.</w:t>
      </w:r>
    </w:p>
    <w:p w14:paraId="2BF3FF8D"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sz w:val="22"/>
          <w:szCs w:val="22"/>
        </w:rPr>
        <w:t>La prestación del servicio debe estar en consonancia con las orientaciones del Plan Nacional de Desarrollo que enmarcan la prestación del servicio de extensión agropecuaria y de los lineamientos contenidos en la Resolución 0096 de abril de 2024 del MADR. Contemplando la incorporación del enfoque territorial, el enfoque diferencial, la transición agroecológica, la resiliencia y la adaptación al cambio climático, el derecho humano a la alimentación, orientación al mercado y la incorporación de cadenas de valor, las orientaciones para la ACFEC y la articulación con la política sectorial. Para lograr un servicio de extensión agropecuaria efectivo, las entidades prestadoras de servicios deben desarrollarlo considerando los objetivos específicos, las metodologías adecuadas, los principios establecidos en la ley y las orientaciones del Plan Nacional de Desarrollo.</w:t>
      </w:r>
    </w:p>
    <w:p w14:paraId="4A9F9A64"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sz w:val="22"/>
          <w:szCs w:val="22"/>
        </w:rPr>
        <w:lastRenderedPageBreak/>
        <w:t xml:space="preserve">El Servicio Público de Extensión Agropecuaria en los departamentos priorizados será prestado a partir de la siguiente ruta de desarrollo por fases:     </w:t>
      </w:r>
    </w:p>
    <w:p w14:paraId="67F2C3D2" w14:textId="77777777" w:rsidR="008F7041" w:rsidRPr="000F3E8A" w:rsidRDefault="008F7041" w:rsidP="000F3E8A">
      <w:pPr>
        <w:jc w:val="both"/>
        <w:rPr>
          <w:rFonts w:ascii="Arial" w:hAnsi="Arial" w:cs="Arial"/>
          <w:sz w:val="22"/>
          <w:szCs w:val="22"/>
        </w:rPr>
      </w:pPr>
      <w:r w:rsidRPr="000F3E8A">
        <w:rPr>
          <w:rFonts w:ascii="Arial" w:hAnsi="Arial" w:cs="Arial"/>
          <w:noProof/>
          <w:sz w:val="22"/>
          <w:szCs w:val="22"/>
          <w:lang w:val="en-US"/>
        </w:rPr>
        <w:drawing>
          <wp:inline distT="0" distB="0" distL="0" distR="0" wp14:anchorId="2D07FD96" wp14:editId="209660B3">
            <wp:extent cx="5552440" cy="1484324"/>
            <wp:effectExtent l="0" t="0" r="0" b="1905"/>
            <wp:docPr id="201075116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53775" name="Imagen 1" descr="Diagrama&#10;&#10;Descripción generada automáticamente"/>
                    <pic:cNvPicPr/>
                  </pic:nvPicPr>
                  <pic:blipFill rotWithShape="1">
                    <a:blip r:embed="rId38"/>
                    <a:srcRect t="23130"/>
                    <a:stretch/>
                  </pic:blipFill>
                  <pic:spPr bwMode="auto">
                    <a:xfrm>
                      <a:off x="0" y="0"/>
                      <a:ext cx="5692453" cy="1521753"/>
                    </a:xfrm>
                    <a:prstGeom prst="rect">
                      <a:avLst/>
                    </a:prstGeom>
                    <a:ln>
                      <a:noFill/>
                    </a:ln>
                    <a:extLst>
                      <a:ext uri="{53640926-AAD7-44D8-BBD7-CCE9431645EC}">
                        <a14:shadowObscured xmlns:a14="http://schemas.microsoft.com/office/drawing/2010/main"/>
                      </a:ext>
                    </a:extLst>
                  </pic:spPr>
                </pic:pic>
              </a:graphicData>
            </a:graphic>
          </wp:inline>
        </w:drawing>
      </w:r>
    </w:p>
    <w:p w14:paraId="3A37DC14" w14:textId="77777777" w:rsidR="00633814" w:rsidRPr="000F3E8A" w:rsidRDefault="00633814" w:rsidP="000F3E8A">
      <w:pPr>
        <w:pStyle w:val="Descripcin"/>
        <w:spacing w:after="0"/>
        <w:jc w:val="both"/>
        <w:rPr>
          <w:rFonts w:ascii="Arial" w:eastAsia="Arial" w:hAnsi="Arial" w:cs="Arial"/>
          <w:color w:val="auto"/>
          <w:sz w:val="22"/>
          <w:szCs w:val="22"/>
        </w:rPr>
      </w:pPr>
      <w:r w:rsidRPr="000F3E8A">
        <w:rPr>
          <w:rFonts w:ascii="Arial" w:eastAsia="Arial" w:hAnsi="Arial" w:cs="Arial"/>
          <w:color w:val="auto"/>
          <w:sz w:val="22"/>
          <w:szCs w:val="22"/>
        </w:rPr>
        <w:t xml:space="preserve">Gráfico </w:t>
      </w:r>
      <w:r w:rsidRPr="000F3E8A">
        <w:rPr>
          <w:rFonts w:ascii="Arial" w:hAnsi="Arial" w:cs="Arial"/>
          <w:color w:val="auto"/>
          <w:sz w:val="22"/>
          <w:szCs w:val="22"/>
        </w:rPr>
        <w:fldChar w:fldCharType="begin"/>
      </w:r>
      <w:r w:rsidRPr="000F3E8A">
        <w:rPr>
          <w:rFonts w:ascii="Arial" w:hAnsi="Arial" w:cs="Arial"/>
          <w:color w:val="auto"/>
          <w:sz w:val="22"/>
          <w:szCs w:val="22"/>
        </w:rPr>
        <w:instrText xml:space="preserve"> SEQ Grafico \* ARABIC </w:instrText>
      </w:r>
      <w:r w:rsidRPr="000F3E8A">
        <w:rPr>
          <w:rFonts w:ascii="Arial" w:hAnsi="Arial" w:cs="Arial"/>
          <w:color w:val="auto"/>
          <w:sz w:val="22"/>
          <w:szCs w:val="22"/>
        </w:rPr>
        <w:fldChar w:fldCharType="separate"/>
      </w:r>
      <w:r w:rsidRPr="000F3E8A">
        <w:rPr>
          <w:rFonts w:ascii="Arial" w:hAnsi="Arial" w:cs="Arial"/>
          <w:noProof/>
          <w:color w:val="auto"/>
          <w:sz w:val="22"/>
          <w:szCs w:val="22"/>
        </w:rPr>
        <w:t>16</w:t>
      </w:r>
      <w:r w:rsidRPr="000F3E8A">
        <w:rPr>
          <w:rFonts w:ascii="Arial" w:hAnsi="Arial" w:cs="Arial"/>
          <w:color w:val="auto"/>
          <w:sz w:val="22"/>
          <w:szCs w:val="22"/>
        </w:rPr>
        <w:fldChar w:fldCharType="end"/>
      </w:r>
      <w:r w:rsidRPr="000F3E8A">
        <w:rPr>
          <w:rFonts w:ascii="Arial" w:eastAsia="Arial" w:hAnsi="Arial" w:cs="Arial"/>
          <w:color w:val="auto"/>
          <w:sz w:val="22"/>
          <w:szCs w:val="22"/>
        </w:rPr>
        <w:t>.Fases para la Prestación del Servicio Público de Extensión Agropecuaria.</w:t>
      </w:r>
    </w:p>
    <w:p w14:paraId="4A7390AE" w14:textId="0C02CB54" w:rsidR="008F7041" w:rsidRPr="000F3E8A" w:rsidRDefault="00633814" w:rsidP="000F3E8A">
      <w:pPr>
        <w:jc w:val="both"/>
        <w:rPr>
          <w:rFonts w:ascii="Arial" w:hAnsi="Arial" w:cs="Arial"/>
          <w:sz w:val="22"/>
          <w:szCs w:val="22"/>
        </w:rPr>
      </w:pPr>
      <w:r w:rsidRPr="000F3E8A">
        <w:rPr>
          <w:rFonts w:ascii="Arial" w:eastAsia="Arial" w:hAnsi="Arial" w:cs="Arial"/>
          <w:i/>
          <w:sz w:val="22"/>
          <w:szCs w:val="22"/>
          <w:lang w:val="es-ES" w:eastAsia="en-US"/>
        </w:rPr>
        <w:t>Fuente: Dirección de Asistencia Técnica, 2024</w:t>
      </w:r>
    </w:p>
    <w:p w14:paraId="246E6857" w14:textId="77777777" w:rsidR="00627621" w:rsidRDefault="00627621" w:rsidP="000F3E8A">
      <w:pPr>
        <w:jc w:val="both"/>
        <w:rPr>
          <w:rFonts w:ascii="Arial" w:hAnsi="Arial" w:cs="Arial"/>
          <w:sz w:val="22"/>
          <w:szCs w:val="22"/>
        </w:rPr>
      </w:pPr>
    </w:p>
    <w:p w14:paraId="4E823B67" w14:textId="7C2EA49F" w:rsidR="008F7041" w:rsidRPr="000F3E8A" w:rsidRDefault="008F7041" w:rsidP="00627621">
      <w:pPr>
        <w:spacing w:line="276" w:lineRule="auto"/>
        <w:jc w:val="both"/>
        <w:rPr>
          <w:rFonts w:ascii="Arial" w:hAnsi="Arial" w:cs="Arial"/>
          <w:sz w:val="22"/>
          <w:szCs w:val="22"/>
        </w:rPr>
      </w:pPr>
      <w:r w:rsidRPr="000F3E8A">
        <w:rPr>
          <w:rFonts w:ascii="Arial" w:hAnsi="Arial" w:cs="Arial"/>
          <w:sz w:val="22"/>
          <w:szCs w:val="22"/>
        </w:rPr>
        <w:t>La descripción detallada la ruta de atención para la prestación del servicio el cual se define en las siguientes fases:</w:t>
      </w:r>
    </w:p>
    <w:p w14:paraId="752DB03D" w14:textId="77777777" w:rsidR="008F7041" w:rsidRPr="000F3E8A" w:rsidRDefault="008F7041" w:rsidP="00627621">
      <w:pPr>
        <w:spacing w:line="276" w:lineRule="auto"/>
        <w:jc w:val="both"/>
        <w:rPr>
          <w:rFonts w:ascii="Arial" w:hAnsi="Arial" w:cs="Arial"/>
          <w:sz w:val="22"/>
          <w:szCs w:val="22"/>
        </w:rPr>
      </w:pPr>
    </w:p>
    <w:p w14:paraId="74CEFB7C"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b/>
          <w:bCs/>
          <w:i/>
          <w:iCs/>
          <w:sz w:val="22"/>
          <w:szCs w:val="22"/>
        </w:rPr>
        <w:t>Fase de Alistamiento:</w:t>
      </w:r>
      <w:r w:rsidRPr="000F3E8A">
        <w:rPr>
          <w:rFonts w:ascii="Arial" w:hAnsi="Arial" w:cs="Arial"/>
          <w:sz w:val="22"/>
          <w:szCs w:val="22"/>
        </w:rPr>
        <w:t xml:space="preserve"> Consiste en las actividades previas a la planeación y operación para la prestación del servicio de extensión agropecuaria. El proceso de alistamiento incluye las actividades de contratación del personal directivo y coordinador, la identificación de extensionistas y promotores en el territorio, el alistamiento de aspectos logísticos y la identificación y validación de las bases de datos de usuarios y usuarias, el contacto inicial con los entes territoriales que serán beneficiarios del servicio, el diseño de la estrategia de acompañamiento asincrónico (herramientas e instrumentos), el alistamiento para el uso de las herramientas tecnológicas para la supervisión del desarrollo del convenio en los términos establecidos por la ADR (Campo Innova e IPPTA), preparando las acciones a cumplir por parte de la EPSEA, que adelantará las gestiones acorde con lo definido en el proceso de extensión. </w:t>
      </w:r>
    </w:p>
    <w:p w14:paraId="4392B078" w14:textId="77777777" w:rsidR="008F7041" w:rsidRPr="000F3E8A" w:rsidRDefault="008F7041" w:rsidP="00627621">
      <w:pPr>
        <w:spacing w:after="240" w:line="276" w:lineRule="auto"/>
        <w:jc w:val="both"/>
        <w:rPr>
          <w:rFonts w:ascii="Arial" w:hAnsi="Arial" w:cs="Arial"/>
          <w:sz w:val="22"/>
          <w:szCs w:val="22"/>
        </w:rPr>
      </w:pPr>
      <w:r w:rsidRPr="000F3E8A">
        <w:rPr>
          <w:rFonts w:ascii="Arial" w:hAnsi="Arial" w:cs="Arial"/>
          <w:b/>
          <w:bCs/>
          <w:i/>
          <w:iCs/>
          <w:sz w:val="22"/>
          <w:szCs w:val="22"/>
        </w:rPr>
        <w:t xml:space="preserve">Fase de Planeación: </w:t>
      </w:r>
      <w:r w:rsidRPr="000F3E8A">
        <w:rPr>
          <w:rFonts w:ascii="Arial" w:hAnsi="Arial" w:cs="Arial"/>
          <w:sz w:val="22"/>
          <w:szCs w:val="22"/>
        </w:rPr>
        <w:t>Consiste en el análisis y organización de las actividades de diseño de contenidos temáticos a desarrollar según línea base productiva, formulación de los planes de acompañamiento a usuarios alineados a los objetivos y al desarrollo de actividades orientadas al cumplimiento de resultados. En esta fase la Entidad Prestadora del Servicio de Extensión Agropecuaria – EPSEA, deberá diferenciar los planes de acompañamiento aplicados a los usuarios acorde a su estado de avance en los enfoques de la prestación del servicio público de Extensión Agropecuaria: 1. Desarrollo de las capacidades humanas integrales, 2. Desarrollo de las capacidades sociales integrales y el fortalecimiento de la asociatividad, 3. Acceso y aprovechamiento efectivo de la información de apoyo, adopción o adaptación de tecnologías y productos tecnológicos, 4. Gestión sostenible de los recursos naturales, 5. Desarrollo de habilidades para la participación de los productores en espacios para la retroalimentación de la política pública sectorial.</w:t>
      </w:r>
    </w:p>
    <w:p w14:paraId="6D88BF23" w14:textId="77777777" w:rsidR="008F7041" w:rsidRPr="000F3E8A" w:rsidRDefault="008F7041" w:rsidP="00627621">
      <w:pPr>
        <w:pStyle w:val="Prrafodelista"/>
        <w:spacing w:after="240" w:line="276" w:lineRule="auto"/>
        <w:ind w:left="0"/>
        <w:jc w:val="both"/>
        <w:rPr>
          <w:rFonts w:ascii="Arial" w:hAnsi="Arial" w:cs="Arial"/>
        </w:rPr>
      </w:pPr>
      <w:r w:rsidRPr="000F3E8A">
        <w:rPr>
          <w:rFonts w:ascii="Arial" w:hAnsi="Arial" w:cs="Arial"/>
        </w:rPr>
        <w:lastRenderedPageBreak/>
        <w:t>En esta fase la EPSEA deberá en coordinación con los entes territoriales y/o con las organizaciones del territorio verificar y/o corroborar la información para lograr un contacto efectivo con los usuarios y entregará un listado de usuarios a atender.</w:t>
      </w:r>
    </w:p>
    <w:p w14:paraId="1DD7D6E2" w14:textId="77777777" w:rsidR="008F7041" w:rsidRPr="000F3E8A" w:rsidRDefault="008F7041" w:rsidP="000F3E8A">
      <w:pPr>
        <w:pStyle w:val="Prrafodelista"/>
        <w:spacing w:after="240"/>
        <w:ind w:left="0"/>
        <w:jc w:val="both"/>
        <w:rPr>
          <w:rFonts w:ascii="Arial" w:hAnsi="Arial" w:cs="Arial"/>
        </w:rPr>
      </w:pPr>
    </w:p>
    <w:p w14:paraId="32198FDC" w14:textId="48847DB8" w:rsidR="008F7041" w:rsidRPr="000F3E8A" w:rsidRDefault="008F7041" w:rsidP="00627621">
      <w:pPr>
        <w:pStyle w:val="Prrafodelista"/>
        <w:spacing w:after="240" w:line="276" w:lineRule="auto"/>
        <w:ind w:left="0"/>
        <w:jc w:val="both"/>
        <w:rPr>
          <w:rFonts w:ascii="Arial" w:hAnsi="Arial" w:cs="Arial"/>
        </w:rPr>
      </w:pPr>
      <w:r w:rsidRPr="000F3E8A">
        <w:rPr>
          <w:rFonts w:ascii="Arial" w:hAnsi="Arial" w:cs="Arial"/>
        </w:rPr>
        <w:t>En el aspecto logístico la planeación incluye el diseño e impresión de los métodos de extensión masivos: planeador de finca y el instrumento para la planificación de la transición hacia la agroecología (IPPTA).</w:t>
      </w:r>
    </w:p>
    <w:p w14:paraId="5A052487" w14:textId="77777777" w:rsidR="008F7041" w:rsidRPr="000F3E8A" w:rsidRDefault="008F7041" w:rsidP="00627621">
      <w:pPr>
        <w:pStyle w:val="Prrafodelista"/>
        <w:spacing w:after="240" w:line="276" w:lineRule="auto"/>
        <w:ind w:left="0"/>
        <w:jc w:val="both"/>
        <w:rPr>
          <w:rFonts w:ascii="Arial" w:hAnsi="Arial" w:cs="Arial"/>
        </w:rPr>
      </w:pPr>
    </w:p>
    <w:p w14:paraId="19B0C55D" w14:textId="7CE8A384" w:rsidR="008F7041" w:rsidRPr="000F3E8A" w:rsidRDefault="008F7041" w:rsidP="00627621">
      <w:pPr>
        <w:pStyle w:val="Prrafodelista"/>
        <w:spacing w:after="240" w:line="276" w:lineRule="auto"/>
        <w:ind w:left="0"/>
        <w:jc w:val="both"/>
        <w:rPr>
          <w:rFonts w:ascii="Arial" w:hAnsi="Arial" w:cs="Arial"/>
          <w:b/>
          <w:bCs/>
          <w:u w:val="single"/>
        </w:rPr>
      </w:pPr>
      <w:r w:rsidRPr="000F3E8A">
        <w:rPr>
          <w:rFonts w:ascii="Arial" w:hAnsi="Arial" w:cs="Arial"/>
          <w:b/>
          <w:bCs/>
          <w:u w:val="single"/>
        </w:rPr>
        <w:t>Las fases de alistamiento y planeación serán desarrolladas simultáneamente de parte de la EPSEA, desplegando su capacidad operacional y conocimiento del territorio de influencia, en un tiempo máximo estimado de 0,</w:t>
      </w:r>
      <w:r w:rsidR="15960D9A" w:rsidRPr="000F3E8A">
        <w:rPr>
          <w:rFonts w:ascii="Arial" w:hAnsi="Arial" w:cs="Arial"/>
          <w:b/>
          <w:bCs/>
          <w:u w:val="single"/>
        </w:rPr>
        <w:t>2</w:t>
      </w:r>
      <w:r w:rsidRPr="000F3E8A">
        <w:rPr>
          <w:rFonts w:ascii="Arial" w:hAnsi="Arial" w:cs="Arial"/>
          <w:b/>
          <w:bCs/>
          <w:u w:val="single"/>
        </w:rPr>
        <w:t>5 meses.</w:t>
      </w:r>
    </w:p>
    <w:p w14:paraId="33F38158" w14:textId="77777777" w:rsidR="008F7041" w:rsidRPr="000F3E8A" w:rsidRDefault="008F7041" w:rsidP="00627621">
      <w:pPr>
        <w:pStyle w:val="Prrafodelista"/>
        <w:spacing w:after="240" w:line="276" w:lineRule="auto"/>
        <w:ind w:left="0"/>
        <w:jc w:val="both"/>
        <w:rPr>
          <w:rFonts w:ascii="Arial" w:hAnsi="Arial" w:cs="Arial"/>
          <w:b/>
          <w:bCs/>
          <w:i/>
          <w:iCs/>
        </w:rPr>
      </w:pPr>
    </w:p>
    <w:p w14:paraId="21F8A98B" w14:textId="3DCC48FF" w:rsidR="008F7041" w:rsidRPr="000F3E8A" w:rsidRDefault="008F7041" w:rsidP="00627621">
      <w:pPr>
        <w:pStyle w:val="Prrafodelista"/>
        <w:spacing w:after="240" w:line="276" w:lineRule="auto"/>
        <w:ind w:left="0"/>
        <w:jc w:val="both"/>
        <w:rPr>
          <w:rFonts w:ascii="Arial" w:eastAsia="Arial" w:hAnsi="Arial" w:cs="Arial"/>
        </w:rPr>
      </w:pPr>
      <w:r w:rsidRPr="000F3E8A">
        <w:rPr>
          <w:rFonts w:ascii="Arial" w:hAnsi="Arial" w:cs="Arial"/>
          <w:b/>
          <w:bCs/>
          <w:i/>
          <w:iCs/>
        </w:rPr>
        <w:t>Fase de Operación:</w:t>
      </w:r>
      <w:r w:rsidRPr="000F3E8A">
        <w:rPr>
          <w:rFonts w:ascii="Arial" w:hAnsi="Arial" w:cs="Arial"/>
        </w:rPr>
        <w:t xml:space="preserve"> En la que se realizan las actividades planificadas para dar servicios de extensión agropecuaria integral a los usuarios. Esta fase implica la implementación de estrategias metodológicas que permitan la construcción de conocimientos y apropiación de tecnología adecuada a las necesidades específicas de cada sector y territorio.</w:t>
      </w:r>
    </w:p>
    <w:p w14:paraId="008CF6A2" w14:textId="32B08811" w:rsidR="008F7041" w:rsidRPr="000F3E8A" w:rsidRDefault="008F7041" w:rsidP="00627621">
      <w:pPr>
        <w:pStyle w:val="Prrafodelista"/>
        <w:spacing w:after="240" w:line="276" w:lineRule="auto"/>
        <w:ind w:left="0"/>
        <w:jc w:val="both"/>
        <w:rPr>
          <w:rFonts w:ascii="Arial" w:eastAsia="Arial" w:hAnsi="Arial" w:cs="Arial"/>
        </w:rPr>
      </w:pPr>
    </w:p>
    <w:p w14:paraId="1193501C" w14:textId="6353824C" w:rsidR="008F7041" w:rsidRPr="000F3E8A" w:rsidRDefault="008F7041" w:rsidP="00627621">
      <w:pPr>
        <w:pStyle w:val="Prrafodelista"/>
        <w:spacing w:after="240" w:line="276" w:lineRule="auto"/>
        <w:ind w:left="0"/>
        <w:jc w:val="both"/>
        <w:rPr>
          <w:rFonts w:ascii="Arial" w:eastAsia="Arial" w:hAnsi="Arial" w:cs="Arial"/>
        </w:rPr>
      </w:pPr>
      <w:r w:rsidRPr="000F3E8A">
        <w:rPr>
          <w:rFonts w:ascii="Arial" w:eastAsia="Arial" w:hAnsi="Arial" w:cs="Arial"/>
        </w:rPr>
        <w:t>Durante esta fase, el equipo de coordinación y ejecución de la EPSEA en articulación con el equipo de extensionistas y promotores encargado de la implementación de la propuesta de extensión agropecuaria aprobada realizará las actividades de campo para el cumplimiento de objetivos, metas y resultados, acorde a los métodos de extensión individual y grupal, desarrollando acciones orientadas a mejorar los cinco aspectos del enfoque del servicio según lo priorizado en el plan operativo.</w:t>
      </w:r>
    </w:p>
    <w:p w14:paraId="5B74ED08" w14:textId="77777777" w:rsidR="008F7041" w:rsidRPr="000F3E8A" w:rsidRDefault="008F7041" w:rsidP="00627621">
      <w:pPr>
        <w:spacing w:line="276" w:lineRule="auto"/>
        <w:jc w:val="both"/>
        <w:rPr>
          <w:rFonts w:ascii="Arial" w:eastAsia="Arial" w:hAnsi="Arial" w:cs="Arial"/>
          <w:sz w:val="22"/>
          <w:szCs w:val="22"/>
        </w:rPr>
      </w:pPr>
      <w:r w:rsidRPr="000F3E8A">
        <w:rPr>
          <w:rFonts w:ascii="Arial" w:eastAsia="Arial" w:hAnsi="Arial" w:cs="Arial"/>
          <w:sz w:val="22"/>
          <w:szCs w:val="22"/>
          <w:lang w:eastAsia="en-US"/>
        </w:rPr>
        <w:t>La fase de operación en la prestación del servicio público de extensión agropecuaria es fundamental para el éxito del servicio, ya que permite la implementación efectiva de las estrategias y programas diseñados para mejorar las condiciones productivas de los usuarios, por tanto, contribuir al desarrollo económico y social del sector rural.</w:t>
      </w:r>
    </w:p>
    <w:p w14:paraId="312C49A3" w14:textId="77777777" w:rsidR="008F7041" w:rsidRPr="000F3E8A" w:rsidRDefault="008F7041" w:rsidP="00627621">
      <w:pPr>
        <w:pStyle w:val="Prrafodelista"/>
        <w:spacing w:after="240" w:line="276" w:lineRule="auto"/>
        <w:ind w:left="0"/>
        <w:jc w:val="both"/>
        <w:rPr>
          <w:rFonts w:ascii="Arial" w:hAnsi="Arial" w:cs="Arial"/>
        </w:rPr>
      </w:pPr>
    </w:p>
    <w:p w14:paraId="793D68C8" w14:textId="77777777" w:rsidR="008F7041" w:rsidRPr="000F3E8A" w:rsidRDefault="008F7041" w:rsidP="00627621">
      <w:pPr>
        <w:pStyle w:val="Prrafodelista"/>
        <w:spacing w:after="240" w:line="276" w:lineRule="auto"/>
        <w:ind w:left="0"/>
        <w:jc w:val="both"/>
        <w:rPr>
          <w:rFonts w:ascii="Arial" w:hAnsi="Arial" w:cs="Arial"/>
        </w:rPr>
      </w:pPr>
      <w:r w:rsidRPr="000F3E8A">
        <w:rPr>
          <w:rFonts w:ascii="Arial" w:hAnsi="Arial" w:cs="Arial"/>
          <w:b/>
          <w:bCs/>
          <w:i/>
          <w:iCs/>
        </w:rPr>
        <w:t>Fase de Evaluación:</w:t>
      </w:r>
      <w:r w:rsidRPr="000F3E8A">
        <w:rPr>
          <w:rFonts w:ascii="Arial" w:hAnsi="Arial" w:cs="Arial"/>
        </w:rPr>
        <w:t xml:space="preserve"> en esta fase la EPSEA analiza los resultados del proyecto para determinar el cumplimiento de los objetivos y metas establecidos en el plan operativo, consolidando los aprendizajes y propuestas de mejora a futuro.</w:t>
      </w:r>
    </w:p>
    <w:p w14:paraId="036E0ED9" w14:textId="2C50A4CD" w:rsidR="5312313E" w:rsidRPr="000F3E8A" w:rsidRDefault="5312313E" w:rsidP="00627621">
      <w:pPr>
        <w:pStyle w:val="Prrafodelista"/>
        <w:spacing w:after="240" w:line="276" w:lineRule="auto"/>
        <w:ind w:left="0"/>
        <w:jc w:val="both"/>
        <w:rPr>
          <w:rFonts w:ascii="Arial" w:hAnsi="Arial" w:cs="Arial"/>
        </w:rPr>
      </w:pPr>
    </w:p>
    <w:p w14:paraId="43E9B086" w14:textId="50ED9323" w:rsidR="008F7041" w:rsidRPr="000F3E8A" w:rsidRDefault="008F7041" w:rsidP="00627621">
      <w:pPr>
        <w:pStyle w:val="Prrafodelista"/>
        <w:spacing w:after="240" w:line="276" w:lineRule="auto"/>
        <w:ind w:left="0"/>
        <w:jc w:val="both"/>
        <w:rPr>
          <w:rFonts w:ascii="Arial" w:hAnsi="Arial" w:cs="Arial"/>
        </w:rPr>
      </w:pPr>
      <w:r w:rsidRPr="000F3E8A">
        <w:rPr>
          <w:rFonts w:ascii="Arial" w:hAnsi="Arial" w:cs="Arial"/>
        </w:rPr>
        <w:t>Durante esta fase se analizan aspectos como la efectividad de las estrategias y programas implementados, la satisfacción de los usuarios y la eficiencia en la utilización de los recursos; identificando indicadores de resultados y calidad en los enfoques de la prestación del servicio público de extensión agropecuaria, mediante la entrega a partir de un diagnóstico final de la caracterización de los usuarios en la plataforma definida por el Ministerio de Agricultura y Desarrollo Rural.</w:t>
      </w:r>
    </w:p>
    <w:p w14:paraId="10B5721F" w14:textId="77777777" w:rsidR="008F7041" w:rsidRPr="000F3E8A" w:rsidRDefault="008F7041" w:rsidP="00627621">
      <w:pPr>
        <w:pStyle w:val="Prrafodelista"/>
        <w:spacing w:after="240" w:line="276" w:lineRule="auto"/>
        <w:ind w:left="0"/>
        <w:jc w:val="both"/>
        <w:rPr>
          <w:rFonts w:ascii="Arial" w:hAnsi="Arial" w:cs="Arial"/>
        </w:rPr>
      </w:pPr>
    </w:p>
    <w:p w14:paraId="7725E5DC" w14:textId="77777777" w:rsidR="008F7041" w:rsidRPr="000F3E8A" w:rsidRDefault="008F7041" w:rsidP="00627621">
      <w:pPr>
        <w:pStyle w:val="Prrafodelista"/>
        <w:spacing w:after="240" w:line="276" w:lineRule="auto"/>
        <w:ind w:left="0"/>
        <w:jc w:val="both"/>
        <w:rPr>
          <w:rFonts w:ascii="Arial" w:hAnsi="Arial" w:cs="Arial"/>
        </w:rPr>
      </w:pPr>
      <w:r w:rsidRPr="000F3E8A">
        <w:rPr>
          <w:rFonts w:ascii="Arial" w:hAnsi="Arial" w:cs="Arial"/>
        </w:rPr>
        <w:t xml:space="preserve">La evaluación en la prestación del servicio público de extensión agropecuaria es esencial para el mejoramiento continuo del mismo, ya que permite identificar las fortalezas y </w:t>
      </w:r>
      <w:r w:rsidRPr="000F3E8A">
        <w:rPr>
          <w:rFonts w:ascii="Arial" w:hAnsi="Arial" w:cs="Arial"/>
        </w:rPr>
        <w:lastRenderedPageBreak/>
        <w:t>debilidades, proponer mejoras en su planificación, gestión y ejecución. Además, la retroalimentación obtenida de la evaluación es importante para la toma de decisiones informadas sobre la asignación de recursos y la priorización de actividades en futuras intervenciones. Mínimo con un mes de antelación a la finalización del convenio, la EPSEA deberá iniciar la consolidación de los informes de evaluación y reporte a la supervisión de estos.</w:t>
      </w:r>
    </w:p>
    <w:p w14:paraId="5DF7AFEF" w14:textId="3FD9FB19" w:rsidR="008A1330" w:rsidRPr="000F3E8A" w:rsidRDefault="20F32A38" w:rsidP="00627621">
      <w:pPr>
        <w:spacing w:after="240" w:line="276" w:lineRule="auto"/>
        <w:jc w:val="both"/>
        <w:rPr>
          <w:rFonts w:ascii="Arial" w:eastAsia="Arial" w:hAnsi="Arial" w:cs="Arial"/>
          <w:b/>
          <w:bCs/>
          <w:sz w:val="22"/>
          <w:szCs w:val="22"/>
          <w:u w:val="single"/>
        </w:rPr>
      </w:pPr>
      <w:r w:rsidRPr="000F3E8A">
        <w:rPr>
          <w:rFonts w:ascii="Arial" w:eastAsia="Arial" w:hAnsi="Arial" w:cs="Arial"/>
          <w:b/>
          <w:bCs/>
          <w:sz w:val="22"/>
          <w:szCs w:val="22"/>
          <w:u w:val="single"/>
        </w:rPr>
        <w:t>Las fases de operación y evaluación serán desarrolladas simultáneamente de parte de la EPSEA, desplegando su capacidad técnica, operacional y conocimiento del territorio de influencia, en un tiempo máximo estimado de 2,25 meses.</w:t>
      </w:r>
    </w:p>
    <w:p w14:paraId="02255259" w14:textId="77777777" w:rsidR="008A1330" w:rsidRPr="0086351C" w:rsidRDefault="008A1330" w:rsidP="008A1330">
      <w:pPr>
        <w:pStyle w:val="Ttulo1"/>
        <w:framePr w:w="8566" w:wrap="around" w:hAnchor="page" w:x="1779" w:y="5"/>
        <w:spacing w:line="240" w:lineRule="auto"/>
        <w:ind w:left="0" w:firstLine="0"/>
        <w:jc w:val="left"/>
        <w:rPr>
          <w:rFonts w:ascii="Arial" w:eastAsia="Tahoma" w:hAnsi="Arial" w:cs="Arial"/>
          <w:sz w:val="22"/>
          <w:szCs w:val="22"/>
        </w:rPr>
      </w:pPr>
      <w:bookmarkStart w:id="17" w:name="_Toc178847893"/>
      <w:r w:rsidRPr="0086351C">
        <w:rPr>
          <w:rFonts w:ascii="Arial" w:hAnsi="Arial" w:cs="Arial"/>
          <w:sz w:val="22"/>
          <w:szCs w:val="22"/>
        </w:rPr>
        <w:t>ASPECTO LEGAL</w:t>
      </w:r>
      <w:bookmarkEnd w:id="17"/>
    </w:p>
    <w:p w14:paraId="18B623EC" w14:textId="77777777" w:rsidR="00627621" w:rsidRDefault="00627621" w:rsidP="00627621">
      <w:pPr>
        <w:spacing w:before="240"/>
        <w:jc w:val="both"/>
        <w:rPr>
          <w:rFonts w:ascii="Arial" w:eastAsia="Tahoma" w:hAnsi="Arial" w:cs="Arial"/>
          <w:b/>
          <w:bCs/>
          <w:sz w:val="22"/>
          <w:szCs w:val="22"/>
        </w:rPr>
      </w:pPr>
    </w:p>
    <w:p w14:paraId="5235C9C6" w14:textId="3BA73557" w:rsidR="5B747D21" w:rsidRPr="000F3E8A" w:rsidRDefault="5B747D21" w:rsidP="00627621">
      <w:pPr>
        <w:spacing w:before="240"/>
        <w:jc w:val="both"/>
        <w:rPr>
          <w:rFonts w:ascii="Arial" w:eastAsia="Tahoma" w:hAnsi="Arial" w:cs="Arial"/>
          <w:b/>
          <w:bCs/>
          <w:sz w:val="22"/>
          <w:szCs w:val="22"/>
        </w:rPr>
      </w:pPr>
      <w:r w:rsidRPr="000F3E8A">
        <w:rPr>
          <w:rFonts w:ascii="Arial" w:eastAsia="Tahoma" w:hAnsi="Arial" w:cs="Arial"/>
          <w:b/>
          <w:bCs/>
          <w:sz w:val="22"/>
          <w:szCs w:val="22"/>
        </w:rPr>
        <w:t xml:space="preserve">En relación con la prestación del servicio de </w:t>
      </w:r>
      <w:r w:rsidR="4DA27D9B" w:rsidRPr="000F3E8A">
        <w:rPr>
          <w:rFonts w:ascii="Arial" w:eastAsia="Tahoma" w:hAnsi="Arial" w:cs="Arial"/>
          <w:b/>
          <w:bCs/>
          <w:sz w:val="22"/>
          <w:szCs w:val="22"/>
        </w:rPr>
        <w:t>EPSEA</w:t>
      </w:r>
    </w:p>
    <w:p w14:paraId="4556D20E" w14:textId="77777777" w:rsidR="00C82F02" w:rsidRPr="000F3E8A" w:rsidRDefault="00C82F02" w:rsidP="1C5DF8D6">
      <w:pPr>
        <w:autoSpaceDE w:val="0"/>
        <w:autoSpaceDN w:val="0"/>
        <w:adjustRightInd w:val="0"/>
        <w:jc w:val="both"/>
        <w:rPr>
          <w:rFonts w:ascii="Arial" w:eastAsia="Tahoma" w:hAnsi="Arial" w:cs="Arial"/>
          <w:sz w:val="22"/>
          <w:szCs w:val="22"/>
        </w:rPr>
      </w:pPr>
    </w:p>
    <w:p w14:paraId="041F81EF" w14:textId="7100A5F5" w:rsidR="00414006" w:rsidRPr="000F3E8A" w:rsidRDefault="00414006" w:rsidP="00627621">
      <w:pPr>
        <w:pStyle w:val="Ttulo2"/>
        <w:numPr>
          <w:ilvl w:val="1"/>
          <w:numId w:val="29"/>
        </w:numPr>
        <w:rPr>
          <w:rFonts w:ascii="Arial" w:eastAsia="Tahoma" w:hAnsi="Arial" w:cs="Arial"/>
          <w:sz w:val="22"/>
          <w:szCs w:val="22"/>
        </w:rPr>
      </w:pPr>
      <w:bookmarkStart w:id="18" w:name="_Toc178847894"/>
      <w:r w:rsidRPr="000F3E8A">
        <w:rPr>
          <w:rFonts w:ascii="Arial" w:eastAsia="Tahoma" w:hAnsi="Arial" w:cs="Arial"/>
          <w:sz w:val="22"/>
          <w:szCs w:val="22"/>
        </w:rPr>
        <w:t>Plan Nacional de Desarrollo</w:t>
      </w:r>
      <w:bookmarkEnd w:id="18"/>
    </w:p>
    <w:p w14:paraId="785C6ACB" w14:textId="77777777" w:rsidR="00414006" w:rsidRPr="000F3E8A" w:rsidRDefault="00414006" w:rsidP="1C5DF8D6">
      <w:pPr>
        <w:autoSpaceDE w:val="0"/>
        <w:autoSpaceDN w:val="0"/>
        <w:adjustRightInd w:val="0"/>
        <w:rPr>
          <w:rFonts w:ascii="Arial" w:eastAsia="Tahoma" w:hAnsi="Arial" w:cs="Arial"/>
          <w:sz w:val="22"/>
          <w:szCs w:val="22"/>
        </w:rPr>
      </w:pPr>
    </w:p>
    <w:p w14:paraId="02370D7E" w14:textId="77777777" w:rsidR="00414006" w:rsidRPr="000F3E8A" w:rsidRDefault="00414006" w:rsidP="00627621">
      <w:pPr>
        <w:spacing w:line="276" w:lineRule="auto"/>
        <w:ind w:right="255"/>
        <w:jc w:val="both"/>
        <w:textAlignment w:val="baseline"/>
        <w:rPr>
          <w:rFonts w:ascii="Arial" w:eastAsia="Tahoma" w:hAnsi="Arial" w:cs="Arial"/>
          <w:sz w:val="22"/>
          <w:szCs w:val="22"/>
        </w:rPr>
      </w:pPr>
      <w:r w:rsidRPr="000F3E8A">
        <w:rPr>
          <w:rFonts w:ascii="Arial" w:eastAsia="Tahoma" w:hAnsi="Arial" w:cs="Arial"/>
          <w:sz w:val="22"/>
          <w:szCs w:val="22"/>
        </w:rPr>
        <w:t>En el Plan Nacional de Desarrollo 2023 - 2026 “Colombia potencia mundial de la vida”, la Agencia de Desarrollo Rural identifica corresponsabilidad en algunos de los Ejes de Transformación que a continuación serán presentados: </w:t>
      </w:r>
    </w:p>
    <w:p w14:paraId="150D4556" w14:textId="77777777" w:rsidR="00414006" w:rsidRPr="000F3E8A" w:rsidRDefault="00414006" w:rsidP="00627621">
      <w:pPr>
        <w:spacing w:line="276" w:lineRule="auto"/>
        <w:ind w:left="426"/>
        <w:jc w:val="both"/>
        <w:textAlignment w:val="baseline"/>
        <w:rPr>
          <w:rFonts w:ascii="Arial" w:eastAsia="Tahoma" w:hAnsi="Arial" w:cs="Arial"/>
          <w:sz w:val="22"/>
          <w:szCs w:val="22"/>
        </w:rPr>
      </w:pPr>
      <w:r w:rsidRPr="000F3E8A">
        <w:rPr>
          <w:rFonts w:ascii="Arial" w:eastAsia="Tahoma" w:hAnsi="Arial" w:cs="Arial"/>
          <w:sz w:val="22"/>
          <w:szCs w:val="22"/>
        </w:rPr>
        <w:t>  </w:t>
      </w:r>
    </w:p>
    <w:p w14:paraId="3929B9D0" w14:textId="77777777" w:rsidR="00414006" w:rsidRPr="000F3E8A" w:rsidRDefault="00414006" w:rsidP="00627621">
      <w:pPr>
        <w:numPr>
          <w:ilvl w:val="0"/>
          <w:numId w:val="14"/>
        </w:numPr>
        <w:spacing w:line="276" w:lineRule="auto"/>
        <w:ind w:left="426" w:firstLine="0"/>
        <w:jc w:val="both"/>
        <w:textAlignment w:val="baseline"/>
        <w:rPr>
          <w:rFonts w:ascii="Arial" w:eastAsia="Tahoma" w:hAnsi="Arial" w:cs="Arial"/>
          <w:sz w:val="22"/>
          <w:szCs w:val="22"/>
        </w:rPr>
      </w:pPr>
      <w:r w:rsidRPr="000F3E8A">
        <w:rPr>
          <w:rFonts w:ascii="Arial" w:eastAsia="Tahoma" w:hAnsi="Arial" w:cs="Arial"/>
          <w:sz w:val="22"/>
          <w:szCs w:val="22"/>
        </w:rPr>
        <w:t>Paz Total: “Entre 2017 y 2021, la afectación de la población por causa del conflicto se ha mantenido en niveles elevados en 155 municipios, mientras que en 23 adicionales ha aumentado. Esto implicó el ingreso de 156.086 nuevas víctimas al registro único de víctimas (RUV) en 2021.”1 frente a dicha situación, el estado colombiano propone que a través del impulso de modelos de desarrollo territoriales y de mecanismos de democratización de la tenencia de la tierra priorizando a las mujeres, la Reforma Rural Integral avanzará al transformar a Colombia en una potencia agroalimentaria sostenible y garantizar el derecho humano a la alimentación para todos sus habitantes. Se permitirá el acceso de los productores de la economía familiar, campesina y comunitaria a factores productivos, como soluciones de riego, tecnología, extensión agropecuaria, conectividad y servicios complementarios a la producción2. </w:t>
      </w:r>
    </w:p>
    <w:p w14:paraId="10CA2949" w14:textId="77777777" w:rsidR="00414006" w:rsidRPr="000F3E8A" w:rsidRDefault="00414006" w:rsidP="00627621">
      <w:pPr>
        <w:spacing w:line="276" w:lineRule="auto"/>
        <w:ind w:left="426"/>
        <w:jc w:val="both"/>
        <w:textAlignment w:val="baseline"/>
        <w:rPr>
          <w:rFonts w:ascii="Arial" w:eastAsia="Tahoma" w:hAnsi="Arial" w:cs="Arial"/>
          <w:sz w:val="22"/>
          <w:szCs w:val="22"/>
        </w:rPr>
      </w:pPr>
      <w:r w:rsidRPr="000F3E8A">
        <w:rPr>
          <w:rFonts w:ascii="Arial" w:eastAsia="Tahoma" w:hAnsi="Arial" w:cs="Arial"/>
          <w:sz w:val="22"/>
          <w:szCs w:val="22"/>
        </w:rPr>
        <w:t> </w:t>
      </w:r>
    </w:p>
    <w:p w14:paraId="369E80AE" w14:textId="77777777" w:rsidR="00414006" w:rsidRPr="000F3E8A" w:rsidRDefault="00414006" w:rsidP="00627621">
      <w:pPr>
        <w:numPr>
          <w:ilvl w:val="0"/>
          <w:numId w:val="15"/>
        </w:numPr>
        <w:spacing w:line="276" w:lineRule="auto"/>
        <w:ind w:left="426" w:firstLine="0"/>
        <w:jc w:val="both"/>
        <w:textAlignment w:val="baseline"/>
        <w:rPr>
          <w:rFonts w:ascii="Arial" w:eastAsia="Tahoma" w:hAnsi="Arial" w:cs="Arial"/>
          <w:sz w:val="22"/>
          <w:szCs w:val="22"/>
        </w:rPr>
      </w:pPr>
      <w:r w:rsidRPr="000F3E8A">
        <w:rPr>
          <w:rFonts w:ascii="Arial" w:eastAsia="Tahoma" w:hAnsi="Arial" w:cs="Arial"/>
          <w:sz w:val="22"/>
          <w:szCs w:val="22"/>
        </w:rPr>
        <w:t>Ordenamiento del territorio alrededor del agua y justicia ambiental: su importancia radica en la necesidad de fortalecer la gobernanza y la participación para construir visiones comunes y visibilizar cuales son las intervenciones más estratégicas en los territorios, y con ello, ayudar a ordenar la compleja institucionalidad y simplificar los instrumentos que la acompañan. Para esto, es necesario implementar estrategias que armonicen la extensión agropecuaria a los Esquemas Asociativos Territoriales, buscando fortalecer sus competencias y funciones, y a los municipios, en la actualización de los planes de ordenamiento territorial y la implementación de instrumentos de gestión y financiación urbanos y rurales. </w:t>
      </w:r>
    </w:p>
    <w:p w14:paraId="79BB5EA9" w14:textId="77777777" w:rsidR="00414006" w:rsidRPr="000F3E8A" w:rsidRDefault="00414006" w:rsidP="00627621">
      <w:pPr>
        <w:spacing w:line="276" w:lineRule="auto"/>
        <w:ind w:left="426"/>
        <w:jc w:val="both"/>
        <w:textAlignment w:val="baseline"/>
        <w:rPr>
          <w:rFonts w:ascii="Arial" w:eastAsia="Tahoma" w:hAnsi="Arial" w:cs="Arial"/>
          <w:sz w:val="22"/>
          <w:szCs w:val="22"/>
        </w:rPr>
      </w:pPr>
      <w:r w:rsidRPr="000F3E8A">
        <w:rPr>
          <w:rFonts w:ascii="Arial" w:eastAsia="Tahoma" w:hAnsi="Arial" w:cs="Arial"/>
          <w:sz w:val="22"/>
          <w:szCs w:val="22"/>
        </w:rPr>
        <w:lastRenderedPageBreak/>
        <w:t> </w:t>
      </w:r>
    </w:p>
    <w:p w14:paraId="242B763A" w14:textId="77777777" w:rsidR="00414006" w:rsidRPr="000F3E8A" w:rsidRDefault="00414006" w:rsidP="00627621">
      <w:pPr>
        <w:numPr>
          <w:ilvl w:val="0"/>
          <w:numId w:val="16"/>
        </w:numPr>
        <w:spacing w:line="276" w:lineRule="auto"/>
        <w:ind w:left="426" w:firstLine="0"/>
        <w:jc w:val="both"/>
        <w:textAlignment w:val="baseline"/>
        <w:rPr>
          <w:rFonts w:ascii="Arial" w:eastAsia="Tahoma" w:hAnsi="Arial" w:cs="Arial"/>
          <w:sz w:val="22"/>
          <w:szCs w:val="22"/>
        </w:rPr>
      </w:pPr>
      <w:r w:rsidRPr="000F3E8A">
        <w:rPr>
          <w:rFonts w:ascii="Arial" w:eastAsia="Tahoma" w:hAnsi="Arial" w:cs="Arial"/>
          <w:sz w:val="22"/>
          <w:szCs w:val="22"/>
        </w:rPr>
        <w:t>Seguridad humana y justicia social: “La   vida justa y el buen vivir tiene que superar el enfoque tradicional basado en la seguridad física y la defensa. Desde una perspectiva más amplia, se enfatiza el papel del Estado como garante de oportunidades de desarrollo”3. Fundamentado en lo anterior, resulta de gran importancia estructurar mecanismos que permitan la participación en compras públicas de formas organizadas de la Economía Popular y Comunitaria a través de la formación y prestación del servicio público de extensión agropecuaria para fortalecer su capacidad asociativa, organizativa, técnica y productiva. </w:t>
      </w:r>
    </w:p>
    <w:p w14:paraId="32635A39" w14:textId="77777777" w:rsidR="00414006" w:rsidRPr="000F3E8A" w:rsidRDefault="00414006" w:rsidP="00627621">
      <w:pPr>
        <w:spacing w:line="276" w:lineRule="auto"/>
        <w:ind w:left="426"/>
        <w:jc w:val="both"/>
        <w:textAlignment w:val="baseline"/>
        <w:rPr>
          <w:rFonts w:ascii="Arial" w:eastAsia="Tahoma" w:hAnsi="Arial" w:cs="Arial"/>
          <w:sz w:val="22"/>
          <w:szCs w:val="22"/>
        </w:rPr>
      </w:pPr>
      <w:r w:rsidRPr="000F3E8A">
        <w:rPr>
          <w:rFonts w:ascii="Arial" w:eastAsia="Tahoma" w:hAnsi="Arial" w:cs="Arial"/>
          <w:sz w:val="22"/>
          <w:szCs w:val="22"/>
        </w:rPr>
        <w:t> </w:t>
      </w:r>
    </w:p>
    <w:p w14:paraId="28891DAA" w14:textId="77777777" w:rsidR="00414006" w:rsidRPr="000F3E8A" w:rsidRDefault="00414006" w:rsidP="00627621">
      <w:pPr>
        <w:numPr>
          <w:ilvl w:val="0"/>
          <w:numId w:val="17"/>
        </w:numPr>
        <w:spacing w:line="276" w:lineRule="auto"/>
        <w:ind w:left="426" w:firstLine="0"/>
        <w:jc w:val="both"/>
        <w:textAlignment w:val="baseline"/>
        <w:rPr>
          <w:rFonts w:ascii="Arial" w:eastAsia="Tahoma" w:hAnsi="Arial" w:cs="Arial"/>
          <w:sz w:val="22"/>
          <w:szCs w:val="22"/>
        </w:rPr>
      </w:pPr>
      <w:r w:rsidRPr="000F3E8A">
        <w:rPr>
          <w:rFonts w:ascii="Arial" w:eastAsia="Tahoma" w:hAnsi="Arial" w:cs="Arial"/>
          <w:sz w:val="22"/>
          <w:szCs w:val="22"/>
        </w:rPr>
        <w:t>Derecho humano a la alimentación: la presencia de altos niveles de inseguridad alimentaria y nutricional disminuye la posibilidad de ver a Colombia como una dispensa mundial de alimentos. Lo anterior este dado entre otras razones, por una baja cobertura en Servicios Públicos de Extensión Agropecuaria (SPEA)4; por ende, debe garantizarse el acceso oportuno y simultaneo a factores productivos como la extensión agropecuaria, entre otros. </w:t>
      </w:r>
    </w:p>
    <w:p w14:paraId="2F43DE3F" w14:textId="77777777" w:rsidR="00414006" w:rsidRPr="000F3E8A" w:rsidRDefault="00414006" w:rsidP="00627621">
      <w:pPr>
        <w:spacing w:line="276" w:lineRule="auto"/>
        <w:ind w:left="426"/>
        <w:jc w:val="both"/>
        <w:textAlignment w:val="baseline"/>
        <w:rPr>
          <w:rFonts w:ascii="Arial" w:eastAsia="Tahoma" w:hAnsi="Arial" w:cs="Arial"/>
          <w:sz w:val="22"/>
          <w:szCs w:val="22"/>
        </w:rPr>
      </w:pPr>
      <w:r w:rsidRPr="000F3E8A">
        <w:rPr>
          <w:rFonts w:ascii="Arial" w:eastAsia="Tahoma" w:hAnsi="Arial" w:cs="Arial"/>
          <w:sz w:val="22"/>
          <w:szCs w:val="22"/>
        </w:rPr>
        <w:t> </w:t>
      </w:r>
    </w:p>
    <w:p w14:paraId="59B1E868" w14:textId="77777777" w:rsidR="00414006" w:rsidRPr="000F3E8A" w:rsidRDefault="00414006" w:rsidP="00627621">
      <w:pPr>
        <w:spacing w:line="276" w:lineRule="auto"/>
        <w:jc w:val="both"/>
        <w:textAlignment w:val="baseline"/>
        <w:rPr>
          <w:rFonts w:ascii="Arial" w:eastAsia="Tahoma" w:hAnsi="Arial" w:cs="Arial"/>
          <w:sz w:val="22"/>
          <w:szCs w:val="22"/>
        </w:rPr>
      </w:pPr>
      <w:r w:rsidRPr="000F3E8A">
        <w:rPr>
          <w:rFonts w:ascii="Arial" w:eastAsia="Tahoma" w:hAnsi="Arial" w:cs="Arial"/>
          <w:sz w:val="22"/>
          <w:szCs w:val="22"/>
        </w:rPr>
        <w:t>Por consiguiente, se presentan los Ejes de Trazador y Lineamientos estratégicos definidos por el Ministerio de Agricultura y Desarrollo Rural, a los cuales apunta la necesidad planteada conforme al presente proyecto: </w:t>
      </w:r>
    </w:p>
    <w:p w14:paraId="11A1D5C4" w14:textId="77777777" w:rsidR="00D96C07" w:rsidRPr="0086351C" w:rsidRDefault="00D96C07" w:rsidP="1C5DF8D6">
      <w:pPr>
        <w:jc w:val="both"/>
        <w:textAlignment w:val="baseline"/>
        <w:rPr>
          <w:rFonts w:ascii="Arial" w:eastAsia="Tahoma" w:hAnsi="Arial" w:cs="Arial"/>
          <w:sz w:val="22"/>
          <w:szCs w:val="22"/>
        </w:rPr>
      </w:pP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4"/>
        <w:gridCol w:w="6208"/>
      </w:tblGrid>
      <w:tr w:rsidR="00414006" w:rsidRPr="00627621" w14:paraId="07F56697" w14:textId="77777777" w:rsidTr="00116ED1">
        <w:trPr>
          <w:trHeight w:val="30"/>
        </w:trPr>
        <w:tc>
          <w:tcPr>
            <w:tcW w:w="2614" w:type="dxa"/>
            <w:tcBorders>
              <w:top w:val="single" w:sz="6" w:space="0" w:color="auto"/>
              <w:left w:val="single" w:sz="6" w:space="0" w:color="auto"/>
              <w:bottom w:val="single" w:sz="6" w:space="0" w:color="auto"/>
              <w:right w:val="single" w:sz="6" w:space="0" w:color="auto"/>
            </w:tcBorders>
            <w:shd w:val="clear" w:color="auto" w:fill="6CA62C"/>
            <w:vAlign w:val="center"/>
            <w:hideMark/>
          </w:tcPr>
          <w:p w14:paraId="4DEF78BA"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Eje Trazador</w:t>
            </w:r>
            <w:r w:rsidRPr="00627621">
              <w:rPr>
                <w:rFonts w:ascii="Arial" w:eastAsia="Tahoma" w:hAnsi="Arial" w:cs="Arial"/>
                <w:color w:val="000000"/>
                <w:sz w:val="18"/>
                <w:szCs w:val="18"/>
              </w:rPr>
              <w:t> </w:t>
            </w:r>
          </w:p>
        </w:tc>
        <w:tc>
          <w:tcPr>
            <w:tcW w:w="6208" w:type="dxa"/>
            <w:tcBorders>
              <w:top w:val="single" w:sz="6" w:space="0" w:color="auto"/>
              <w:left w:val="single" w:sz="6" w:space="0" w:color="auto"/>
              <w:bottom w:val="single" w:sz="6" w:space="0" w:color="auto"/>
              <w:right w:val="single" w:sz="6" w:space="0" w:color="auto"/>
            </w:tcBorders>
            <w:shd w:val="clear" w:color="auto" w:fill="6CA62C"/>
            <w:vAlign w:val="center"/>
            <w:hideMark/>
          </w:tcPr>
          <w:p w14:paraId="76F74A96" w14:textId="77777777" w:rsidR="00414006" w:rsidRPr="00627621" w:rsidRDefault="00414006" w:rsidP="1C5DF8D6">
            <w:pPr>
              <w:ind w:firstLine="720"/>
              <w:jc w:val="center"/>
              <w:textAlignment w:val="baseline"/>
              <w:rPr>
                <w:rFonts w:ascii="Arial" w:eastAsia="Tahoma" w:hAnsi="Arial" w:cs="Arial"/>
                <w:sz w:val="18"/>
                <w:szCs w:val="18"/>
              </w:rPr>
            </w:pPr>
            <w:r w:rsidRPr="00627621">
              <w:rPr>
                <w:rFonts w:ascii="Arial" w:eastAsia="Tahoma" w:hAnsi="Arial" w:cs="Arial"/>
                <w:b/>
                <w:bCs/>
                <w:color w:val="000000"/>
                <w:sz w:val="18"/>
                <w:szCs w:val="18"/>
              </w:rPr>
              <w:t>Lineamientos</w:t>
            </w:r>
            <w:r w:rsidRPr="00627621">
              <w:rPr>
                <w:rFonts w:ascii="Arial" w:eastAsia="Tahoma" w:hAnsi="Arial" w:cs="Arial"/>
                <w:color w:val="000000"/>
                <w:sz w:val="18"/>
                <w:szCs w:val="18"/>
              </w:rPr>
              <w:t> </w:t>
            </w:r>
          </w:p>
        </w:tc>
      </w:tr>
      <w:tr w:rsidR="00414006" w:rsidRPr="00627621" w14:paraId="0CF09E0B" w14:textId="77777777" w:rsidTr="00116ED1">
        <w:trPr>
          <w:trHeight w:val="1020"/>
        </w:trPr>
        <w:tc>
          <w:tcPr>
            <w:tcW w:w="26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6D5956"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Paz Total. Implementación del acuerdo de Paz y la reforma rural integral. </w:t>
            </w:r>
          </w:p>
          <w:p w14:paraId="3A093812" w14:textId="77777777" w:rsidR="00414006" w:rsidRPr="00627621" w:rsidRDefault="00414006" w:rsidP="1C5DF8D6">
            <w:pPr>
              <w:ind w:firstLine="720"/>
              <w:jc w:val="center"/>
              <w:textAlignment w:val="baseline"/>
              <w:rPr>
                <w:rFonts w:ascii="Arial" w:eastAsia="Tahoma" w:hAnsi="Arial" w:cs="Arial"/>
                <w:sz w:val="18"/>
                <w:szCs w:val="18"/>
              </w:rPr>
            </w:pPr>
            <w:r w:rsidRPr="00627621">
              <w:rPr>
                <w:rFonts w:ascii="Arial" w:eastAsia="Tahoma" w:hAnsi="Arial" w:cs="Arial"/>
                <w:color w:val="000000"/>
                <w:sz w:val="18"/>
                <w:szCs w:val="18"/>
              </w:rPr>
              <w:t>  </w:t>
            </w:r>
          </w:p>
          <w:p w14:paraId="0EB8DFE3" w14:textId="77777777" w:rsidR="00414006" w:rsidRPr="00627621" w:rsidRDefault="00414006" w:rsidP="1C5DF8D6">
            <w:pPr>
              <w:ind w:firstLine="720"/>
              <w:jc w:val="both"/>
              <w:textAlignment w:val="baseline"/>
              <w:rPr>
                <w:rFonts w:ascii="Arial" w:eastAsia="Tahoma" w:hAnsi="Arial" w:cs="Arial"/>
                <w:sz w:val="18"/>
                <w:szCs w:val="18"/>
              </w:rPr>
            </w:pPr>
            <w:r w:rsidRPr="00627621">
              <w:rPr>
                <w:rFonts w:ascii="Arial" w:eastAsia="Tahoma" w:hAnsi="Arial" w:cs="Arial"/>
                <w:color w:val="000000"/>
                <w:sz w:val="18"/>
                <w:szCs w:val="18"/>
              </w:rPr>
              <w:t>  </w:t>
            </w:r>
          </w:p>
          <w:p w14:paraId="6571B6AB" w14:textId="77777777" w:rsidR="00414006" w:rsidRPr="00627621" w:rsidRDefault="00414006" w:rsidP="1C5DF8D6">
            <w:pPr>
              <w:ind w:firstLine="720"/>
              <w:jc w:val="both"/>
              <w:textAlignment w:val="baseline"/>
              <w:rPr>
                <w:rFonts w:ascii="Arial" w:eastAsia="Tahoma" w:hAnsi="Arial" w:cs="Arial"/>
                <w:sz w:val="18"/>
                <w:szCs w:val="18"/>
              </w:rPr>
            </w:pPr>
            <w:r w:rsidRPr="00627621">
              <w:rPr>
                <w:rFonts w:ascii="Arial" w:eastAsia="Tahoma" w:hAnsi="Arial" w:cs="Arial"/>
                <w:color w:val="000000"/>
                <w:sz w:val="18"/>
                <w:szCs w:val="18"/>
              </w:rPr>
              <w:t>  </w:t>
            </w:r>
          </w:p>
        </w:tc>
        <w:tc>
          <w:tcPr>
            <w:tcW w:w="6208" w:type="dxa"/>
            <w:tcBorders>
              <w:top w:val="single" w:sz="6" w:space="0" w:color="auto"/>
              <w:left w:val="single" w:sz="6" w:space="0" w:color="auto"/>
              <w:bottom w:val="single" w:sz="6" w:space="0" w:color="auto"/>
              <w:right w:val="single" w:sz="6" w:space="0" w:color="auto"/>
            </w:tcBorders>
            <w:shd w:val="clear" w:color="auto" w:fill="auto"/>
            <w:hideMark/>
          </w:tcPr>
          <w:p w14:paraId="5679A898"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Promover el uso adecuado del suelo rural en el marco de la Reforma Rural Integral conforme a lo establecido en: </w:t>
            </w:r>
          </w:p>
          <w:p w14:paraId="1445AD55" w14:textId="77777777" w:rsidR="00414006" w:rsidRPr="00627621" w:rsidRDefault="00414006">
            <w:pPr>
              <w:numPr>
                <w:ilvl w:val="0"/>
                <w:numId w:val="18"/>
              </w:numPr>
              <w:tabs>
                <w:tab w:val="clear" w:pos="720"/>
              </w:tabs>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Decreto Ley 902 de 2017 </w:t>
            </w:r>
          </w:p>
          <w:p w14:paraId="50174EC0" w14:textId="77777777" w:rsidR="00414006" w:rsidRPr="00627621" w:rsidRDefault="00414006">
            <w:pPr>
              <w:numPr>
                <w:ilvl w:val="0"/>
                <w:numId w:val="18"/>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Los Planes Nacionales Sectoriales de la Reforma Rural Integral – RRI </w:t>
            </w:r>
          </w:p>
          <w:p w14:paraId="2934F06C" w14:textId="77777777" w:rsidR="00414006" w:rsidRPr="00627621" w:rsidRDefault="00414006">
            <w:pPr>
              <w:numPr>
                <w:ilvl w:val="0"/>
                <w:numId w:val="18"/>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Programas de Desarrollo con Enfoque Territorial – PDET </w:t>
            </w:r>
          </w:p>
          <w:p w14:paraId="6EF81C73" w14:textId="77777777" w:rsidR="00414006" w:rsidRPr="00627621" w:rsidRDefault="00414006">
            <w:pPr>
              <w:numPr>
                <w:ilvl w:val="0"/>
                <w:numId w:val="18"/>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Los Planes de Desarrollo Sostenible de las Zonas de Reserva Campesina – PDS </w:t>
            </w:r>
          </w:p>
          <w:p w14:paraId="3F6850FA" w14:textId="77777777" w:rsidR="00414006" w:rsidRPr="00627621" w:rsidRDefault="00414006">
            <w:pPr>
              <w:numPr>
                <w:ilvl w:val="0"/>
                <w:numId w:val="18"/>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Los instrumentos de manejo de las áreas especial interés ambiental. </w:t>
            </w:r>
          </w:p>
          <w:p w14:paraId="1FF76190" w14:textId="77777777" w:rsidR="00414006" w:rsidRPr="00627621" w:rsidRDefault="00414006">
            <w:pPr>
              <w:numPr>
                <w:ilvl w:val="0"/>
                <w:numId w:val="18"/>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Planes de vida, Planes de Salvaguarda y Planes de Desarrollo Sostenible de los territorios étnicos </w:t>
            </w:r>
          </w:p>
          <w:p w14:paraId="70668383" w14:textId="77777777" w:rsidR="00414006" w:rsidRPr="00627621" w:rsidRDefault="00414006" w:rsidP="1C5DF8D6">
            <w:pPr>
              <w:ind w:left="1082"/>
              <w:textAlignment w:val="baseline"/>
              <w:rPr>
                <w:rFonts w:ascii="Arial" w:eastAsia="Tahoma" w:hAnsi="Arial" w:cs="Arial"/>
                <w:sz w:val="18"/>
                <w:szCs w:val="18"/>
              </w:rPr>
            </w:pPr>
            <w:r w:rsidRPr="00627621">
              <w:rPr>
                <w:rFonts w:ascii="Arial" w:eastAsia="Tahoma" w:hAnsi="Arial" w:cs="Arial"/>
                <w:color w:val="000000"/>
                <w:sz w:val="18"/>
                <w:szCs w:val="18"/>
              </w:rPr>
              <w:t> </w:t>
            </w:r>
          </w:p>
          <w:p w14:paraId="7864E968" w14:textId="3EB43164" w:rsidR="00414006" w:rsidRPr="00627621" w:rsidRDefault="00414006" w:rsidP="00971B96">
            <w:pPr>
              <w:jc w:val="both"/>
              <w:textAlignment w:val="baseline"/>
              <w:rPr>
                <w:rFonts w:ascii="Arial" w:eastAsia="Tahoma" w:hAnsi="Arial" w:cs="Arial"/>
                <w:sz w:val="18"/>
                <w:szCs w:val="18"/>
              </w:rPr>
            </w:pPr>
            <w:r w:rsidRPr="00627621">
              <w:rPr>
                <w:rFonts w:ascii="Arial" w:eastAsia="Tahoma" w:hAnsi="Arial" w:cs="Arial"/>
                <w:color w:val="000000"/>
                <w:sz w:val="18"/>
                <w:szCs w:val="18"/>
              </w:rPr>
              <w:t>Para ello se deberá promover: </w:t>
            </w:r>
          </w:p>
          <w:p w14:paraId="525B2FF8"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Proyectos Productivos Individúales y/o asociativos priorizando y/o favoreciendo aquellos identificados en el seno de las organizaciones campesinas de productores y de cadena, en el marco de los procesos de asignación y reconocimiento de derechos que otorgue la Agencia Nacional de Tierras. </w:t>
            </w:r>
          </w:p>
          <w:p w14:paraId="0F4C1A3C"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Proyectos Productivos que acompañen los procesos de constitución de territorios colectivos a comunidades étnicas. </w:t>
            </w:r>
          </w:p>
          <w:p w14:paraId="75971ACE"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Desarrollo del componente productivo de los PDS en las Zonas de Reserva Campesina – ZRC </w:t>
            </w:r>
          </w:p>
          <w:p w14:paraId="40EC34B7"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Proyectos de reconversión y sustitución productiva en ecosistemas estratégicos, áreas protegidas o figuras complementarias de acuerdo con lineamientos y directrices del Ministerio de Ambiente y Desarrollo Sostenible y el Ministerio de Agricultura y Desarrollo Rural. </w:t>
            </w:r>
          </w:p>
          <w:p w14:paraId="40AF2F44"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lastRenderedPageBreak/>
              <w:t>Acompañamiento con proyectos productivos sobre los predios entregados a comunidades rurales por la sociedad de Activos Especiales – SAE-, para el desarrollo productivo. </w:t>
            </w:r>
          </w:p>
          <w:p w14:paraId="1BB514EE" w14:textId="77777777" w:rsidR="00414006" w:rsidRPr="00627621" w:rsidRDefault="00414006">
            <w:pPr>
              <w:numPr>
                <w:ilvl w:val="0"/>
                <w:numId w:val="19"/>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Acompañamiento con proyectos productivos a los procesos de reubicación de familias damnificadas por las afectaciones climáticas que sean beneficiarias de programas de acceso de tierras </w:t>
            </w:r>
          </w:p>
        </w:tc>
      </w:tr>
      <w:tr w:rsidR="00414006" w:rsidRPr="00627621" w14:paraId="5B68890E" w14:textId="77777777" w:rsidTr="00116ED1">
        <w:trPr>
          <w:trHeight w:val="630"/>
        </w:trPr>
        <w:tc>
          <w:tcPr>
            <w:tcW w:w="26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EBCC97"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lastRenderedPageBreak/>
              <w:t>Ordenamiento del Territorio alrededor del agua y justicia ambiental* </w:t>
            </w:r>
          </w:p>
        </w:tc>
        <w:tc>
          <w:tcPr>
            <w:tcW w:w="6208" w:type="dxa"/>
            <w:tcBorders>
              <w:top w:val="single" w:sz="6" w:space="0" w:color="auto"/>
              <w:left w:val="single" w:sz="6" w:space="0" w:color="auto"/>
              <w:bottom w:val="single" w:sz="6" w:space="0" w:color="auto"/>
              <w:right w:val="single" w:sz="6" w:space="0" w:color="auto"/>
            </w:tcBorders>
            <w:shd w:val="clear" w:color="auto" w:fill="auto"/>
            <w:hideMark/>
          </w:tcPr>
          <w:p w14:paraId="42145FFF"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4. Capacidades de los gobiernos locales y las comunidades para la toma de decisiones de ordenamiento y planificación territorial. </w:t>
            </w:r>
          </w:p>
          <w:p w14:paraId="22B39ABF"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a. Empoderamiento de los gobiernos locales y sus comunidades.  </w:t>
            </w:r>
          </w:p>
          <w:p w14:paraId="5F445472"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b. Principio de concurrencia </w:t>
            </w:r>
          </w:p>
        </w:tc>
      </w:tr>
      <w:tr w:rsidR="00414006" w:rsidRPr="00627621" w14:paraId="0C06869E" w14:textId="77777777" w:rsidTr="00116ED1">
        <w:trPr>
          <w:trHeight w:val="1020"/>
        </w:trPr>
        <w:tc>
          <w:tcPr>
            <w:tcW w:w="26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5ED0A6"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Seguridad Humana y Justicia Social* </w:t>
            </w:r>
          </w:p>
        </w:tc>
        <w:tc>
          <w:tcPr>
            <w:tcW w:w="6208" w:type="dxa"/>
            <w:tcBorders>
              <w:top w:val="single" w:sz="6" w:space="0" w:color="auto"/>
              <w:left w:val="single" w:sz="6" w:space="0" w:color="auto"/>
              <w:bottom w:val="single" w:sz="6" w:space="0" w:color="auto"/>
              <w:right w:val="single" w:sz="6" w:space="0" w:color="auto"/>
            </w:tcBorders>
            <w:shd w:val="clear" w:color="auto" w:fill="auto"/>
            <w:hideMark/>
          </w:tcPr>
          <w:p w14:paraId="54776617"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B. Políticas de inclusión productiva con trabajo decente y apoyo al emprendimiento. </w:t>
            </w:r>
          </w:p>
          <w:p w14:paraId="03946EE1"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  </w:t>
            </w:r>
          </w:p>
          <w:p w14:paraId="706E5E24"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1. Reconocimiento e impulso a la Economía Popular y Comunitaria (EPC) </w:t>
            </w:r>
          </w:p>
          <w:p w14:paraId="551E71F4"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d. Apoyos para la asociatividad, fortalecimiento y sostenibilidad de las unidades económicas de la EPC. </w:t>
            </w:r>
          </w:p>
        </w:tc>
      </w:tr>
      <w:tr w:rsidR="00414006" w:rsidRPr="00627621" w14:paraId="5CD2CADC" w14:textId="77777777" w:rsidTr="00116ED1">
        <w:trPr>
          <w:trHeight w:val="1020"/>
        </w:trPr>
        <w:tc>
          <w:tcPr>
            <w:tcW w:w="26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67213B"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Derecho Humano a la Alimentación </w:t>
            </w:r>
          </w:p>
          <w:p w14:paraId="1C72B95D" w14:textId="77777777" w:rsidR="00414006" w:rsidRPr="00627621" w:rsidRDefault="00414006" w:rsidP="1C5DF8D6">
            <w:pPr>
              <w:ind w:firstLine="720"/>
              <w:jc w:val="center"/>
              <w:textAlignment w:val="baseline"/>
              <w:rPr>
                <w:rFonts w:ascii="Arial" w:eastAsia="Tahoma" w:hAnsi="Arial" w:cs="Arial"/>
                <w:sz w:val="18"/>
                <w:szCs w:val="18"/>
              </w:rPr>
            </w:pPr>
            <w:r w:rsidRPr="00627621">
              <w:rPr>
                <w:rFonts w:ascii="Arial" w:eastAsia="Tahoma" w:hAnsi="Arial" w:cs="Arial"/>
                <w:color w:val="000000"/>
                <w:sz w:val="18"/>
                <w:szCs w:val="18"/>
              </w:rPr>
              <w:t>  </w:t>
            </w:r>
          </w:p>
          <w:p w14:paraId="783DF208" w14:textId="77777777" w:rsidR="00414006" w:rsidRPr="00627621" w:rsidRDefault="00414006" w:rsidP="1C5DF8D6">
            <w:pPr>
              <w:ind w:firstLine="720"/>
              <w:jc w:val="center"/>
              <w:textAlignment w:val="baseline"/>
              <w:rPr>
                <w:rFonts w:ascii="Arial" w:eastAsia="Tahoma" w:hAnsi="Arial" w:cs="Arial"/>
                <w:sz w:val="18"/>
                <w:szCs w:val="18"/>
              </w:rPr>
            </w:pPr>
            <w:r w:rsidRPr="00627621">
              <w:rPr>
                <w:rFonts w:ascii="Arial" w:eastAsia="Tahoma" w:hAnsi="Arial" w:cs="Arial"/>
                <w:color w:val="000000"/>
                <w:sz w:val="18"/>
                <w:szCs w:val="18"/>
              </w:rPr>
              <w:t>  </w:t>
            </w:r>
          </w:p>
          <w:p w14:paraId="7B7B2785" w14:textId="77777777" w:rsidR="00414006" w:rsidRPr="00627621" w:rsidRDefault="00414006" w:rsidP="1C5DF8D6">
            <w:pPr>
              <w:ind w:firstLine="720"/>
              <w:jc w:val="center"/>
              <w:textAlignment w:val="baseline"/>
              <w:rPr>
                <w:rFonts w:ascii="Arial" w:eastAsia="Tahoma" w:hAnsi="Arial" w:cs="Arial"/>
                <w:sz w:val="18"/>
                <w:szCs w:val="18"/>
              </w:rPr>
            </w:pPr>
            <w:r w:rsidRPr="00627621">
              <w:rPr>
                <w:rFonts w:ascii="Arial" w:eastAsia="Tahoma" w:hAnsi="Arial" w:cs="Arial"/>
                <w:color w:val="000000"/>
                <w:sz w:val="18"/>
                <w:szCs w:val="18"/>
              </w:rPr>
              <w:t>  </w:t>
            </w:r>
          </w:p>
        </w:tc>
        <w:tc>
          <w:tcPr>
            <w:tcW w:w="6208" w:type="dxa"/>
            <w:tcBorders>
              <w:top w:val="single" w:sz="6" w:space="0" w:color="auto"/>
              <w:left w:val="single" w:sz="6" w:space="0" w:color="auto"/>
              <w:bottom w:val="single" w:sz="6" w:space="0" w:color="auto"/>
              <w:right w:val="single" w:sz="6" w:space="0" w:color="auto"/>
            </w:tcBorders>
            <w:shd w:val="clear" w:color="auto" w:fill="auto"/>
            <w:hideMark/>
          </w:tcPr>
          <w:p w14:paraId="3EA81B05" w14:textId="77777777" w:rsidR="00414006" w:rsidRPr="00627621" w:rsidRDefault="00414006" w:rsidP="1C5DF8D6">
            <w:pPr>
              <w:ind w:firstLine="720"/>
              <w:jc w:val="both"/>
              <w:textAlignment w:val="baseline"/>
              <w:rPr>
                <w:rFonts w:ascii="Arial" w:eastAsia="Tahoma" w:hAnsi="Arial" w:cs="Arial"/>
                <w:sz w:val="18"/>
                <w:szCs w:val="18"/>
              </w:rPr>
            </w:pPr>
            <w:r w:rsidRPr="00627621">
              <w:rPr>
                <w:rFonts w:ascii="Arial" w:eastAsia="Tahoma" w:hAnsi="Arial" w:cs="Arial"/>
                <w:color w:val="000000"/>
                <w:sz w:val="18"/>
                <w:szCs w:val="18"/>
              </w:rPr>
              <w:t>Transformación del sector agropecuaria para producir más y mejores lineamientos. Bases PND 2022-2026. </w:t>
            </w:r>
          </w:p>
          <w:p w14:paraId="5221527A" w14:textId="77777777" w:rsidR="00414006" w:rsidRPr="00627621" w:rsidRDefault="00414006">
            <w:pPr>
              <w:numPr>
                <w:ilvl w:val="0"/>
                <w:numId w:val="20"/>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Proveer acceso a factores productivos en forma oportuna a los productores rurales de acuerdo con sus sistemas de vida. </w:t>
            </w:r>
          </w:p>
          <w:p w14:paraId="6365ECFB" w14:textId="77777777" w:rsidR="00414006" w:rsidRPr="00627621" w:rsidRDefault="00414006">
            <w:pPr>
              <w:numPr>
                <w:ilvl w:val="0"/>
                <w:numId w:val="20"/>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Promoción y aprovechamiento de infraestructura para el desarrollo rural. La ADR promoverá iniciativas que fomenten el uso, complementación y/o construcción de infraestructura rural o bienes públicos productivos a nivel nacional, para el aprovechamiento por parte de los pobladores rurales, priorizando y/o favoreciendo aquellos identificados en el seno de las organizaciones campesinas de productores y de cadena. </w:t>
            </w:r>
          </w:p>
          <w:p w14:paraId="58415125" w14:textId="77777777" w:rsidR="00414006" w:rsidRPr="00627621" w:rsidRDefault="00414006">
            <w:pPr>
              <w:numPr>
                <w:ilvl w:val="0"/>
                <w:numId w:val="20"/>
              </w:numPr>
              <w:ind w:left="367" w:firstLine="0"/>
              <w:jc w:val="both"/>
              <w:textAlignment w:val="baseline"/>
              <w:rPr>
                <w:rFonts w:ascii="Arial" w:eastAsia="Tahoma" w:hAnsi="Arial" w:cs="Arial"/>
                <w:sz w:val="18"/>
                <w:szCs w:val="18"/>
              </w:rPr>
            </w:pPr>
            <w:r w:rsidRPr="00627621">
              <w:rPr>
                <w:rFonts w:ascii="Arial" w:eastAsia="Tahoma" w:hAnsi="Arial" w:cs="Arial"/>
                <w:color w:val="000000"/>
                <w:sz w:val="18"/>
                <w:szCs w:val="18"/>
              </w:rPr>
              <w:t>Sistemas Territoriales de Innovación, fortalecimiento del Sistema Nacional de Innovación Agropecuaria (SNIA) y misión de investigación e innovación. </w:t>
            </w:r>
          </w:p>
        </w:tc>
      </w:tr>
    </w:tbl>
    <w:p w14:paraId="75A7DDFA" w14:textId="77777777" w:rsidR="00116ED1" w:rsidRPr="0086351C" w:rsidRDefault="00116ED1" w:rsidP="00116ED1">
      <w:pPr>
        <w:jc w:val="both"/>
        <w:textAlignment w:val="baseline"/>
        <w:rPr>
          <w:rFonts w:ascii="Arial" w:eastAsia="Arial" w:hAnsi="Arial" w:cs="Arial"/>
          <w:sz w:val="18"/>
          <w:szCs w:val="18"/>
        </w:rPr>
      </w:pPr>
      <w:r w:rsidRPr="0086351C">
        <w:rPr>
          <w:rFonts w:ascii="Arial" w:eastAsia="Arial" w:hAnsi="Arial" w:cs="Arial"/>
          <w:sz w:val="18"/>
          <w:szCs w:val="18"/>
        </w:rPr>
        <w:t>*Extraído y adaptado de las Bases del Plan Nacional de Desarrollo 2022-2026. Colombia Potencia Mundial de la Vida”. </w:t>
      </w:r>
    </w:p>
    <w:p w14:paraId="43FBACEA" w14:textId="77777777" w:rsidR="00116ED1" w:rsidRPr="0086351C" w:rsidRDefault="00116ED1" w:rsidP="00116ED1">
      <w:pPr>
        <w:pStyle w:val="Descripcin"/>
        <w:spacing w:after="0"/>
        <w:jc w:val="center"/>
        <w:rPr>
          <w:rFonts w:ascii="Arial" w:eastAsia="Arial" w:hAnsi="Arial" w:cs="Arial"/>
          <w:color w:val="auto"/>
        </w:rPr>
      </w:pPr>
      <w:r w:rsidRPr="0086351C">
        <w:rPr>
          <w:rFonts w:ascii="Arial" w:eastAsia="Arial" w:hAnsi="Arial" w:cs="Arial"/>
          <w:sz w:val="22"/>
          <w:szCs w:val="22"/>
        </w:rPr>
        <w:t> </w:t>
      </w:r>
      <w:r w:rsidRPr="0086351C">
        <w:rPr>
          <w:rFonts w:ascii="Arial" w:eastAsia="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10</w:t>
      </w:r>
      <w:r w:rsidRPr="0086351C">
        <w:rPr>
          <w:rFonts w:ascii="Arial" w:hAnsi="Arial" w:cs="Arial"/>
          <w:color w:val="auto"/>
        </w:rPr>
        <w:fldChar w:fldCharType="end"/>
      </w:r>
      <w:r w:rsidRPr="0086351C">
        <w:rPr>
          <w:rFonts w:ascii="Arial" w:eastAsia="Arial" w:hAnsi="Arial" w:cs="Arial"/>
          <w:color w:val="auto"/>
        </w:rPr>
        <w:t>.Ejes de Trazador y Lineamientos estratégicos</w:t>
      </w:r>
    </w:p>
    <w:p w14:paraId="292578D5" w14:textId="77777777" w:rsidR="00116ED1" w:rsidRPr="0086351C" w:rsidRDefault="00116ED1" w:rsidP="00116ED1">
      <w:pPr>
        <w:jc w:val="center"/>
        <w:textAlignment w:val="baseline"/>
        <w:rPr>
          <w:rFonts w:ascii="Arial" w:eastAsia="Arial" w:hAnsi="Arial" w:cs="Arial"/>
          <w:i/>
          <w:sz w:val="18"/>
          <w:szCs w:val="18"/>
          <w:lang w:val="es-ES" w:eastAsia="en-US"/>
        </w:rPr>
      </w:pPr>
      <w:r w:rsidRPr="0086351C">
        <w:rPr>
          <w:rFonts w:ascii="Arial" w:eastAsia="Arial" w:hAnsi="Arial" w:cs="Arial"/>
          <w:i/>
          <w:sz w:val="18"/>
          <w:szCs w:val="18"/>
          <w:lang w:val="es-ES" w:eastAsia="en-US"/>
        </w:rPr>
        <w:t>Fuente: Elaboración propia y adaptada de “Lineamientos para distribución de recursos de cofinanciación para los proyectos estratégicos 2023-2026.</w:t>
      </w:r>
    </w:p>
    <w:p w14:paraId="57D9A9F3" w14:textId="77777777" w:rsidR="00414006" w:rsidRPr="0086351C" w:rsidRDefault="00414006" w:rsidP="1C5DF8D6">
      <w:pPr>
        <w:jc w:val="both"/>
        <w:textAlignment w:val="baseline"/>
        <w:rPr>
          <w:rFonts w:ascii="Arial" w:eastAsia="Tahoma" w:hAnsi="Arial" w:cs="Arial"/>
          <w:sz w:val="22"/>
          <w:szCs w:val="22"/>
        </w:rPr>
      </w:pPr>
      <w:r w:rsidRPr="0086351C">
        <w:rPr>
          <w:rFonts w:ascii="Arial" w:eastAsia="Tahoma" w:hAnsi="Arial" w:cs="Arial"/>
          <w:sz w:val="22"/>
          <w:szCs w:val="22"/>
        </w:rPr>
        <w:t> </w:t>
      </w:r>
    </w:p>
    <w:p w14:paraId="5459B8ED" w14:textId="77777777" w:rsidR="00414006" w:rsidRPr="0086351C" w:rsidRDefault="00414006" w:rsidP="00627621">
      <w:pPr>
        <w:spacing w:line="276" w:lineRule="auto"/>
        <w:jc w:val="both"/>
        <w:textAlignment w:val="baseline"/>
        <w:rPr>
          <w:rFonts w:ascii="Arial" w:eastAsia="Tahoma" w:hAnsi="Arial" w:cs="Arial"/>
          <w:sz w:val="22"/>
          <w:szCs w:val="22"/>
        </w:rPr>
      </w:pPr>
      <w:r w:rsidRPr="0086351C">
        <w:rPr>
          <w:rFonts w:ascii="Arial" w:eastAsia="Tahoma" w:hAnsi="Arial" w:cs="Arial"/>
          <w:sz w:val="22"/>
          <w:szCs w:val="22"/>
        </w:rPr>
        <w:t>En ese orden de ideas, y conforme a las metas y compromisos establecido en el Plan Marco de Implementación, por medio de los indicadores que se relacionan a continuación, con el presente proyecto de extensión se busca fortalecer la calidad de la prestación del servicio público de extensión agropecuaria, garantizando un servicio permanente en oportunidad y pertinencia, así como además atender y dar cumplimiento a las metas dispuestas en el plan de acción, en beneficio de los productores del campo colombiano: </w:t>
      </w:r>
    </w:p>
    <w:p w14:paraId="11183A49" w14:textId="4480EB29" w:rsidR="00414006" w:rsidRPr="0086351C" w:rsidRDefault="00414006" w:rsidP="1C5DF8D6">
      <w:pPr>
        <w:jc w:val="both"/>
        <w:textAlignment w:val="baseline"/>
        <w:rPr>
          <w:rFonts w:ascii="Arial" w:eastAsia="Tahoma" w:hAnsi="Arial" w:cs="Arial"/>
          <w:sz w:val="22"/>
          <w:szCs w:val="22"/>
        </w:rPr>
      </w:pPr>
      <w:r w:rsidRPr="0086351C">
        <w:rPr>
          <w:rFonts w:ascii="Arial" w:eastAsia="Tahoma" w:hAnsi="Arial" w:cs="Arial"/>
          <w:sz w:val="22"/>
          <w:szCs w:val="22"/>
        </w:rPr>
        <w:t>  </w:t>
      </w:r>
    </w:p>
    <w:tbl>
      <w:tblPr>
        <w:tblW w:w="8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9"/>
        <w:gridCol w:w="1845"/>
        <w:gridCol w:w="1286"/>
        <w:gridCol w:w="1627"/>
        <w:gridCol w:w="791"/>
        <w:gridCol w:w="784"/>
      </w:tblGrid>
      <w:tr w:rsidR="00414006" w:rsidRPr="00627621" w14:paraId="71462081" w14:textId="77777777" w:rsidTr="000F3E8A">
        <w:trPr>
          <w:trHeight w:val="315"/>
        </w:trPr>
        <w:tc>
          <w:tcPr>
            <w:tcW w:w="2489"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0BAD13F9"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Línea de acción</w:t>
            </w:r>
            <w:r w:rsidRPr="00627621">
              <w:rPr>
                <w:rFonts w:ascii="Arial" w:eastAsia="Tahoma" w:hAnsi="Arial" w:cs="Arial"/>
                <w:color w:val="000000"/>
                <w:sz w:val="18"/>
                <w:szCs w:val="18"/>
              </w:rPr>
              <w:t> </w:t>
            </w:r>
          </w:p>
        </w:tc>
        <w:tc>
          <w:tcPr>
            <w:tcW w:w="1845"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09E3F50D"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Producto</w:t>
            </w:r>
            <w:r w:rsidRPr="00627621">
              <w:rPr>
                <w:rFonts w:ascii="Arial" w:eastAsia="Tahoma" w:hAnsi="Arial" w:cs="Arial"/>
                <w:color w:val="000000"/>
                <w:sz w:val="18"/>
                <w:szCs w:val="18"/>
              </w:rPr>
              <w:t> </w:t>
            </w:r>
          </w:p>
        </w:tc>
        <w:tc>
          <w:tcPr>
            <w:tcW w:w="1286"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093CB30A"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Clasificación PMI</w:t>
            </w:r>
            <w:r w:rsidRPr="00627621">
              <w:rPr>
                <w:rFonts w:ascii="Arial" w:eastAsia="Tahoma" w:hAnsi="Arial" w:cs="Arial"/>
                <w:color w:val="000000"/>
                <w:sz w:val="18"/>
                <w:szCs w:val="18"/>
              </w:rPr>
              <w:t> </w:t>
            </w:r>
          </w:p>
        </w:tc>
        <w:tc>
          <w:tcPr>
            <w:tcW w:w="1627"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78AD4CC3"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Indicador</w:t>
            </w:r>
            <w:r w:rsidRPr="00627621">
              <w:rPr>
                <w:rFonts w:ascii="Arial" w:eastAsia="Tahoma" w:hAnsi="Arial" w:cs="Arial"/>
                <w:color w:val="000000"/>
                <w:sz w:val="18"/>
                <w:szCs w:val="18"/>
              </w:rPr>
              <w:t> </w:t>
            </w:r>
          </w:p>
        </w:tc>
        <w:tc>
          <w:tcPr>
            <w:tcW w:w="791"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2B66D5A5"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b/>
                <w:bCs/>
                <w:color w:val="000000"/>
                <w:sz w:val="18"/>
                <w:szCs w:val="18"/>
              </w:rPr>
              <w:t>Año Inicio</w:t>
            </w:r>
            <w:r w:rsidRPr="00627621">
              <w:rPr>
                <w:rFonts w:ascii="Arial" w:eastAsia="Tahoma" w:hAnsi="Arial" w:cs="Arial"/>
                <w:color w:val="000000"/>
                <w:sz w:val="18"/>
                <w:szCs w:val="18"/>
              </w:rPr>
              <w:t> </w:t>
            </w:r>
          </w:p>
        </w:tc>
        <w:tc>
          <w:tcPr>
            <w:tcW w:w="784" w:type="dxa"/>
            <w:tcBorders>
              <w:top w:val="single" w:sz="6" w:space="0" w:color="auto"/>
              <w:left w:val="single" w:sz="6" w:space="0" w:color="auto"/>
              <w:bottom w:val="single" w:sz="6" w:space="0" w:color="auto"/>
              <w:right w:val="single" w:sz="6" w:space="0" w:color="auto"/>
            </w:tcBorders>
            <w:shd w:val="clear" w:color="auto" w:fill="70AD47" w:themeFill="accent6"/>
            <w:vAlign w:val="center"/>
            <w:hideMark/>
          </w:tcPr>
          <w:p w14:paraId="231ED7B6" w14:textId="77777777" w:rsidR="00414006" w:rsidRPr="00627621" w:rsidRDefault="00414006" w:rsidP="1C5DF8D6">
            <w:pPr>
              <w:ind w:firstLine="120"/>
              <w:jc w:val="center"/>
              <w:textAlignment w:val="baseline"/>
              <w:rPr>
                <w:rFonts w:ascii="Arial" w:eastAsia="Tahoma" w:hAnsi="Arial" w:cs="Arial"/>
                <w:sz w:val="18"/>
                <w:szCs w:val="18"/>
              </w:rPr>
            </w:pPr>
            <w:r w:rsidRPr="00627621">
              <w:rPr>
                <w:rFonts w:ascii="Arial" w:eastAsia="Tahoma" w:hAnsi="Arial" w:cs="Arial"/>
                <w:b/>
                <w:bCs/>
                <w:color w:val="000000"/>
                <w:sz w:val="18"/>
                <w:szCs w:val="18"/>
              </w:rPr>
              <w:t>Año Fin</w:t>
            </w:r>
            <w:r w:rsidRPr="00627621">
              <w:rPr>
                <w:rFonts w:ascii="Arial" w:eastAsia="Tahoma" w:hAnsi="Arial" w:cs="Arial"/>
                <w:color w:val="000000"/>
                <w:sz w:val="18"/>
                <w:szCs w:val="18"/>
              </w:rPr>
              <w:t> </w:t>
            </w:r>
          </w:p>
        </w:tc>
      </w:tr>
      <w:tr w:rsidR="00414006" w:rsidRPr="00627621" w14:paraId="3E76B951" w14:textId="77777777" w:rsidTr="000F3E8A">
        <w:trPr>
          <w:trHeight w:val="150"/>
        </w:trPr>
        <w:tc>
          <w:tcPr>
            <w:tcW w:w="2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59E854"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1.6.2.1. Servicio de asistencia integral, técnica y tecnológica a la producción de la economía campesina, familiar y comunitaria </w:t>
            </w:r>
          </w:p>
        </w:tc>
        <w:tc>
          <w:tcPr>
            <w:tcW w:w="18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32B4E8"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Servicio público de extensión agropecuaria </w:t>
            </w:r>
          </w:p>
        </w:tc>
        <w:tc>
          <w:tcPr>
            <w:tcW w:w="12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5312AD"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Temático </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007459" w14:textId="77777777" w:rsidR="00414006" w:rsidRPr="00627621" w:rsidRDefault="00414006" w:rsidP="1C5DF8D6">
            <w:pPr>
              <w:textAlignment w:val="baseline"/>
              <w:rPr>
                <w:rFonts w:ascii="Arial" w:eastAsia="Tahoma" w:hAnsi="Arial" w:cs="Arial"/>
                <w:sz w:val="18"/>
                <w:szCs w:val="18"/>
              </w:rPr>
            </w:pPr>
            <w:r w:rsidRPr="00627621">
              <w:rPr>
                <w:rFonts w:ascii="Arial" w:eastAsia="Tahoma" w:hAnsi="Arial" w:cs="Arial"/>
                <w:color w:val="000000"/>
                <w:sz w:val="18"/>
                <w:szCs w:val="18"/>
              </w:rPr>
              <w:t>Porcentaje de productores en el registro que reciben el servicio de extensión agropecuaria </w:t>
            </w:r>
          </w:p>
        </w:tc>
        <w:tc>
          <w:tcPr>
            <w:tcW w:w="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7C8420"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2018 </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E59AF6"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2031 </w:t>
            </w:r>
          </w:p>
        </w:tc>
      </w:tr>
      <w:tr w:rsidR="00414006" w:rsidRPr="00627621" w14:paraId="3CF8D345" w14:textId="77777777" w:rsidTr="000F3E8A">
        <w:trPr>
          <w:trHeight w:val="615"/>
        </w:trPr>
        <w:tc>
          <w:tcPr>
            <w:tcW w:w="2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B02C45"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 xml:space="preserve">1.6.2.1. Servicio de asistencia integral, técnica y tecnológica a la producción de la economía </w:t>
            </w:r>
            <w:r w:rsidRPr="00627621">
              <w:rPr>
                <w:rFonts w:ascii="Arial" w:eastAsia="Tahoma" w:hAnsi="Arial" w:cs="Arial"/>
                <w:color w:val="000000"/>
                <w:sz w:val="18"/>
                <w:szCs w:val="18"/>
              </w:rPr>
              <w:lastRenderedPageBreak/>
              <w:t>campesina, familiar y comunitaria </w:t>
            </w:r>
          </w:p>
        </w:tc>
        <w:tc>
          <w:tcPr>
            <w:tcW w:w="18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9F36B8"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lastRenderedPageBreak/>
              <w:t>Servicio público de extensión agropecuaria </w:t>
            </w:r>
          </w:p>
        </w:tc>
        <w:tc>
          <w:tcPr>
            <w:tcW w:w="12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32129"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PDET </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1C0673" w14:textId="77777777" w:rsidR="00414006" w:rsidRPr="00627621" w:rsidRDefault="00414006" w:rsidP="1C5DF8D6">
            <w:pPr>
              <w:textAlignment w:val="baseline"/>
              <w:rPr>
                <w:rFonts w:ascii="Arial" w:eastAsia="Tahoma" w:hAnsi="Arial" w:cs="Arial"/>
                <w:sz w:val="18"/>
                <w:szCs w:val="18"/>
              </w:rPr>
            </w:pPr>
            <w:r w:rsidRPr="00627621">
              <w:rPr>
                <w:rFonts w:ascii="Arial" w:eastAsia="Tahoma" w:hAnsi="Arial" w:cs="Arial"/>
                <w:color w:val="000000"/>
                <w:sz w:val="18"/>
                <w:szCs w:val="18"/>
              </w:rPr>
              <w:t xml:space="preserve">Porcentaje de productores en el registro que reciben </w:t>
            </w:r>
            <w:r w:rsidRPr="00627621">
              <w:rPr>
                <w:rFonts w:ascii="Arial" w:eastAsia="Tahoma" w:hAnsi="Arial" w:cs="Arial"/>
                <w:color w:val="000000"/>
                <w:sz w:val="18"/>
                <w:szCs w:val="18"/>
              </w:rPr>
              <w:lastRenderedPageBreak/>
              <w:t>el servicio de extensión agropecuaria en municipios PDET </w:t>
            </w:r>
          </w:p>
        </w:tc>
        <w:tc>
          <w:tcPr>
            <w:tcW w:w="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303A7B"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lastRenderedPageBreak/>
              <w:t>2018 </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4025D9"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2026 </w:t>
            </w:r>
          </w:p>
        </w:tc>
      </w:tr>
      <w:tr w:rsidR="00414006" w:rsidRPr="00627621" w14:paraId="175FB6E7" w14:textId="77777777" w:rsidTr="000F3E8A">
        <w:trPr>
          <w:trHeight w:val="360"/>
        </w:trPr>
        <w:tc>
          <w:tcPr>
            <w:tcW w:w="2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CDC4F3"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1.6.2.1. Servicio de asistencia integral, técnica y tecnológica a la producción de la economía campesina, familiar y comunitaria </w:t>
            </w:r>
          </w:p>
        </w:tc>
        <w:tc>
          <w:tcPr>
            <w:tcW w:w="18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971AC" w14:textId="77777777" w:rsidR="00414006" w:rsidRPr="00627621" w:rsidRDefault="00414006" w:rsidP="1C5DF8D6">
            <w:pPr>
              <w:jc w:val="both"/>
              <w:textAlignment w:val="baseline"/>
              <w:rPr>
                <w:rFonts w:ascii="Arial" w:eastAsia="Tahoma" w:hAnsi="Arial" w:cs="Arial"/>
                <w:sz w:val="18"/>
                <w:szCs w:val="18"/>
              </w:rPr>
            </w:pPr>
            <w:r w:rsidRPr="00627621">
              <w:rPr>
                <w:rFonts w:ascii="Arial" w:eastAsia="Tahoma" w:hAnsi="Arial" w:cs="Arial"/>
                <w:color w:val="000000"/>
                <w:sz w:val="18"/>
                <w:szCs w:val="18"/>
              </w:rPr>
              <w:t>Servicio público de extensión agropecuaria </w:t>
            </w:r>
          </w:p>
        </w:tc>
        <w:tc>
          <w:tcPr>
            <w:tcW w:w="12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5AB3B1"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Género </w:t>
            </w:r>
          </w:p>
        </w:tc>
        <w:tc>
          <w:tcPr>
            <w:tcW w:w="16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AC6FD5" w14:textId="77777777" w:rsidR="00414006" w:rsidRPr="00627621" w:rsidRDefault="00414006" w:rsidP="1C5DF8D6">
            <w:pPr>
              <w:textAlignment w:val="baseline"/>
              <w:rPr>
                <w:rFonts w:ascii="Arial" w:eastAsia="Tahoma" w:hAnsi="Arial" w:cs="Arial"/>
                <w:sz w:val="18"/>
                <w:szCs w:val="18"/>
              </w:rPr>
            </w:pPr>
            <w:r w:rsidRPr="00627621">
              <w:rPr>
                <w:rFonts w:ascii="Arial" w:eastAsia="Tahoma" w:hAnsi="Arial" w:cs="Arial"/>
                <w:color w:val="000000"/>
                <w:sz w:val="18"/>
                <w:szCs w:val="18"/>
              </w:rPr>
              <w:t>Porcentaje de productoras en el registro que reciben el servicio de extensión agropecuaria </w:t>
            </w:r>
          </w:p>
        </w:tc>
        <w:tc>
          <w:tcPr>
            <w:tcW w:w="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4B12BF"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2018 </w:t>
            </w:r>
          </w:p>
        </w:tc>
        <w:tc>
          <w:tcPr>
            <w:tcW w:w="7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1B1775" w14:textId="77777777" w:rsidR="00414006" w:rsidRPr="00627621" w:rsidRDefault="00414006" w:rsidP="1C5DF8D6">
            <w:pPr>
              <w:jc w:val="center"/>
              <w:textAlignment w:val="baseline"/>
              <w:rPr>
                <w:rFonts w:ascii="Arial" w:eastAsia="Tahoma" w:hAnsi="Arial" w:cs="Arial"/>
                <w:sz w:val="18"/>
                <w:szCs w:val="18"/>
              </w:rPr>
            </w:pPr>
            <w:r w:rsidRPr="00627621">
              <w:rPr>
                <w:rFonts w:ascii="Arial" w:eastAsia="Tahoma" w:hAnsi="Arial" w:cs="Arial"/>
                <w:color w:val="000000"/>
                <w:sz w:val="18"/>
                <w:szCs w:val="18"/>
              </w:rPr>
              <w:t>2031 </w:t>
            </w:r>
          </w:p>
        </w:tc>
      </w:tr>
    </w:tbl>
    <w:p w14:paraId="50479FE2" w14:textId="77777777" w:rsidR="006349E3" w:rsidRPr="0086351C" w:rsidRDefault="00414006" w:rsidP="006349E3">
      <w:pPr>
        <w:pStyle w:val="Descripcin"/>
        <w:spacing w:after="0"/>
        <w:jc w:val="center"/>
        <w:rPr>
          <w:rFonts w:ascii="Arial" w:eastAsia="Arial" w:hAnsi="Arial" w:cs="Arial"/>
          <w:i w:val="0"/>
          <w:color w:val="auto"/>
        </w:rPr>
      </w:pPr>
      <w:r w:rsidRPr="0086351C">
        <w:rPr>
          <w:rFonts w:ascii="Arial" w:eastAsia="Tahoma" w:hAnsi="Arial" w:cs="Arial"/>
          <w:sz w:val="22"/>
          <w:szCs w:val="22"/>
        </w:rPr>
        <w:t> </w:t>
      </w:r>
      <w:r w:rsidR="006349E3" w:rsidRPr="0086351C">
        <w:rPr>
          <w:rFonts w:ascii="Arial" w:eastAsia="Tahoma" w:hAnsi="Arial" w:cs="Arial"/>
          <w:sz w:val="22"/>
          <w:szCs w:val="22"/>
        </w:rPr>
        <w:tab/>
      </w:r>
      <w:r w:rsidR="006349E3" w:rsidRPr="0086351C">
        <w:rPr>
          <w:rFonts w:ascii="Arial" w:eastAsia="Arial" w:hAnsi="Arial" w:cs="Arial"/>
          <w:sz w:val="22"/>
          <w:szCs w:val="22"/>
        </w:rPr>
        <w:t> </w:t>
      </w:r>
      <w:r w:rsidR="006349E3" w:rsidRPr="0086351C">
        <w:rPr>
          <w:rFonts w:ascii="Arial" w:eastAsia="Arial" w:hAnsi="Arial" w:cs="Arial"/>
          <w:color w:val="auto"/>
        </w:rPr>
        <w:t xml:space="preserve">Tabla </w:t>
      </w:r>
      <w:r w:rsidR="006349E3" w:rsidRPr="0086351C">
        <w:rPr>
          <w:rFonts w:ascii="Arial" w:hAnsi="Arial" w:cs="Arial"/>
          <w:color w:val="auto"/>
        </w:rPr>
        <w:fldChar w:fldCharType="begin"/>
      </w:r>
      <w:r w:rsidR="006349E3" w:rsidRPr="0086351C">
        <w:rPr>
          <w:rFonts w:ascii="Arial" w:hAnsi="Arial" w:cs="Arial"/>
          <w:color w:val="auto"/>
        </w:rPr>
        <w:instrText xml:space="preserve"> SEQ Tabla \* ARABIC </w:instrText>
      </w:r>
      <w:r w:rsidR="006349E3" w:rsidRPr="0086351C">
        <w:rPr>
          <w:rFonts w:ascii="Arial" w:hAnsi="Arial" w:cs="Arial"/>
          <w:color w:val="auto"/>
        </w:rPr>
        <w:fldChar w:fldCharType="separate"/>
      </w:r>
      <w:r w:rsidR="006349E3" w:rsidRPr="0086351C">
        <w:rPr>
          <w:rFonts w:ascii="Arial" w:hAnsi="Arial" w:cs="Arial"/>
          <w:noProof/>
          <w:color w:val="auto"/>
        </w:rPr>
        <w:t>11</w:t>
      </w:r>
      <w:r w:rsidR="006349E3" w:rsidRPr="0086351C">
        <w:rPr>
          <w:rFonts w:ascii="Arial" w:hAnsi="Arial" w:cs="Arial"/>
          <w:color w:val="auto"/>
        </w:rPr>
        <w:fldChar w:fldCharType="end"/>
      </w:r>
      <w:r w:rsidR="006349E3" w:rsidRPr="0086351C">
        <w:rPr>
          <w:rFonts w:ascii="Arial" w:eastAsia="Arial" w:hAnsi="Arial" w:cs="Arial"/>
          <w:color w:val="auto"/>
        </w:rPr>
        <w:t>.Elaboración propia y adaptada de “Indicadores del Plan Marco de Implementación a los cuales el proyecto “Fortalecimiento a la Prestación del Servicio Público de Extensión Agropecuaria” para los proyectos estratégicos 2018-2031</w:t>
      </w:r>
    </w:p>
    <w:p w14:paraId="66CD8667" w14:textId="77777777" w:rsidR="006349E3" w:rsidRPr="0086351C" w:rsidRDefault="006349E3" w:rsidP="006349E3">
      <w:pPr>
        <w:jc w:val="center"/>
        <w:textAlignment w:val="baseline"/>
        <w:rPr>
          <w:rFonts w:ascii="Arial" w:eastAsia="Arial" w:hAnsi="Arial" w:cs="Arial"/>
          <w:i/>
          <w:sz w:val="18"/>
          <w:szCs w:val="18"/>
        </w:rPr>
      </w:pPr>
      <w:r w:rsidRPr="0086351C">
        <w:rPr>
          <w:rFonts w:ascii="Arial" w:eastAsia="Arial" w:hAnsi="Arial" w:cs="Arial"/>
          <w:i/>
          <w:sz w:val="18"/>
          <w:szCs w:val="18"/>
        </w:rPr>
        <w:t>Fuente: Dirección de Asistencia Técnica, 2024.</w:t>
      </w:r>
    </w:p>
    <w:p w14:paraId="4DF875C3" w14:textId="75AA0D6F" w:rsidR="00414006" w:rsidRPr="0086351C" w:rsidRDefault="00414006" w:rsidP="006349E3">
      <w:pPr>
        <w:tabs>
          <w:tab w:val="center" w:pos="4419"/>
        </w:tabs>
        <w:textAlignment w:val="baseline"/>
        <w:rPr>
          <w:rFonts w:ascii="Arial" w:eastAsia="Tahoma" w:hAnsi="Arial" w:cs="Arial"/>
          <w:sz w:val="22"/>
          <w:szCs w:val="22"/>
        </w:rPr>
      </w:pPr>
    </w:p>
    <w:p w14:paraId="2ADDBCE2" w14:textId="77777777" w:rsidR="00414006" w:rsidRPr="002039A1" w:rsidRDefault="00414006" w:rsidP="00627621">
      <w:pPr>
        <w:spacing w:line="276" w:lineRule="auto"/>
        <w:jc w:val="both"/>
        <w:textAlignment w:val="baseline"/>
        <w:rPr>
          <w:rFonts w:ascii="Arial" w:eastAsia="Tahoma" w:hAnsi="Arial" w:cs="Arial"/>
          <w:sz w:val="22"/>
          <w:szCs w:val="22"/>
        </w:rPr>
      </w:pPr>
      <w:r w:rsidRPr="002039A1">
        <w:rPr>
          <w:rFonts w:ascii="Arial" w:eastAsia="Tahoma" w:hAnsi="Arial" w:cs="Arial"/>
          <w:sz w:val="22"/>
          <w:szCs w:val="22"/>
        </w:rPr>
        <w:t>Adicionalmente, y en atención a lo señalado en el Plan Nacional de Asistencia Técnica Integral, Técnica, Tecnológica y de Impulso a la Investigación -Plan AT, se busca atender en el cuatrienio 2022-2026 aproximadamente 950.382 productores agropecuarios a nivel Nacional, y dentro del cual se identifican el cumplimiento de las metas de políticas transversales tales como los son: la política de género, construcción de paz, desplazados, así como la atención a población étnica con proyectos enmarcados con la prestación del servicio público de extensión agropecuaria, de conformidad con los siguientes indicadores y metas: </w:t>
      </w:r>
    </w:p>
    <w:p w14:paraId="17A3F1D0" w14:textId="77777777" w:rsidR="00414006" w:rsidRPr="0086351C" w:rsidRDefault="00414006" w:rsidP="1C5DF8D6">
      <w:pPr>
        <w:jc w:val="both"/>
        <w:textAlignment w:val="baseline"/>
        <w:rPr>
          <w:rFonts w:ascii="Arial" w:eastAsia="Tahoma" w:hAnsi="Arial" w:cs="Arial"/>
          <w:sz w:val="22"/>
          <w:szCs w:val="22"/>
        </w:rPr>
      </w:pPr>
      <w:r w:rsidRPr="0086351C">
        <w:rPr>
          <w:rFonts w:ascii="Arial" w:eastAsia="Tahoma" w:hAnsi="Arial" w:cs="Arial"/>
          <w:sz w:val="22"/>
          <w:szCs w:val="22"/>
        </w:rPr>
        <w:t> </w:t>
      </w:r>
    </w:p>
    <w:p w14:paraId="07806586" w14:textId="7DB34009" w:rsidR="00414006" w:rsidRPr="0086351C" w:rsidRDefault="00414006" w:rsidP="00627621">
      <w:pPr>
        <w:pStyle w:val="Ttulo2"/>
        <w:numPr>
          <w:ilvl w:val="1"/>
          <w:numId w:val="29"/>
        </w:numPr>
        <w:spacing w:after="240"/>
        <w:rPr>
          <w:rFonts w:ascii="Arial" w:eastAsia="Tahoma" w:hAnsi="Arial" w:cs="Arial"/>
          <w:sz w:val="22"/>
          <w:szCs w:val="22"/>
          <w:lang w:eastAsia="es-CO"/>
        </w:rPr>
      </w:pPr>
      <w:bookmarkStart w:id="19" w:name="_Toc178847895"/>
      <w:r w:rsidRPr="0086351C">
        <w:rPr>
          <w:rFonts w:ascii="Arial" w:eastAsia="Tahoma" w:hAnsi="Arial" w:cs="Arial"/>
          <w:sz w:val="22"/>
          <w:szCs w:val="22"/>
          <w:lang w:eastAsia="es-CO"/>
        </w:rPr>
        <w:t>Indicadores y metas del Plan AT.</w:t>
      </w:r>
      <w:bookmarkEnd w:id="19"/>
      <w:r w:rsidRPr="0086351C">
        <w:rPr>
          <w:rFonts w:ascii="Arial" w:eastAsia="Tahoma" w:hAnsi="Arial" w:cs="Arial"/>
          <w:sz w:val="22"/>
          <w:szCs w:val="22"/>
          <w:lang w:eastAsia="es-CO"/>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0"/>
        <w:gridCol w:w="618"/>
        <w:gridCol w:w="628"/>
        <w:gridCol w:w="628"/>
        <w:gridCol w:w="275"/>
        <w:gridCol w:w="259"/>
        <w:gridCol w:w="341"/>
        <w:gridCol w:w="397"/>
        <w:gridCol w:w="397"/>
        <w:gridCol w:w="397"/>
        <w:gridCol w:w="424"/>
        <w:gridCol w:w="424"/>
        <w:gridCol w:w="424"/>
        <w:gridCol w:w="424"/>
        <w:gridCol w:w="213"/>
        <w:gridCol w:w="213"/>
        <w:gridCol w:w="424"/>
        <w:gridCol w:w="424"/>
        <w:gridCol w:w="424"/>
        <w:gridCol w:w="424"/>
        <w:gridCol w:w="480"/>
      </w:tblGrid>
      <w:tr w:rsidR="00CD0609" w:rsidRPr="0086351C" w14:paraId="6857A775" w14:textId="77777777" w:rsidTr="006349E3">
        <w:trPr>
          <w:trHeight w:val="300"/>
          <w:jc w:val="center"/>
        </w:trPr>
        <w:tc>
          <w:tcPr>
            <w:tcW w:w="0" w:type="auto"/>
            <w:shd w:val="clear" w:color="auto" w:fill="0070C0"/>
            <w:vAlign w:val="center"/>
            <w:hideMark/>
          </w:tcPr>
          <w:p w14:paraId="63C3788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Objetivos Específicos</w:t>
            </w:r>
            <w:r w:rsidRPr="0086351C">
              <w:rPr>
                <w:rFonts w:ascii="Arial" w:eastAsia="Tahoma" w:hAnsi="Arial" w:cs="Arial"/>
                <w:color w:val="FFFFFF"/>
                <w:sz w:val="12"/>
                <w:szCs w:val="12"/>
              </w:rPr>
              <w:t> </w:t>
            </w:r>
          </w:p>
        </w:tc>
        <w:tc>
          <w:tcPr>
            <w:tcW w:w="0" w:type="auto"/>
            <w:shd w:val="clear" w:color="auto" w:fill="0070C0"/>
            <w:vAlign w:val="center"/>
            <w:hideMark/>
          </w:tcPr>
          <w:p w14:paraId="5CF4C63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Acciones</w:t>
            </w:r>
            <w:r w:rsidRPr="0086351C">
              <w:rPr>
                <w:rFonts w:ascii="Arial" w:eastAsia="Tahoma" w:hAnsi="Arial" w:cs="Arial"/>
                <w:color w:val="FFFFFF"/>
                <w:sz w:val="12"/>
                <w:szCs w:val="12"/>
              </w:rPr>
              <w:t> </w:t>
            </w:r>
          </w:p>
        </w:tc>
        <w:tc>
          <w:tcPr>
            <w:tcW w:w="0" w:type="auto"/>
            <w:shd w:val="clear" w:color="auto" w:fill="2E74B5" w:themeFill="accent5" w:themeFillShade="BF"/>
            <w:vAlign w:val="center"/>
            <w:hideMark/>
          </w:tcPr>
          <w:p w14:paraId="3565E62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Indicador PMI</w:t>
            </w:r>
            <w:r w:rsidRPr="0086351C">
              <w:rPr>
                <w:rFonts w:ascii="Arial" w:eastAsia="Tahoma" w:hAnsi="Arial" w:cs="Arial"/>
                <w:color w:val="FFFFFF"/>
                <w:sz w:val="12"/>
                <w:szCs w:val="12"/>
              </w:rPr>
              <w:t> </w:t>
            </w:r>
          </w:p>
        </w:tc>
        <w:tc>
          <w:tcPr>
            <w:tcW w:w="0" w:type="auto"/>
            <w:shd w:val="clear" w:color="auto" w:fill="2E74B5" w:themeFill="accent5" w:themeFillShade="BF"/>
            <w:vAlign w:val="center"/>
            <w:hideMark/>
          </w:tcPr>
          <w:p w14:paraId="213B57C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Responsable Indicador</w:t>
            </w:r>
            <w:r w:rsidRPr="0086351C">
              <w:rPr>
                <w:rFonts w:ascii="Arial" w:eastAsia="Tahoma" w:hAnsi="Arial" w:cs="Arial"/>
                <w:color w:val="FFFFFF"/>
                <w:sz w:val="12"/>
                <w:szCs w:val="12"/>
              </w:rPr>
              <w:t> </w:t>
            </w:r>
          </w:p>
        </w:tc>
        <w:tc>
          <w:tcPr>
            <w:tcW w:w="0" w:type="auto"/>
            <w:shd w:val="clear" w:color="auto" w:fill="2E74B5" w:themeFill="accent5" w:themeFillShade="BF"/>
            <w:vAlign w:val="center"/>
            <w:hideMark/>
          </w:tcPr>
          <w:p w14:paraId="7CA2956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044A67CA"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Linea Base</w:t>
            </w:r>
            <w:r w:rsidRPr="0086351C">
              <w:rPr>
                <w:rFonts w:ascii="Arial" w:eastAsia="Tahoma" w:hAnsi="Arial" w:cs="Arial"/>
                <w:color w:val="FFFFFF"/>
                <w:sz w:val="12"/>
                <w:szCs w:val="12"/>
              </w:rPr>
              <w:t> </w:t>
            </w:r>
          </w:p>
        </w:tc>
        <w:tc>
          <w:tcPr>
            <w:tcW w:w="0" w:type="auto"/>
            <w:shd w:val="clear" w:color="auto" w:fill="0070C0"/>
            <w:vAlign w:val="center"/>
            <w:hideMark/>
          </w:tcPr>
          <w:p w14:paraId="357C5C1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7EE4CE0A"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2018</w:t>
            </w:r>
            <w:r w:rsidRPr="0086351C">
              <w:rPr>
                <w:rFonts w:ascii="Arial" w:eastAsia="Tahoma" w:hAnsi="Arial" w:cs="Arial"/>
                <w:color w:val="FFFFFF"/>
                <w:sz w:val="12"/>
                <w:szCs w:val="12"/>
              </w:rPr>
              <w:t> </w:t>
            </w:r>
          </w:p>
        </w:tc>
        <w:tc>
          <w:tcPr>
            <w:tcW w:w="0" w:type="auto"/>
            <w:shd w:val="clear" w:color="auto" w:fill="0070C0"/>
            <w:vAlign w:val="center"/>
            <w:hideMark/>
          </w:tcPr>
          <w:p w14:paraId="2AC15BF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56F279E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2019</w:t>
            </w:r>
            <w:r w:rsidRPr="0086351C">
              <w:rPr>
                <w:rFonts w:ascii="Arial" w:eastAsia="Tahoma" w:hAnsi="Arial" w:cs="Arial"/>
                <w:color w:val="FFFFFF"/>
                <w:sz w:val="12"/>
                <w:szCs w:val="12"/>
              </w:rPr>
              <w:t> </w:t>
            </w:r>
          </w:p>
        </w:tc>
        <w:tc>
          <w:tcPr>
            <w:tcW w:w="0" w:type="auto"/>
            <w:shd w:val="clear" w:color="auto" w:fill="0070C0"/>
            <w:vAlign w:val="center"/>
            <w:hideMark/>
          </w:tcPr>
          <w:p w14:paraId="2F3ABAC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7B1D334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2020</w:t>
            </w:r>
            <w:r w:rsidRPr="0086351C">
              <w:rPr>
                <w:rFonts w:ascii="Arial" w:eastAsia="Tahoma" w:hAnsi="Arial" w:cs="Arial"/>
                <w:color w:val="FFFFFF"/>
                <w:sz w:val="12"/>
                <w:szCs w:val="12"/>
              </w:rPr>
              <w:t> </w:t>
            </w:r>
          </w:p>
        </w:tc>
        <w:tc>
          <w:tcPr>
            <w:tcW w:w="0" w:type="auto"/>
            <w:shd w:val="clear" w:color="auto" w:fill="0070C0"/>
            <w:vAlign w:val="center"/>
            <w:hideMark/>
          </w:tcPr>
          <w:p w14:paraId="2A45C8D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5237D9F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2021</w:t>
            </w:r>
            <w:r w:rsidRPr="0086351C">
              <w:rPr>
                <w:rFonts w:ascii="Arial" w:eastAsia="Tahoma" w:hAnsi="Arial" w:cs="Arial"/>
                <w:color w:val="FFFFFF"/>
                <w:sz w:val="12"/>
                <w:szCs w:val="12"/>
              </w:rPr>
              <w:t> </w:t>
            </w:r>
          </w:p>
        </w:tc>
        <w:tc>
          <w:tcPr>
            <w:tcW w:w="0" w:type="auto"/>
            <w:shd w:val="clear" w:color="auto" w:fill="0070C0"/>
            <w:vAlign w:val="center"/>
            <w:hideMark/>
          </w:tcPr>
          <w:p w14:paraId="43B1D97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18F0399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2022</w:t>
            </w:r>
            <w:r w:rsidRPr="0086351C">
              <w:rPr>
                <w:rFonts w:ascii="Arial" w:eastAsia="Tahoma" w:hAnsi="Arial" w:cs="Arial"/>
                <w:color w:val="FFFFFF"/>
                <w:sz w:val="12"/>
                <w:szCs w:val="12"/>
              </w:rPr>
              <w:t> </w:t>
            </w:r>
          </w:p>
        </w:tc>
        <w:tc>
          <w:tcPr>
            <w:tcW w:w="0" w:type="auto"/>
            <w:shd w:val="clear" w:color="auto" w:fill="0070C0"/>
            <w:vAlign w:val="center"/>
            <w:hideMark/>
          </w:tcPr>
          <w:p w14:paraId="52DE38C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323461B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2023</w:t>
            </w:r>
            <w:r w:rsidRPr="0086351C">
              <w:rPr>
                <w:rFonts w:ascii="Arial" w:eastAsia="Tahoma" w:hAnsi="Arial" w:cs="Arial"/>
                <w:color w:val="FFFFFF"/>
                <w:sz w:val="12"/>
                <w:szCs w:val="12"/>
              </w:rPr>
              <w:t> </w:t>
            </w:r>
          </w:p>
        </w:tc>
        <w:tc>
          <w:tcPr>
            <w:tcW w:w="0" w:type="auto"/>
            <w:shd w:val="clear" w:color="auto" w:fill="0070C0"/>
            <w:vAlign w:val="center"/>
            <w:hideMark/>
          </w:tcPr>
          <w:p w14:paraId="1E947667"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408F229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2024</w:t>
            </w:r>
            <w:r w:rsidRPr="0086351C">
              <w:rPr>
                <w:rFonts w:ascii="Arial" w:eastAsia="Tahoma" w:hAnsi="Arial" w:cs="Arial"/>
                <w:color w:val="FFFFFF"/>
                <w:sz w:val="12"/>
                <w:szCs w:val="12"/>
              </w:rPr>
              <w:t> </w:t>
            </w:r>
          </w:p>
        </w:tc>
        <w:tc>
          <w:tcPr>
            <w:tcW w:w="0" w:type="auto"/>
            <w:shd w:val="clear" w:color="auto" w:fill="0070C0"/>
            <w:vAlign w:val="center"/>
            <w:hideMark/>
          </w:tcPr>
          <w:p w14:paraId="4E2FA8A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1566747A"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2025</w:t>
            </w:r>
            <w:r w:rsidRPr="0086351C">
              <w:rPr>
                <w:rFonts w:ascii="Arial" w:eastAsia="Tahoma" w:hAnsi="Arial" w:cs="Arial"/>
                <w:color w:val="FFFFFF"/>
                <w:sz w:val="12"/>
                <w:szCs w:val="12"/>
              </w:rPr>
              <w:t> </w:t>
            </w:r>
          </w:p>
        </w:tc>
        <w:tc>
          <w:tcPr>
            <w:tcW w:w="0" w:type="auto"/>
            <w:shd w:val="clear" w:color="auto" w:fill="0070C0"/>
            <w:vAlign w:val="center"/>
            <w:hideMark/>
          </w:tcPr>
          <w:p w14:paraId="168F235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0C4AC0B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2026</w:t>
            </w:r>
            <w:r w:rsidRPr="0086351C">
              <w:rPr>
                <w:rFonts w:ascii="Arial" w:eastAsia="Tahoma" w:hAnsi="Arial" w:cs="Arial"/>
                <w:color w:val="FFFFFF"/>
                <w:sz w:val="12"/>
                <w:szCs w:val="12"/>
              </w:rPr>
              <w:t> </w:t>
            </w:r>
          </w:p>
        </w:tc>
        <w:tc>
          <w:tcPr>
            <w:tcW w:w="0" w:type="auto"/>
            <w:gridSpan w:val="2"/>
            <w:shd w:val="clear" w:color="auto" w:fill="0070C0"/>
            <w:vAlign w:val="center"/>
            <w:hideMark/>
          </w:tcPr>
          <w:p w14:paraId="2ACF90E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77F6F41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2027</w:t>
            </w:r>
            <w:r w:rsidRPr="0086351C">
              <w:rPr>
                <w:rFonts w:ascii="Arial" w:eastAsia="Tahoma" w:hAnsi="Arial" w:cs="Arial"/>
                <w:color w:val="FFFFFF"/>
                <w:sz w:val="12"/>
                <w:szCs w:val="12"/>
              </w:rPr>
              <w:t> </w:t>
            </w:r>
          </w:p>
        </w:tc>
        <w:tc>
          <w:tcPr>
            <w:tcW w:w="0" w:type="auto"/>
            <w:shd w:val="clear" w:color="auto" w:fill="0070C0"/>
            <w:vAlign w:val="center"/>
            <w:hideMark/>
          </w:tcPr>
          <w:p w14:paraId="57FFE29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0EA47D9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2028</w:t>
            </w:r>
            <w:r w:rsidRPr="0086351C">
              <w:rPr>
                <w:rFonts w:ascii="Arial" w:eastAsia="Tahoma" w:hAnsi="Arial" w:cs="Arial"/>
                <w:color w:val="FFFFFF"/>
                <w:sz w:val="12"/>
                <w:szCs w:val="12"/>
              </w:rPr>
              <w:t> </w:t>
            </w:r>
          </w:p>
        </w:tc>
        <w:tc>
          <w:tcPr>
            <w:tcW w:w="0" w:type="auto"/>
            <w:shd w:val="clear" w:color="auto" w:fill="0070C0"/>
            <w:vAlign w:val="center"/>
            <w:hideMark/>
          </w:tcPr>
          <w:p w14:paraId="5773EA2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14EB504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2029</w:t>
            </w:r>
            <w:r w:rsidRPr="0086351C">
              <w:rPr>
                <w:rFonts w:ascii="Arial" w:eastAsia="Tahoma" w:hAnsi="Arial" w:cs="Arial"/>
                <w:color w:val="FFFFFF"/>
                <w:sz w:val="12"/>
                <w:szCs w:val="12"/>
              </w:rPr>
              <w:t> </w:t>
            </w:r>
          </w:p>
        </w:tc>
        <w:tc>
          <w:tcPr>
            <w:tcW w:w="0" w:type="auto"/>
            <w:shd w:val="clear" w:color="auto" w:fill="0070C0"/>
            <w:vAlign w:val="center"/>
            <w:hideMark/>
          </w:tcPr>
          <w:p w14:paraId="2274B4A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7242345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2030</w:t>
            </w:r>
            <w:r w:rsidRPr="0086351C">
              <w:rPr>
                <w:rFonts w:ascii="Arial" w:eastAsia="Tahoma" w:hAnsi="Arial" w:cs="Arial"/>
                <w:color w:val="FFFFFF"/>
                <w:sz w:val="12"/>
                <w:szCs w:val="12"/>
              </w:rPr>
              <w:t> </w:t>
            </w:r>
          </w:p>
        </w:tc>
        <w:tc>
          <w:tcPr>
            <w:tcW w:w="0" w:type="auto"/>
            <w:shd w:val="clear" w:color="auto" w:fill="0070C0"/>
            <w:vAlign w:val="center"/>
            <w:hideMark/>
          </w:tcPr>
          <w:p w14:paraId="70DFD69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5638FE3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2031</w:t>
            </w:r>
            <w:r w:rsidRPr="0086351C">
              <w:rPr>
                <w:rFonts w:ascii="Arial" w:eastAsia="Tahoma" w:hAnsi="Arial" w:cs="Arial"/>
                <w:color w:val="FFFFFF"/>
                <w:sz w:val="12"/>
                <w:szCs w:val="12"/>
              </w:rPr>
              <w:t> </w:t>
            </w:r>
          </w:p>
        </w:tc>
        <w:tc>
          <w:tcPr>
            <w:tcW w:w="0" w:type="auto"/>
            <w:shd w:val="clear" w:color="auto" w:fill="0070C0"/>
            <w:vAlign w:val="center"/>
            <w:hideMark/>
          </w:tcPr>
          <w:p w14:paraId="637D018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FFFFFF"/>
                <w:sz w:val="12"/>
                <w:szCs w:val="12"/>
              </w:rPr>
              <w:t> </w:t>
            </w:r>
          </w:p>
          <w:p w14:paraId="4DAFB24A"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b/>
                <w:bCs/>
                <w:color w:val="FFFFFF"/>
                <w:sz w:val="12"/>
                <w:szCs w:val="12"/>
              </w:rPr>
              <w:t>Meta Total</w:t>
            </w:r>
            <w:r w:rsidRPr="0086351C">
              <w:rPr>
                <w:rFonts w:ascii="Arial" w:eastAsia="Tahoma" w:hAnsi="Arial" w:cs="Arial"/>
                <w:color w:val="FFFFFF"/>
                <w:sz w:val="12"/>
                <w:szCs w:val="12"/>
              </w:rPr>
              <w:t> </w:t>
            </w:r>
          </w:p>
        </w:tc>
      </w:tr>
      <w:tr w:rsidR="00A23587" w:rsidRPr="0086351C" w14:paraId="559DDF2E" w14:textId="77777777" w:rsidTr="006349E3">
        <w:trPr>
          <w:trHeight w:val="45"/>
          <w:jc w:val="center"/>
        </w:trPr>
        <w:tc>
          <w:tcPr>
            <w:tcW w:w="0" w:type="auto"/>
            <w:vMerge w:val="restart"/>
            <w:shd w:val="clear" w:color="auto" w:fill="auto"/>
            <w:vAlign w:val="center"/>
            <w:hideMark/>
          </w:tcPr>
          <w:p w14:paraId="05C026E6" w14:textId="77777777" w:rsidR="00414006" w:rsidRPr="0086351C" w:rsidRDefault="00414006" w:rsidP="1C5DF8D6">
            <w:pPr>
              <w:jc w:val="both"/>
              <w:textAlignment w:val="baseline"/>
              <w:rPr>
                <w:rFonts w:ascii="Arial" w:eastAsia="Tahoma" w:hAnsi="Arial" w:cs="Arial"/>
                <w:sz w:val="12"/>
                <w:szCs w:val="12"/>
              </w:rPr>
            </w:pPr>
            <w:r w:rsidRPr="0086351C">
              <w:rPr>
                <w:rFonts w:ascii="Arial" w:eastAsia="Tahoma" w:hAnsi="Arial" w:cs="Arial"/>
                <w:color w:val="000000"/>
                <w:sz w:val="12"/>
                <w:szCs w:val="12"/>
              </w:rPr>
              <w:t>3. Mejorar el acceso al servicio público de extensión agropecuaria con enfoque diferencial </w:t>
            </w:r>
          </w:p>
        </w:tc>
        <w:tc>
          <w:tcPr>
            <w:tcW w:w="0" w:type="auto"/>
            <w:vMerge w:val="restart"/>
            <w:shd w:val="clear" w:color="auto" w:fill="auto"/>
            <w:vAlign w:val="center"/>
            <w:hideMark/>
          </w:tcPr>
          <w:p w14:paraId="37A0EE8B" w14:textId="77777777" w:rsidR="00414006" w:rsidRPr="0086351C" w:rsidRDefault="00414006" w:rsidP="1C5DF8D6">
            <w:pPr>
              <w:jc w:val="both"/>
              <w:textAlignment w:val="baseline"/>
              <w:rPr>
                <w:rFonts w:ascii="Arial" w:eastAsia="Tahoma" w:hAnsi="Arial" w:cs="Arial"/>
                <w:sz w:val="12"/>
                <w:szCs w:val="12"/>
              </w:rPr>
            </w:pPr>
            <w:r w:rsidRPr="0086351C">
              <w:rPr>
                <w:rFonts w:ascii="Arial" w:eastAsia="Tahoma" w:hAnsi="Arial" w:cs="Arial"/>
                <w:color w:val="000000"/>
                <w:sz w:val="12"/>
                <w:szCs w:val="12"/>
              </w:rPr>
              <w:t>Atender a productores con el servicio de extensión agropecuaria </w:t>
            </w:r>
          </w:p>
        </w:tc>
        <w:tc>
          <w:tcPr>
            <w:tcW w:w="0" w:type="auto"/>
            <w:vMerge w:val="restart"/>
            <w:shd w:val="clear" w:color="auto" w:fill="auto"/>
            <w:vAlign w:val="center"/>
            <w:hideMark/>
          </w:tcPr>
          <w:p w14:paraId="33EC0BAF" w14:textId="77777777" w:rsidR="00414006" w:rsidRPr="0086351C" w:rsidRDefault="00414006" w:rsidP="1C5DF8D6">
            <w:pPr>
              <w:jc w:val="both"/>
              <w:textAlignment w:val="baseline"/>
              <w:rPr>
                <w:rFonts w:ascii="Arial" w:eastAsia="Tahoma" w:hAnsi="Arial" w:cs="Arial"/>
                <w:sz w:val="12"/>
                <w:szCs w:val="12"/>
              </w:rPr>
            </w:pPr>
            <w:r w:rsidRPr="0086351C">
              <w:rPr>
                <w:rFonts w:ascii="Arial" w:eastAsia="Tahoma" w:hAnsi="Arial" w:cs="Arial"/>
                <w:color w:val="000000"/>
                <w:sz w:val="12"/>
                <w:szCs w:val="12"/>
              </w:rPr>
              <w:t>Porcentaje de productores en el registro de Usuarios que reciben el Servicio Público de Extensión Agropecuaria </w:t>
            </w:r>
          </w:p>
        </w:tc>
        <w:tc>
          <w:tcPr>
            <w:tcW w:w="0" w:type="auto"/>
            <w:vMerge w:val="restart"/>
            <w:shd w:val="clear" w:color="auto" w:fill="auto"/>
            <w:vAlign w:val="center"/>
            <w:hideMark/>
          </w:tcPr>
          <w:p w14:paraId="01891377"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ADR </w:t>
            </w:r>
          </w:p>
        </w:tc>
        <w:tc>
          <w:tcPr>
            <w:tcW w:w="0" w:type="auto"/>
            <w:vMerge w:val="restart"/>
            <w:shd w:val="clear" w:color="auto" w:fill="auto"/>
            <w:vAlign w:val="center"/>
            <w:hideMark/>
          </w:tcPr>
          <w:p w14:paraId="02BC7C6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vMerge w:val="restart"/>
            <w:shd w:val="clear" w:color="auto" w:fill="auto"/>
            <w:vAlign w:val="center"/>
            <w:hideMark/>
          </w:tcPr>
          <w:p w14:paraId="13FC0E9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gridSpan w:val="4"/>
            <w:shd w:val="clear" w:color="auto" w:fill="auto"/>
            <w:vAlign w:val="center"/>
            <w:hideMark/>
          </w:tcPr>
          <w:p w14:paraId="47C7D60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5869E98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550.000 </w:t>
            </w:r>
          </w:p>
        </w:tc>
        <w:tc>
          <w:tcPr>
            <w:tcW w:w="0" w:type="auto"/>
            <w:gridSpan w:val="5"/>
            <w:shd w:val="clear" w:color="auto" w:fill="auto"/>
            <w:vAlign w:val="center"/>
            <w:hideMark/>
          </w:tcPr>
          <w:p w14:paraId="723187B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7130218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950.383 </w:t>
            </w:r>
          </w:p>
        </w:tc>
        <w:tc>
          <w:tcPr>
            <w:tcW w:w="0" w:type="auto"/>
            <w:gridSpan w:val="4"/>
            <w:shd w:val="clear" w:color="auto" w:fill="auto"/>
            <w:vAlign w:val="center"/>
            <w:hideMark/>
          </w:tcPr>
          <w:p w14:paraId="5E829B0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5382E9F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1.155.196 </w:t>
            </w:r>
          </w:p>
        </w:tc>
        <w:tc>
          <w:tcPr>
            <w:tcW w:w="0" w:type="auto"/>
            <w:shd w:val="clear" w:color="auto" w:fill="auto"/>
            <w:vAlign w:val="center"/>
            <w:hideMark/>
          </w:tcPr>
          <w:p w14:paraId="47A9B5A1" w14:textId="54A9B09D" w:rsidR="00CD060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23%   </w:t>
            </w:r>
          </w:p>
          <w:p w14:paraId="60564A99" w14:textId="1AD3BA95"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325,779  </w:t>
            </w:r>
          </w:p>
        </w:tc>
        <w:tc>
          <w:tcPr>
            <w:tcW w:w="0" w:type="auto"/>
            <w:shd w:val="clear" w:color="auto" w:fill="auto"/>
            <w:vAlign w:val="center"/>
            <w:hideMark/>
          </w:tcPr>
          <w:p w14:paraId="6978AD5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2.981.357 </w:t>
            </w:r>
          </w:p>
        </w:tc>
      </w:tr>
      <w:tr w:rsidR="00CD0609" w:rsidRPr="0086351C" w14:paraId="7AEC07DB" w14:textId="77777777" w:rsidTr="006349E3">
        <w:trPr>
          <w:trHeight w:val="555"/>
          <w:jc w:val="center"/>
        </w:trPr>
        <w:tc>
          <w:tcPr>
            <w:tcW w:w="0" w:type="auto"/>
            <w:vMerge/>
            <w:vAlign w:val="center"/>
            <w:hideMark/>
          </w:tcPr>
          <w:p w14:paraId="2487D0FD" w14:textId="77777777" w:rsidR="00414006" w:rsidRPr="0086351C" w:rsidRDefault="00414006">
            <w:pPr>
              <w:rPr>
                <w:rFonts w:ascii="Arial" w:hAnsi="Arial" w:cs="Arial"/>
                <w:sz w:val="12"/>
                <w:szCs w:val="12"/>
              </w:rPr>
            </w:pPr>
          </w:p>
        </w:tc>
        <w:tc>
          <w:tcPr>
            <w:tcW w:w="0" w:type="auto"/>
            <w:vMerge/>
            <w:vAlign w:val="center"/>
            <w:hideMark/>
          </w:tcPr>
          <w:p w14:paraId="09693542" w14:textId="77777777" w:rsidR="00414006" w:rsidRPr="0086351C" w:rsidRDefault="00414006">
            <w:pPr>
              <w:rPr>
                <w:rFonts w:ascii="Arial" w:hAnsi="Arial" w:cs="Arial"/>
                <w:sz w:val="12"/>
                <w:szCs w:val="12"/>
              </w:rPr>
            </w:pPr>
          </w:p>
        </w:tc>
        <w:tc>
          <w:tcPr>
            <w:tcW w:w="0" w:type="auto"/>
            <w:vMerge/>
            <w:vAlign w:val="center"/>
            <w:hideMark/>
          </w:tcPr>
          <w:p w14:paraId="242CD30F" w14:textId="77777777" w:rsidR="00414006" w:rsidRPr="0086351C" w:rsidRDefault="00414006">
            <w:pPr>
              <w:rPr>
                <w:rFonts w:ascii="Arial" w:hAnsi="Arial" w:cs="Arial"/>
                <w:sz w:val="12"/>
                <w:szCs w:val="12"/>
              </w:rPr>
            </w:pPr>
          </w:p>
        </w:tc>
        <w:tc>
          <w:tcPr>
            <w:tcW w:w="0" w:type="auto"/>
            <w:vMerge/>
            <w:vAlign w:val="center"/>
            <w:hideMark/>
          </w:tcPr>
          <w:p w14:paraId="66A9B51F" w14:textId="77777777" w:rsidR="00414006" w:rsidRPr="0086351C" w:rsidRDefault="00414006">
            <w:pPr>
              <w:rPr>
                <w:rFonts w:ascii="Arial" w:hAnsi="Arial" w:cs="Arial"/>
                <w:sz w:val="12"/>
                <w:szCs w:val="12"/>
              </w:rPr>
            </w:pPr>
          </w:p>
        </w:tc>
        <w:tc>
          <w:tcPr>
            <w:tcW w:w="0" w:type="auto"/>
            <w:vMerge/>
            <w:vAlign w:val="center"/>
            <w:hideMark/>
          </w:tcPr>
          <w:p w14:paraId="17965BD4" w14:textId="77777777" w:rsidR="00414006" w:rsidRPr="0086351C" w:rsidRDefault="00414006">
            <w:pPr>
              <w:rPr>
                <w:rFonts w:ascii="Arial" w:hAnsi="Arial" w:cs="Arial"/>
                <w:sz w:val="12"/>
                <w:szCs w:val="12"/>
              </w:rPr>
            </w:pPr>
          </w:p>
        </w:tc>
        <w:tc>
          <w:tcPr>
            <w:tcW w:w="0" w:type="auto"/>
            <w:vMerge/>
            <w:vAlign w:val="center"/>
            <w:hideMark/>
          </w:tcPr>
          <w:p w14:paraId="7E4D8743" w14:textId="77777777" w:rsidR="00414006" w:rsidRPr="0086351C" w:rsidRDefault="00414006">
            <w:pPr>
              <w:rPr>
                <w:rFonts w:ascii="Arial" w:hAnsi="Arial" w:cs="Arial"/>
                <w:sz w:val="12"/>
                <w:szCs w:val="12"/>
              </w:rPr>
            </w:pPr>
          </w:p>
        </w:tc>
        <w:tc>
          <w:tcPr>
            <w:tcW w:w="0" w:type="auto"/>
            <w:shd w:val="clear" w:color="auto" w:fill="auto"/>
            <w:vAlign w:val="center"/>
            <w:hideMark/>
          </w:tcPr>
          <w:p w14:paraId="7F4B1ED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3.7% </w:t>
            </w:r>
          </w:p>
          <w:p w14:paraId="7FEAB73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20.000 </w:t>
            </w:r>
          </w:p>
        </w:tc>
        <w:tc>
          <w:tcPr>
            <w:tcW w:w="0" w:type="auto"/>
            <w:shd w:val="clear" w:color="auto" w:fill="auto"/>
            <w:vAlign w:val="center"/>
            <w:hideMark/>
          </w:tcPr>
          <w:p w14:paraId="6A83406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21.8% </w:t>
            </w:r>
          </w:p>
          <w:p w14:paraId="484A624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120.000 </w:t>
            </w:r>
          </w:p>
        </w:tc>
        <w:tc>
          <w:tcPr>
            <w:tcW w:w="0" w:type="auto"/>
            <w:shd w:val="clear" w:color="auto" w:fill="auto"/>
            <w:vAlign w:val="center"/>
            <w:hideMark/>
          </w:tcPr>
          <w:p w14:paraId="68A9BDE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36.4% </w:t>
            </w:r>
          </w:p>
          <w:p w14:paraId="52E6F48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200.000 </w:t>
            </w:r>
          </w:p>
        </w:tc>
        <w:tc>
          <w:tcPr>
            <w:tcW w:w="0" w:type="auto"/>
            <w:shd w:val="clear" w:color="auto" w:fill="auto"/>
            <w:vAlign w:val="center"/>
            <w:hideMark/>
          </w:tcPr>
          <w:p w14:paraId="0140907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38.1% </w:t>
            </w:r>
          </w:p>
          <w:p w14:paraId="24F273B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210.000 </w:t>
            </w:r>
          </w:p>
        </w:tc>
        <w:tc>
          <w:tcPr>
            <w:tcW w:w="0" w:type="auto"/>
            <w:shd w:val="clear" w:color="auto" w:fill="auto"/>
            <w:vAlign w:val="center"/>
            <w:hideMark/>
          </w:tcPr>
          <w:p w14:paraId="0CB93250" w14:textId="0360E71A" w:rsidR="008522CC"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23.2%  </w:t>
            </w:r>
          </w:p>
          <w:p w14:paraId="044D97C3" w14:textId="7DF3CAD4"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220,500  </w:t>
            </w:r>
          </w:p>
        </w:tc>
        <w:tc>
          <w:tcPr>
            <w:tcW w:w="0" w:type="auto"/>
            <w:shd w:val="clear" w:color="auto" w:fill="auto"/>
            <w:vAlign w:val="center"/>
            <w:hideMark/>
          </w:tcPr>
          <w:p w14:paraId="58918670" w14:textId="378E796F" w:rsidR="0085748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24.4%    </w:t>
            </w:r>
          </w:p>
          <w:p w14:paraId="2FC3CAE0" w14:textId="0A6B7C70"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231,525  </w:t>
            </w:r>
          </w:p>
        </w:tc>
        <w:tc>
          <w:tcPr>
            <w:tcW w:w="0" w:type="auto"/>
            <w:shd w:val="clear" w:color="auto" w:fill="auto"/>
            <w:vAlign w:val="center"/>
            <w:hideMark/>
          </w:tcPr>
          <w:p w14:paraId="52A1F45D" w14:textId="6FD55882" w:rsidR="0085748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25.6%  </w:t>
            </w:r>
          </w:p>
          <w:p w14:paraId="054AC9F5" w14:textId="61DF67E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243,101  </w:t>
            </w:r>
          </w:p>
        </w:tc>
        <w:tc>
          <w:tcPr>
            <w:tcW w:w="0" w:type="auto"/>
            <w:shd w:val="clear" w:color="auto" w:fill="auto"/>
            <w:vAlign w:val="center"/>
            <w:hideMark/>
          </w:tcPr>
          <w:p w14:paraId="6EBA057F" w14:textId="61EF397A" w:rsidR="0085748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26.8%</w:t>
            </w:r>
          </w:p>
          <w:p w14:paraId="21327E48" w14:textId="2A287FC2"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255,256  </w:t>
            </w:r>
          </w:p>
        </w:tc>
        <w:tc>
          <w:tcPr>
            <w:tcW w:w="0" w:type="auto"/>
            <w:gridSpan w:val="2"/>
            <w:shd w:val="clear" w:color="auto" w:fill="auto"/>
            <w:vAlign w:val="center"/>
            <w:hideMark/>
          </w:tcPr>
          <w:p w14:paraId="37A030DF" w14:textId="317CE4DF" w:rsidR="0085748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23.2%</w:t>
            </w:r>
          </w:p>
          <w:p w14:paraId="292349D1" w14:textId="2A9F128D"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268,019  </w:t>
            </w:r>
          </w:p>
        </w:tc>
        <w:tc>
          <w:tcPr>
            <w:tcW w:w="0" w:type="auto"/>
            <w:shd w:val="clear" w:color="auto" w:fill="auto"/>
            <w:vAlign w:val="center"/>
            <w:hideMark/>
          </w:tcPr>
          <w:p w14:paraId="7C9E8919" w14:textId="04D9334F" w:rsidR="0085748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24.4%  </w:t>
            </w:r>
          </w:p>
          <w:p w14:paraId="49D394DB" w14:textId="71A5B1AF"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281,420  </w:t>
            </w:r>
          </w:p>
        </w:tc>
        <w:tc>
          <w:tcPr>
            <w:tcW w:w="0" w:type="auto"/>
            <w:shd w:val="clear" w:color="auto" w:fill="auto"/>
            <w:vAlign w:val="center"/>
            <w:hideMark/>
          </w:tcPr>
          <w:p w14:paraId="4EA0F1E6" w14:textId="327E8937" w:rsidR="00A23587"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25.6% </w:t>
            </w:r>
          </w:p>
          <w:p w14:paraId="5502610C" w14:textId="1B92179F"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295,491  </w:t>
            </w:r>
          </w:p>
        </w:tc>
        <w:tc>
          <w:tcPr>
            <w:tcW w:w="0" w:type="auto"/>
            <w:shd w:val="clear" w:color="auto" w:fill="auto"/>
            <w:vAlign w:val="center"/>
            <w:hideMark/>
          </w:tcPr>
          <w:p w14:paraId="5900AA01" w14:textId="0986DAB5" w:rsidR="00CD0609" w:rsidRPr="0086351C" w:rsidRDefault="00414006" w:rsidP="1C5DF8D6">
            <w:pPr>
              <w:jc w:val="center"/>
              <w:textAlignment w:val="baseline"/>
              <w:rPr>
                <w:rFonts w:ascii="Arial" w:eastAsia="Tahoma" w:hAnsi="Arial" w:cs="Arial"/>
                <w:color w:val="000000"/>
                <w:sz w:val="12"/>
                <w:szCs w:val="12"/>
              </w:rPr>
            </w:pPr>
            <w:r w:rsidRPr="0086351C">
              <w:rPr>
                <w:rFonts w:ascii="Arial" w:eastAsia="Tahoma" w:hAnsi="Arial" w:cs="Arial"/>
                <w:color w:val="000000"/>
                <w:sz w:val="12"/>
                <w:szCs w:val="12"/>
              </w:rPr>
              <w:t xml:space="preserve">26.8% </w:t>
            </w:r>
          </w:p>
          <w:p w14:paraId="5751F674" w14:textId="3B62D135"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310,266  </w:t>
            </w:r>
          </w:p>
        </w:tc>
        <w:tc>
          <w:tcPr>
            <w:tcW w:w="0" w:type="auto"/>
            <w:vAlign w:val="center"/>
            <w:hideMark/>
          </w:tcPr>
          <w:p w14:paraId="7E68ABF5" w14:textId="77777777" w:rsidR="00414006" w:rsidRPr="0086351C" w:rsidRDefault="00414006">
            <w:pPr>
              <w:rPr>
                <w:rFonts w:ascii="Arial" w:hAnsi="Arial" w:cs="Arial"/>
                <w:sz w:val="12"/>
                <w:szCs w:val="12"/>
              </w:rPr>
            </w:pPr>
          </w:p>
        </w:tc>
        <w:tc>
          <w:tcPr>
            <w:tcW w:w="0" w:type="auto"/>
            <w:vAlign w:val="center"/>
            <w:hideMark/>
          </w:tcPr>
          <w:p w14:paraId="1099E4D2" w14:textId="77777777" w:rsidR="00414006" w:rsidRPr="0086351C" w:rsidRDefault="00414006">
            <w:pPr>
              <w:rPr>
                <w:rFonts w:ascii="Arial" w:hAnsi="Arial" w:cs="Arial"/>
                <w:sz w:val="12"/>
                <w:szCs w:val="12"/>
              </w:rPr>
            </w:pPr>
          </w:p>
        </w:tc>
      </w:tr>
      <w:tr w:rsidR="00A23587" w:rsidRPr="0086351C" w14:paraId="1E01A2D9" w14:textId="77777777" w:rsidTr="006349E3">
        <w:trPr>
          <w:trHeight w:val="60"/>
          <w:jc w:val="center"/>
        </w:trPr>
        <w:tc>
          <w:tcPr>
            <w:tcW w:w="0" w:type="auto"/>
            <w:vMerge/>
            <w:vAlign w:val="center"/>
            <w:hideMark/>
          </w:tcPr>
          <w:p w14:paraId="4BF645E8" w14:textId="77777777" w:rsidR="00414006" w:rsidRPr="0086351C" w:rsidRDefault="00414006">
            <w:pPr>
              <w:rPr>
                <w:rFonts w:ascii="Arial" w:hAnsi="Arial" w:cs="Arial"/>
                <w:sz w:val="12"/>
                <w:szCs w:val="12"/>
              </w:rPr>
            </w:pPr>
          </w:p>
        </w:tc>
        <w:tc>
          <w:tcPr>
            <w:tcW w:w="0" w:type="auto"/>
            <w:vMerge/>
            <w:vAlign w:val="center"/>
            <w:hideMark/>
          </w:tcPr>
          <w:p w14:paraId="41E4BE1B" w14:textId="77777777" w:rsidR="00414006" w:rsidRPr="0086351C" w:rsidRDefault="00414006">
            <w:pPr>
              <w:rPr>
                <w:rFonts w:ascii="Arial" w:hAnsi="Arial" w:cs="Arial"/>
                <w:sz w:val="12"/>
                <w:szCs w:val="12"/>
              </w:rPr>
            </w:pPr>
          </w:p>
        </w:tc>
        <w:tc>
          <w:tcPr>
            <w:tcW w:w="0" w:type="auto"/>
            <w:vMerge w:val="restart"/>
            <w:shd w:val="clear" w:color="auto" w:fill="auto"/>
            <w:vAlign w:val="center"/>
            <w:hideMark/>
          </w:tcPr>
          <w:p w14:paraId="7F5DF011" w14:textId="77777777" w:rsidR="00414006" w:rsidRPr="0086351C" w:rsidRDefault="00414006" w:rsidP="1C5DF8D6">
            <w:pPr>
              <w:jc w:val="both"/>
              <w:textAlignment w:val="baseline"/>
              <w:rPr>
                <w:rFonts w:ascii="Arial" w:eastAsia="Tahoma" w:hAnsi="Arial" w:cs="Arial"/>
                <w:sz w:val="12"/>
                <w:szCs w:val="12"/>
              </w:rPr>
            </w:pPr>
            <w:r w:rsidRPr="0086351C">
              <w:rPr>
                <w:rFonts w:ascii="Arial" w:eastAsia="Tahoma" w:hAnsi="Arial" w:cs="Arial"/>
                <w:color w:val="000000"/>
                <w:sz w:val="12"/>
                <w:szCs w:val="12"/>
              </w:rPr>
              <w:t>Porcentaje de productores en el registro de Usuarios que reciben el Servicio Público de Extensión Agropecuaria en Municipios PDET </w:t>
            </w:r>
          </w:p>
        </w:tc>
        <w:tc>
          <w:tcPr>
            <w:tcW w:w="0" w:type="auto"/>
            <w:vMerge w:val="restart"/>
            <w:shd w:val="clear" w:color="auto" w:fill="auto"/>
            <w:vAlign w:val="center"/>
            <w:hideMark/>
          </w:tcPr>
          <w:p w14:paraId="51CFA95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ADR </w:t>
            </w:r>
          </w:p>
        </w:tc>
        <w:tc>
          <w:tcPr>
            <w:tcW w:w="0" w:type="auto"/>
            <w:vMerge w:val="restart"/>
            <w:shd w:val="clear" w:color="auto" w:fill="auto"/>
            <w:vAlign w:val="center"/>
            <w:hideMark/>
          </w:tcPr>
          <w:p w14:paraId="26A087D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vMerge w:val="restart"/>
            <w:shd w:val="clear" w:color="auto" w:fill="auto"/>
            <w:vAlign w:val="center"/>
            <w:hideMark/>
          </w:tcPr>
          <w:p w14:paraId="7787E1A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gridSpan w:val="4"/>
            <w:shd w:val="clear" w:color="auto" w:fill="auto"/>
            <w:vAlign w:val="center"/>
            <w:hideMark/>
          </w:tcPr>
          <w:p w14:paraId="32E987E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440EC17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107.100 </w:t>
            </w:r>
          </w:p>
        </w:tc>
        <w:tc>
          <w:tcPr>
            <w:tcW w:w="0" w:type="auto"/>
            <w:gridSpan w:val="5"/>
            <w:shd w:val="clear" w:color="auto" w:fill="auto"/>
            <w:vAlign w:val="center"/>
            <w:hideMark/>
          </w:tcPr>
          <w:p w14:paraId="051FEBD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34A6434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142.557 </w:t>
            </w:r>
          </w:p>
        </w:tc>
        <w:tc>
          <w:tcPr>
            <w:tcW w:w="0" w:type="auto"/>
            <w:gridSpan w:val="4"/>
            <w:shd w:val="clear" w:color="auto" w:fill="auto"/>
            <w:vAlign w:val="center"/>
            <w:hideMark/>
          </w:tcPr>
          <w:p w14:paraId="69700E4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100% </w:t>
            </w:r>
          </w:p>
          <w:p w14:paraId="0ADF991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173.279 </w:t>
            </w:r>
          </w:p>
        </w:tc>
        <w:tc>
          <w:tcPr>
            <w:tcW w:w="0" w:type="auto"/>
            <w:shd w:val="clear" w:color="auto" w:fill="auto"/>
            <w:vAlign w:val="center"/>
            <w:hideMark/>
          </w:tcPr>
          <w:p w14:paraId="3F002FF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23.2% </w:t>
            </w:r>
          </w:p>
          <w:p w14:paraId="053DDEB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48.867 </w:t>
            </w:r>
          </w:p>
        </w:tc>
        <w:tc>
          <w:tcPr>
            <w:tcW w:w="0" w:type="auto"/>
            <w:shd w:val="clear" w:color="auto" w:fill="auto"/>
            <w:vAlign w:val="center"/>
            <w:hideMark/>
          </w:tcPr>
          <w:p w14:paraId="319507B7"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471.803 </w:t>
            </w:r>
          </w:p>
          <w:p w14:paraId="3D55C20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 </w:t>
            </w:r>
          </w:p>
        </w:tc>
      </w:tr>
      <w:tr w:rsidR="00CD0609" w:rsidRPr="0086351C" w14:paraId="0E48E58D" w14:textId="77777777" w:rsidTr="006349E3">
        <w:trPr>
          <w:trHeight w:val="180"/>
          <w:jc w:val="center"/>
        </w:trPr>
        <w:tc>
          <w:tcPr>
            <w:tcW w:w="0" w:type="auto"/>
            <w:vMerge/>
            <w:vAlign w:val="center"/>
            <w:hideMark/>
          </w:tcPr>
          <w:p w14:paraId="3FD10E90" w14:textId="77777777" w:rsidR="00414006" w:rsidRPr="0086351C" w:rsidRDefault="00414006">
            <w:pPr>
              <w:rPr>
                <w:rFonts w:ascii="Arial" w:hAnsi="Arial" w:cs="Arial"/>
                <w:sz w:val="12"/>
                <w:szCs w:val="12"/>
              </w:rPr>
            </w:pPr>
          </w:p>
        </w:tc>
        <w:tc>
          <w:tcPr>
            <w:tcW w:w="0" w:type="auto"/>
            <w:vMerge/>
            <w:vAlign w:val="center"/>
            <w:hideMark/>
          </w:tcPr>
          <w:p w14:paraId="522878D6" w14:textId="77777777" w:rsidR="00414006" w:rsidRPr="0086351C" w:rsidRDefault="00414006">
            <w:pPr>
              <w:rPr>
                <w:rFonts w:ascii="Arial" w:hAnsi="Arial" w:cs="Arial"/>
                <w:sz w:val="12"/>
                <w:szCs w:val="12"/>
              </w:rPr>
            </w:pPr>
          </w:p>
        </w:tc>
        <w:tc>
          <w:tcPr>
            <w:tcW w:w="0" w:type="auto"/>
            <w:vMerge/>
            <w:vAlign w:val="center"/>
            <w:hideMark/>
          </w:tcPr>
          <w:p w14:paraId="75B0915D" w14:textId="77777777" w:rsidR="00414006" w:rsidRPr="0086351C" w:rsidRDefault="00414006">
            <w:pPr>
              <w:rPr>
                <w:rFonts w:ascii="Arial" w:hAnsi="Arial" w:cs="Arial"/>
                <w:sz w:val="12"/>
                <w:szCs w:val="12"/>
              </w:rPr>
            </w:pPr>
          </w:p>
        </w:tc>
        <w:tc>
          <w:tcPr>
            <w:tcW w:w="0" w:type="auto"/>
            <w:vMerge/>
            <w:vAlign w:val="center"/>
            <w:hideMark/>
          </w:tcPr>
          <w:p w14:paraId="11C5A502" w14:textId="77777777" w:rsidR="00414006" w:rsidRPr="0086351C" w:rsidRDefault="00414006">
            <w:pPr>
              <w:rPr>
                <w:rFonts w:ascii="Arial" w:hAnsi="Arial" w:cs="Arial"/>
                <w:sz w:val="12"/>
                <w:szCs w:val="12"/>
              </w:rPr>
            </w:pPr>
          </w:p>
        </w:tc>
        <w:tc>
          <w:tcPr>
            <w:tcW w:w="0" w:type="auto"/>
            <w:vMerge/>
            <w:vAlign w:val="center"/>
            <w:hideMark/>
          </w:tcPr>
          <w:p w14:paraId="6657F9E4" w14:textId="77777777" w:rsidR="00414006" w:rsidRPr="0086351C" w:rsidRDefault="00414006">
            <w:pPr>
              <w:rPr>
                <w:rFonts w:ascii="Arial" w:hAnsi="Arial" w:cs="Arial"/>
                <w:sz w:val="12"/>
                <w:szCs w:val="12"/>
              </w:rPr>
            </w:pPr>
          </w:p>
        </w:tc>
        <w:tc>
          <w:tcPr>
            <w:tcW w:w="0" w:type="auto"/>
            <w:vMerge/>
            <w:vAlign w:val="center"/>
            <w:hideMark/>
          </w:tcPr>
          <w:p w14:paraId="581A9A8F" w14:textId="77777777" w:rsidR="00414006" w:rsidRPr="0086351C" w:rsidRDefault="00414006">
            <w:pPr>
              <w:rPr>
                <w:rFonts w:ascii="Arial" w:hAnsi="Arial" w:cs="Arial"/>
                <w:sz w:val="12"/>
                <w:szCs w:val="12"/>
              </w:rPr>
            </w:pPr>
          </w:p>
        </w:tc>
        <w:tc>
          <w:tcPr>
            <w:tcW w:w="0" w:type="auto"/>
            <w:shd w:val="clear" w:color="auto" w:fill="auto"/>
            <w:vAlign w:val="center"/>
            <w:hideMark/>
          </w:tcPr>
          <w:p w14:paraId="0FA84E0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1.1% </w:t>
            </w:r>
          </w:p>
          <w:p w14:paraId="46C5E92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1.100 </w:t>
            </w:r>
          </w:p>
        </w:tc>
        <w:tc>
          <w:tcPr>
            <w:tcW w:w="0" w:type="auto"/>
            <w:shd w:val="clear" w:color="auto" w:fill="auto"/>
            <w:vAlign w:val="center"/>
            <w:hideMark/>
          </w:tcPr>
          <w:p w14:paraId="318DBCF5"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22.4% </w:t>
            </w:r>
          </w:p>
          <w:p w14:paraId="2596C34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24.000 </w:t>
            </w:r>
          </w:p>
        </w:tc>
        <w:tc>
          <w:tcPr>
            <w:tcW w:w="0" w:type="auto"/>
            <w:shd w:val="clear" w:color="auto" w:fill="auto"/>
            <w:vAlign w:val="center"/>
            <w:hideMark/>
          </w:tcPr>
          <w:p w14:paraId="23CEE83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37.3% </w:t>
            </w:r>
          </w:p>
          <w:p w14:paraId="53B05DC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40.000 </w:t>
            </w:r>
          </w:p>
        </w:tc>
        <w:tc>
          <w:tcPr>
            <w:tcW w:w="0" w:type="auto"/>
            <w:shd w:val="clear" w:color="auto" w:fill="auto"/>
            <w:vAlign w:val="center"/>
            <w:hideMark/>
          </w:tcPr>
          <w:p w14:paraId="300976A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39.2% </w:t>
            </w:r>
          </w:p>
          <w:p w14:paraId="761AA23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42.000 </w:t>
            </w:r>
          </w:p>
        </w:tc>
        <w:tc>
          <w:tcPr>
            <w:tcW w:w="0" w:type="auto"/>
            <w:shd w:val="clear" w:color="auto" w:fill="auto"/>
            <w:vAlign w:val="center"/>
            <w:hideMark/>
          </w:tcPr>
          <w:p w14:paraId="76CDE9E0"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23.2% </w:t>
            </w:r>
          </w:p>
          <w:p w14:paraId="549224B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33.075  </w:t>
            </w:r>
          </w:p>
        </w:tc>
        <w:tc>
          <w:tcPr>
            <w:tcW w:w="0" w:type="auto"/>
            <w:shd w:val="clear" w:color="auto" w:fill="auto"/>
            <w:vAlign w:val="center"/>
            <w:hideMark/>
          </w:tcPr>
          <w:p w14:paraId="05987C4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24.4% </w:t>
            </w:r>
          </w:p>
          <w:p w14:paraId="45E518F8" w14:textId="77777777" w:rsidR="00414006" w:rsidRPr="0086351C" w:rsidRDefault="00414006" w:rsidP="1C5DF8D6">
            <w:pPr>
              <w:textAlignment w:val="baseline"/>
              <w:rPr>
                <w:rFonts w:ascii="Arial" w:eastAsia="Tahoma" w:hAnsi="Arial" w:cs="Arial"/>
                <w:sz w:val="12"/>
                <w:szCs w:val="12"/>
              </w:rPr>
            </w:pPr>
            <w:r w:rsidRPr="0086351C">
              <w:rPr>
                <w:rFonts w:ascii="Arial" w:eastAsia="Tahoma" w:hAnsi="Arial" w:cs="Arial"/>
                <w:color w:val="000000"/>
                <w:sz w:val="12"/>
                <w:szCs w:val="12"/>
              </w:rPr>
              <w:t>34.729  </w:t>
            </w:r>
          </w:p>
        </w:tc>
        <w:tc>
          <w:tcPr>
            <w:tcW w:w="0" w:type="auto"/>
            <w:shd w:val="clear" w:color="auto" w:fill="auto"/>
            <w:vAlign w:val="center"/>
            <w:hideMark/>
          </w:tcPr>
          <w:p w14:paraId="00FBC62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25.6% </w:t>
            </w:r>
          </w:p>
          <w:p w14:paraId="55EC7FE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36.465  </w:t>
            </w:r>
          </w:p>
        </w:tc>
        <w:tc>
          <w:tcPr>
            <w:tcW w:w="0" w:type="auto"/>
            <w:shd w:val="clear" w:color="auto" w:fill="auto"/>
            <w:vAlign w:val="center"/>
            <w:hideMark/>
          </w:tcPr>
          <w:p w14:paraId="6CF3CFA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26.8% </w:t>
            </w:r>
          </w:p>
          <w:p w14:paraId="6072464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38.288 </w:t>
            </w:r>
          </w:p>
        </w:tc>
        <w:tc>
          <w:tcPr>
            <w:tcW w:w="0" w:type="auto"/>
            <w:gridSpan w:val="2"/>
            <w:shd w:val="clear" w:color="auto" w:fill="auto"/>
            <w:vAlign w:val="center"/>
            <w:hideMark/>
          </w:tcPr>
          <w:p w14:paraId="1B001C4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23.2% </w:t>
            </w:r>
          </w:p>
          <w:p w14:paraId="6E4A29A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40.202 </w:t>
            </w:r>
          </w:p>
        </w:tc>
        <w:tc>
          <w:tcPr>
            <w:tcW w:w="0" w:type="auto"/>
            <w:shd w:val="clear" w:color="auto" w:fill="auto"/>
            <w:vAlign w:val="center"/>
            <w:hideMark/>
          </w:tcPr>
          <w:p w14:paraId="2E2E008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24.4% </w:t>
            </w:r>
          </w:p>
          <w:p w14:paraId="35D63E4A"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42.213 </w:t>
            </w:r>
          </w:p>
        </w:tc>
        <w:tc>
          <w:tcPr>
            <w:tcW w:w="0" w:type="auto"/>
            <w:shd w:val="clear" w:color="auto" w:fill="auto"/>
            <w:vAlign w:val="center"/>
            <w:hideMark/>
          </w:tcPr>
          <w:p w14:paraId="7720662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25.6% </w:t>
            </w:r>
          </w:p>
          <w:p w14:paraId="30FC257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44.324 </w:t>
            </w:r>
          </w:p>
        </w:tc>
        <w:tc>
          <w:tcPr>
            <w:tcW w:w="0" w:type="auto"/>
            <w:shd w:val="clear" w:color="auto" w:fill="auto"/>
            <w:vAlign w:val="center"/>
            <w:hideMark/>
          </w:tcPr>
          <w:p w14:paraId="5435EF5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26.8% </w:t>
            </w:r>
          </w:p>
          <w:p w14:paraId="342CB846"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46.540 </w:t>
            </w:r>
          </w:p>
        </w:tc>
        <w:tc>
          <w:tcPr>
            <w:tcW w:w="0" w:type="auto"/>
            <w:vAlign w:val="center"/>
            <w:hideMark/>
          </w:tcPr>
          <w:p w14:paraId="32A62814" w14:textId="77777777" w:rsidR="00414006" w:rsidRPr="0086351C" w:rsidRDefault="00414006">
            <w:pPr>
              <w:rPr>
                <w:rFonts w:ascii="Arial" w:hAnsi="Arial" w:cs="Arial"/>
                <w:sz w:val="12"/>
                <w:szCs w:val="12"/>
              </w:rPr>
            </w:pPr>
          </w:p>
        </w:tc>
        <w:tc>
          <w:tcPr>
            <w:tcW w:w="0" w:type="auto"/>
            <w:vAlign w:val="center"/>
            <w:hideMark/>
          </w:tcPr>
          <w:p w14:paraId="2B5C4828" w14:textId="77777777" w:rsidR="00414006" w:rsidRPr="0086351C" w:rsidRDefault="00414006">
            <w:pPr>
              <w:rPr>
                <w:rFonts w:ascii="Arial" w:hAnsi="Arial" w:cs="Arial"/>
                <w:sz w:val="12"/>
                <w:szCs w:val="12"/>
              </w:rPr>
            </w:pPr>
          </w:p>
        </w:tc>
      </w:tr>
      <w:tr w:rsidR="00CD0609" w:rsidRPr="0086351C" w14:paraId="144E8BEC" w14:textId="77777777" w:rsidTr="006349E3">
        <w:trPr>
          <w:trHeight w:val="195"/>
          <w:jc w:val="center"/>
        </w:trPr>
        <w:tc>
          <w:tcPr>
            <w:tcW w:w="0" w:type="auto"/>
            <w:vMerge/>
            <w:vAlign w:val="center"/>
            <w:hideMark/>
          </w:tcPr>
          <w:p w14:paraId="1D9AFC7C" w14:textId="77777777" w:rsidR="00414006" w:rsidRPr="0086351C" w:rsidRDefault="00414006">
            <w:pPr>
              <w:rPr>
                <w:rFonts w:ascii="Arial" w:hAnsi="Arial" w:cs="Arial"/>
                <w:sz w:val="12"/>
                <w:szCs w:val="12"/>
              </w:rPr>
            </w:pPr>
          </w:p>
        </w:tc>
        <w:tc>
          <w:tcPr>
            <w:tcW w:w="0" w:type="auto"/>
            <w:vMerge/>
            <w:vAlign w:val="center"/>
            <w:hideMark/>
          </w:tcPr>
          <w:p w14:paraId="5DD4E59B" w14:textId="77777777" w:rsidR="00414006" w:rsidRPr="0086351C" w:rsidRDefault="00414006">
            <w:pPr>
              <w:rPr>
                <w:rFonts w:ascii="Arial" w:hAnsi="Arial" w:cs="Arial"/>
                <w:sz w:val="12"/>
                <w:szCs w:val="12"/>
              </w:rPr>
            </w:pPr>
          </w:p>
        </w:tc>
        <w:tc>
          <w:tcPr>
            <w:tcW w:w="0" w:type="auto"/>
            <w:shd w:val="clear" w:color="auto" w:fill="auto"/>
            <w:vAlign w:val="center"/>
            <w:hideMark/>
          </w:tcPr>
          <w:p w14:paraId="4B794CDD" w14:textId="77777777" w:rsidR="00414006" w:rsidRPr="0086351C" w:rsidRDefault="00414006" w:rsidP="1C5DF8D6">
            <w:pPr>
              <w:jc w:val="both"/>
              <w:textAlignment w:val="baseline"/>
              <w:rPr>
                <w:rFonts w:ascii="Arial" w:eastAsia="Tahoma" w:hAnsi="Arial" w:cs="Arial"/>
                <w:sz w:val="12"/>
                <w:szCs w:val="12"/>
              </w:rPr>
            </w:pPr>
            <w:r w:rsidRPr="0086351C">
              <w:rPr>
                <w:rFonts w:ascii="Arial" w:eastAsia="Tahoma" w:hAnsi="Arial" w:cs="Arial"/>
                <w:color w:val="000000"/>
                <w:sz w:val="12"/>
                <w:szCs w:val="12"/>
              </w:rPr>
              <w:t xml:space="preserve">Porcentaje de productoras en el registro de Usuarios que reciben el Servicio </w:t>
            </w:r>
            <w:r w:rsidRPr="0086351C">
              <w:rPr>
                <w:rFonts w:ascii="Arial" w:eastAsia="Tahoma" w:hAnsi="Arial" w:cs="Arial"/>
                <w:color w:val="000000"/>
                <w:sz w:val="12"/>
                <w:szCs w:val="12"/>
              </w:rPr>
              <w:lastRenderedPageBreak/>
              <w:t>Pùblico de Extensión Agropecuaria </w:t>
            </w:r>
          </w:p>
        </w:tc>
        <w:tc>
          <w:tcPr>
            <w:tcW w:w="0" w:type="auto"/>
            <w:shd w:val="clear" w:color="auto" w:fill="auto"/>
            <w:vAlign w:val="center"/>
            <w:hideMark/>
          </w:tcPr>
          <w:p w14:paraId="0786A72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lastRenderedPageBreak/>
              <w:t>ADR </w:t>
            </w:r>
          </w:p>
        </w:tc>
        <w:tc>
          <w:tcPr>
            <w:tcW w:w="0" w:type="auto"/>
            <w:shd w:val="clear" w:color="auto" w:fill="auto"/>
            <w:vAlign w:val="center"/>
            <w:hideMark/>
          </w:tcPr>
          <w:p w14:paraId="53C7807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shd w:val="clear" w:color="auto" w:fill="auto"/>
            <w:vAlign w:val="center"/>
            <w:hideMark/>
          </w:tcPr>
          <w:p w14:paraId="27978A3B"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0% </w:t>
            </w:r>
          </w:p>
        </w:tc>
        <w:tc>
          <w:tcPr>
            <w:tcW w:w="0" w:type="auto"/>
            <w:shd w:val="clear" w:color="auto" w:fill="auto"/>
            <w:vAlign w:val="center"/>
            <w:hideMark/>
          </w:tcPr>
          <w:p w14:paraId="7B9EB3B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33% </w:t>
            </w:r>
          </w:p>
        </w:tc>
        <w:tc>
          <w:tcPr>
            <w:tcW w:w="0" w:type="auto"/>
            <w:shd w:val="clear" w:color="auto" w:fill="auto"/>
            <w:vAlign w:val="center"/>
            <w:hideMark/>
          </w:tcPr>
          <w:p w14:paraId="1261CC8D"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4CF0F8F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538B0679"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17843064"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45413D67"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72DD606C"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31C8FE6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gridSpan w:val="2"/>
            <w:shd w:val="clear" w:color="auto" w:fill="auto"/>
            <w:vAlign w:val="center"/>
            <w:hideMark/>
          </w:tcPr>
          <w:p w14:paraId="06D58AB8"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493776A1"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6FCEEAC2"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7011005F"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57482BEE"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c>
          <w:tcPr>
            <w:tcW w:w="0" w:type="auto"/>
            <w:shd w:val="clear" w:color="auto" w:fill="auto"/>
            <w:vAlign w:val="center"/>
            <w:hideMark/>
          </w:tcPr>
          <w:p w14:paraId="06CA2733" w14:textId="77777777" w:rsidR="00414006" w:rsidRPr="0086351C" w:rsidRDefault="00414006" w:rsidP="1C5DF8D6">
            <w:pPr>
              <w:jc w:val="center"/>
              <w:textAlignment w:val="baseline"/>
              <w:rPr>
                <w:rFonts w:ascii="Arial" w:eastAsia="Tahoma" w:hAnsi="Arial" w:cs="Arial"/>
                <w:sz w:val="12"/>
                <w:szCs w:val="12"/>
              </w:rPr>
            </w:pPr>
            <w:r w:rsidRPr="0086351C">
              <w:rPr>
                <w:rFonts w:ascii="Arial" w:eastAsia="Tahoma" w:hAnsi="Arial" w:cs="Arial"/>
                <w:color w:val="000000"/>
                <w:sz w:val="12"/>
                <w:szCs w:val="12"/>
              </w:rPr>
              <w:t>30% </w:t>
            </w:r>
          </w:p>
        </w:tc>
      </w:tr>
    </w:tbl>
    <w:p w14:paraId="007866A4" w14:textId="67851CEE" w:rsidR="004F0A4A" w:rsidRPr="0086351C" w:rsidRDefault="004F0A4A" w:rsidP="0089595C">
      <w:pPr>
        <w:jc w:val="center"/>
        <w:textAlignment w:val="baseline"/>
        <w:rPr>
          <w:rFonts w:ascii="Arial" w:eastAsia="Arial" w:hAnsi="Arial" w:cs="Arial"/>
          <w:i/>
          <w:sz w:val="18"/>
          <w:szCs w:val="18"/>
        </w:rPr>
      </w:pPr>
      <w:r w:rsidRPr="0086351C">
        <w:rPr>
          <w:rFonts w:ascii="Arial" w:eastAsia="Arial" w:hAnsi="Arial" w:cs="Arial"/>
          <w:i/>
          <w:sz w:val="18"/>
          <w:szCs w:val="18"/>
        </w:rPr>
        <w:t xml:space="preserve">Tabla </w:t>
      </w:r>
      <w:r w:rsidRPr="0086351C">
        <w:rPr>
          <w:rFonts w:ascii="Arial" w:eastAsia="Tahoma" w:hAnsi="Arial" w:cs="Arial"/>
          <w:i/>
          <w:iCs/>
          <w:sz w:val="18"/>
          <w:szCs w:val="18"/>
        </w:rPr>
        <w:fldChar w:fldCharType="begin"/>
      </w:r>
      <w:r w:rsidRPr="0086351C">
        <w:rPr>
          <w:rFonts w:ascii="Arial" w:eastAsia="Tahoma" w:hAnsi="Arial" w:cs="Arial"/>
          <w:i/>
          <w:iCs/>
          <w:sz w:val="18"/>
          <w:szCs w:val="18"/>
        </w:rPr>
        <w:instrText xml:space="preserve"> SEQ Tabla \* ARABIC </w:instrText>
      </w:r>
      <w:r w:rsidRPr="0086351C">
        <w:rPr>
          <w:rFonts w:ascii="Arial" w:eastAsia="Tahoma" w:hAnsi="Arial" w:cs="Arial"/>
          <w:i/>
          <w:iCs/>
          <w:sz w:val="18"/>
          <w:szCs w:val="18"/>
        </w:rPr>
        <w:fldChar w:fldCharType="separate"/>
      </w:r>
      <w:r w:rsidRPr="0086351C">
        <w:rPr>
          <w:rFonts w:ascii="Arial" w:eastAsia="Tahoma" w:hAnsi="Arial" w:cs="Arial"/>
          <w:i/>
          <w:iCs/>
          <w:noProof/>
          <w:sz w:val="18"/>
          <w:szCs w:val="18"/>
        </w:rPr>
        <w:t>12</w:t>
      </w:r>
      <w:r w:rsidRPr="0086351C">
        <w:rPr>
          <w:rFonts w:ascii="Arial" w:eastAsia="Tahoma" w:hAnsi="Arial" w:cs="Arial"/>
          <w:i/>
          <w:iCs/>
          <w:sz w:val="18"/>
          <w:szCs w:val="18"/>
        </w:rPr>
        <w:fldChar w:fldCharType="end"/>
      </w:r>
      <w:r w:rsidRPr="0086351C">
        <w:rPr>
          <w:rFonts w:ascii="Arial" w:eastAsia="Arial" w:hAnsi="Arial" w:cs="Arial"/>
          <w:i/>
          <w:iCs/>
          <w:sz w:val="18"/>
          <w:szCs w:val="18"/>
        </w:rPr>
        <w:t>.</w:t>
      </w:r>
      <w:r w:rsidR="002F3D4D" w:rsidRPr="0086351C">
        <w:rPr>
          <w:rFonts w:ascii="Arial" w:eastAsia="Arial" w:hAnsi="Arial" w:cs="Arial"/>
          <w:i/>
          <w:iCs/>
          <w:sz w:val="18"/>
          <w:szCs w:val="18"/>
        </w:rPr>
        <w:t>Indicador</w:t>
      </w:r>
      <w:r w:rsidR="0089595C" w:rsidRPr="0086351C">
        <w:rPr>
          <w:rFonts w:ascii="Arial" w:eastAsia="Arial" w:hAnsi="Arial" w:cs="Arial"/>
          <w:i/>
          <w:iCs/>
          <w:sz w:val="18"/>
          <w:szCs w:val="18"/>
        </w:rPr>
        <w:t>es y metas AT</w:t>
      </w:r>
    </w:p>
    <w:p w14:paraId="26066398" w14:textId="77777777" w:rsidR="004F0A4A" w:rsidRPr="0086351C" w:rsidRDefault="004F0A4A" w:rsidP="0089595C">
      <w:pPr>
        <w:jc w:val="center"/>
        <w:textAlignment w:val="baseline"/>
        <w:rPr>
          <w:rFonts w:ascii="Arial" w:eastAsia="Arial" w:hAnsi="Arial" w:cs="Arial"/>
          <w:sz w:val="18"/>
          <w:szCs w:val="18"/>
        </w:rPr>
      </w:pPr>
      <w:r w:rsidRPr="0086351C">
        <w:rPr>
          <w:rFonts w:ascii="Arial" w:eastAsia="Arial" w:hAnsi="Arial" w:cs="Arial"/>
          <w:i/>
          <w:sz w:val="18"/>
          <w:szCs w:val="18"/>
        </w:rPr>
        <w:t>Fuente: Elaboración propia y adaptada de Plan Nacional de Asistencia Técnica Integral, Técnica, Tecnológica y de Impulso a la Investigación -Plan AT, Pág. 64.</w:t>
      </w:r>
    </w:p>
    <w:p w14:paraId="5E2772AB" w14:textId="77777777" w:rsidR="004F0A4A" w:rsidRPr="0086351C" w:rsidRDefault="004F0A4A" w:rsidP="004F0A4A">
      <w:pPr>
        <w:textAlignment w:val="baseline"/>
        <w:rPr>
          <w:rFonts w:ascii="Arial" w:eastAsia="Arial" w:hAnsi="Arial" w:cs="Arial"/>
          <w:sz w:val="22"/>
          <w:szCs w:val="22"/>
        </w:rPr>
      </w:pPr>
    </w:p>
    <w:p w14:paraId="205ADAC0" w14:textId="77777777" w:rsidR="00414006" w:rsidRPr="0086351C" w:rsidRDefault="00414006" w:rsidP="1C5DF8D6">
      <w:pPr>
        <w:textAlignment w:val="baseline"/>
        <w:rPr>
          <w:rFonts w:ascii="Arial" w:eastAsia="Tahoma" w:hAnsi="Arial" w:cs="Arial"/>
          <w:sz w:val="22"/>
          <w:szCs w:val="22"/>
        </w:rPr>
      </w:pPr>
      <w:r w:rsidRPr="0086351C">
        <w:rPr>
          <w:rFonts w:ascii="Arial" w:eastAsia="Tahoma" w:hAnsi="Arial" w:cs="Arial"/>
          <w:sz w:val="22"/>
          <w:szCs w:val="22"/>
        </w:rPr>
        <w:t> </w:t>
      </w:r>
    </w:p>
    <w:p w14:paraId="5886C66C"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La Agencia, le apuesta a la transformación del sector agropecuario para producir más y mejores alimentos de manera eficiente e incluyente con las comunidades étnicas y campesinas, organizaciones sociales y familias productoras incentivando, apoyando y fortaleciendo el uso de saberes y prácticas agroecológicas tradicionales y ancestrales, así como de nuevas prácticas para la consolidación de sistemas productivos sostenibles y territorios resilientes, logrando progresivamente la seguridad y soberanía alimentaria de los habitantes, buscando una transición de la agricultura convencional a la producción agroecológica para aumentar la productividad del suelo, reducir la degradación ambiental y aumentar la resiliencia climática. Adicionalmente se busca aumentar la cobertura de la producción agrícola y ganadera baja en carbono, resiliente a la variabilidad y el cambio climático para reducir la vulnerabilidad de la producción ante las amenazas climáticas. </w:t>
      </w:r>
    </w:p>
    <w:p w14:paraId="457712CC"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 </w:t>
      </w:r>
    </w:p>
    <w:p w14:paraId="0418F5BA"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Se tiene como eje central, garantizar el derecho a la alimentación de todas y todos los habitantes de los territorios del país, basado en la planificación del ordenamiento productivo desarrollada en concordancia con criterios de sostenibilidad ambiental, donde la protección de los determinantes ambientales y de las áreas de especial interés ambiental son una prioridad, también se le apuesta a la contención de la deforestación, trabajando en el fortalecimiento de las estrategias para el desarrollo de nuevas alternativas productivas, reconversión productiva y  negocios verdes, para evitar la alteración en los principales núcleos activos de deforestación y destrucción de sus áreas protegidas y ecosistemas estratégicos y generar condiciones para garantizar la soberanía alimentaria de las poblaciones y el desarrollo territorial. </w:t>
      </w:r>
    </w:p>
    <w:p w14:paraId="4C979D56" w14:textId="77777777" w:rsidR="00414006" w:rsidRPr="00627621" w:rsidRDefault="00414006" w:rsidP="00627621">
      <w:pPr>
        <w:spacing w:line="276" w:lineRule="auto"/>
        <w:ind w:right="180"/>
        <w:jc w:val="both"/>
        <w:textAlignment w:val="baseline"/>
        <w:rPr>
          <w:rFonts w:ascii="Arial" w:eastAsia="Tahoma" w:hAnsi="Arial" w:cs="Arial"/>
          <w:sz w:val="22"/>
          <w:szCs w:val="22"/>
        </w:rPr>
      </w:pPr>
      <w:r w:rsidRPr="00627621">
        <w:rPr>
          <w:rFonts w:ascii="Arial" w:eastAsia="Tahoma" w:hAnsi="Arial" w:cs="Arial"/>
          <w:sz w:val="22"/>
          <w:szCs w:val="22"/>
        </w:rPr>
        <w:t> </w:t>
      </w:r>
    </w:p>
    <w:p w14:paraId="6F7BD1FE"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Ahora bien, cabe señalar que de acuerdo los datos del Tercer Censo Nacional Agropecuario, solo el 9,9% de la Unidades Productivas Agropecuarias (UPA) del área rural dispersa censada declara haber recibido asistencia técnica y los principales temas abordados fueron: buenas prácticas de cultivo (77,5 %), manejo de suelos (21,6 %), buenas prácticas pecuarias (21,5 %), prácticas de manejo ambiental (17,7 %) y manejo postcosecha (9,4 %) (PECTIA, 2016). Las UPA de Agricultura Campesina, Familiar y Comunitaria (ACFC) presentan en general un acceso más bajo para todos los tipos de asistencia técnica que las UPA de no ACFC (Resolución 464 de 2017).  </w:t>
      </w:r>
    </w:p>
    <w:p w14:paraId="7C33F0BC"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6FA7590D"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Por tanto, conforme a lo anterior las principales razones de la baja tasa de provisión de asistencia técnica son: </w:t>
      </w:r>
    </w:p>
    <w:p w14:paraId="02103233"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42628659" w14:textId="77777777" w:rsidR="00414006" w:rsidRPr="00627621" w:rsidRDefault="00414006" w:rsidP="00627621">
      <w:pPr>
        <w:numPr>
          <w:ilvl w:val="0"/>
          <w:numId w:val="21"/>
        </w:numPr>
        <w:spacing w:line="276" w:lineRule="auto"/>
        <w:ind w:left="1140" w:firstLine="0"/>
        <w:jc w:val="both"/>
        <w:textAlignment w:val="baseline"/>
        <w:rPr>
          <w:rFonts w:ascii="Arial" w:eastAsia="Tahoma" w:hAnsi="Arial" w:cs="Arial"/>
          <w:sz w:val="22"/>
          <w:szCs w:val="22"/>
        </w:rPr>
      </w:pPr>
      <w:r w:rsidRPr="00627621">
        <w:rPr>
          <w:rFonts w:ascii="Arial" w:eastAsia="Tahoma" w:hAnsi="Arial" w:cs="Arial"/>
          <w:sz w:val="22"/>
          <w:szCs w:val="22"/>
        </w:rPr>
        <w:lastRenderedPageBreak/>
        <w:t>Altos costos para el cubrimiento en zonas apartadas y problemas de disponibilidad e idoneidad de operadores;  </w:t>
      </w:r>
    </w:p>
    <w:p w14:paraId="58C8EA89" w14:textId="77777777" w:rsidR="00414006" w:rsidRPr="00627621" w:rsidRDefault="00414006" w:rsidP="00627621">
      <w:pPr>
        <w:numPr>
          <w:ilvl w:val="0"/>
          <w:numId w:val="21"/>
        </w:numPr>
        <w:spacing w:line="276" w:lineRule="auto"/>
        <w:ind w:left="1140" w:firstLine="0"/>
        <w:jc w:val="both"/>
        <w:textAlignment w:val="baseline"/>
        <w:rPr>
          <w:rFonts w:ascii="Arial" w:eastAsia="Tahoma" w:hAnsi="Arial" w:cs="Arial"/>
          <w:sz w:val="22"/>
          <w:szCs w:val="22"/>
        </w:rPr>
      </w:pPr>
      <w:r w:rsidRPr="00627621">
        <w:rPr>
          <w:rFonts w:ascii="Arial" w:eastAsia="Tahoma" w:hAnsi="Arial" w:cs="Arial"/>
          <w:sz w:val="22"/>
          <w:szCs w:val="22"/>
        </w:rPr>
        <w:t>desconocimiento para diseñar e implementar metodología y herramientas que respondan a las necesidades específicas del productor;  </w:t>
      </w:r>
    </w:p>
    <w:p w14:paraId="2EDA7152" w14:textId="77777777" w:rsidR="00414006" w:rsidRPr="00627621" w:rsidRDefault="00414006" w:rsidP="00627621">
      <w:pPr>
        <w:numPr>
          <w:ilvl w:val="0"/>
          <w:numId w:val="21"/>
        </w:numPr>
        <w:spacing w:line="276" w:lineRule="auto"/>
        <w:ind w:left="1140" w:firstLine="0"/>
        <w:jc w:val="both"/>
        <w:textAlignment w:val="baseline"/>
        <w:rPr>
          <w:rFonts w:ascii="Arial" w:eastAsia="Tahoma" w:hAnsi="Arial" w:cs="Arial"/>
          <w:sz w:val="22"/>
          <w:szCs w:val="22"/>
        </w:rPr>
      </w:pPr>
      <w:r w:rsidRPr="00627621">
        <w:rPr>
          <w:rFonts w:ascii="Arial" w:eastAsia="Tahoma" w:hAnsi="Arial" w:cs="Arial"/>
          <w:sz w:val="22"/>
          <w:szCs w:val="22"/>
        </w:rPr>
        <w:t>falta de programas de formación y certificación de extensionistas;  </w:t>
      </w:r>
    </w:p>
    <w:p w14:paraId="0D3A31AE"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0C90A05A"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Adicionalmente la mayoría de los servicios de extensión rural se entregaban de manera unidireccional, atomizada e intermitente, excluyendo a los productores de la generación y difusión del conocimiento y de la posibilidad de identificar y resolver los principales problemas en su sistema productivo. Los temas y metodologías de extensión que se emplean resultan poco pertinentes frente a las necesidades reales de las comunidades. Las principales dificultades que se han identificado en la extensión rural en el país, de acuerdo con el PECTIA (2016) y CONPES 3688 (2016) son: </w:t>
      </w:r>
    </w:p>
    <w:p w14:paraId="236462C1"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5D2D5995" w14:textId="77777777" w:rsidR="00414006" w:rsidRPr="00627621" w:rsidRDefault="00414006" w:rsidP="00627621">
      <w:pPr>
        <w:numPr>
          <w:ilvl w:val="0"/>
          <w:numId w:val="22"/>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La baja calidad y pertinencia de la extensión rural  </w:t>
      </w:r>
    </w:p>
    <w:p w14:paraId="2FD2904E" w14:textId="77777777" w:rsidR="00414006" w:rsidRPr="00627621" w:rsidRDefault="00414006" w:rsidP="00627621">
      <w:pPr>
        <w:numPr>
          <w:ilvl w:val="0"/>
          <w:numId w:val="22"/>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La desarticulación de la extensión rural con los entornos del mercado campesino  </w:t>
      </w:r>
    </w:p>
    <w:p w14:paraId="3BF6DEBF" w14:textId="77777777" w:rsidR="00414006" w:rsidRPr="00627621" w:rsidRDefault="00414006" w:rsidP="00627621">
      <w:pPr>
        <w:numPr>
          <w:ilvl w:val="0"/>
          <w:numId w:val="22"/>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La falta de metodologías participativas   </w:t>
      </w:r>
    </w:p>
    <w:p w14:paraId="08CC1A22" w14:textId="77777777" w:rsidR="00414006" w:rsidRPr="00627621" w:rsidRDefault="00414006" w:rsidP="00627621">
      <w:pPr>
        <w:numPr>
          <w:ilvl w:val="0"/>
          <w:numId w:val="23"/>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La ausencia de contenidos en los programas dirigidos a: Producción agropecuaria de base agroecológica, adaptación y mitigación del cambio climático y conservación de la agrobiodiversidad  </w:t>
      </w:r>
    </w:p>
    <w:p w14:paraId="19134E8A" w14:textId="77777777" w:rsidR="00414006" w:rsidRPr="00627621" w:rsidRDefault="00414006" w:rsidP="00627621">
      <w:pPr>
        <w:numPr>
          <w:ilvl w:val="0"/>
          <w:numId w:val="23"/>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Niveles muy bajos de asociatividad y capital social en los productores  </w:t>
      </w:r>
    </w:p>
    <w:p w14:paraId="14B8C2DA" w14:textId="77777777" w:rsidR="00414006" w:rsidRPr="00627621" w:rsidRDefault="00414006" w:rsidP="00627621">
      <w:pPr>
        <w:numPr>
          <w:ilvl w:val="0"/>
          <w:numId w:val="23"/>
        </w:numPr>
        <w:spacing w:line="276" w:lineRule="auto"/>
        <w:ind w:left="1080" w:firstLine="0"/>
        <w:jc w:val="both"/>
        <w:textAlignment w:val="baseline"/>
        <w:rPr>
          <w:rFonts w:ascii="Arial" w:eastAsia="Tahoma" w:hAnsi="Arial" w:cs="Arial"/>
          <w:sz w:val="22"/>
          <w:szCs w:val="22"/>
        </w:rPr>
      </w:pPr>
      <w:r w:rsidRPr="00627621">
        <w:rPr>
          <w:rFonts w:ascii="Arial" w:eastAsia="Tahoma" w:hAnsi="Arial" w:cs="Arial"/>
          <w:sz w:val="22"/>
          <w:szCs w:val="22"/>
        </w:rPr>
        <w:t>Discontinuidad de las entidades prestadoras de Servicios Agropecuarios debido a ciclos presupuestales y de contratación </w:t>
      </w:r>
    </w:p>
    <w:p w14:paraId="0F17D9F3"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2110EDF6"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Según las dificultades expuestas, el desafío al que se enfrenta la extensión rural debe dirigirse a incrementar las posibilidades de bienestar, calidad de vida e inclusión económica de agricultores familiares; a la formulación de mecanismos de innovación que no estén fundamentados en modelos verticales de capacitación y que estimulen su participación para, con ello, incidir en políticas de desarrollo y competitividad local, así como en el reconocimiento de su patrimonio cultural y ecológico y; por supuesto, a la valoración e inclusión de sus conocimientos y prácticas de producción como una ruta para la generación de ingresos y la superación de la pobreza, condiciones que orientarían la extensión rural hacia un proceso integral (Clavijo y Pérez, 2013).  </w:t>
      </w:r>
    </w:p>
    <w:p w14:paraId="2185B010"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20C02A69"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xml:space="preserve">Vale la pena mencionar que la extensión rural no es una simple transferencia de tecnologías sino un proceso que debe incorporar la inserción económica, social, ambiental e institucional desde una perspectiva sistémica integral. Representa una oportunidad invaluable para orientar de manera adecuada el desarrollo rural del país, por lo que es absolutamente necesario que el modelo de este servicio, sus metodologías y herramientas busquen responder a los desafíos expuestos, generando propuestas sólidas e innovadoras que apoyen el cambio, que debe iniciar desde el productor y ser sostenido por las </w:t>
      </w:r>
      <w:r w:rsidRPr="00627621">
        <w:rPr>
          <w:rFonts w:ascii="Arial" w:eastAsia="Tahoma" w:hAnsi="Arial" w:cs="Arial"/>
          <w:sz w:val="22"/>
          <w:szCs w:val="22"/>
        </w:rPr>
        <w:lastRenderedPageBreak/>
        <w:t>instituciones, cuyo marco normativo y lineamientos han de clarificar y viabilizar sus programas y proyectos. En este sentido y como respuesta imperante a la situación expuesta, hoy la extensión rural del país se desarrolla bajo los lineamientos propuestos tanto en el Sistema Nacional de Innovación Agropecuaria (SNIA) (Ley 1876 de 2017), como en la Reforma Rural Integral (RRI), contenida como primer punto del Acuerdo Final para la Terminación del Conflicto (2016), y en los Lineamientos estratégicos de Política Pública para la Agricultura Campesina, Familiar y Comunitaria (Res. 464 de 2017).  </w:t>
      </w:r>
    </w:p>
    <w:p w14:paraId="0727B465"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19404DA7" w14:textId="751FE14A"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xml:space="preserve">Es importante aclarar que los productores que </w:t>
      </w:r>
      <w:r w:rsidR="00CD0609" w:rsidRPr="00627621">
        <w:rPr>
          <w:rFonts w:ascii="Arial" w:eastAsia="Tahoma" w:hAnsi="Arial" w:cs="Arial"/>
          <w:sz w:val="22"/>
          <w:szCs w:val="22"/>
        </w:rPr>
        <w:t>se enmarcan en</w:t>
      </w:r>
      <w:r w:rsidRPr="00627621">
        <w:rPr>
          <w:rFonts w:ascii="Arial" w:eastAsia="Tahoma" w:hAnsi="Arial" w:cs="Arial"/>
          <w:sz w:val="22"/>
          <w:szCs w:val="22"/>
        </w:rPr>
        <w:t xml:space="preserve"> la definición dada por la Agricultura Campesina, Familiar y Comunitaria (ACFC), es decir, la contenida en la Resolución 464 de 2017, son aquellos que cumplan con los siguientes criterios: </w:t>
      </w:r>
    </w:p>
    <w:p w14:paraId="52EFB3AB"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50CC8335" w14:textId="77777777" w:rsidR="00414006" w:rsidRPr="00627621" w:rsidRDefault="00414006" w:rsidP="00627621">
      <w:pPr>
        <w:numPr>
          <w:ilvl w:val="0"/>
          <w:numId w:val="24"/>
        </w:numPr>
        <w:spacing w:line="276" w:lineRule="auto"/>
        <w:ind w:left="284" w:firstLine="0"/>
        <w:jc w:val="both"/>
        <w:textAlignment w:val="baseline"/>
        <w:rPr>
          <w:rFonts w:ascii="Arial" w:eastAsia="Tahoma" w:hAnsi="Arial" w:cs="Arial"/>
          <w:sz w:val="22"/>
          <w:szCs w:val="22"/>
        </w:rPr>
      </w:pPr>
      <w:r w:rsidRPr="00627621">
        <w:rPr>
          <w:rFonts w:ascii="Arial" w:eastAsia="Tahoma" w:hAnsi="Arial" w:cs="Arial"/>
          <w:sz w:val="22"/>
          <w:szCs w:val="22"/>
        </w:rPr>
        <w:t>Predominio de la actividad económica agropecuaria, desarrollada de forma directa. </w:t>
      </w:r>
    </w:p>
    <w:p w14:paraId="50D26B29" w14:textId="77777777" w:rsidR="00414006" w:rsidRPr="00627621" w:rsidRDefault="00414006" w:rsidP="00627621">
      <w:pPr>
        <w:numPr>
          <w:ilvl w:val="0"/>
          <w:numId w:val="24"/>
        </w:numPr>
        <w:spacing w:line="276" w:lineRule="auto"/>
        <w:ind w:left="284" w:firstLine="0"/>
        <w:jc w:val="both"/>
        <w:textAlignment w:val="baseline"/>
        <w:rPr>
          <w:rFonts w:ascii="Arial" w:eastAsia="Tahoma" w:hAnsi="Arial" w:cs="Arial"/>
          <w:sz w:val="22"/>
          <w:szCs w:val="22"/>
        </w:rPr>
      </w:pPr>
      <w:r w:rsidRPr="00627621">
        <w:rPr>
          <w:rFonts w:ascii="Arial" w:eastAsia="Tahoma" w:hAnsi="Arial" w:cs="Arial"/>
          <w:sz w:val="22"/>
          <w:szCs w:val="22"/>
        </w:rPr>
        <w:t>Uso predominante de la mano de obra familiar o comunitaria.  </w:t>
      </w:r>
    </w:p>
    <w:p w14:paraId="3365D4BE" w14:textId="77777777" w:rsidR="00414006" w:rsidRPr="00627621" w:rsidRDefault="00414006" w:rsidP="00627621">
      <w:pPr>
        <w:numPr>
          <w:ilvl w:val="0"/>
          <w:numId w:val="24"/>
        </w:numPr>
        <w:spacing w:line="276" w:lineRule="auto"/>
        <w:ind w:left="284" w:firstLine="0"/>
        <w:jc w:val="both"/>
        <w:textAlignment w:val="baseline"/>
        <w:rPr>
          <w:rFonts w:ascii="Arial" w:eastAsia="Tahoma" w:hAnsi="Arial" w:cs="Arial"/>
          <w:sz w:val="22"/>
          <w:szCs w:val="22"/>
        </w:rPr>
      </w:pPr>
      <w:r w:rsidRPr="00627621">
        <w:rPr>
          <w:rFonts w:ascii="Arial" w:eastAsia="Tahoma" w:hAnsi="Arial" w:cs="Arial"/>
          <w:sz w:val="22"/>
          <w:szCs w:val="22"/>
        </w:rPr>
        <w:t>Al menos el 50% de la mano de obra empleada en la unidad productiva debe ser provista por el hogar o la comunidad étnica a la cual pertenece.  </w:t>
      </w:r>
    </w:p>
    <w:p w14:paraId="649F567C" w14:textId="77777777" w:rsidR="00414006" w:rsidRPr="00627621" w:rsidRDefault="00414006" w:rsidP="00627621">
      <w:pPr>
        <w:numPr>
          <w:ilvl w:val="0"/>
          <w:numId w:val="24"/>
        </w:numPr>
        <w:spacing w:line="276" w:lineRule="auto"/>
        <w:ind w:left="284" w:firstLine="0"/>
        <w:jc w:val="both"/>
        <w:textAlignment w:val="baseline"/>
        <w:rPr>
          <w:rFonts w:ascii="Arial" w:eastAsia="Tahoma" w:hAnsi="Arial" w:cs="Arial"/>
          <w:sz w:val="22"/>
          <w:szCs w:val="22"/>
        </w:rPr>
      </w:pPr>
      <w:r w:rsidRPr="00627621">
        <w:rPr>
          <w:rFonts w:ascii="Arial" w:eastAsia="Tahoma" w:hAnsi="Arial" w:cs="Arial"/>
          <w:sz w:val="22"/>
          <w:szCs w:val="22"/>
        </w:rPr>
        <w:t>Extensión máxima de la unidad productiva equivalente a una Unidad Agrícola Familiar (UAF) de la zona relativamente homogénea correspondiente.  </w:t>
      </w:r>
    </w:p>
    <w:p w14:paraId="4FC5CE9A" w14:textId="77777777" w:rsidR="00414006" w:rsidRPr="00627621" w:rsidRDefault="00414006" w:rsidP="00627621">
      <w:pPr>
        <w:numPr>
          <w:ilvl w:val="0"/>
          <w:numId w:val="24"/>
        </w:numPr>
        <w:spacing w:line="276" w:lineRule="auto"/>
        <w:ind w:left="284" w:firstLine="0"/>
        <w:jc w:val="both"/>
        <w:textAlignment w:val="baseline"/>
        <w:rPr>
          <w:rFonts w:ascii="Arial" w:eastAsia="Tahoma" w:hAnsi="Arial" w:cs="Arial"/>
          <w:sz w:val="22"/>
          <w:szCs w:val="22"/>
        </w:rPr>
      </w:pPr>
      <w:r w:rsidRPr="00627621">
        <w:rPr>
          <w:rFonts w:ascii="Arial" w:eastAsia="Tahoma" w:hAnsi="Arial" w:cs="Arial"/>
          <w:sz w:val="22"/>
          <w:szCs w:val="22"/>
        </w:rPr>
        <w:t>Residir dentro de un perímetro funcional a la finca o territorio colectivo del cual se derivan sus medios de vida. </w:t>
      </w:r>
    </w:p>
    <w:p w14:paraId="7293D7F0"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2CD004E7"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En Colombia la Agricultura Campesina, Familiar y Comunitaria es parte fundamental de la economía agropecuaria. Además de generar un indudable aporte a la seguridad y soberanía alimentaria, a la cohesión social y a la construcción de territorios, la Agricultura Campesina, Familiar y Comunitaria se enfrenta a complejos desafíos que ponen en riesgo el mantenimiento y aprovechamiento del potencial de desarrollo agropecuario que tiene. Entre ellos:  </w:t>
      </w:r>
    </w:p>
    <w:p w14:paraId="4358EF5B" w14:textId="77777777" w:rsidR="00414006" w:rsidRPr="00627621" w:rsidRDefault="00414006" w:rsidP="00627621">
      <w:pPr>
        <w:spacing w:line="276" w:lineRule="auto"/>
        <w:jc w:val="both"/>
        <w:textAlignment w:val="baseline"/>
        <w:rPr>
          <w:rFonts w:ascii="Arial" w:eastAsia="Tahoma" w:hAnsi="Arial" w:cs="Arial"/>
          <w:sz w:val="22"/>
          <w:szCs w:val="22"/>
        </w:rPr>
      </w:pPr>
      <w:r w:rsidRPr="00627621">
        <w:rPr>
          <w:rFonts w:ascii="Arial" w:eastAsia="Tahoma" w:hAnsi="Arial" w:cs="Arial"/>
          <w:sz w:val="22"/>
          <w:szCs w:val="22"/>
        </w:rPr>
        <w:t> </w:t>
      </w:r>
    </w:p>
    <w:p w14:paraId="45E33CF1" w14:textId="77777777" w:rsidR="00414006" w:rsidRPr="00627621" w:rsidRDefault="00414006" w:rsidP="00627621">
      <w:pPr>
        <w:numPr>
          <w:ilvl w:val="0"/>
          <w:numId w:val="25"/>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Contaminación y pérdida al acceso de recursos naturales (agua, suelo, aire) de calidad;  </w:t>
      </w:r>
    </w:p>
    <w:p w14:paraId="39A5BCF2" w14:textId="77777777" w:rsidR="00414006" w:rsidRPr="00627621" w:rsidRDefault="00414006" w:rsidP="00627621">
      <w:pPr>
        <w:numPr>
          <w:ilvl w:val="0"/>
          <w:numId w:val="25"/>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Efectos del cambio y variabilidad climática;  </w:t>
      </w:r>
    </w:p>
    <w:p w14:paraId="264E7020" w14:textId="77777777" w:rsidR="00414006" w:rsidRPr="00627621" w:rsidRDefault="00414006" w:rsidP="00627621">
      <w:pPr>
        <w:numPr>
          <w:ilvl w:val="0"/>
          <w:numId w:val="26"/>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Pérdida del relevo generacional;  </w:t>
      </w:r>
    </w:p>
    <w:p w14:paraId="2A3037CB" w14:textId="77777777" w:rsidR="00414006" w:rsidRPr="00627621" w:rsidRDefault="00414006" w:rsidP="00627621">
      <w:pPr>
        <w:numPr>
          <w:ilvl w:val="0"/>
          <w:numId w:val="26"/>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Limitada infraestructura para el transporte;  </w:t>
      </w:r>
    </w:p>
    <w:p w14:paraId="16D93B1E" w14:textId="77777777" w:rsidR="00414006" w:rsidRPr="00627621" w:rsidRDefault="00414006" w:rsidP="00627621">
      <w:pPr>
        <w:numPr>
          <w:ilvl w:val="0"/>
          <w:numId w:val="26"/>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Baja comercialización y expansión de sus productos, por lo que se someten a un comercio injusto y discriminatorio;  </w:t>
      </w:r>
    </w:p>
    <w:p w14:paraId="26BDB59B" w14:textId="77777777" w:rsidR="00414006" w:rsidRPr="00627621" w:rsidRDefault="00414006" w:rsidP="00627621">
      <w:pPr>
        <w:numPr>
          <w:ilvl w:val="0"/>
          <w:numId w:val="26"/>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Debilidades para cumplir normativas y estándares de calidad sanitarios y criterios de calidad para el embalaje y empaque de sus productos;  </w:t>
      </w:r>
    </w:p>
    <w:p w14:paraId="56ECCEA1" w14:textId="77777777" w:rsidR="00414006" w:rsidRPr="00627621" w:rsidRDefault="00414006" w:rsidP="00627621">
      <w:pPr>
        <w:numPr>
          <w:ilvl w:val="0"/>
          <w:numId w:val="26"/>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Debilidades de planificación para ingresar a procesos de transformación de sus productos;  </w:t>
      </w:r>
    </w:p>
    <w:p w14:paraId="55BFCFBA" w14:textId="77777777" w:rsidR="00414006" w:rsidRPr="00627621" w:rsidRDefault="00414006" w:rsidP="00627621">
      <w:pPr>
        <w:numPr>
          <w:ilvl w:val="0"/>
          <w:numId w:val="27"/>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Muy baja asociatividad y formalización de las asociaciones de ACFC;  </w:t>
      </w:r>
    </w:p>
    <w:p w14:paraId="3A90F939" w14:textId="77777777" w:rsidR="00414006" w:rsidRPr="00627621" w:rsidRDefault="00414006" w:rsidP="00627621">
      <w:pPr>
        <w:numPr>
          <w:ilvl w:val="0"/>
          <w:numId w:val="27"/>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t>Baja reactivación económica de regiones afectadas por el conflicto; y  </w:t>
      </w:r>
    </w:p>
    <w:p w14:paraId="66B5D3B3" w14:textId="77777777" w:rsidR="00414006" w:rsidRPr="00627621" w:rsidRDefault="00414006" w:rsidP="00627621">
      <w:pPr>
        <w:numPr>
          <w:ilvl w:val="0"/>
          <w:numId w:val="27"/>
        </w:numPr>
        <w:spacing w:line="276" w:lineRule="auto"/>
        <w:ind w:left="426" w:firstLine="0"/>
        <w:jc w:val="both"/>
        <w:textAlignment w:val="baseline"/>
        <w:rPr>
          <w:rFonts w:ascii="Arial" w:eastAsia="Tahoma" w:hAnsi="Arial" w:cs="Arial"/>
          <w:sz w:val="22"/>
          <w:szCs w:val="22"/>
        </w:rPr>
      </w:pPr>
      <w:r w:rsidRPr="00627621">
        <w:rPr>
          <w:rFonts w:ascii="Arial" w:eastAsia="Tahoma" w:hAnsi="Arial" w:cs="Arial"/>
          <w:sz w:val="22"/>
          <w:szCs w:val="22"/>
        </w:rPr>
        <w:lastRenderedPageBreak/>
        <w:t>Certificaciones de mercado con costos muy elevados y altos estándares difíciles de cumplir para la ACFC. </w:t>
      </w:r>
    </w:p>
    <w:p w14:paraId="68876B9E" w14:textId="77777777" w:rsidR="00414006" w:rsidRPr="00627621" w:rsidRDefault="00414006" w:rsidP="00627621">
      <w:pPr>
        <w:spacing w:line="276" w:lineRule="auto"/>
        <w:ind w:right="255"/>
        <w:jc w:val="both"/>
        <w:textAlignment w:val="baseline"/>
        <w:rPr>
          <w:rFonts w:ascii="Arial" w:eastAsia="Tahoma" w:hAnsi="Arial" w:cs="Arial"/>
          <w:sz w:val="22"/>
          <w:szCs w:val="22"/>
        </w:rPr>
      </w:pPr>
      <w:r w:rsidRPr="00627621">
        <w:rPr>
          <w:rFonts w:ascii="Arial" w:eastAsia="Tahoma" w:hAnsi="Arial" w:cs="Arial"/>
          <w:sz w:val="22"/>
          <w:szCs w:val="22"/>
        </w:rPr>
        <w:t> </w:t>
      </w:r>
    </w:p>
    <w:p w14:paraId="2E387453"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El artículo 21 de la ley 1876 del 2017, crea el Subsistema Nacional de Extensión Agropecuaria como parte integral del SNIA, definido como el conjunto de políticas, instrumentos y actores, así como las relaciones que estos promueven, para orientar, planificar, implementar, hacer seguimiento y evaluar la prestación del servicio de extensión agropecuaria que tiene lugar en el ámbito rural nacional. Que el artículo 24 ibidem, establece que la extensión agropecuaria es un bien y un servicio de carácter público, permanente y descentralizado y comprende las acciones de acompañamiento integral orientadas a diagnosticar, recomendar, actualizar, capacitar, transferir, asistir, empoderar y generar competencias en los productores agropecuarios para que estos se incorporen en su actividad productiva, productos tecnológicos, tecnologías, conocimientos, y comportamientos que beneficien su desempeño y mejoren su competitividad y sostenibilidad, así como su aporte a la seguridad alimentaria y desarrollo como ser humano integral. </w:t>
      </w:r>
    </w:p>
    <w:p w14:paraId="46D36B85"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 </w:t>
      </w:r>
    </w:p>
    <w:p w14:paraId="37D09F37"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Así mismo, esta ley establece que la competencia frente a la prestación del servicio público de extensión agropecuaria corresponde a los municipios y distritos, quienes deberán armonizar sus iniciativas en esta materia con las de otros municipios y/o el departamento al que pertenecen, a fin de consolidar las acciones en un único plan denominado Plan Departamental de Extensión Agropecuaria – PDEA. Este servicio deberá ser prestado a través de las entidades prestadoras del servicio de extensión agropecuaria (EPSEA) habilitadas para ello, sin perjuicio de que dichas entidades sean organizaciones de diversa naturaleza. </w:t>
      </w:r>
    </w:p>
    <w:p w14:paraId="5978C8E9" w14:textId="77777777" w:rsidR="00414006" w:rsidRPr="00627621" w:rsidRDefault="00414006"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 </w:t>
      </w:r>
    </w:p>
    <w:p w14:paraId="1E8B3438" w14:textId="7FA628D8" w:rsidR="6AFA25C6" w:rsidRPr="00627621" w:rsidRDefault="6AFA25C6" w:rsidP="00627621">
      <w:pPr>
        <w:spacing w:after="240" w:line="276" w:lineRule="auto"/>
        <w:jc w:val="both"/>
        <w:rPr>
          <w:rFonts w:ascii="Arial" w:eastAsia="Arial" w:hAnsi="Arial" w:cs="Arial"/>
          <w:sz w:val="22"/>
          <w:szCs w:val="22"/>
        </w:rPr>
      </w:pPr>
      <w:r w:rsidRPr="00627621">
        <w:rPr>
          <w:rFonts w:ascii="Arial" w:eastAsia="Arial" w:hAnsi="Arial" w:cs="Arial"/>
          <w:sz w:val="22"/>
          <w:szCs w:val="22"/>
        </w:rPr>
        <w:t>Para el desarrollo de la prestación del servicio de extensión agropecuaria se ha realizado una regionalización para la distribución de los usuarios proyectados en la vigencia 2024 en cumplimiento del proyecto de inversión y la meta de cobertura trazada en asistencia técnica, analizando las características de cada territorio, teniendo como variables fundamentales, las condiciones socioeconómicas a nivel municipal, la caracterización municipal que establece las zonas de importancia para la producción agropecuaria, ambiental y priorización frente a los compromisos del estado frente al conflicto armado, siendo priorizados los municipios PDET, ZOMAC, PNIS, ZRC, NRA, TECAM y las variables de cantidad de población, calidad de vida de acuerdo con las variables de cierre de brechas en su ficha territorial vigente, ocurrencia de incidentes de orden público y categoría municipal priorizando los municipios 6 categoría.</w:t>
      </w:r>
    </w:p>
    <w:p w14:paraId="5C31071C" w14:textId="640E87E4" w:rsidR="6AFA25C6" w:rsidRPr="00627621" w:rsidRDefault="6AFA25C6" w:rsidP="00627621">
      <w:pPr>
        <w:spacing w:after="240" w:line="276" w:lineRule="auto"/>
        <w:jc w:val="both"/>
        <w:rPr>
          <w:rFonts w:ascii="Arial" w:eastAsia="Arial" w:hAnsi="Arial" w:cs="Arial"/>
          <w:sz w:val="22"/>
          <w:szCs w:val="22"/>
        </w:rPr>
      </w:pPr>
      <w:r w:rsidRPr="00627621">
        <w:rPr>
          <w:rFonts w:ascii="Arial" w:eastAsia="Arial" w:hAnsi="Arial" w:cs="Arial"/>
          <w:sz w:val="22"/>
          <w:szCs w:val="22"/>
        </w:rPr>
        <w:t xml:space="preserve">El criterio para la definición de departamentos estuvo relacionado con la aprobación del Plan Departamental de Extensión Agropecuaria y para la modelación a nivel de municipios, se determinó el tamaño de muestra por cada municipio evaluando el marco de muestreo minino definido y las variables que establecen priorización para una mayor asignación de </w:t>
      </w:r>
      <w:r w:rsidRPr="00627621">
        <w:rPr>
          <w:rFonts w:ascii="Arial" w:eastAsia="Arial" w:hAnsi="Arial" w:cs="Arial"/>
          <w:sz w:val="22"/>
          <w:szCs w:val="22"/>
        </w:rPr>
        <w:lastRenderedPageBreak/>
        <w:t>grupos mínimos de muestra en cada municipio, logrando así equiparar la falta de cobertura, cobertura excesiva, múltiple cobertura, y la agrupación, y hacer los ajustes cuando sea necesario. Idealmente, los grupos serían tan heterogéneos como la población, mutuamente excluyentes, y colectivamente exhaustivos. La duplicación o traslape de elementos de la muestra puede aparecer si elementos de la población pertenecen a más de un grupo y la omisión dará lugar a un sesgo de cobertura, para evitar que esto ocurra se buscó establecer un mínimo de cobertura (cantidad de municipios por Departamento) estableciendo cuartiles de referencia de cobertura mínima por departamento del 25%, 50%, 75% y 100% marcando así una media teórica del 50% con una variación del 7,86% producto del cumplimiento de las condiciones habilitantes de cada municipio de pertenecer a alguno de los conglomerados o grupos con características comunes.</w:t>
      </w:r>
    </w:p>
    <w:p w14:paraId="4B38D8B4" w14:textId="4EDEF65F" w:rsidR="6AFA25C6" w:rsidRPr="00627621" w:rsidRDefault="6AFA25C6" w:rsidP="00627621">
      <w:pPr>
        <w:spacing w:after="240" w:line="276" w:lineRule="auto"/>
        <w:jc w:val="both"/>
        <w:rPr>
          <w:rFonts w:ascii="Arial" w:eastAsia="Arial" w:hAnsi="Arial" w:cs="Arial"/>
          <w:sz w:val="22"/>
          <w:szCs w:val="22"/>
        </w:rPr>
      </w:pPr>
      <w:r w:rsidRPr="00627621">
        <w:rPr>
          <w:rFonts w:ascii="Arial" w:eastAsia="Arial" w:hAnsi="Arial" w:cs="Arial"/>
          <w:sz w:val="22"/>
          <w:szCs w:val="22"/>
        </w:rPr>
        <w:t>Los datos aquí presentados y la asignación de municipios a cada Departamento y de usuarios en cada municipio fueron procesados utilizando el Paquete Estadístico para las Ciencias Sociales - SPSS software desarrollado por IBM.</w:t>
      </w:r>
    </w:p>
    <w:p w14:paraId="4AF7791A" w14:textId="43C3BD56" w:rsidR="32FDD0E3" w:rsidRPr="00627621" w:rsidRDefault="32FDD0E3" w:rsidP="00627621">
      <w:pPr>
        <w:spacing w:line="276" w:lineRule="auto"/>
        <w:ind w:right="-45"/>
        <w:jc w:val="both"/>
        <w:rPr>
          <w:rFonts w:ascii="Arial" w:eastAsia="Tahoma" w:hAnsi="Arial" w:cs="Arial"/>
          <w:sz w:val="22"/>
          <w:szCs w:val="22"/>
        </w:rPr>
      </w:pPr>
    </w:p>
    <w:p w14:paraId="09C07AE0" w14:textId="77777777" w:rsidR="00414006" w:rsidRPr="00627621" w:rsidRDefault="0171D405" w:rsidP="00627621">
      <w:pPr>
        <w:spacing w:line="276" w:lineRule="auto"/>
        <w:ind w:right="-45"/>
        <w:jc w:val="both"/>
        <w:textAlignment w:val="baseline"/>
        <w:rPr>
          <w:rFonts w:ascii="Arial" w:eastAsia="Tahoma" w:hAnsi="Arial" w:cs="Arial"/>
          <w:sz w:val="22"/>
          <w:szCs w:val="22"/>
        </w:rPr>
      </w:pPr>
      <w:r w:rsidRPr="00627621">
        <w:rPr>
          <w:rFonts w:ascii="Arial" w:eastAsia="Tahoma" w:hAnsi="Arial" w:cs="Arial"/>
          <w:sz w:val="22"/>
          <w:szCs w:val="22"/>
        </w:rPr>
        <w:t>El artículo 29 de la citada ley, estableció los Planes Departamentales de Extensión Agropecuaria (PDEA) como el instrumento de planificación cuatrienal en el cual cada departamento, en coordinación con sus municipios, distritos y demás actores del Sistema Nacional de Innovación Agropecuaria, definirá los elementos estratégicos y operativos para la prestación del servicio de extensión agropecuaria en su área de influencia. Para su formulación, el parágrafo 5 de este artículo define que la Agencia de Desarrollo Rural, a través de sus Unidades Técnicas Territoriales, adelantará un acompañamiento técnico a las Secretarías de Agricultura Departamentales en su tarea de planificación, seguimiento y evaluación del servicio. </w:t>
      </w:r>
    </w:p>
    <w:p w14:paraId="24CEA04D" w14:textId="64CB3A4B" w:rsidR="32FDD0E3" w:rsidRPr="00627621" w:rsidRDefault="32FDD0E3" w:rsidP="00627621">
      <w:pPr>
        <w:spacing w:line="276" w:lineRule="auto"/>
        <w:jc w:val="both"/>
        <w:rPr>
          <w:rFonts w:ascii="Arial" w:eastAsia="Arial" w:hAnsi="Arial" w:cs="Arial"/>
          <w:sz w:val="22"/>
          <w:szCs w:val="22"/>
        </w:rPr>
      </w:pPr>
    </w:p>
    <w:p w14:paraId="3C5D3D5A" w14:textId="4192DBF7" w:rsidR="5D5AA33C" w:rsidRPr="00627621" w:rsidRDefault="5D5AA33C" w:rsidP="00627621">
      <w:pPr>
        <w:spacing w:line="276" w:lineRule="auto"/>
        <w:jc w:val="both"/>
        <w:rPr>
          <w:rFonts w:ascii="Arial" w:eastAsia="Arial" w:hAnsi="Arial" w:cs="Arial"/>
          <w:sz w:val="22"/>
          <w:szCs w:val="22"/>
        </w:rPr>
      </w:pPr>
      <w:r w:rsidRPr="00627621">
        <w:rPr>
          <w:rFonts w:ascii="Arial" w:eastAsia="Arial" w:hAnsi="Arial" w:cs="Arial"/>
          <w:sz w:val="22"/>
          <w:szCs w:val="22"/>
        </w:rPr>
        <w:t xml:space="preserve">El artículo 33 de la Ley 1876 de 2017 dispone que "para garantizar la calidad en la prestación del servicio de extensión agropecuaria, toda EPSEA deberá registrarse y cumplir los requisitos que para ello disponga la Agencia de Desarrollo Rural - ADR. El registro y los requisitos se orientarán a garantizar que estas cumplan como mínimo los siguientes aspectos: 1 Idoneidad del recurso humano, formación profesional y desarrollo de competencias; 2. Experiencia relacionada con la prestación del servicio, 3. Capacidades para desarrollar los planes de extensión agropecuaria — PDEA, según los enfoques establecidos para los mismos, de acuerdo con el artículo 25 de la Ley 1876 de 2017; 4. Vinculo comprobable con organizaciones de formación, capacitación, ciencia, tecnología e innovación; 5 Capacidad financiera; y 6. Constitución y situación legal conforme'. </w:t>
      </w:r>
    </w:p>
    <w:p w14:paraId="615958B0" w14:textId="1EC0D6D9" w:rsidR="32FDD0E3" w:rsidRPr="00627621" w:rsidRDefault="32FDD0E3" w:rsidP="00627621">
      <w:pPr>
        <w:spacing w:line="276" w:lineRule="auto"/>
        <w:jc w:val="both"/>
        <w:rPr>
          <w:rFonts w:ascii="Arial" w:eastAsia="Arial" w:hAnsi="Arial" w:cs="Arial"/>
          <w:sz w:val="22"/>
          <w:szCs w:val="22"/>
        </w:rPr>
      </w:pPr>
    </w:p>
    <w:p w14:paraId="7F643351" w14:textId="52C05E5E" w:rsidR="5D5AA33C" w:rsidRPr="00627621" w:rsidRDefault="5D5AA33C" w:rsidP="00627621">
      <w:pPr>
        <w:spacing w:line="276" w:lineRule="auto"/>
        <w:jc w:val="both"/>
        <w:rPr>
          <w:rFonts w:ascii="Arial" w:eastAsia="Arial" w:hAnsi="Arial" w:cs="Arial"/>
          <w:sz w:val="22"/>
          <w:szCs w:val="22"/>
        </w:rPr>
      </w:pPr>
      <w:r w:rsidRPr="00627621">
        <w:rPr>
          <w:rFonts w:ascii="Arial" w:eastAsia="Arial" w:hAnsi="Arial" w:cs="Arial"/>
          <w:sz w:val="22"/>
          <w:szCs w:val="22"/>
        </w:rPr>
        <w:t>Que el mismo artículo señala que "la Agencia de Desarrollo Rural — (ADR), reglamentará los requisitos que trata dicha norma, habilitará las EPSEA, publicará y actualizará el registro correspondiente'.</w:t>
      </w:r>
    </w:p>
    <w:p w14:paraId="1EE8BC87" w14:textId="38691CAE" w:rsidR="5D5AA33C" w:rsidRPr="00627621" w:rsidRDefault="5D5AA33C" w:rsidP="00627621">
      <w:pPr>
        <w:spacing w:before="251" w:line="276" w:lineRule="auto"/>
        <w:ind w:right="96"/>
        <w:jc w:val="both"/>
        <w:rPr>
          <w:rFonts w:ascii="Arial" w:eastAsia="Arial" w:hAnsi="Arial" w:cs="Arial"/>
          <w:sz w:val="22"/>
          <w:szCs w:val="22"/>
        </w:rPr>
      </w:pPr>
      <w:r w:rsidRPr="00627621">
        <w:rPr>
          <w:rFonts w:ascii="Arial" w:eastAsia="Arial" w:hAnsi="Arial" w:cs="Arial"/>
          <w:sz w:val="22"/>
          <w:szCs w:val="22"/>
        </w:rPr>
        <w:lastRenderedPageBreak/>
        <w:t>Que en desarrollo a las competencias atribuidas a la ADR por mandato de la Ley 1876 de 2017, mediante la Resolución No. 0422 del 05 de julio de 2019, la Agencia de Desarrollo Rural reglamentó el artículo 33 de la Ley 1876 de 2017 desarrollando el procedimiento y los requisitos de habilitación de las Entidades Prestadoras del Servicio de Extensión Agropecuaria - EPSEA y la elaboración, publicación y actualización del registro de EPSEA habilitadas para la prestación del Servicio Público de Extensión Agropecuaria.</w:t>
      </w:r>
    </w:p>
    <w:p w14:paraId="4249D33C" w14:textId="72E1AA30" w:rsidR="5D5AA33C" w:rsidRPr="00627621" w:rsidRDefault="5D5AA33C" w:rsidP="00627621">
      <w:pPr>
        <w:spacing w:before="251" w:line="276" w:lineRule="auto"/>
        <w:ind w:right="96"/>
        <w:jc w:val="both"/>
        <w:rPr>
          <w:rFonts w:ascii="Arial" w:eastAsia="Arial" w:hAnsi="Arial" w:cs="Arial"/>
          <w:sz w:val="22"/>
          <w:szCs w:val="22"/>
        </w:rPr>
      </w:pPr>
      <w:r w:rsidRPr="00627621">
        <w:rPr>
          <w:rFonts w:ascii="Arial" w:eastAsia="Arial" w:hAnsi="Arial" w:cs="Arial"/>
          <w:sz w:val="22"/>
          <w:szCs w:val="22"/>
        </w:rPr>
        <w:t>Teniendo en cuenta lo dispuesto en el acto administrativo enunciado, cabe indicar que éste ha sufrido una serie de modificaciones por medio de las siguientes Resoluciones, las cuales se sustentaron conforme a las siguientes consideraciones:</w:t>
      </w:r>
    </w:p>
    <w:p w14:paraId="4B68B829" w14:textId="201F6D9F" w:rsidR="5D5AA33C" w:rsidRPr="00627621" w:rsidRDefault="5D5AA33C" w:rsidP="00627621">
      <w:pPr>
        <w:spacing w:before="251" w:line="276" w:lineRule="auto"/>
        <w:ind w:right="96"/>
        <w:jc w:val="both"/>
        <w:rPr>
          <w:rFonts w:ascii="Arial" w:eastAsia="Arial" w:hAnsi="Arial" w:cs="Arial"/>
          <w:sz w:val="22"/>
          <w:szCs w:val="22"/>
        </w:rPr>
      </w:pPr>
      <w:r w:rsidRPr="00627621">
        <w:rPr>
          <w:rFonts w:ascii="Arial" w:eastAsia="Arial" w:hAnsi="Arial" w:cs="Arial"/>
          <w:sz w:val="22"/>
          <w:szCs w:val="22"/>
        </w:rPr>
        <w:t xml:space="preserve">Resolución N° 042 de 2020: Se sustentó en el Decreto Ley 19 de 2019 “Por el cual se dictan normas para suprimir, o reformar regulaciones, procedimientos y trámites innecesarios existentes en la administración pública” y en que la expedición de actos administrativos corresponde a la expresión de la voluntad de la administración, la cual busca producir efectos jurídicos, sea creando, modificando o extinguiendo derechos para los administrados o en contra de éstos sobre un determinado asunto y tiene como presupuestos esenciales, su sujeción al orden jurídico y el respeto por las garantías y derechos de los administrados. </w:t>
      </w:r>
    </w:p>
    <w:p w14:paraId="7B199BC7" w14:textId="4FF0613E" w:rsidR="5D5AA33C" w:rsidRPr="00627621" w:rsidRDefault="5D5AA33C" w:rsidP="00627621">
      <w:pPr>
        <w:spacing w:before="251" w:line="276" w:lineRule="auto"/>
        <w:ind w:right="96"/>
        <w:jc w:val="both"/>
        <w:rPr>
          <w:rFonts w:ascii="Arial" w:eastAsia="Arial" w:hAnsi="Arial" w:cs="Arial"/>
          <w:sz w:val="22"/>
          <w:szCs w:val="22"/>
        </w:rPr>
      </w:pPr>
      <w:r w:rsidRPr="00627621">
        <w:rPr>
          <w:rFonts w:ascii="Arial" w:eastAsia="Arial" w:hAnsi="Arial" w:cs="Arial"/>
          <w:sz w:val="22"/>
          <w:szCs w:val="22"/>
        </w:rPr>
        <w:t>En la Resolución 0422 de 2019 se estableció el trámite de habilitación y renovación de las EPSEA, así como el de actualización y modificación de la información suministrada por las EPSEA dentro del registro, omitiéndose indicar los requisitos y términos previstos para el trámite de renovación, actualización o modificación de la información.</w:t>
      </w:r>
    </w:p>
    <w:p w14:paraId="6C3D76AE" w14:textId="65B93556" w:rsidR="5D5AA33C" w:rsidRPr="0086351C" w:rsidRDefault="5D5AA33C" w:rsidP="00627621">
      <w:pPr>
        <w:spacing w:before="251" w:line="276" w:lineRule="auto"/>
        <w:ind w:right="96"/>
        <w:jc w:val="both"/>
        <w:rPr>
          <w:rFonts w:ascii="Arial" w:eastAsia="Arial" w:hAnsi="Arial" w:cs="Arial"/>
          <w:sz w:val="22"/>
          <w:szCs w:val="22"/>
        </w:rPr>
      </w:pPr>
      <w:r w:rsidRPr="0086351C">
        <w:rPr>
          <w:rFonts w:ascii="Arial" w:eastAsia="Arial" w:hAnsi="Arial" w:cs="Arial"/>
          <w:sz w:val="22"/>
          <w:szCs w:val="22"/>
        </w:rPr>
        <w:t xml:space="preserve">Por lo anterior, resultó procedente modificar el contenido de la Resolución 0422 de 2019, por medio de la Resolución 042 de 2020, en el sentido de sujetarla a lo previsto en la normatividad vigente frente a lo dispuesto de suprimir o reformar regulaciones, procedimientos y trámites permitiendo establecer los términos y tiempos previstos para cada uno en los trámites de renovación, actualización y modificación dentro del procedimiento de habilitación de EPSEA y de esta manera garantizar seguridad jurídica en el marco de estos procesos. </w:t>
      </w:r>
    </w:p>
    <w:p w14:paraId="2BD94C8C" w14:textId="67FB0CB8" w:rsidR="5D5AA33C" w:rsidRPr="0086351C" w:rsidRDefault="5D5AA33C" w:rsidP="00627621">
      <w:pPr>
        <w:spacing w:before="251" w:line="276" w:lineRule="auto"/>
        <w:ind w:right="96"/>
        <w:jc w:val="both"/>
        <w:rPr>
          <w:rFonts w:ascii="Arial" w:eastAsia="Arial" w:hAnsi="Arial" w:cs="Arial"/>
          <w:sz w:val="22"/>
          <w:szCs w:val="22"/>
        </w:rPr>
      </w:pPr>
      <w:r w:rsidRPr="0086351C">
        <w:rPr>
          <w:rFonts w:ascii="Arial" w:eastAsia="Arial" w:hAnsi="Arial" w:cs="Arial"/>
          <w:sz w:val="22"/>
          <w:szCs w:val="22"/>
        </w:rPr>
        <w:t>Posteriormente fue emitida la Resolución N° 213 de 2020 “por la cual se revoca de oficio el parágrafo tercero de los artículos quinto y décimo de la Resolución 0422 de 2019”. Con este acto administrativo se revoca el parágrafo tercero de dichos artículos sustentado en el artículo 3 de la Ley 489 de 1998 y el artículo 3 de la ley 1437 de 2011, que establecen que la función y actuaciones administrativas se desarrollan, con arreglo a “(…) los principios del debido proceso, igualdad, imparcialidad, buena fe, moralidad, participación, responsabilidad, transparencia, publicidad, coordinación, eficacia, economía y celeridad (…)”.</w:t>
      </w:r>
    </w:p>
    <w:p w14:paraId="704BF8E0" w14:textId="121E8D70" w:rsidR="5D5AA33C" w:rsidRPr="0086351C" w:rsidRDefault="5D5AA33C" w:rsidP="00627621">
      <w:pPr>
        <w:spacing w:before="251" w:line="276" w:lineRule="auto"/>
        <w:ind w:right="96"/>
        <w:jc w:val="both"/>
        <w:rPr>
          <w:rFonts w:ascii="Arial" w:eastAsia="Arial" w:hAnsi="Arial" w:cs="Arial"/>
          <w:sz w:val="22"/>
          <w:szCs w:val="22"/>
        </w:rPr>
      </w:pPr>
      <w:r w:rsidRPr="0086351C">
        <w:rPr>
          <w:rFonts w:ascii="Arial" w:eastAsia="Arial" w:hAnsi="Arial" w:cs="Arial"/>
          <w:sz w:val="22"/>
          <w:szCs w:val="22"/>
        </w:rPr>
        <w:lastRenderedPageBreak/>
        <w:t>Lo anterior se sustentó en los numerales 3 y 11 del artículo 3 de la Ley 1437 de 2011 disponen lo siguiente: “3. En virtud del principio de imparcialidad, las autoridades deberán actuar teniendo en cuenta que la finalidad de los procedimientos consiste en asegurar y garantizar los derechos de todas las personas sin discriminación alguna y sin tener en consideración factores de afecto o de interés y, en general cualquier clase de motivación subjetiva (…) 11. En virtud del principio de eficacia, las autoridades buscaran que los procedimientos logren su finalidad y para el efecto removerán de oficio los obstáculos puramente formales, evitaran decisiones inhibitorias, dilaciones o retardos y sanearan de acuerdo con este código las irregularidades procedimentales que se presente, en procura de la efectividad del derecho material objeto de la actuación administrativa”.</w:t>
      </w:r>
    </w:p>
    <w:p w14:paraId="5759EEB1" w14:textId="72F4FF73" w:rsidR="5D5AA33C" w:rsidRPr="0086351C" w:rsidRDefault="5D5AA33C" w:rsidP="00627621">
      <w:pPr>
        <w:spacing w:line="276" w:lineRule="auto"/>
        <w:jc w:val="both"/>
        <w:rPr>
          <w:rFonts w:ascii="Arial" w:eastAsia="Arial" w:hAnsi="Arial" w:cs="Arial"/>
        </w:rPr>
      </w:pPr>
      <w:r w:rsidRPr="0086351C">
        <w:rPr>
          <w:rFonts w:ascii="Arial" w:eastAsia="Arial" w:hAnsi="Arial" w:cs="Arial"/>
        </w:rPr>
        <w:t xml:space="preserve"> </w:t>
      </w:r>
    </w:p>
    <w:p w14:paraId="0E555453" w14:textId="702CDB03" w:rsidR="5D5AA33C" w:rsidRPr="0086351C" w:rsidRDefault="5D5AA33C" w:rsidP="00627621">
      <w:pPr>
        <w:spacing w:line="276" w:lineRule="auto"/>
        <w:jc w:val="both"/>
        <w:rPr>
          <w:rFonts w:ascii="Arial" w:eastAsia="Arial" w:hAnsi="Arial" w:cs="Arial"/>
          <w:sz w:val="22"/>
          <w:szCs w:val="22"/>
        </w:rPr>
      </w:pPr>
      <w:r w:rsidRPr="0086351C">
        <w:rPr>
          <w:rFonts w:ascii="Arial" w:eastAsia="Arial" w:hAnsi="Arial" w:cs="Arial"/>
          <w:sz w:val="22"/>
          <w:szCs w:val="22"/>
        </w:rPr>
        <w:t xml:space="preserve">En virtud de lo consagrado en el artículo 35 de la Ley 1876 de 2017, en el cual se establece que la Selección y contratación de EPSEA se deberán aplicar los siguientes requisitos, sin perjuicio de lo contemplado en la Ley 80 de 1993 y demás normas aplicables: </w:t>
      </w:r>
    </w:p>
    <w:p w14:paraId="0213B97C" w14:textId="76943884" w:rsidR="32FDD0E3" w:rsidRPr="0086351C" w:rsidRDefault="32FDD0E3" w:rsidP="00627621">
      <w:pPr>
        <w:spacing w:line="276" w:lineRule="auto"/>
        <w:jc w:val="both"/>
        <w:rPr>
          <w:rFonts w:ascii="Arial" w:eastAsia="Arial" w:hAnsi="Arial" w:cs="Arial"/>
          <w:sz w:val="22"/>
          <w:szCs w:val="22"/>
        </w:rPr>
      </w:pPr>
    </w:p>
    <w:p w14:paraId="7E316395" w14:textId="65947617" w:rsidR="5D5AA33C" w:rsidRPr="0086351C" w:rsidRDefault="5D5AA33C" w:rsidP="00627621">
      <w:pPr>
        <w:spacing w:line="276" w:lineRule="auto"/>
        <w:jc w:val="both"/>
        <w:rPr>
          <w:rFonts w:ascii="Arial" w:eastAsia="Arial" w:hAnsi="Arial" w:cs="Arial"/>
          <w:i/>
          <w:iCs/>
          <w:sz w:val="22"/>
          <w:szCs w:val="22"/>
        </w:rPr>
      </w:pPr>
      <w:r w:rsidRPr="0086351C">
        <w:rPr>
          <w:rFonts w:ascii="Arial" w:eastAsia="Arial" w:hAnsi="Arial" w:cs="Arial"/>
          <w:sz w:val="22"/>
          <w:szCs w:val="22"/>
        </w:rPr>
        <w:t xml:space="preserve">“1. </w:t>
      </w:r>
      <w:r w:rsidRPr="0086351C">
        <w:rPr>
          <w:rFonts w:ascii="Arial" w:eastAsia="Arial" w:hAnsi="Arial" w:cs="Arial"/>
          <w:i/>
          <w:iCs/>
          <w:sz w:val="22"/>
          <w:szCs w:val="22"/>
        </w:rPr>
        <w:t>Que exista convenio o contrato de asociación entre los municipios, 0 los municipios y el departamento para adelantar el proceso de selección contratación de la o las EPSEA de manera colectiva, cuando así se convenga.</w:t>
      </w:r>
    </w:p>
    <w:p w14:paraId="1B9AFC79" w14:textId="1E852C69" w:rsidR="5D5AA33C" w:rsidRPr="0086351C" w:rsidRDefault="5D5AA33C" w:rsidP="00627621">
      <w:pPr>
        <w:spacing w:line="276" w:lineRule="auto"/>
        <w:jc w:val="both"/>
        <w:rPr>
          <w:rFonts w:ascii="Arial" w:eastAsia="Arial" w:hAnsi="Arial" w:cs="Arial"/>
          <w:i/>
          <w:iCs/>
          <w:sz w:val="22"/>
          <w:szCs w:val="22"/>
        </w:rPr>
      </w:pPr>
      <w:r w:rsidRPr="0086351C">
        <w:rPr>
          <w:rFonts w:ascii="Arial" w:eastAsia="Arial" w:hAnsi="Arial" w:cs="Arial"/>
          <w:i/>
          <w:iCs/>
          <w:sz w:val="22"/>
          <w:szCs w:val="22"/>
        </w:rPr>
        <w:t>2. Que se encuentren en la lista de Entidades Prestadoras del Servicio de Extensión Agropecuaria (EPSEA) habilitadas, publicado por la Agencia de Desarrollo Rural. (…)</w:t>
      </w:r>
    </w:p>
    <w:p w14:paraId="3DFF9AB0" w14:textId="6987252C" w:rsidR="5D5AA33C" w:rsidRPr="0086351C" w:rsidRDefault="5D5AA33C" w:rsidP="00627621">
      <w:pPr>
        <w:spacing w:line="276" w:lineRule="auto"/>
        <w:jc w:val="both"/>
        <w:rPr>
          <w:rFonts w:ascii="Arial" w:eastAsia="Arial" w:hAnsi="Arial" w:cs="Arial"/>
          <w:sz w:val="22"/>
          <w:szCs w:val="22"/>
        </w:rPr>
      </w:pPr>
      <w:r w:rsidRPr="0086351C">
        <w:rPr>
          <w:rFonts w:ascii="Arial" w:eastAsia="Arial" w:hAnsi="Arial" w:cs="Arial"/>
          <w:sz w:val="22"/>
          <w:szCs w:val="22"/>
        </w:rPr>
        <w:t xml:space="preserve"> </w:t>
      </w:r>
    </w:p>
    <w:p w14:paraId="6F44FF66" w14:textId="700B2121" w:rsidR="5D5AA33C" w:rsidRPr="0086351C" w:rsidRDefault="5D5AA33C" w:rsidP="00627621">
      <w:pPr>
        <w:spacing w:line="276" w:lineRule="auto"/>
        <w:jc w:val="both"/>
        <w:rPr>
          <w:rFonts w:ascii="Arial" w:eastAsia="Arial" w:hAnsi="Arial" w:cs="Arial"/>
          <w:sz w:val="22"/>
          <w:szCs w:val="22"/>
        </w:rPr>
      </w:pPr>
      <w:r w:rsidRPr="0086351C">
        <w:rPr>
          <w:rFonts w:ascii="Arial" w:eastAsia="Arial" w:hAnsi="Arial" w:cs="Arial"/>
          <w:b/>
          <w:bCs/>
          <w:sz w:val="22"/>
          <w:szCs w:val="22"/>
        </w:rPr>
        <w:t xml:space="preserve">Parágrafo 1°: </w:t>
      </w:r>
      <w:r w:rsidRPr="0086351C">
        <w:rPr>
          <w:rFonts w:ascii="Arial" w:eastAsia="Arial" w:hAnsi="Arial" w:cs="Arial"/>
          <w:sz w:val="22"/>
          <w:szCs w:val="22"/>
        </w:rPr>
        <w:t>El Ministerio de Agricultura y Desarrollo Rural y la Agencia de Desarrollo Rural estarán facultados para contratar EPSEA que presten el servicio público de extensión agropecuaria de conformidad con lo dispuesto en la presente ley. El presente artículo se reglamentará dentro de los primeros seis meses de entrada en vigencia de la presente ley.</w:t>
      </w:r>
    </w:p>
    <w:p w14:paraId="789D3E7D" w14:textId="7F697D7B" w:rsidR="32FDD0E3" w:rsidRPr="0086351C" w:rsidRDefault="32FDD0E3" w:rsidP="00627621">
      <w:pPr>
        <w:spacing w:line="276" w:lineRule="auto"/>
        <w:ind w:right="-45"/>
        <w:jc w:val="both"/>
        <w:rPr>
          <w:rFonts w:ascii="Arial" w:eastAsia="Arial" w:hAnsi="Arial" w:cs="Arial"/>
          <w:sz w:val="22"/>
          <w:szCs w:val="22"/>
        </w:rPr>
      </w:pPr>
    </w:p>
    <w:p w14:paraId="20199BF5" w14:textId="5A3196F2" w:rsidR="5560121F" w:rsidRPr="0086351C" w:rsidRDefault="00D21829" w:rsidP="00627621">
      <w:pPr>
        <w:spacing w:line="276" w:lineRule="auto"/>
        <w:ind w:right="-45"/>
        <w:jc w:val="both"/>
        <w:rPr>
          <w:rFonts w:ascii="Arial" w:eastAsia="Tahoma" w:hAnsi="Arial" w:cs="Arial"/>
          <w:sz w:val="22"/>
          <w:szCs w:val="22"/>
          <w:highlight w:val="yellow"/>
        </w:rPr>
      </w:pPr>
      <w:r w:rsidRPr="0086351C">
        <w:rPr>
          <w:rFonts w:ascii="Arial" w:eastAsia="Tahoma" w:hAnsi="Arial" w:cs="Arial"/>
          <w:sz w:val="22"/>
          <w:szCs w:val="22"/>
        </w:rPr>
        <w:t>El departamento del</w:t>
      </w:r>
      <w:r w:rsidR="00A65329" w:rsidRPr="0086351C">
        <w:rPr>
          <w:rFonts w:ascii="Arial" w:eastAsia="Tahoma" w:hAnsi="Arial" w:cs="Arial"/>
          <w:sz w:val="22"/>
          <w:szCs w:val="22"/>
        </w:rPr>
        <w:t xml:space="preserve"> SUCRE</w:t>
      </w:r>
      <w:r w:rsidRPr="0086351C">
        <w:rPr>
          <w:rFonts w:ascii="Arial" w:eastAsia="Tahoma" w:hAnsi="Arial" w:cs="Arial"/>
          <w:sz w:val="22"/>
          <w:szCs w:val="22"/>
        </w:rPr>
        <w:t xml:space="preserve"> cuenta con el PDEA aprobado mediante ordenanza No 023 del 25 de agosto del 2024.</w:t>
      </w:r>
    </w:p>
    <w:p w14:paraId="383689E4" w14:textId="77777777" w:rsidR="00414006" w:rsidRPr="0086351C" w:rsidRDefault="0171D405"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w:t>
      </w:r>
    </w:p>
    <w:p w14:paraId="1F54B13E"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Una vez aprobado el PDEA por la respectiva Asamblea Departamental, permitirá la prestación del servicio público de extensión agropecuaria, a través de las Entidades Prestadoras del Servicio de Extensión Agropecuaria – EPSEA habilitadas. </w:t>
      </w:r>
    </w:p>
    <w:p w14:paraId="0F2060F5"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w:t>
      </w:r>
    </w:p>
    <w:p w14:paraId="68344AC7"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De la misma manera, la Resolución 407 de octubre del 2018, es concordante con lo establecido en las normas antes enunciadas, para la implementación del servicio público de extensión agropecuaria, los departamentos deben cumplir con el requisito de haber adoptado debidamente el Plan Departamental de extensión Agropecuaria PDEA. </w:t>
      </w:r>
    </w:p>
    <w:p w14:paraId="3925A1D7"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w:t>
      </w:r>
    </w:p>
    <w:p w14:paraId="73BE7E02"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xml:space="preserve">De acuerdo con lo anterior, técnicamente es indispensable la formulación de los programas y proyectos de extensión agropecuaria como unidades básicas para la ejecución del PDEA, ya que éstos incluyen las líneas acción, ejes temáticos, estrategias, actividades, objetivos, indicadores, metas y cronograma definidos para la prestación del servicio público de </w:t>
      </w:r>
      <w:r w:rsidRPr="0086351C">
        <w:rPr>
          <w:rFonts w:ascii="Arial" w:eastAsia="Tahoma" w:hAnsi="Arial" w:cs="Arial"/>
          <w:sz w:val="22"/>
          <w:szCs w:val="22"/>
        </w:rPr>
        <w:lastRenderedPageBreak/>
        <w:t>extensión agropecuaria en los municipios y distritos, esto guarda concordancia con la Resolución 407 de octubre del 2018 del Ministerio de Agricultura y Desarrollo Rural. </w:t>
      </w:r>
    </w:p>
    <w:p w14:paraId="6DF508D0"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w:t>
      </w:r>
    </w:p>
    <w:p w14:paraId="6C5FF797"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Los Departamentos objeto de cobertura para el proceso contractual que soporta el presente estudio previo, además de contar con  los Planes Departamentales de Extensión Agropecuaria - PDEA, cuentan con Planes Integrales de Desarrollo Agropecuario con Enfoque Territorial - PIDARET, Plan de Desarrollo Municipal, Plan de Ordenamiento Territorial, bases del Plan Nacional de Desarrollo, los Planes de Acción para la Transformación Regional –PATR-, los planes integrales comunitarios y municipales de sustitución y desarrollo –PISDA y Plan de ordenamiento social de la propiedad UPRA, entre otros documentos que hacen parte de los entes territoriales, garantizando la alineación de estos planes. </w:t>
      </w:r>
    </w:p>
    <w:p w14:paraId="38AA4894" w14:textId="77777777" w:rsidR="00414006"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 </w:t>
      </w:r>
    </w:p>
    <w:p w14:paraId="77AF1ED1" w14:textId="77777777" w:rsidR="00414006" w:rsidRPr="0086351C" w:rsidRDefault="00414006" w:rsidP="00627621">
      <w:pPr>
        <w:spacing w:line="276" w:lineRule="auto"/>
        <w:jc w:val="both"/>
        <w:textAlignment w:val="baseline"/>
        <w:rPr>
          <w:rFonts w:ascii="Arial" w:eastAsia="Tahoma" w:hAnsi="Arial" w:cs="Arial"/>
          <w:sz w:val="22"/>
          <w:szCs w:val="22"/>
        </w:rPr>
      </w:pPr>
      <w:r w:rsidRPr="0086351C">
        <w:rPr>
          <w:rFonts w:ascii="Arial" w:eastAsia="Tahoma" w:hAnsi="Arial" w:cs="Arial"/>
          <w:sz w:val="22"/>
          <w:szCs w:val="22"/>
        </w:rPr>
        <w:t>Otra de las necesidades que debe ser atendida está orientado a incluir el enfoque diferencial, que, de acuerdo con la normativa colombiana, particularmente la Ley 1448 y la sentencia T-010/15, se entiende como enfoque diferencial el reconocimiento de que hay poblaciones con “características particulares en razón de su edad, género, etnia, orientación sexual y situación de discapacidad” (Congreso de la República de Colombia, Ley 1448 de 2011). Por esta razón, trata diferencialmente a sujetos desiguales, y busca proteger a las personas que se encuentren en circunstancias de vulnerabilidad o de debilidad manifiesta, de manera que se logre una verdadera igualdad real y efectiva, con los principios de equidad, participación social e inclusión (Colombia, Corte Constitucional Sentencia T.010/15). </w:t>
      </w:r>
    </w:p>
    <w:p w14:paraId="143E3BF4" w14:textId="77777777" w:rsidR="00414006" w:rsidRPr="0086351C" w:rsidRDefault="00414006" w:rsidP="00627621">
      <w:pPr>
        <w:spacing w:line="276" w:lineRule="auto"/>
        <w:jc w:val="both"/>
        <w:textAlignment w:val="baseline"/>
        <w:rPr>
          <w:rFonts w:ascii="Arial" w:eastAsia="Tahoma" w:hAnsi="Arial" w:cs="Arial"/>
          <w:sz w:val="22"/>
          <w:szCs w:val="22"/>
        </w:rPr>
      </w:pPr>
      <w:r w:rsidRPr="0086351C">
        <w:rPr>
          <w:rFonts w:ascii="Arial" w:eastAsia="Tahoma" w:hAnsi="Arial" w:cs="Arial"/>
          <w:sz w:val="22"/>
          <w:szCs w:val="22"/>
        </w:rPr>
        <w:t> </w:t>
      </w:r>
    </w:p>
    <w:p w14:paraId="62AADDE3" w14:textId="3BAAB30E" w:rsidR="009E736E" w:rsidRPr="0086351C" w:rsidRDefault="00414006" w:rsidP="00627621">
      <w:pPr>
        <w:spacing w:line="276" w:lineRule="auto"/>
        <w:ind w:right="-45"/>
        <w:jc w:val="both"/>
        <w:textAlignment w:val="baseline"/>
        <w:rPr>
          <w:rFonts w:ascii="Arial" w:eastAsia="Tahoma" w:hAnsi="Arial" w:cs="Arial"/>
          <w:sz w:val="22"/>
          <w:szCs w:val="22"/>
        </w:rPr>
      </w:pPr>
      <w:r w:rsidRPr="0086351C">
        <w:rPr>
          <w:rFonts w:ascii="Arial" w:eastAsia="Tahoma" w:hAnsi="Arial" w:cs="Arial"/>
          <w:sz w:val="22"/>
          <w:szCs w:val="22"/>
        </w:rPr>
        <w:t>Para esto las acciones de extensión dinamizadas por la Agencia contribuirán a gestionar y fortalecer el conocimiento y los saberes locales, ancestrales y tradicionales de la población del sector rural hacia las actividades de: Adecuación y transformación de la producción primaria. Administrativas y financieras vinculadas al crédito y el ahorro individual y colectivo; de mercadeo, distribución y comercialización; producción primaria y secundaria; servicios rurales, conservación ambiental, gestión sostenible de los recursos naturales y adaptación frente al cambio climático; convivencia y el desarrollo rural pacífico; fortalecimiento de la asociatividad y la organización comunitaria, así como la conformación y fortalecimiento de redes de productores, mujeres y jóvenes rurales; así mismos esfuerzos en informática y aprovechamiento efectivo de la información de apoyo, adopción o adaptación de tecnologías; todo ello teniendo en cuenta los usos y costumbres relacionados con formas de producción propias o alternativas como la producción agroecológica.  </w:t>
      </w:r>
    </w:p>
    <w:p w14:paraId="12F173B2" w14:textId="77777777" w:rsidR="00CD0609" w:rsidRPr="0086351C" w:rsidRDefault="00CD0609" w:rsidP="00CD0609">
      <w:pPr>
        <w:ind w:right="-45"/>
        <w:jc w:val="both"/>
        <w:textAlignment w:val="baseline"/>
        <w:rPr>
          <w:rFonts w:ascii="Arial" w:eastAsia="Tahoma" w:hAnsi="Arial" w:cs="Arial"/>
          <w:sz w:val="22"/>
          <w:szCs w:val="22"/>
        </w:rPr>
      </w:pPr>
    </w:p>
    <w:p w14:paraId="20C2D65D" w14:textId="10FDA6B4" w:rsidR="766BA31D" w:rsidRPr="00627621" w:rsidRDefault="766BA31D" w:rsidP="00627621">
      <w:pPr>
        <w:pStyle w:val="Ttulo2"/>
        <w:numPr>
          <w:ilvl w:val="1"/>
          <w:numId w:val="29"/>
        </w:numPr>
        <w:spacing w:line="276" w:lineRule="auto"/>
        <w:jc w:val="both"/>
        <w:rPr>
          <w:rFonts w:ascii="Arial" w:eastAsia="Tahoma" w:hAnsi="Arial" w:cs="Arial"/>
          <w:sz w:val="22"/>
          <w:szCs w:val="22"/>
          <w:lang w:eastAsia="es-CO"/>
        </w:rPr>
      </w:pPr>
      <w:bookmarkStart w:id="20" w:name="_Toc178847896"/>
      <w:r w:rsidRPr="00627621">
        <w:rPr>
          <w:rFonts w:ascii="Arial" w:eastAsia="Tahoma" w:hAnsi="Arial" w:cs="Arial"/>
          <w:sz w:val="22"/>
          <w:szCs w:val="22"/>
          <w:lang w:eastAsia="es-CO"/>
        </w:rPr>
        <w:t>En relación con la forma de contratar el servicio de EPSEA:</w:t>
      </w:r>
      <w:bookmarkEnd w:id="20"/>
    </w:p>
    <w:p w14:paraId="339C5A88" w14:textId="521C9C3D" w:rsidR="766BA31D" w:rsidRPr="00627621" w:rsidRDefault="766BA31D" w:rsidP="00627621">
      <w:pPr>
        <w:spacing w:line="276" w:lineRule="auto"/>
        <w:ind w:right="-45"/>
        <w:jc w:val="both"/>
        <w:rPr>
          <w:rFonts w:ascii="Arial" w:eastAsia="Tahoma" w:hAnsi="Arial" w:cs="Arial"/>
          <w:sz w:val="22"/>
          <w:szCs w:val="22"/>
        </w:rPr>
      </w:pPr>
      <w:r w:rsidRPr="00627621">
        <w:rPr>
          <w:rFonts w:ascii="Arial" w:eastAsia="Tahoma" w:hAnsi="Arial" w:cs="Arial"/>
          <w:sz w:val="22"/>
          <w:szCs w:val="22"/>
        </w:rPr>
        <w:t xml:space="preserve"> </w:t>
      </w:r>
    </w:p>
    <w:p w14:paraId="5BC03CD2" w14:textId="77777777" w:rsidR="00667508" w:rsidRPr="00627621" w:rsidRDefault="00667508" w:rsidP="00627621">
      <w:pPr>
        <w:spacing w:after="240" w:line="276" w:lineRule="auto"/>
        <w:jc w:val="both"/>
        <w:rPr>
          <w:rFonts w:ascii="Arial" w:hAnsi="Arial" w:cs="Arial"/>
          <w:sz w:val="22"/>
          <w:szCs w:val="22"/>
        </w:rPr>
      </w:pPr>
      <w:r w:rsidRPr="00627621">
        <w:rPr>
          <w:rFonts w:ascii="Arial" w:hAnsi="Arial" w:cs="Arial"/>
          <w:sz w:val="22"/>
          <w:szCs w:val="22"/>
        </w:rPr>
        <w:t xml:space="preserve">La Ley 1876 de 2017, dispone un enfoque de integralidad a la prestación del servicio público de extensión agropecuaria, los cuales se definen en el Artículo 25 de la referida Ley, señalando que, la prestación del servicio de extensión agropecuaria debe contemplar los </w:t>
      </w:r>
      <w:r w:rsidRPr="00627621">
        <w:rPr>
          <w:rFonts w:ascii="Arial" w:hAnsi="Arial" w:cs="Arial"/>
          <w:sz w:val="22"/>
          <w:szCs w:val="22"/>
        </w:rPr>
        <w:lastRenderedPageBreak/>
        <w:t>siguientes cinco aspectos los cuales deben abordarse en función del diagnóstico que debe realizarse a los usuarios:</w:t>
      </w:r>
    </w:p>
    <w:p w14:paraId="78EA320E" w14:textId="77777777" w:rsidR="00667508" w:rsidRPr="00627621" w:rsidRDefault="00667508" w:rsidP="00627621">
      <w:pPr>
        <w:pStyle w:val="Prrafodelista"/>
        <w:widowControl w:val="0"/>
        <w:numPr>
          <w:ilvl w:val="0"/>
          <w:numId w:val="34"/>
        </w:numPr>
        <w:autoSpaceDE w:val="0"/>
        <w:autoSpaceDN w:val="0"/>
        <w:spacing w:after="0" w:line="276" w:lineRule="auto"/>
        <w:contextualSpacing w:val="0"/>
        <w:jc w:val="both"/>
        <w:rPr>
          <w:rFonts w:ascii="Arial" w:hAnsi="Arial" w:cs="Arial"/>
        </w:rPr>
      </w:pPr>
      <w:r w:rsidRPr="00627621">
        <w:rPr>
          <w:rFonts w:ascii="Arial" w:hAnsi="Arial" w:cs="Arial"/>
        </w:rPr>
        <w:t>Desarrollo de las capacidades humanas integrales mediante la generación y mejora de las habilidades, destrezas, talentos, valores y principios de los productores agropecuarios, para ejecutar apropiadamente las gestiones y labores que demande su actividad productiva, entre otras, actividades técnico-productivas y/o de adecuación y transformación de la producción primaria, administrativas, financieras y crediticias, informáticas, de mercadeo y de comercialización; así como para la convivencia y el desarrollo rural pacífico.</w:t>
      </w:r>
    </w:p>
    <w:p w14:paraId="4B8F4742" w14:textId="77777777" w:rsidR="00667508" w:rsidRPr="00627621" w:rsidRDefault="00667508" w:rsidP="00627621">
      <w:pPr>
        <w:pStyle w:val="Prrafodelista"/>
        <w:widowControl w:val="0"/>
        <w:numPr>
          <w:ilvl w:val="0"/>
          <w:numId w:val="34"/>
        </w:numPr>
        <w:autoSpaceDE w:val="0"/>
        <w:autoSpaceDN w:val="0"/>
        <w:spacing w:after="0" w:line="276" w:lineRule="auto"/>
        <w:contextualSpacing w:val="0"/>
        <w:jc w:val="both"/>
        <w:rPr>
          <w:rFonts w:ascii="Arial" w:hAnsi="Arial" w:cs="Arial"/>
        </w:rPr>
      </w:pPr>
      <w:r w:rsidRPr="00627621">
        <w:rPr>
          <w:rFonts w:ascii="Arial" w:hAnsi="Arial" w:cs="Arial"/>
        </w:rPr>
        <w:t>Desarrollo de las capacidades sociales integrales y el fortalecimiento de la asociatividad, que permita la organización de los productores para gestionar colectivamente y de manera eficiente las entradas (insumos y factores productivos) y salidas (alimentos, materias primas y productos con valor agregado) de sus sistemas de producción. Así mismo, la promoción del desarrollo empresarial, de las organizaciones de segundo piso, y la conformación de redes de productores, mujeres y jóvenes rurales, entre otras.</w:t>
      </w:r>
    </w:p>
    <w:p w14:paraId="52AD98B3" w14:textId="77777777" w:rsidR="00667508" w:rsidRPr="00627621" w:rsidRDefault="00667508" w:rsidP="00627621">
      <w:pPr>
        <w:pStyle w:val="Prrafodelista"/>
        <w:widowControl w:val="0"/>
        <w:numPr>
          <w:ilvl w:val="0"/>
          <w:numId w:val="34"/>
        </w:numPr>
        <w:autoSpaceDE w:val="0"/>
        <w:autoSpaceDN w:val="0"/>
        <w:spacing w:after="0" w:line="276" w:lineRule="auto"/>
        <w:contextualSpacing w:val="0"/>
        <w:jc w:val="both"/>
        <w:rPr>
          <w:rFonts w:ascii="Arial" w:hAnsi="Arial" w:cs="Arial"/>
        </w:rPr>
      </w:pPr>
      <w:r w:rsidRPr="00627621">
        <w:rPr>
          <w:rFonts w:ascii="Arial" w:hAnsi="Arial" w:cs="Arial"/>
        </w:rPr>
        <w:t>Acceso y aprovechamiento efectivo de la información de apoyo, adopción o adaptación de tecnologías y productos tecnológicos, apropiación social del conocimiento, y solución de problemáticas, principalmente a través de la innovación abierta o colaborativa, la investigación participativa y el uso de las Tecnologías de Información y Comunicación.</w:t>
      </w:r>
    </w:p>
    <w:p w14:paraId="68C7F02E" w14:textId="77777777" w:rsidR="00667508" w:rsidRPr="00627621" w:rsidRDefault="00667508" w:rsidP="00627621">
      <w:pPr>
        <w:pStyle w:val="Prrafodelista"/>
        <w:widowControl w:val="0"/>
        <w:numPr>
          <w:ilvl w:val="0"/>
          <w:numId w:val="34"/>
        </w:numPr>
        <w:autoSpaceDE w:val="0"/>
        <w:autoSpaceDN w:val="0"/>
        <w:spacing w:after="0" w:line="276" w:lineRule="auto"/>
        <w:contextualSpacing w:val="0"/>
        <w:jc w:val="both"/>
        <w:rPr>
          <w:rFonts w:ascii="Arial" w:hAnsi="Arial" w:cs="Arial"/>
        </w:rPr>
      </w:pPr>
      <w:r w:rsidRPr="00627621">
        <w:rPr>
          <w:rFonts w:ascii="Arial" w:hAnsi="Arial" w:cs="Arial"/>
        </w:rPr>
        <w:t>Gestión sostenible de los recursos naturales, de modo que los productores hagan uso eficiente de los recursos, suelo, agua, biodiversidad, etc., e integren prácticas orientadas a la mitigación y adaptación al cambio climático.</w:t>
      </w:r>
    </w:p>
    <w:p w14:paraId="5955F6CA" w14:textId="77777777" w:rsidR="00667508" w:rsidRPr="00627621" w:rsidRDefault="00667508" w:rsidP="00627621">
      <w:pPr>
        <w:pStyle w:val="Prrafodelista"/>
        <w:widowControl w:val="0"/>
        <w:numPr>
          <w:ilvl w:val="0"/>
          <w:numId w:val="34"/>
        </w:numPr>
        <w:autoSpaceDE w:val="0"/>
        <w:autoSpaceDN w:val="0"/>
        <w:spacing w:after="240" w:line="276" w:lineRule="auto"/>
        <w:contextualSpacing w:val="0"/>
        <w:jc w:val="both"/>
        <w:rPr>
          <w:rFonts w:ascii="Arial" w:hAnsi="Arial" w:cs="Arial"/>
        </w:rPr>
      </w:pPr>
      <w:r w:rsidRPr="00627621">
        <w:rPr>
          <w:rFonts w:ascii="Arial" w:hAnsi="Arial" w:cs="Arial"/>
        </w:rPr>
        <w:t>Desarrollo de habilidades para la participación de los productores en espacios para la retroalimentación de la política pública sectorial, además del empoderamiento para autogestionar la solución de sus necesidades.</w:t>
      </w:r>
    </w:p>
    <w:p w14:paraId="51E99AAB" w14:textId="77777777" w:rsidR="00667508" w:rsidRPr="00627621" w:rsidRDefault="00667508" w:rsidP="00627621">
      <w:pPr>
        <w:spacing w:after="240" w:line="276" w:lineRule="auto"/>
        <w:jc w:val="both"/>
        <w:rPr>
          <w:rFonts w:ascii="Arial" w:hAnsi="Arial" w:cs="Arial"/>
          <w:sz w:val="22"/>
          <w:szCs w:val="22"/>
        </w:rPr>
      </w:pPr>
      <w:r w:rsidRPr="00627621">
        <w:rPr>
          <w:rFonts w:ascii="Arial" w:hAnsi="Arial" w:cs="Arial"/>
          <w:sz w:val="22"/>
          <w:szCs w:val="22"/>
        </w:rPr>
        <w:t>Así mismo, esta ley (Artículo 24) establece que la competencia frente a la prestación del servicio público de extensión agropecuaria corresponde a los municipios y distritos, quienes deberán armonizar sus iniciativas en esta materia con las de otros municipios y/o el departamento al que pertenecen, a fin de consolidar las acciones en un único plan denominado Plan Departamental de Extensión Agropecuaria – PDEA. Este servicio deberá ser prestado a través de las entidades prestadoras del servicio de extensión agropecuaria (EPSEA) habilitadas para ello, sin perjuicio de que dichas entidades sean organizaciones de diversa naturaleza.</w:t>
      </w:r>
    </w:p>
    <w:p w14:paraId="7ADA32DD" w14:textId="679929C1" w:rsidR="06C192F4" w:rsidRPr="00627621" w:rsidRDefault="06C192F4" w:rsidP="00627621">
      <w:pPr>
        <w:spacing w:line="276" w:lineRule="auto"/>
        <w:jc w:val="both"/>
        <w:rPr>
          <w:rFonts w:ascii="Arial" w:eastAsia="Arial" w:hAnsi="Arial" w:cs="Arial"/>
          <w:sz w:val="22"/>
          <w:szCs w:val="22"/>
        </w:rPr>
      </w:pPr>
      <w:r w:rsidRPr="00627621">
        <w:rPr>
          <w:rFonts w:ascii="Arial" w:eastAsia="Arial" w:hAnsi="Arial" w:cs="Arial"/>
          <w:sz w:val="22"/>
          <w:szCs w:val="22"/>
        </w:rPr>
        <w:t xml:space="preserve">En virtud de lo consagrado en el artículo 35 de la Ley 1876 de 2017, en el cual se establece que la Selección y contratación de EPSEA se deberán aplicar los siguientes requisitos, sin perjuicio de lo contemplado en la Ley 80 de 1993 y demás normas aplicables: </w:t>
      </w:r>
    </w:p>
    <w:p w14:paraId="6ADF1A87" w14:textId="53215A4C" w:rsidR="32FDD0E3" w:rsidRPr="00627621" w:rsidRDefault="32FDD0E3" w:rsidP="00627621">
      <w:pPr>
        <w:spacing w:line="276" w:lineRule="auto"/>
        <w:jc w:val="both"/>
        <w:rPr>
          <w:rFonts w:ascii="Arial" w:eastAsia="Arial" w:hAnsi="Arial" w:cs="Arial"/>
          <w:sz w:val="22"/>
          <w:szCs w:val="22"/>
        </w:rPr>
      </w:pPr>
    </w:p>
    <w:p w14:paraId="3376601A" w14:textId="4911D206" w:rsidR="06C192F4" w:rsidRPr="00627621" w:rsidRDefault="06C192F4" w:rsidP="00627621">
      <w:pPr>
        <w:spacing w:line="276" w:lineRule="auto"/>
        <w:jc w:val="both"/>
        <w:rPr>
          <w:rFonts w:ascii="Arial" w:eastAsia="Arial" w:hAnsi="Arial" w:cs="Arial"/>
          <w:i/>
          <w:iCs/>
          <w:sz w:val="22"/>
          <w:szCs w:val="22"/>
        </w:rPr>
      </w:pPr>
      <w:r w:rsidRPr="00627621">
        <w:rPr>
          <w:rFonts w:ascii="Arial" w:eastAsia="Arial" w:hAnsi="Arial" w:cs="Arial"/>
          <w:sz w:val="22"/>
          <w:szCs w:val="22"/>
        </w:rPr>
        <w:lastRenderedPageBreak/>
        <w:t xml:space="preserve">“1. </w:t>
      </w:r>
      <w:r w:rsidRPr="00627621">
        <w:rPr>
          <w:rFonts w:ascii="Arial" w:eastAsia="Arial" w:hAnsi="Arial" w:cs="Arial"/>
          <w:i/>
          <w:iCs/>
          <w:sz w:val="22"/>
          <w:szCs w:val="22"/>
        </w:rPr>
        <w:t>Que exista convenio o contrato de asociación entre los municipios, 0 los municipios y el departamento para adelantar el proceso de selección contratación de la o las EPSEA de manera colectiva, cuando así se convenga.</w:t>
      </w:r>
    </w:p>
    <w:p w14:paraId="787DDA92" w14:textId="05891AC5" w:rsidR="06C192F4" w:rsidRPr="00627621" w:rsidRDefault="06C192F4" w:rsidP="00627621">
      <w:pPr>
        <w:spacing w:line="276" w:lineRule="auto"/>
        <w:jc w:val="both"/>
        <w:rPr>
          <w:rFonts w:ascii="Arial" w:eastAsia="Arial" w:hAnsi="Arial" w:cs="Arial"/>
          <w:i/>
          <w:iCs/>
          <w:sz w:val="22"/>
          <w:szCs w:val="22"/>
        </w:rPr>
      </w:pPr>
      <w:r w:rsidRPr="00627621">
        <w:rPr>
          <w:rFonts w:ascii="Arial" w:eastAsia="Arial" w:hAnsi="Arial" w:cs="Arial"/>
          <w:i/>
          <w:iCs/>
          <w:sz w:val="22"/>
          <w:szCs w:val="22"/>
        </w:rPr>
        <w:t>2. Que se encuentren en la lista de Entidades Prestadoras del Servicio de Extensión Agropecuaria (EPSEA) habilitadas, publicado por la Agencia de Desarrollo Rural. (…)</w:t>
      </w:r>
    </w:p>
    <w:p w14:paraId="11B4B23C" w14:textId="705D28B6" w:rsidR="06C192F4" w:rsidRPr="00627621" w:rsidRDefault="06C192F4" w:rsidP="00627621">
      <w:pPr>
        <w:spacing w:line="276" w:lineRule="auto"/>
        <w:jc w:val="both"/>
        <w:rPr>
          <w:rFonts w:ascii="Arial" w:eastAsia="Arial" w:hAnsi="Arial" w:cs="Arial"/>
          <w:sz w:val="22"/>
          <w:szCs w:val="22"/>
        </w:rPr>
      </w:pPr>
      <w:r w:rsidRPr="00627621">
        <w:rPr>
          <w:rFonts w:ascii="Arial" w:eastAsia="Arial" w:hAnsi="Arial" w:cs="Arial"/>
          <w:sz w:val="22"/>
          <w:szCs w:val="22"/>
        </w:rPr>
        <w:t xml:space="preserve"> </w:t>
      </w:r>
    </w:p>
    <w:p w14:paraId="521696F2" w14:textId="017D49A2" w:rsidR="06C192F4" w:rsidRPr="00627621" w:rsidRDefault="06C192F4" w:rsidP="00627621">
      <w:pPr>
        <w:spacing w:line="276" w:lineRule="auto"/>
        <w:jc w:val="both"/>
        <w:rPr>
          <w:rFonts w:ascii="Arial" w:eastAsia="Arial" w:hAnsi="Arial" w:cs="Arial"/>
          <w:sz w:val="22"/>
          <w:szCs w:val="22"/>
        </w:rPr>
      </w:pPr>
      <w:r w:rsidRPr="00627621">
        <w:rPr>
          <w:rFonts w:ascii="Arial" w:eastAsia="Arial" w:hAnsi="Arial" w:cs="Arial"/>
          <w:sz w:val="22"/>
          <w:szCs w:val="22"/>
        </w:rPr>
        <w:t>Parágrafo 1°: El Ministerio de Agricultura y Desarrollo Rural y la Agencia de Desarrollo Rural estarán facultados para contratar EPSEA que presten el servicio público de extensión agropecuaria de conformidad con lo dispuesto en la presente ley. El presente artículo se reglamentará dentro de los primeros seis meses de entrada en vigencia de la presente ley.</w:t>
      </w:r>
    </w:p>
    <w:p w14:paraId="38729BC1" w14:textId="6FC8FF68" w:rsidR="32FDD0E3" w:rsidRPr="00627621" w:rsidRDefault="32FDD0E3" w:rsidP="00627621">
      <w:pPr>
        <w:spacing w:line="276" w:lineRule="auto"/>
        <w:jc w:val="both"/>
        <w:rPr>
          <w:rFonts w:ascii="Arial" w:eastAsia="Arial" w:hAnsi="Arial" w:cs="Arial"/>
          <w:sz w:val="22"/>
          <w:szCs w:val="22"/>
        </w:rPr>
      </w:pPr>
    </w:p>
    <w:p w14:paraId="09DF728F" w14:textId="3E31288A" w:rsidR="00667508" w:rsidRPr="00627621" w:rsidRDefault="00667508" w:rsidP="00627621">
      <w:pPr>
        <w:spacing w:after="240" w:line="276" w:lineRule="auto"/>
        <w:jc w:val="both"/>
        <w:rPr>
          <w:rFonts w:ascii="Arial" w:hAnsi="Arial" w:cs="Arial"/>
          <w:sz w:val="22"/>
          <w:szCs w:val="22"/>
        </w:rPr>
      </w:pPr>
      <w:r w:rsidRPr="00627621">
        <w:rPr>
          <w:rFonts w:ascii="Arial" w:hAnsi="Arial" w:cs="Arial"/>
          <w:sz w:val="22"/>
          <w:szCs w:val="22"/>
        </w:rPr>
        <w:t xml:space="preserve">Con la reglamentación de la Ley 1876 de 2017, se expidió la Resolución 0096 de 2024 mediante la cual se </w:t>
      </w:r>
      <w:r w:rsidRPr="00627621">
        <w:rPr>
          <w:rFonts w:ascii="Arial" w:hAnsi="Arial" w:cs="Arial"/>
          <w:i/>
          <w:iCs/>
          <w:sz w:val="22"/>
          <w:szCs w:val="22"/>
        </w:rPr>
        <w:t>“modifican los capítulos IV y V de la Resolución 000407 de 2018, que reglamenta las materias técnicas del Sistema Nacional de Innovación Agropecuaria y dicta otras disposiciones relevantes para el sector”,</w:t>
      </w:r>
      <w:r w:rsidRPr="00627621">
        <w:rPr>
          <w:rFonts w:ascii="Arial" w:hAnsi="Arial" w:cs="Arial"/>
          <w:sz w:val="22"/>
          <w:szCs w:val="22"/>
        </w:rPr>
        <w:t xml:space="preserve">  donde el Ministerio de Agricultura y Desarrollo Rural estableció los lineamientos para la formulación de los Planes Departamentales de Extensión Agropecuaria (PDEA) y el alcance dele acompañamiento realizado por la Agencia de Desarrollo Rural a dicha acción. De igual manera, en dicho acto administrativo, se delineó todo el marco para los procesos de gestión de la información para el Servicio Público de Extensión Agropecuaria.</w:t>
      </w:r>
    </w:p>
    <w:p w14:paraId="5501CA42" w14:textId="57AA32E6"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 xml:space="preserve">En este sentido, se identificó que la normativa aplicable a este tipo de negocios jurídicos es la siguiente: </w:t>
      </w:r>
    </w:p>
    <w:p w14:paraId="541BD9EA" w14:textId="45779ADA" w:rsidR="076FDCBB" w:rsidRPr="00627621" w:rsidRDefault="076FDCBB" w:rsidP="00627621">
      <w:pPr>
        <w:spacing w:line="276" w:lineRule="auto"/>
        <w:jc w:val="both"/>
        <w:rPr>
          <w:rFonts w:ascii="Arial" w:hAnsi="Arial" w:cs="Arial"/>
          <w:sz w:val="22"/>
          <w:szCs w:val="22"/>
        </w:rPr>
      </w:pPr>
    </w:p>
    <w:p w14:paraId="5E653ACD" w14:textId="1C5C6316"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El inciso 3° del artículo 113 de la Constitución Política establece que: “…los diferentes órganos del Estado tienen funciones separadas, pero colaboran armónicamente para la realización de sus fines”.</w:t>
      </w:r>
    </w:p>
    <w:p w14:paraId="1554E36A" w14:textId="77777777" w:rsidR="076FDCBB" w:rsidRPr="00627621" w:rsidRDefault="076FDCBB" w:rsidP="00627621">
      <w:pPr>
        <w:spacing w:line="276" w:lineRule="auto"/>
        <w:jc w:val="both"/>
        <w:rPr>
          <w:rFonts w:ascii="Arial" w:hAnsi="Arial" w:cs="Arial"/>
          <w:sz w:val="22"/>
          <w:szCs w:val="22"/>
        </w:rPr>
      </w:pPr>
    </w:p>
    <w:p w14:paraId="5F9CA11E" w14:textId="57E14806"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De conformidad con lo dispuesto por el artículo 209 de la Constitución Política, las autoridades administrativas deben coordinar sus actuaciones para el adecuado cumplimiento de los fines del Estado.</w:t>
      </w:r>
    </w:p>
    <w:p w14:paraId="065A8A2B" w14:textId="77777777" w:rsidR="076FDCBB" w:rsidRPr="00627621" w:rsidRDefault="076FDCBB" w:rsidP="00627621">
      <w:pPr>
        <w:spacing w:line="276" w:lineRule="auto"/>
        <w:jc w:val="both"/>
        <w:rPr>
          <w:rFonts w:ascii="Arial" w:hAnsi="Arial" w:cs="Arial"/>
          <w:sz w:val="22"/>
          <w:szCs w:val="22"/>
        </w:rPr>
      </w:pPr>
    </w:p>
    <w:p w14:paraId="053D03D5" w14:textId="63B833E7"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El artículo 6 de la Ley 489 de 1998 establece el principio de coordinación así: “En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w:t>
      </w:r>
    </w:p>
    <w:p w14:paraId="5A5A6567" w14:textId="77777777" w:rsidR="076FDCBB" w:rsidRPr="00627621" w:rsidRDefault="076FDCBB" w:rsidP="00627621">
      <w:pPr>
        <w:spacing w:line="276" w:lineRule="auto"/>
        <w:jc w:val="both"/>
        <w:rPr>
          <w:rFonts w:ascii="Arial" w:hAnsi="Arial" w:cs="Arial"/>
          <w:sz w:val="22"/>
          <w:szCs w:val="22"/>
        </w:rPr>
      </w:pPr>
    </w:p>
    <w:p w14:paraId="45DED02F" w14:textId="78645A90"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 xml:space="preserve">El artículo 95 de la Ley 489 de 1998 regula los Convenios Interadministrativos como aquellos que se celebran entre las entidades públicas de cualquier orden, con el fin de desarrollar funciones propias de cada una de ellas, en los siguientes términos: "Asociación </w:t>
      </w:r>
      <w:r w:rsidRPr="00627621">
        <w:rPr>
          <w:rFonts w:ascii="Arial" w:hAnsi="Arial" w:cs="Arial"/>
          <w:sz w:val="22"/>
          <w:szCs w:val="22"/>
        </w:rPr>
        <w:lastRenderedPageBreak/>
        <w:t>entre entidades públicas. Las entidades públicas podrán asociarse con el fin de cooperar en el cumplimiento de funciones administrativas o de prestar conjuntamente servicios que se hallen a su cargo, mediante la celebración de Convenios Interadministrativos o la conformación de personas jurídicas sin ánimo de lucro".</w:t>
      </w:r>
    </w:p>
    <w:p w14:paraId="422A5D92" w14:textId="77777777" w:rsidR="076FDCBB" w:rsidRPr="00627621" w:rsidRDefault="076FDCBB" w:rsidP="00627621">
      <w:pPr>
        <w:spacing w:line="276" w:lineRule="auto"/>
        <w:jc w:val="both"/>
        <w:rPr>
          <w:rFonts w:ascii="Arial" w:hAnsi="Arial" w:cs="Arial"/>
          <w:sz w:val="22"/>
          <w:szCs w:val="22"/>
        </w:rPr>
      </w:pPr>
    </w:p>
    <w:p w14:paraId="0475F80B" w14:textId="468321D2"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El numeral 10 del artículo 3 de la Ley 1437 de 2011, “Por la cual se expide el Código de Procedimiento Administrativo y de lo Contencioso Administrativo”, establece que “[e]n virtud del principio de coordinación, las autoridades concertarán sus actividades con las de otras instancias estatales en el cumplimiento de sus cometidos y en el reconocimiento de sus derechos a los particulares”.</w:t>
      </w:r>
    </w:p>
    <w:p w14:paraId="48C1C2EE" w14:textId="77777777" w:rsidR="076FDCBB" w:rsidRPr="00627621" w:rsidRDefault="076FDCBB" w:rsidP="00627621">
      <w:pPr>
        <w:spacing w:line="276" w:lineRule="auto"/>
        <w:jc w:val="both"/>
        <w:rPr>
          <w:rFonts w:ascii="Arial" w:hAnsi="Arial" w:cs="Arial"/>
          <w:sz w:val="22"/>
          <w:szCs w:val="22"/>
        </w:rPr>
      </w:pPr>
    </w:p>
    <w:p w14:paraId="40CB5525" w14:textId="518A1375"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El literal c) numeral 4° del artículo 2° de la Ley 1150 de 2007 señala: “(...) 4. Contratación directa. La modalidad de selección de contratación directa solamente procederá en los siguientes casos: (...) “c. Contratos interadministrativos, siempre que las obligaciones derivadas de los mismos tengan relación directa con el objeto de la entidad ejecutora señalado en la ley o en sus reglamentos...”.</w:t>
      </w:r>
    </w:p>
    <w:p w14:paraId="7CBA9157" w14:textId="324C9CA4" w:rsidR="1C5DF8D6" w:rsidRPr="00627621" w:rsidRDefault="1C5DF8D6" w:rsidP="00627621">
      <w:pPr>
        <w:spacing w:line="276" w:lineRule="auto"/>
        <w:jc w:val="both"/>
        <w:rPr>
          <w:rFonts w:ascii="Arial" w:hAnsi="Arial" w:cs="Arial"/>
          <w:sz w:val="22"/>
          <w:szCs w:val="22"/>
        </w:rPr>
      </w:pPr>
    </w:p>
    <w:p w14:paraId="2E621917" w14:textId="63909566"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El artículo 2.2.1.2.1.4.4 del Decreto 1082 de 2015, prevé en la modalidad de contratación directa, entre otras, la siguiente causal: “Convenios o Contratos interadministrativos, La modalidad de selección para la contratación entre entidades estatales es la contratación directa; y, en consecuencia, le es aplicable lo establecido en el artículo 2.2.1.2.1.4.1 del presente decreto”.</w:t>
      </w:r>
    </w:p>
    <w:p w14:paraId="5C108065" w14:textId="77777777" w:rsidR="076FDCBB" w:rsidRPr="00627621" w:rsidRDefault="076FDCBB" w:rsidP="00627621">
      <w:pPr>
        <w:spacing w:line="276" w:lineRule="auto"/>
        <w:jc w:val="both"/>
        <w:rPr>
          <w:rFonts w:ascii="Arial" w:hAnsi="Arial" w:cs="Arial"/>
          <w:sz w:val="22"/>
          <w:szCs w:val="22"/>
        </w:rPr>
      </w:pPr>
    </w:p>
    <w:p w14:paraId="40687D72" w14:textId="67850ED3"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 xml:space="preserve">Por lo anterior, el convenio a suscribir es un convenio interadministrativo de los que trata el artículo 95 de la Ley 489 de 1998. </w:t>
      </w:r>
    </w:p>
    <w:p w14:paraId="6220DFED" w14:textId="77777777" w:rsidR="076FDCBB" w:rsidRPr="00627621" w:rsidRDefault="076FDCBB" w:rsidP="00627621">
      <w:pPr>
        <w:spacing w:line="276" w:lineRule="auto"/>
        <w:jc w:val="both"/>
        <w:rPr>
          <w:rFonts w:ascii="Arial" w:hAnsi="Arial" w:cs="Arial"/>
          <w:sz w:val="22"/>
          <w:szCs w:val="22"/>
        </w:rPr>
      </w:pPr>
    </w:p>
    <w:p w14:paraId="30C511FE" w14:textId="1B3F17C5" w:rsidR="076FDCBB" w:rsidRPr="00627621" w:rsidRDefault="076FDCBB" w:rsidP="00627621">
      <w:pPr>
        <w:spacing w:line="276" w:lineRule="auto"/>
        <w:jc w:val="both"/>
        <w:rPr>
          <w:rFonts w:ascii="Arial" w:hAnsi="Arial" w:cs="Arial"/>
          <w:sz w:val="22"/>
          <w:szCs w:val="22"/>
        </w:rPr>
      </w:pPr>
      <w:r w:rsidRPr="00627621">
        <w:rPr>
          <w:rFonts w:ascii="Arial" w:hAnsi="Arial" w:cs="Arial"/>
          <w:sz w:val="22"/>
          <w:szCs w:val="22"/>
        </w:rPr>
        <w:t>La causal invocada para la celebración del convenio interadministrativo es la CONTRATACIÓN DIRECTA de conformidad con el artículo 2.2.1.2.1.4.4 del Decreto 1082 de 2015.</w:t>
      </w:r>
    </w:p>
    <w:p w14:paraId="1E25DB46" w14:textId="77777777" w:rsidR="00195179" w:rsidRPr="0086351C" w:rsidRDefault="00195179" w:rsidP="00195179">
      <w:pPr>
        <w:pStyle w:val="Ttulo1"/>
        <w:framePr w:w="8625" w:wrap="around" w:hAnchor="page" w:x="1826" w:y="262"/>
        <w:spacing w:line="240" w:lineRule="auto"/>
        <w:ind w:left="0" w:firstLine="0"/>
        <w:rPr>
          <w:rFonts w:ascii="Arial" w:eastAsia="Tahoma" w:hAnsi="Arial" w:cs="Arial"/>
          <w:sz w:val="22"/>
          <w:szCs w:val="22"/>
        </w:rPr>
      </w:pPr>
      <w:bookmarkStart w:id="21" w:name="_Toc178847897"/>
      <w:r w:rsidRPr="0086351C">
        <w:rPr>
          <w:rFonts w:ascii="Arial" w:hAnsi="Arial" w:cs="Arial"/>
          <w:sz w:val="22"/>
          <w:szCs w:val="22"/>
        </w:rPr>
        <w:t>ANALISIS DE LA DEMANDA</w:t>
      </w:r>
      <w:bookmarkEnd w:id="21"/>
    </w:p>
    <w:p w14:paraId="013C5289" w14:textId="0F3E77DA" w:rsidR="00414006" w:rsidRPr="0086351C" w:rsidRDefault="00414006" w:rsidP="00FE1FE1">
      <w:pPr>
        <w:autoSpaceDE w:val="0"/>
        <w:autoSpaceDN w:val="0"/>
        <w:adjustRightInd w:val="0"/>
        <w:rPr>
          <w:rFonts w:ascii="Arial" w:eastAsia="Tahoma" w:hAnsi="Arial" w:cs="Arial"/>
          <w:sz w:val="22"/>
          <w:szCs w:val="22"/>
        </w:rPr>
      </w:pPr>
    </w:p>
    <w:p w14:paraId="520D9418" w14:textId="45633EFC" w:rsidR="008A1330" w:rsidRPr="000A6BCA" w:rsidRDefault="008A1330" w:rsidP="00627621">
      <w:pPr>
        <w:pBdr>
          <w:top w:val="nil"/>
          <w:left w:val="nil"/>
          <w:bottom w:val="nil"/>
          <w:right w:val="nil"/>
          <w:between w:val="nil"/>
        </w:pBdr>
        <w:spacing w:before="240" w:after="160" w:line="276" w:lineRule="auto"/>
        <w:jc w:val="both"/>
        <w:rPr>
          <w:rFonts w:ascii="Arial" w:eastAsia="Arial" w:hAnsi="Arial" w:cs="Arial"/>
          <w:color w:val="000000"/>
          <w:sz w:val="22"/>
          <w:szCs w:val="22"/>
        </w:rPr>
      </w:pPr>
      <w:r w:rsidRPr="000A6BCA">
        <w:rPr>
          <w:rFonts w:ascii="Arial" w:eastAsia="Arial" w:hAnsi="Arial" w:cs="Arial"/>
          <w:color w:val="000000"/>
          <w:sz w:val="22"/>
          <w:szCs w:val="22"/>
        </w:rPr>
        <w:t xml:space="preserve">La ADR con el objeto de identificar el comportamiento de la demanda en procesos similares </w:t>
      </w:r>
      <w:r w:rsidR="00AB16E7" w:rsidRPr="000A6BCA">
        <w:rPr>
          <w:rFonts w:ascii="Arial" w:eastAsia="Arial" w:hAnsi="Arial" w:cs="Arial"/>
          <w:color w:val="000000"/>
          <w:sz w:val="22"/>
          <w:szCs w:val="22"/>
        </w:rPr>
        <w:t xml:space="preserve">a la </w:t>
      </w:r>
      <w:r w:rsidR="00627621">
        <w:rPr>
          <w:rFonts w:ascii="Arial" w:eastAsia="Arial" w:hAnsi="Arial" w:cs="Arial"/>
          <w:color w:val="000000"/>
          <w:sz w:val="22"/>
          <w:szCs w:val="22"/>
        </w:rPr>
        <w:t>de</w:t>
      </w:r>
      <w:r w:rsidR="00AB16E7" w:rsidRPr="000A6BCA">
        <w:rPr>
          <w:rFonts w:ascii="Arial" w:eastAsia="Arial" w:hAnsi="Arial" w:cs="Arial"/>
          <w:color w:val="000000"/>
          <w:sz w:val="22"/>
          <w:szCs w:val="22"/>
        </w:rPr>
        <w:t xml:space="preserve"> una iniciativa desarrollada</w:t>
      </w:r>
      <w:r w:rsidRPr="000A6BCA">
        <w:rPr>
          <w:rFonts w:ascii="Arial" w:eastAsia="Arial" w:hAnsi="Arial" w:cs="Arial"/>
          <w:color w:val="000000"/>
          <w:sz w:val="22"/>
          <w:szCs w:val="22"/>
        </w:rPr>
        <w:t xml:space="preserve"> por descrito en el presente análisis del mercado, identifica a través del Modelo de Abastecimiento Estratégico para la compra pública (fecha de consulta </w:t>
      </w:r>
      <w:r w:rsidR="00AB16E7" w:rsidRPr="000A6BCA">
        <w:rPr>
          <w:rFonts w:ascii="Arial" w:eastAsia="Arial" w:hAnsi="Arial" w:cs="Arial"/>
          <w:color w:val="000000"/>
          <w:sz w:val="22"/>
          <w:szCs w:val="22"/>
        </w:rPr>
        <w:t>0</w:t>
      </w:r>
      <w:r w:rsidR="00903FEB" w:rsidRPr="000A6BCA">
        <w:rPr>
          <w:rFonts w:ascii="Arial" w:eastAsia="Arial" w:hAnsi="Arial" w:cs="Arial"/>
          <w:color w:val="000000"/>
          <w:sz w:val="22"/>
          <w:szCs w:val="22"/>
        </w:rPr>
        <w:t>5</w:t>
      </w:r>
      <w:r w:rsidRPr="000A6BCA">
        <w:rPr>
          <w:rFonts w:ascii="Arial" w:eastAsia="Arial" w:hAnsi="Arial" w:cs="Arial"/>
          <w:color w:val="000000"/>
          <w:sz w:val="22"/>
          <w:szCs w:val="22"/>
        </w:rPr>
        <w:t>/0</w:t>
      </w:r>
      <w:r w:rsidR="00AB16E7" w:rsidRPr="000A6BCA">
        <w:rPr>
          <w:rFonts w:ascii="Arial" w:eastAsia="Arial" w:hAnsi="Arial" w:cs="Arial"/>
          <w:color w:val="000000"/>
          <w:sz w:val="22"/>
          <w:szCs w:val="22"/>
        </w:rPr>
        <w:t>9</w:t>
      </w:r>
      <w:r w:rsidRPr="000A6BCA">
        <w:rPr>
          <w:rFonts w:ascii="Arial" w:eastAsia="Arial" w:hAnsi="Arial" w:cs="Arial"/>
          <w:color w:val="000000"/>
          <w:sz w:val="22"/>
          <w:szCs w:val="22"/>
        </w:rPr>
        <w:t xml:space="preserve">/2024) la Agencia Nacional de Contratación Pública – Colombia Compra Eficiente. como fuente de información las contrataciones realizadas bajo los códigos de los segmentos </w:t>
      </w:r>
      <w:r w:rsidRPr="000A6BCA">
        <w:rPr>
          <w:rFonts w:ascii="Arial" w:eastAsia="Arial" w:hAnsi="Arial" w:cs="Arial"/>
          <w:i/>
          <w:iCs/>
          <w:color w:val="000000"/>
          <w:sz w:val="22"/>
          <w:szCs w:val="22"/>
        </w:rPr>
        <w:t>70 y 93</w:t>
      </w:r>
      <w:r w:rsidR="00627621">
        <w:rPr>
          <w:rFonts w:ascii="Arial" w:eastAsia="Arial" w:hAnsi="Arial" w:cs="Arial"/>
          <w:i/>
          <w:iCs/>
          <w:color w:val="000000"/>
          <w:sz w:val="22"/>
          <w:szCs w:val="22"/>
        </w:rPr>
        <w:t>.</w:t>
      </w:r>
      <w:r w:rsidRPr="000A6BCA">
        <w:rPr>
          <w:rFonts w:ascii="Arial" w:eastAsia="Arial" w:hAnsi="Arial" w:cs="Arial"/>
          <w:i/>
          <w:iCs/>
          <w:color w:val="000000"/>
          <w:sz w:val="22"/>
          <w:szCs w:val="22"/>
        </w:rPr>
        <w:t xml:space="preserve">  </w:t>
      </w:r>
    </w:p>
    <w:p w14:paraId="19FA5F7C" w14:textId="4CDB67E8" w:rsidR="00903FEB" w:rsidRPr="0086351C" w:rsidRDefault="008A1330" w:rsidP="00627621">
      <w:pPr>
        <w:spacing w:line="276" w:lineRule="auto"/>
        <w:jc w:val="both"/>
        <w:rPr>
          <w:rFonts w:ascii="Arial" w:hAnsi="Arial" w:cs="Arial"/>
          <w:noProof/>
          <w:sz w:val="22"/>
          <w:szCs w:val="22"/>
          <w14:ligatures w14:val="standardContextual"/>
        </w:rPr>
      </w:pPr>
      <w:r w:rsidRPr="000A6BCA">
        <w:rPr>
          <w:rFonts w:ascii="Arial" w:eastAsia="Arial" w:hAnsi="Arial" w:cs="Arial"/>
          <w:color w:val="000000"/>
          <w:sz w:val="22"/>
          <w:szCs w:val="22"/>
        </w:rPr>
        <w:t xml:space="preserve">Encontrando un valor total contratado durante el 2023 </w:t>
      </w:r>
      <w:r w:rsidR="00903FEB" w:rsidRPr="000A6BCA">
        <w:rPr>
          <w:rFonts w:ascii="Arial" w:eastAsia="Arial" w:hAnsi="Arial" w:cs="Arial"/>
          <w:color w:val="000000"/>
          <w:sz w:val="22"/>
          <w:szCs w:val="22"/>
        </w:rPr>
        <w:t xml:space="preserve">y lo corrido del 2024 </w:t>
      </w:r>
      <w:r w:rsidRPr="000A6BCA">
        <w:rPr>
          <w:rFonts w:ascii="Arial" w:eastAsia="Arial" w:hAnsi="Arial" w:cs="Arial"/>
          <w:color w:val="000000"/>
          <w:sz w:val="22"/>
          <w:szCs w:val="22"/>
        </w:rPr>
        <w:t xml:space="preserve">tal como se describe en la siguiente grafica </w:t>
      </w:r>
      <w:r w:rsidR="00903FEB" w:rsidRPr="000A6BCA">
        <w:rPr>
          <w:rFonts w:ascii="Arial" w:eastAsia="Tahoma" w:hAnsi="Arial" w:cs="Arial"/>
          <w:sz w:val="22"/>
          <w:szCs w:val="22"/>
          <w:lang w:eastAsia="en-US"/>
        </w:rPr>
        <w:t>teniendo en cuenta los segmentos 70 y 93, el comportamiento es el siguiente:</w:t>
      </w:r>
      <w:r w:rsidR="00903FEB" w:rsidRPr="0086351C">
        <w:rPr>
          <w:rFonts w:ascii="Arial" w:hAnsi="Arial" w:cs="Arial"/>
          <w:noProof/>
          <w:sz w:val="22"/>
          <w:szCs w:val="22"/>
          <w14:ligatures w14:val="standardContextual"/>
        </w:rPr>
        <w:t xml:space="preserve"> </w:t>
      </w:r>
    </w:p>
    <w:p w14:paraId="0464F6E6" w14:textId="507E657B" w:rsidR="008A1330" w:rsidRPr="0086351C" w:rsidRDefault="00903FEB" w:rsidP="008A1330">
      <w:pPr>
        <w:jc w:val="both"/>
        <w:rPr>
          <w:rFonts w:ascii="Arial" w:eastAsia="Tahoma" w:hAnsi="Arial" w:cs="Arial"/>
          <w:lang w:eastAsia="en-US"/>
        </w:rPr>
      </w:pPr>
      <w:r w:rsidRPr="0086351C">
        <w:rPr>
          <w:rFonts w:ascii="Arial" w:eastAsia="Tahoma" w:hAnsi="Arial" w:cs="Arial"/>
          <w:noProof/>
          <w:lang w:eastAsia="en-US"/>
        </w:rPr>
        <w:lastRenderedPageBreak/>
        <w:drawing>
          <wp:inline distT="0" distB="0" distL="0" distR="0" wp14:anchorId="1C07F4BB" wp14:editId="1FC8EDD0">
            <wp:extent cx="5612130" cy="2201545"/>
            <wp:effectExtent l="0" t="0" r="7620" b="8255"/>
            <wp:docPr id="1419557876" name="Imagen 1" descr="Interfaz de usuario gráfica,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57876" name="Imagen 1" descr="Interfaz de usuario gráfica, Gráfico de líneas&#10;&#10;Descripción generada automáticamente"/>
                    <pic:cNvPicPr/>
                  </pic:nvPicPr>
                  <pic:blipFill>
                    <a:blip r:embed="rId39"/>
                    <a:stretch>
                      <a:fillRect/>
                    </a:stretch>
                  </pic:blipFill>
                  <pic:spPr>
                    <a:xfrm>
                      <a:off x="0" y="0"/>
                      <a:ext cx="5612130" cy="2201545"/>
                    </a:xfrm>
                    <a:prstGeom prst="rect">
                      <a:avLst/>
                    </a:prstGeom>
                  </pic:spPr>
                </pic:pic>
              </a:graphicData>
            </a:graphic>
          </wp:inline>
        </w:drawing>
      </w:r>
    </w:p>
    <w:p w14:paraId="2DCF2D6F" w14:textId="77777777" w:rsidR="00A14B35" w:rsidRPr="0086351C" w:rsidRDefault="00A14B35" w:rsidP="00A14B35">
      <w:pPr>
        <w:pStyle w:val="Descripcin"/>
        <w:spacing w:after="0"/>
        <w:jc w:val="center"/>
        <w:rPr>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17</w:t>
      </w:r>
      <w:r w:rsidRPr="0086351C">
        <w:rPr>
          <w:rFonts w:ascii="Arial" w:hAnsi="Arial" w:cs="Arial"/>
          <w:color w:val="auto"/>
        </w:rPr>
        <w:fldChar w:fldCharType="end"/>
      </w:r>
      <w:r w:rsidRPr="0086351C">
        <w:rPr>
          <w:rFonts w:ascii="Arial" w:eastAsia="Arial" w:hAnsi="Arial" w:cs="Arial"/>
          <w:color w:val="auto"/>
        </w:rPr>
        <w:t>. Gasto mensual Vigencias 2023 – 2024</w:t>
      </w:r>
    </w:p>
    <w:p w14:paraId="30608E94" w14:textId="000ED7F1" w:rsidR="008A1330" w:rsidRPr="0086351C" w:rsidRDefault="00A14B35" w:rsidP="00A14B35">
      <w:pPr>
        <w:jc w:val="center"/>
        <w:rPr>
          <w:rFonts w:ascii="Arial" w:eastAsia="Tahoma" w:hAnsi="Arial" w:cs="Arial"/>
          <w:lang w:eastAsia="en-US"/>
        </w:rPr>
      </w:pPr>
      <w:r w:rsidRPr="0086351C">
        <w:rPr>
          <w:rFonts w:ascii="Arial" w:eastAsia="Arial" w:hAnsi="Arial" w:cs="Arial"/>
          <w:i/>
          <w:sz w:val="18"/>
          <w:szCs w:val="18"/>
        </w:rPr>
        <w:t>Fuente: Revisión gasto mensual agregado – SECOP I – II; agosto 2024</w:t>
      </w:r>
    </w:p>
    <w:p w14:paraId="61EA9976" w14:textId="77777777" w:rsidR="00627621" w:rsidRDefault="00627621" w:rsidP="00627621">
      <w:pPr>
        <w:spacing w:line="276" w:lineRule="auto"/>
        <w:jc w:val="both"/>
        <w:rPr>
          <w:rFonts w:ascii="Arial" w:hAnsi="Arial" w:cs="Arial"/>
          <w:sz w:val="22"/>
          <w:szCs w:val="22"/>
        </w:rPr>
      </w:pPr>
    </w:p>
    <w:p w14:paraId="5F090EB9" w14:textId="59A67530" w:rsidR="003A35E5" w:rsidRPr="000A6BCA" w:rsidRDefault="008A1330" w:rsidP="00627621">
      <w:pPr>
        <w:spacing w:line="276" w:lineRule="auto"/>
        <w:jc w:val="both"/>
        <w:rPr>
          <w:rFonts w:ascii="Arial" w:hAnsi="Arial" w:cs="Arial"/>
          <w:sz w:val="22"/>
          <w:szCs w:val="22"/>
        </w:rPr>
      </w:pPr>
      <w:r w:rsidRPr="000A6BCA">
        <w:rPr>
          <w:rFonts w:ascii="Arial" w:hAnsi="Arial" w:cs="Arial"/>
          <w:sz w:val="22"/>
          <w:szCs w:val="22"/>
        </w:rPr>
        <w:t>Adicional a lo anterior, también se encuentra que, para el desarrollo de estas contrataciones, la mayor parte se ha realizado bajo la modalidad de contratación directa o régimen especial como se muestra a continuación.</w:t>
      </w:r>
      <w:r w:rsidR="003A35E5" w:rsidRPr="000A6BCA">
        <w:rPr>
          <w:rFonts w:ascii="Arial" w:hAnsi="Arial" w:cs="Arial"/>
          <w:sz w:val="22"/>
          <w:szCs w:val="22"/>
        </w:rPr>
        <w:t xml:space="preserve"> Teniendo en cuenta el segmento 931419, el comportamiento de la contratación es el siguiente:</w:t>
      </w:r>
    </w:p>
    <w:p w14:paraId="217905AD" w14:textId="77777777" w:rsidR="00CB3D69" w:rsidRPr="000A6BCA" w:rsidRDefault="00CB3D69" w:rsidP="00F47902">
      <w:pPr>
        <w:jc w:val="both"/>
        <w:rPr>
          <w:rFonts w:ascii="Arial" w:hAnsi="Arial" w:cs="Arial"/>
          <w:sz w:val="22"/>
          <w:szCs w:val="22"/>
        </w:rPr>
      </w:pPr>
    </w:p>
    <w:p w14:paraId="67E465C6" w14:textId="2267F4F5" w:rsidR="008A1330" w:rsidRPr="0086351C" w:rsidRDefault="00903FEB" w:rsidP="008A1330">
      <w:pPr>
        <w:jc w:val="center"/>
        <w:rPr>
          <w:rFonts w:ascii="Arial" w:eastAsia="Tahoma" w:hAnsi="Arial" w:cs="Arial"/>
          <w:lang w:eastAsia="en-US"/>
        </w:rPr>
      </w:pPr>
      <w:r w:rsidRPr="0086351C">
        <w:rPr>
          <w:rFonts w:ascii="Arial" w:eastAsia="Tahoma" w:hAnsi="Arial" w:cs="Arial"/>
          <w:noProof/>
          <w:lang w:eastAsia="en-US"/>
        </w:rPr>
        <w:drawing>
          <wp:inline distT="0" distB="0" distL="0" distR="0" wp14:anchorId="092D197F" wp14:editId="18071C20">
            <wp:extent cx="5612130" cy="2303780"/>
            <wp:effectExtent l="0" t="0" r="7620" b="1270"/>
            <wp:docPr id="430229634"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29634" name="Imagen 1" descr="Gráfico&#10;&#10;Descripción generada automáticamente"/>
                    <pic:cNvPicPr/>
                  </pic:nvPicPr>
                  <pic:blipFill>
                    <a:blip r:embed="rId40"/>
                    <a:stretch>
                      <a:fillRect/>
                    </a:stretch>
                  </pic:blipFill>
                  <pic:spPr>
                    <a:xfrm>
                      <a:off x="0" y="0"/>
                      <a:ext cx="5612130" cy="2303780"/>
                    </a:xfrm>
                    <a:prstGeom prst="rect">
                      <a:avLst/>
                    </a:prstGeom>
                  </pic:spPr>
                </pic:pic>
              </a:graphicData>
            </a:graphic>
          </wp:inline>
        </w:drawing>
      </w:r>
    </w:p>
    <w:p w14:paraId="25852D93" w14:textId="77777777" w:rsidR="007A4C12" w:rsidRPr="0086351C" w:rsidRDefault="007A4C12" w:rsidP="007A4C12">
      <w:pPr>
        <w:pStyle w:val="Descripcin"/>
        <w:spacing w:after="0"/>
        <w:jc w:val="center"/>
        <w:rPr>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18</w:t>
      </w:r>
      <w:r w:rsidRPr="0086351C">
        <w:rPr>
          <w:rFonts w:ascii="Arial" w:hAnsi="Arial" w:cs="Arial"/>
          <w:color w:val="auto"/>
        </w:rPr>
        <w:fldChar w:fldCharType="end"/>
      </w:r>
      <w:r w:rsidRPr="0086351C">
        <w:rPr>
          <w:rFonts w:ascii="Arial" w:eastAsia="Arial" w:hAnsi="Arial" w:cs="Arial"/>
          <w:color w:val="auto"/>
        </w:rPr>
        <w:t>.Valor total por modalidad de selección en contratación segmento 931419</w:t>
      </w:r>
    </w:p>
    <w:p w14:paraId="4021550A" w14:textId="013215E8" w:rsidR="008A1330" w:rsidRPr="0086351C" w:rsidRDefault="007A4C12" w:rsidP="007A4C12">
      <w:pPr>
        <w:jc w:val="center"/>
        <w:rPr>
          <w:rFonts w:ascii="Arial" w:eastAsia="Tahoma" w:hAnsi="Arial" w:cs="Arial"/>
          <w:lang w:eastAsia="en-US"/>
        </w:rPr>
      </w:pPr>
      <w:r w:rsidRPr="0086351C">
        <w:rPr>
          <w:rFonts w:ascii="Arial" w:eastAsia="Arial" w:hAnsi="Arial" w:cs="Arial"/>
          <w:i/>
          <w:sz w:val="18"/>
          <w:szCs w:val="18"/>
        </w:rPr>
        <w:t>Fuente: Revisión gasto mensual agregado – SECOP I – II; agosto 2024</w:t>
      </w:r>
    </w:p>
    <w:p w14:paraId="553438A2" w14:textId="77777777" w:rsidR="007A4C12" w:rsidRPr="0086351C" w:rsidRDefault="007A4C12" w:rsidP="008A1330">
      <w:pPr>
        <w:jc w:val="both"/>
        <w:rPr>
          <w:rFonts w:ascii="Arial" w:hAnsi="Arial" w:cs="Arial"/>
        </w:rPr>
      </w:pPr>
    </w:p>
    <w:p w14:paraId="59C840FD" w14:textId="30981396" w:rsidR="008A1330" w:rsidRPr="000A6BCA" w:rsidRDefault="008A1330" w:rsidP="00627621">
      <w:pPr>
        <w:spacing w:line="276" w:lineRule="auto"/>
        <w:jc w:val="both"/>
        <w:rPr>
          <w:rFonts w:ascii="Arial" w:hAnsi="Arial" w:cs="Arial"/>
          <w:sz w:val="22"/>
          <w:szCs w:val="22"/>
        </w:rPr>
      </w:pPr>
      <w:r w:rsidRPr="000A6BCA">
        <w:rPr>
          <w:rFonts w:ascii="Arial" w:hAnsi="Arial" w:cs="Arial"/>
          <w:sz w:val="22"/>
          <w:szCs w:val="22"/>
        </w:rPr>
        <w:t xml:space="preserve">Conforme lo anterior, se consultaron en el Servicio Electrónico de Contratación Pública – SECOP los procesos históricos referentes </w:t>
      </w:r>
      <w:r w:rsidR="00F47902" w:rsidRPr="000A6BCA">
        <w:rPr>
          <w:rFonts w:ascii="Arial" w:hAnsi="Arial" w:cs="Arial"/>
          <w:sz w:val="22"/>
          <w:szCs w:val="22"/>
        </w:rPr>
        <w:t>de acuerdo con</w:t>
      </w:r>
      <w:r w:rsidRPr="000A6BCA">
        <w:rPr>
          <w:rFonts w:ascii="Arial" w:hAnsi="Arial" w:cs="Arial"/>
          <w:sz w:val="22"/>
          <w:szCs w:val="22"/>
        </w:rPr>
        <w:t xml:space="preserve"> los segmentos cuyo objeto corresponde o se asemeja al presente proceso de contratación.</w:t>
      </w:r>
    </w:p>
    <w:p w14:paraId="72721A60" w14:textId="77777777" w:rsidR="008A1330" w:rsidRPr="000A6BCA" w:rsidRDefault="008A1330" w:rsidP="00627621">
      <w:pPr>
        <w:spacing w:line="276" w:lineRule="auto"/>
        <w:jc w:val="both"/>
        <w:rPr>
          <w:rFonts w:ascii="Arial" w:hAnsi="Arial" w:cs="Arial"/>
          <w:sz w:val="22"/>
          <w:szCs w:val="22"/>
        </w:rPr>
      </w:pPr>
    </w:p>
    <w:p w14:paraId="1E6AC75E" w14:textId="682267CC" w:rsidR="008A1330" w:rsidRPr="000A6BCA" w:rsidRDefault="008A1330" w:rsidP="00627621">
      <w:pPr>
        <w:pBdr>
          <w:top w:val="nil"/>
          <w:left w:val="nil"/>
          <w:bottom w:val="nil"/>
          <w:right w:val="nil"/>
          <w:between w:val="nil"/>
        </w:pBdr>
        <w:spacing w:after="160" w:line="276" w:lineRule="auto"/>
        <w:jc w:val="both"/>
        <w:rPr>
          <w:rFonts w:ascii="Arial" w:eastAsia="Arial" w:hAnsi="Arial" w:cs="Arial"/>
          <w:color w:val="000000"/>
          <w:sz w:val="22"/>
          <w:szCs w:val="22"/>
        </w:rPr>
      </w:pPr>
      <w:r w:rsidRPr="000A6BCA">
        <w:rPr>
          <w:rFonts w:ascii="Arial" w:eastAsia="Arial" w:hAnsi="Arial" w:cs="Arial"/>
          <w:color w:val="000000"/>
          <w:sz w:val="22"/>
          <w:szCs w:val="22"/>
        </w:rPr>
        <w:t>A continuación, se identifican los procesos con objetos similares al del presente proceso, celebrados por otras entidades de naturaleza pública</w:t>
      </w:r>
      <w:r w:rsidR="00627621">
        <w:rPr>
          <w:rFonts w:ascii="Arial" w:eastAsia="Arial" w:hAnsi="Arial" w:cs="Arial"/>
          <w:color w:val="000000"/>
          <w:sz w:val="22"/>
          <w:szCs w:val="22"/>
        </w:rPr>
        <w:t>.</w:t>
      </w:r>
    </w:p>
    <w:p w14:paraId="41B84D4D" w14:textId="77777777" w:rsidR="008A1330" w:rsidRPr="0086351C" w:rsidRDefault="008A1330" w:rsidP="008A1330">
      <w:pPr>
        <w:pBdr>
          <w:top w:val="nil"/>
          <w:left w:val="nil"/>
          <w:bottom w:val="nil"/>
          <w:right w:val="nil"/>
          <w:between w:val="nil"/>
        </w:pBdr>
        <w:spacing w:after="160" w:line="259" w:lineRule="auto"/>
        <w:jc w:val="both"/>
        <w:rPr>
          <w:rFonts w:ascii="Arial" w:hAnsi="Arial" w:cs="Arial"/>
          <w:sz w:val="16"/>
          <w:szCs w:val="16"/>
        </w:rPr>
      </w:pPr>
    </w:p>
    <w:p w14:paraId="2FC9CDA2" w14:textId="07AB7521" w:rsidR="00496E4F" w:rsidRPr="0086351C" w:rsidRDefault="0929F9B8" w:rsidP="00627621">
      <w:pPr>
        <w:pStyle w:val="Ttulo2"/>
        <w:numPr>
          <w:ilvl w:val="1"/>
          <w:numId w:val="29"/>
        </w:numPr>
        <w:spacing w:after="240"/>
        <w:rPr>
          <w:rFonts w:ascii="Arial" w:eastAsia="Tahoma" w:hAnsi="Arial" w:cs="Arial"/>
          <w:sz w:val="22"/>
          <w:szCs w:val="22"/>
        </w:rPr>
      </w:pPr>
      <w:bookmarkStart w:id="22" w:name="_Toc178847898"/>
      <w:r w:rsidRPr="0086351C">
        <w:rPr>
          <w:rFonts w:ascii="Arial" w:eastAsia="Tahoma" w:hAnsi="Arial" w:cs="Arial"/>
          <w:sz w:val="22"/>
          <w:szCs w:val="22"/>
        </w:rPr>
        <w:lastRenderedPageBreak/>
        <w:t>Contrataciones previas de la Entidad</w:t>
      </w:r>
      <w:bookmarkEnd w:id="22"/>
    </w:p>
    <w:tbl>
      <w:tblPr>
        <w:tblW w:w="0" w:type="auto"/>
        <w:tblLayout w:type="fixed"/>
        <w:tblCellMar>
          <w:left w:w="70" w:type="dxa"/>
          <w:right w:w="70" w:type="dxa"/>
        </w:tblCellMar>
        <w:tblLook w:val="04A0" w:firstRow="1" w:lastRow="0" w:firstColumn="1" w:lastColumn="0" w:noHBand="0" w:noVBand="1"/>
      </w:tblPr>
      <w:tblGrid>
        <w:gridCol w:w="2684"/>
        <w:gridCol w:w="2126"/>
        <w:gridCol w:w="1276"/>
        <w:gridCol w:w="2732"/>
      </w:tblGrid>
      <w:tr w:rsidR="00ED3400" w:rsidRPr="00627621" w14:paraId="226BD7C8" w14:textId="77777777" w:rsidTr="00DEA33A">
        <w:trPr>
          <w:trHeight w:val="375"/>
          <w:tblHeader/>
        </w:trPr>
        <w:tc>
          <w:tcPr>
            <w:tcW w:w="268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187AE8F2" w14:textId="77777777" w:rsidR="00ED3400" w:rsidRPr="00627621" w:rsidRDefault="00ED3400">
            <w:pPr>
              <w:jc w:val="center"/>
              <w:rPr>
                <w:rFonts w:ascii="Arial" w:hAnsi="Arial" w:cs="Arial"/>
                <w:b/>
                <w:bCs/>
                <w:color w:val="000000"/>
                <w:sz w:val="16"/>
                <w:szCs w:val="16"/>
              </w:rPr>
            </w:pPr>
            <w:r w:rsidRPr="00627621">
              <w:rPr>
                <w:rFonts w:ascii="Arial" w:eastAsia="Tahoma" w:hAnsi="Arial" w:cs="Arial"/>
                <w:b/>
                <w:bCs/>
                <w:color w:val="000000"/>
                <w:sz w:val="16"/>
                <w:szCs w:val="16"/>
              </w:rPr>
              <w:t>Descripción del Proceso</w:t>
            </w:r>
          </w:p>
        </w:tc>
        <w:tc>
          <w:tcPr>
            <w:tcW w:w="2126"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3E474AEE" w14:textId="77777777" w:rsidR="00ED3400" w:rsidRPr="00627621" w:rsidRDefault="00ED3400">
            <w:pPr>
              <w:jc w:val="center"/>
              <w:rPr>
                <w:rFonts w:ascii="Arial" w:hAnsi="Arial" w:cs="Arial"/>
                <w:b/>
                <w:bCs/>
                <w:color w:val="000000"/>
                <w:sz w:val="16"/>
                <w:szCs w:val="16"/>
              </w:rPr>
            </w:pPr>
            <w:r w:rsidRPr="00627621">
              <w:rPr>
                <w:rFonts w:ascii="Arial" w:hAnsi="Arial" w:cs="Arial"/>
                <w:b/>
                <w:bCs/>
                <w:color w:val="000000"/>
                <w:sz w:val="16"/>
                <w:szCs w:val="16"/>
              </w:rPr>
              <w:t>Contratista</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50125D15" w14:textId="77777777" w:rsidR="00ED3400" w:rsidRPr="00627621" w:rsidRDefault="00ED3400">
            <w:pPr>
              <w:jc w:val="center"/>
              <w:rPr>
                <w:rFonts w:ascii="Arial" w:hAnsi="Arial" w:cs="Arial"/>
                <w:b/>
                <w:bCs/>
                <w:color w:val="000000"/>
                <w:sz w:val="16"/>
                <w:szCs w:val="16"/>
              </w:rPr>
            </w:pPr>
            <w:r w:rsidRPr="00627621">
              <w:rPr>
                <w:rFonts w:ascii="Arial" w:eastAsia="Tahoma" w:hAnsi="Arial" w:cs="Arial"/>
                <w:b/>
                <w:bCs/>
                <w:color w:val="000000"/>
                <w:sz w:val="16"/>
                <w:szCs w:val="16"/>
              </w:rPr>
              <w:t>Valor del Contrato</w:t>
            </w:r>
          </w:p>
        </w:tc>
        <w:tc>
          <w:tcPr>
            <w:tcW w:w="2732"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14:paraId="6B89D98D" w14:textId="77777777" w:rsidR="00ED3400" w:rsidRPr="00627621" w:rsidRDefault="00ED3400">
            <w:pPr>
              <w:jc w:val="center"/>
              <w:rPr>
                <w:rFonts w:ascii="Arial" w:hAnsi="Arial" w:cs="Arial"/>
                <w:b/>
                <w:bCs/>
                <w:color w:val="000000"/>
                <w:sz w:val="16"/>
                <w:szCs w:val="16"/>
              </w:rPr>
            </w:pPr>
            <w:r w:rsidRPr="00627621">
              <w:rPr>
                <w:rFonts w:ascii="Arial" w:eastAsia="Tahoma" w:hAnsi="Arial" w:cs="Arial"/>
                <w:b/>
                <w:bCs/>
                <w:color w:val="000000"/>
                <w:sz w:val="16"/>
                <w:szCs w:val="16"/>
              </w:rPr>
              <w:t>URL Proceso</w:t>
            </w:r>
          </w:p>
        </w:tc>
      </w:tr>
      <w:tr w:rsidR="00ED3400" w:rsidRPr="00627621" w14:paraId="113DEDEC" w14:textId="77777777" w:rsidTr="00DEA33A">
        <w:trPr>
          <w:trHeight w:val="109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E41DA5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entre la Agencia de Desarrollo Rural y El Fondo Para el Financiamiento del Sector Agropecuario FINAGRO para el desarrollo del componente de educación financiera en el marco de la Prestación del Servicio Público de Extensión Agropecuaria</w:t>
            </w:r>
          </w:p>
        </w:tc>
        <w:tc>
          <w:tcPr>
            <w:tcW w:w="2126" w:type="dxa"/>
            <w:tcBorders>
              <w:top w:val="nil"/>
              <w:left w:val="nil"/>
              <w:bottom w:val="single" w:sz="8" w:space="0" w:color="auto"/>
              <w:right w:val="single" w:sz="8" w:space="0" w:color="auto"/>
            </w:tcBorders>
            <w:shd w:val="clear" w:color="auto" w:fill="auto"/>
            <w:vAlign w:val="center"/>
            <w:hideMark/>
          </w:tcPr>
          <w:p w14:paraId="5F6113EA"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FONDO PARA EL FINANCIAMIENTO DEL SECTOR AGROPECUARIO</w:t>
            </w:r>
          </w:p>
        </w:tc>
        <w:tc>
          <w:tcPr>
            <w:tcW w:w="1276" w:type="dxa"/>
            <w:tcBorders>
              <w:top w:val="nil"/>
              <w:left w:val="nil"/>
              <w:bottom w:val="single" w:sz="8" w:space="0" w:color="auto"/>
              <w:right w:val="single" w:sz="8" w:space="0" w:color="auto"/>
            </w:tcBorders>
            <w:shd w:val="clear" w:color="auto" w:fill="auto"/>
            <w:vAlign w:val="center"/>
            <w:hideMark/>
          </w:tcPr>
          <w:p w14:paraId="2A45E49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0</w:t>
            </w:r>
          </w:p>
        </w:tc>
        <w:tc>
          <w:tcPr>
            <w:tcW w:w="2732" w:type="dxa"/>
            <w:tcBorders>
              <w:top w:val="nil"/>
              <w:left w:val="nil"/>
              <w:bottom w:val="single" w:sz="8" w:space="0" w:color="auto"/>
              <w:right w:val="single" w:sz="8" w:space="0" w:color="auto"/>
            </w:tcBorders>
            <w:shd w:val="clear" w:color="auto" w:fill="auto"/>
            <w:vAlign w:val="center"/>
            <w:hideMark/>
          </w:tcPr>
          <w:p w14:paraId="565EE32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https://community.secop.gov.co/Public/Tendering/OpportunityDetail/Index?noticeUID=CO1.NTC.2198619&amp;isFromPublicArea=True&amp;isModal=true&amp;asPopupView=true</w:t>
            </w:r>
          </w:p>
        </w:tc>
      </w:tr>
      <w:tr w:rsidR="00ED3400" w:rsidRPr="00627621" w14:paraId="583B39FB" w14:textId="77777777" w:rsidTr="007A4C12">
        <w:trPr>
          <w:trHeight w:val="573"/>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0FDD2F89" w14:textId="3B76C0D7"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t xml:space="preserve">Prestar el servicio de formación a través de un diplomado que permita desarrollar las competencias y habilidades de los extensionistas para la planeación del proceso de extensión agropecuaria en la metodología aprender </w:t>
            </w:r>
            <w:r w:rsidR="154462B9" w:rsidRPr="00627621">
              <w:rPr>
                <w:rFonts w:ascii="Arial" w:eastAsia="Tahoma" w:hAnsi="Arial" w:cs="Arial"/>
                <w:color w:val="000000" w:themeColor="text1"/>
                <w:sz w:val="16"/>
                <w:szCs w:val="16"/>
              </w:rPr>
              <w:t>haciendo, considerando</w:t>
            </w:r>
            <w:r w:rsidRPr="00627621">
              <w:rPr>
                <w:rFonts w:ascii="Arial" w:eastAsia="Tahoma" w:hAnsi="Arial" w:cs="Arial"/>
                <w:color w:val="000000" w:themeColor="text1"/>
                <w:sz w:val="16"/>
                <w:szCs w:val="16"/>
              </w:rPr>
              <w:t xml:space="preserve"> las necesidades de las comunidades rurales sus requerimientos</w:t>
            </w:r>
          </w:p>
        </w:tc>
        <w:tc>
          <w:tcPr>
            <w:tcW w:w="2126" w:type="dxa"/>
            <w:tcBorders>
              <w:top w:val="nil"/>
              <w:left w:val="nil"/>
              <w:bottom w:val="single" w:sz="8" w:space="0" w:color="auto"/>
              <w:right w:val="single" w:sz="8" w:space="0" w:color="auto"/>
            </w:tcBorders>
            <w:shd w:val="clear" w:color="auto" w:fill="auto"/>
            <w:vAlign w:val="center"/>
            <w:hideMark/>
          </w:tcPr>
          <w:p w14:paraId="3375421C" w14:textId="63576F72"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t xml:space="preserve">FUNDACION CENTRO INTERACTIVO DE LA CIENCIA Y TECNOLOGIA DEL SECTOR </w:t>
            </w:r>
            <w:r w:rsidR="447B08BD" w:rsidRPr="00627621">
              <w:rPr>
                <w:rFonts w:ascii="Arial" w:eastAsia="Tahoma" w:hAnsi="Arial" w:cs="Arial"/>
                <w:color w:val="000000" w:themeColor="text1"/>
                <w:sz w:val="16"/>
                <w:szCs w:val="16"/>
              </w:rPr>
              <w:t>AGROPECUARIO FUNDAPANACA</w:t>
            </w:r>
          </w:p>
        </w:tc>
        <w:tc>
          <w:tcPr>
            <w:tcW w:w="1276" w:type="dxa"/>
            <w:tcBorders>
              <w:top w:val="nil"/>
              <w:left w:val="nil"/>
              <w:bottom w:val="single" w:sz="8" w:space="0" w:color="auto"/>
              <w:right w:val="single" w:sz="8" w:space="0" w:color="auto"/>
            </w:tcBorders>
            <w:shd w:val="clear" w:color="auto" w:fill="auto"/>
            <w:vAlign w:val="center"/>
            <w:hideMark/>
          </w:tcPr>
          <w:p w14:paraId="3475ED8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281,272,732</w:t>
            </w:r>
          </w:p>
        </w:tc>
        <w:tc>
          <w:tcPr>
            <w:tcW w:w="2732" w:type="dxa"/>
            <w:tcBorders>
              <w:top w:val="nil"/>
              <w:left w:val="nil"/>
              <w:bottom w:val="single" w:sz="8" w:space="0" w:color="auto"/>
              <w:right w:val="single" w:sz="8" w:space="0" w:color="auto"/>
            </w:tcBorders>
            <w:shd w:val="clear" w:color="auto" w:fill="auto"/>
            <w:vAlign w:val="center"/>
            <w:hideMark/>
          </w:tcPr>
          <w:p w14:paraId="2B257D0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https://community.secop.gov.co/Public/Tendering/OpportunityDetail/Index?noticeUID=CO1.NTC.1595318&amp;isFromPublicArea=True&amp;isModal=true&amp;asPopupView=true</w:t>
            </w:r>
          </w:p>
        </w:tc>
      </w:tr>
      <w:tr w:rsidR="00ED3400" w:rsidRPr="00627621" w14:paraId="2EF3B6F3"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732C3F5A" w14:textId="4517B982"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t xml:space="preserve">Aunar esfuerzos técnicos, administrativos y financieros al municipio de OROCUE del Departamento de Casanare y La Agencia de Desarrollo Rural ADR, para canalizar los recursos que permitirán la prestación del servicio público de extensión agropecuaria, a través de la contratación de </w:t>
            </w:r>
            <w:r w:rsidR="5ABCB9F2" w:rsidRPr="00627621">
              <w:rPr>
                <w:rFonts w:ascii="Arial" w:eastAsia="Tahoma" w:hAnsi="Arial" w:cs="Arial"/>
                <w:color w:val="000000" w:themeColor="text1"/>
                <w:sz w:val="16"/>
                <w:szCs w:val="16"/>
              </w:rPr>
              <w:t>las entidades</w:t>
            </w:r>
            <w:r w:rsidRPr="00627621">
              <w:rPr>
                <w:rFonts w:ascii="Arial" w:eastAsia="Tahoma" w:hAnsi="Arial" w:cs="Arial"/>
                <w:color w:val="000000" w:themeColor="text1"/>
                <w:sz w:val="16"/>
                <w:szCs w:val="16"/>
              </w:rPr>
              <w:t xml:space="preserve">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0387527D"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OROCUE</w:t>
            </w:r>
          </w:p>
        </w:tc>
        <w:tc>
          <w:tcPr>
            <w:tcW w:w="1276" w:type="dxa"/>
            <w:tcBorders>
              <w:top w:val="nil"/>
              <w:left w:val="nil"/>
              <w:bottom w:val="single" w:sz="8" w:space="0" w:color="auto"/>
              <w:right w:val="single" w:sz="8" w:space="0" w:color="auto"/>
            </w:tcBorders>
            <w:shd w:val="clear" w:color="auto" w:fill="auto"/>
            <w:vAlign w:val="center"/>
            <w:hideMark/>
          </w:tcPr>
          <w:p w14:paraId="7974435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$ 175.944.600</w:t>
            </w:r>
          </w:p>
        </w:tc>
        <w:tc>
          <w:tcPr>
            <w:tcW w:w="2732" w:type="dxa"/>
            <w:tcBorders>
              <w:top w:val="nil"/>
              <w:left w:val="nil"/>
              <w:bottom w:val="single" w:sz="8" w:space="0" w:color="auto"/>
              <w:right w:val="single" w:sz="8" w:space="0" w:color="auto"/>
            </w:tcBorders>
            <w:shd w:val="clear" w:color="auto" w:fill="auto"/>
            <w:vAlign w:val="center"/>
            <w:hideMark/>
          </w:tcPr>
          <w:p w14:paraId="7C499C0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https://community.secop.gov.co/Public/Tendering/ContractNoticeManagement/Index?currentLanguage=es-CO&amp;Page=login&amp;Country=CO&amp;SkinName=CCE</w:t>
            </w:r>
          </w:p>
        </w:tc>
      </w:tr>
      <w:tr w:rsidR="00ED3400" w:rsidRPr="00627621" w14:paraId="1E86D373" w14:textId="77777777" w:rsidTr="00DEA33A">
        <w:trPr>
          <w:trHeight w:val="145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56BE4C3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el municipio de SINCELEJO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5D7F905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SINCELEJO</w:t>
            </w:r>
          </w:p>
        </w:tc>
        <w:tc>
          <w:tcPr>
            <w:tcW w:w="1276" w:type="dxa"/>
            <w:tcBorders>
              <w:top w:val="nil"/>
              <w:left w:val="nil"/>
              <w:bottom w:val="single" w:sz="8" w:space="0" w:color="auto"/>
              <w:right w:val="single" w:sz="8" w:space="0" w:color="auto"/>
            </w:tcBorders>
            <w:shd w:val="clear" w:color="auto" w:fill="auto"/>
            <w:vAlign w:val="center"/>
            <w:hideMark/>
          </w:tcPr>
          <w:p w14:paraId="01D0F45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$ 539.884.800</w:t>
            </w:r>
          </w:p>
        </w:tc>
        <w:tc>
          <w:tcPr>
            <w:tcW w:w="2732" w:type="dxa"/>
            <w:tcBorders>
              <w:top w:val="nil"/>
              <w:left w:val="nil"/>
              <w:bottom w:val="single" w:sz="8" w:space="0" w:color="auto"/>
              <w:right w:val="single" w:sz="8" w:space="0" w:color="auto"/>
            </w:tcBorders>
            <w:shd w:val="clear" w:color="auto" w:fill="auto"/>
            <w:vAlign w:val="center"/>
            <w:hideMark/>
          </w:tcPr>
          <w:p w14:paraId="483B1AFA" w14:textId="77777777" w:rsidR="00ED3400" w:rsidRPr="00627621" w:rsidRDefault="00ED3400">
            <w:pPr>
              <w:jc w:val="center"/>
              <w:rPr>
                <w:rFonts w:ascii="Arial" w:hAnsi="Arial" w:cs="Arial"/>
                <w:color w:val="000000"/>
                <w:sz w:val="16"/>
                <w:szCs w:val="16"/>
                <w:lang w:val="en-US"/>
              </w:rPr>
            </w:pPr>
            <w:r w:rsidRPr="00627621">
              <w:rPr>
                <w:rFonts w:ascii="Arial" w:hAnsi="Arial" w:cs="Arial"/>
                <w:color w:val="000000"/>
                <w:sz w:val="16"/>
                <w:szCs w:val="16"/>
                <w:lang w:val="en-US"/>
              </w:rPr>
              <w:t>https://community.secop.gov.co/ Public/Tendering/OpportunityDe tail/Index?noticeUID=CO1.NTC.2 360746&amp;isFromPublicArea=True &amp;isModal=False</w:t>
            </w:r>
          </w:p>
        </w:tc>
      </w:tr>
      <w:tr w:rsidR="00ED3400" w:rsidRPr="00627621" w14:paraId="1B4D18CA"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356A991A"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el municipio de PAIME en el Departamento de Cundinamarca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5580485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PAIME</w:t>
            </w:r>
          </w:p>
        </w:tc>
        <w:tc>
          <w:tcPr>
            <w:tcW w:w="1276" w:type="dxa"/>
            <w:tcBorders>
              <w:top w:val="nil"/>
              <w:left w:val="nil"/>
              <w:bottom w:val="single" w:sz="8" w:space="0" w:color="auto"/>
              <w:right w:val="single" w:sz="8" w:space="0" w:color="auto"/>
            </w:tcBorders>
            <w:shd w:val="clear" w:color="auto" w:fill="auto"/>
            <w:vAlign w:val="center"/>
            <w:hideMark/>
          </w:tcPr>
          <w:p w14:paraId="35653AC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$ 299.243.200</w:t>
            </w:r>
          </w:p>
        </w:tc>
        <w:tc>
          <w:tcPr>
            <w:tcW w:w="2732" w:type="dxa"/>
            <w:tcBorders>
              <w:top w:val="nil"/>
              <w:left w:val="nil"/>
              <w:bottom w:val="single" w:sz="8" w:space="0" w:color="auto"/>
              <w:right w:val="single" w:sz="8" w:space="0" w:color="auto"/>
            </w:tcBorders>
            <w:shd w:val="clear" w:color="auto" w:fill="auto"/>
            <w:vAlign w:val="center"/>
            <w:hideMark/>
          </w:tcPr>
          <w:p w14:paraId="078BDA94" w14:textId="77777777" w:rsidR="00ED3400" w:rsidRPr="00627621" w:rsidRDefault="00ED3400">
            <w:pPr>
              <w:jc w:val="center"/>
              <w:rPr>
                <w:rFonts w:ascii="Arial" w:hAnsi="Arial" w:cs="Arial"/>
                <w:color w:val="000000"/>
                <w:sz w:val="16"/>
                <w:szCs w:val="16"/>
                <w:lang w:val="en-US"/>
              </w:rPr>
            </w:pPr>
            <w:r w:rsidRPr="00627621">
              <w:rPr>
                <w:rFonts w:ascii="Arial" w:hAnsi="Arial" w:cs="Arial"/>
                <w:color w:val="000000"/>
                <w:sz w:val="16"/>
                <w:szCs w:val="16"/>
                <w:lang w:val="en-US"/>
              </w:rPr>
              <w:t>https://community.secop.gov.co/ Public/Tendering/OpportunityDe tail/Index?noticeUID=CO1.NTC.2 390655&amp;isFromPublicArea=True &amp;isModal=true&amp;asPopupView=tr ue</w:t>
            </w:r>
          </w:p>
        </w:tc>
      </w:tr>
      <w:tr w:rsidR="00ED3400" w:rsidRPr="00627621" w14:paraId="6BD20E5E"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77BCB99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lastRenderedPageBreak/>
              <w:t>Aunar esfuerzos técnicos, administrativos y financieros entre el municipio de CARMEN DE VIBORAL en el Departamento de Antioquia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1E2A0A7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CARMEN DE VIBORAL</w:t>
            </w:r>
          </w:p>
        </w:tc>
        <w:tc>
          <w:tcPr>
            <w:tcW w:w="1276" w:type="dxa"/>
            <w:tcBorders>
              <w:top w:val="nil"/>
              <w:left w:val="nil"/>
              <w:bottom w:val="single" w:sz="8" w:space="0" w:color="auto"/>
              <w:right w:val="single" w:sz="8" w:space="0" w:color="auto"/>
            </w:tcBorders>
            <w:shd w:val="clear" w:color="auto" w:fill="auto"/>
            <w:vAlign w:val="center"/>
            <w:hideMark/>
          </w:tcPr>
          <w:p w14:paraId="4DE03AE4"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$ 1.207.567.922</w:t>
            </w:r>
          </w:p>
        </w:tc>
        <w:tc>
          <w:tcPr>
            <w:tcW w:w="2732" w:type="dxa"/>
            <w:tcBorders>
              <w:top w:val="nil"/>
              <w:left w:val="nil"/>
              <w:bottom w:val="single" w:sz="8" w:space="0" w:color="auto"/>
              <w:right w:val="single" w:sz="8" w:space="0" w:color="auto"/>
            </w:tcBorders>
            <w:shd w:val="clear" w:color="auto" w:fill="auto"/>
            <w:vAlign w:val="center"/>
            <w:hideMark/>
          </w:tcPr>
          <w:p w14:paraId="2E40177E" w14:textId="77777777" w:rsidR="00ED3400" w:rsidRPr="00627621" w:rsidRDefault="00ED3400">
            <w:pPr>
              <w:jc w:val="center"/>
              <w:rPr>
                <w:rFonts w:ascii="Arial" w:hAnsi="Arial" w:cs="Arial"/>
                <w:color w:val="000000"/>
                <w:sz w:val="16"/>
                <w:szCs w:val="16"/>
                <w:lang w:val="en-US"/>
              </w:rPr>
            </w:pPr>
            <w:r w:rsidRPr="00627621">
              <w:rPr>
                <w:rFonts w:ascii="Arial" w:hAnsi="Arial" w:cs="Arial"/>
                <w:color w:val="000000"/>
                <w:sz w:val="16"/>
                <w:szCs w:val="16"/>
                <w:lang w:val="en-US"/>
              </w:rPr>
              <w:t>https://community.secop.gov.co/ Public/Tendering/OpportunityDe tail/Index?noticeUID=CO1.NTC.2 288592&amp;isFromPublicArea=True &amp;isModal=true&amp;asPopupView=tr ue</w:t>
            </w:r>
          </w:p>
        </w:tc>
      </w:tr>
      <w:tr w:rsidR="00ED3400" w:rsidRPr="00627621" w14:paraId="0581DA8A" w14:textId="77777777" w:rsidTr="00DEA33A">
        <w:trPr>
          <w:trHeight w:val="282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747E24E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los municipios de SAN JOSE DEL GUAVIARE, MIRAFLORES, RETORNO y CALAMAR,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265BB72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SAN JOSE DEL GUAVIARE, MIRAFLORES, RETORNO Y CALAMAR</w:t>
            </w:r>
          </w:p>
        </w:tc>
        <w:tc>
          <w:tcPr>
            <w:tcW w:w="1276" w:type="dxa"/>
            <w:tcBorders>
              <w:top w:val="nil"/>
              <w:left w:val="nil"/>
              <w:bottom w:val="single" w:sz="8" w:space="0" w:color="auto"/>
              <w:right w:val="single" w:sz="8" w:space="0" w:color="auto"/>
            </w:tcBorders>
            <w:shd w:val="clear" w:color="auto" w:fill="auto"/>
            <w:vAlign w:val="center"/>
            <w:hideMark/>
          </w:tcPr>
          <w:p w14:paraId="278EDE70"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2.292.096.699</w:t>
            </w:r>
          </w:p>
        </w:tc>
        <w:tc>
          <w:tcPr>
            <w:tcW w:w="2732" w:type="dxa"/>
            <w:tcBorders>
              <w:top w:val="nil"/>
              <w:left w:val="nil"/>
              <w:bottom w:val="single" w:sz="8" w:space="0" w:color="auto"/>
              <w:right w:val="single" w:sz="8" w:space="0" w:color="auto"/>
            </w:tcBorders>
            <w:shd w:val="clear" w:color="auto" w:fill="auto"/>
            <w:vAlign w:val="center"/>
            <w:hideMark/>
          </w:tcPr>
          <w:p w14:paraId="2EF84528"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onstancia=21-22-30427&amp;grecaptcharesponse=03AGdBq26YKnBJt46O mhzuG1Z0FWTJH6XiHtchuWycXZl Qhwnf500hE0GAUvCxxUZkZeS15 SaQD1AzKFM3UQPpkRFclikvoFC DhIkf7F557WbJiuCo1I9GainST8JCyGUKmM_1KWw1HrctJfzwuY4Jh KDNGMWzSYFmcqGv8uqzGpu1eI N29WDO8uX6LUqg5UWoH_6bVX 72dIjGFFjTfygMv9Z1m9HWJNrMGHS4C2n24PVZzAGg1vTP2eeTcYEKolweBoUe7Ns zHUoobA7IX8W1xRWrtxOrcp2IeC Kizza48q_KZez0Hc-v_ZKPh_tufA-</w:t>
            </w:r>
          </w:p>
        </w:tc>
      </w:tr>
      <w:tr w:rsidR="00ED3400" w:rsidRPr="00627621" w14:paraId="1C7D067B" w14:textId="77777777" w:rsidTr="00DEA33A">
        <w:trPr>
          <w:trHeight w:val="282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1A98CCA"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el Departamento de SUCRE, los municipios de SINCÉ, BUENAVISTA, CHALÁN, COLOSO, COVEÑAS, GALERAS, SUCRE, LOS PALMITOS, MORROA, OVEJAS, SAMPUES, SAN ONOFRE, SAN PEDRO, SANTIAGO DE TOLÚ, SUCRE y TOLUVIEJO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408B051D"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SUCRE, LOS MUNICIPIOS DE SINCÉ, BUENAVISTA, CHALÁN, COLOSO, COVEÑAS, GALERAS, SUCRE, LOS PALMITOS, MORROA, OVEJAS, SAMPUES, SAN ONOFRE, SAN PEDRO, SANTIAGO DE TOLÚ, SUCRE Y TOLUVIEJO</w:t>
            </w:r>
          </w:p>
        </w:tc>
        <w:tc>
          <w:tcPr>
            <w:tcW w:w="1276" w:type="dxa"/>
            <w:tcBorders>
              <w:top w:val="nil"/>
              <w:left w:val="nil"/>
              <w:bottom w:val="single" w:sz="8" w:space="0" w:color="auto"/>
              <w:right w:val="single" w:sz="8" w:space="0" w:color="auto"/>
            </w:tcBorders>
            <w:shd w:val="clear" w:color="auto" w:fill="auto"/>
            <w:vAlign w:val="center"/>
            <w:hideMark/>
          </w:tcPr>
          <w:p w14:paraId="304FFA4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2.751.113.400</w:t>
            </w:r>
          </w:p>
        </w:tc>
        <w:tc>
          <w:tcPr>
            <w:tcW w:w="2732" w:type="dxa"/>
            <w:tcBorders>
              <w:top w:val="nil"/>
              <w:left w:val="nil"/>
              <w:bottom w:val="single" w:sz="8" w:space="0" w:color="auto"/>
              <w:right w:val="single" w:sz="8" w:space="0" w:color="auto"/>
            </w:tcBorders>
            <w:shd w:val="clear" w:color="auto" w:fill="auto"/>
            <w:vAlign w:val="center"/>
            <w:hideMark/>
          </w:tcPr>
          <w:p w14:paraId="07427B3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onstancia=21-22-32377&amp;grecaptcharesponse=03AGdBq25SyY3LwpP2 7_G07xCWlMcQ39cQ8K1SD9aQH tQxBuc6Vm46O29Q9OHFqazHGCc h7wQI_HqX_EvB9o0SXDXbfuEbPQRaN VOQ9lj9JlPsCG0T36DmkASzhU_vi 2thDkVnQh84gnWehDdbacA7aD biJNPAZhX0L5ZKVqog0yPrilYefY0 LtrbmIi67MLe30vkZdnwwniF2oaXusP sICWUWBzGuJcvgsngvf7DvGkGTR gikcnW8D1Q1KI-</w:t>
            </w:r>
          </w:p>
        </w:tc>
      </w:tr>
      <w:tr w:rsidR="00ED3400" w:rsidRPr="00627621" w14:paraId="17225897" w14:textId="77777777" w:rsidTr="00DEA33A">
        <w:trPr>
          <w:trHeight w:val="282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036E63F2"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lastRenderedPageBreak/>
              <w:t>Aunar esfuerzos técnicos, administrativos y financieros entre el Departamento de ANTIOQUIA y los municipios de ABEJORRAL, AMAGÁ, ARMENIA, BURITICÁ, CAÑASGORDAS, FRONTINO, HELICONIA, ITUANGO, JARDÍN, OLAYA, SAN PEDRO DE URABÁ Y VALDIVIA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3CFCE46D"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ANTIOQUIA Y LOS MUNICIPIOS DE ABEJORRAL, AMAGÁ, ARMENIA, BURITICÁ, CAÑASGORDAS, FRONTINO, HELICONIA, ITUANGO, JARDÍN, OLAYA, SAN PEDRO DE URABÁ Y VALDIVIA</w:t>
            </w:r>
          </w:p>
        </w:tc>
        <w:tc>
          <w:tcPr>
            <w:tcW w:w="1276" w:type="dxa"/>
            <w:tcBorders>
              <w:top w:val="nil"/>
              <w:left w:val="nil"/>
              <w:bottom w:val="single" w:sz="8" w:space="0" w:color="auto"/>
              <w:right w:val="single" w:sz="8" w:space="0" w:color="auto"/>
            </w:tcBorders>
            <w:shd w:val="clear" w:color="auto" w:fill="auto"/>
            <w:vAlign w:val="center"/>
            <w:hideMark/>
          </w:tcPr>
          <w:p w14:paraId="4CD3F53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3.239.895.600</w:t>
            </w:r>
          </w:p>
        </w:tc>
        <w:tc>
          <w:tcPr>
            <w:tcW w:w="2732" w:type="dxa"/>
            <w:tcBorders>
              <w:top w:val="nil"/>
              <w:left w:val="nil"/>
              <w:bottom w:val="single" w:sz="8" w:space="0" w:color="auto"/>
              <w:right w:val="single" w:sz="8" w:space="0" w:color="auto"/>
            </w:tcBorders>
            <w:shd w:val="clear" w:color="auto" w:fill="auto"/>
            <w:vAlign w:val="center"/>
            <w:hideMark/>
          </w:tcPr>
          <w:p w14:paraId="7A7289E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onstancia=21-22-32065&amp;grecaptcharesponse=03AGdBq26wkfrL8zHK0 rLVefAQVVlhMolQcn1t2mFtF5Q4 wKbCJte3DUBkKOSRS8lSik686t8f 0HLjs_pLeH2wowZDxwfbAH0f2tOLmPQHpxIy8d5jRVFzJ O9fllofT9cYRmXs5_e02vvUTOxkD cD6aJjh7XLw4-RdF5lJP4- FC02eqB_V8xI1DH3k4bE7ZMFf13 Q_2QcXzB17s0-NPawSGQE5lYl2bp4KtzUQ_oHuW9PJ_r2Mvjt5SzRmY_KC zRi5KNJeFPCQWvsmcHiVeLVSChOi10d1M9liz17Q4bATPWJzE5L</w:t>
            </w:r>
          </w:p>
        </w:tc>
      </w:tr>
      <w:tr w:rsidR="00ED3400" w:rsidRPr="00627621" w14:paraId="0D628593" w14:textId="77777777" w:rsidTr="00DEA33A">
        <w:trPr>
          <w:trHeight w:val="30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BAD4657" w14:textId="455DEC02"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t xml:space="preserve">Aunar esfuerzos técnicos, administrativos y financieros entre el departamento de NORTE DE SANTANDER , los municipios de ÁBREGO, BUCARASICA, CÁCHIRA, CÁCOTA, CHINÁCOTA, CONVENCIÓN, CUCUTILLA, EL CARMEN, EL TARRA, GRAMALOTE, HERRÁN, LA ESPERANZA, LA PLAYA, LA BATECA, LOS PATIOS, LOURDES, MUTISCUA, OCAÑA, PAMPLONA, RAGONVALIA, SALAZAR, SAN CAYETANO, SANTIAGO, SARDINATA, SILOS, TIBÚ y VILLA CARO y La Agencia de Desarrollo Rural ADR , para canalizar los recursos que permitirán la prestación del </w:t>
            </w:r>
            <w:r w:rsidR="486561DE" w:rsidRPr="00627621">
              <w:rPr>
                <w:rFonts w:ascii="Arial" w:eastAsia="Tahoma" w:hAnsi="Arial" w:cs="Arial"/>
                <w:color w:val="000000" w:themeColor="text1"/>
                <w:sz w:val="16"/>
                <w:szCs w:val="16"/>
              </w:rPr>
              <w:t>servicio</w:t>
            </w:r>
            <w:r w:rsidRPr="00627621">
              <w:rPr>
                <w:rFonts w:ascii="Arial" w:eastAsia="Tahoma" w:hAnsi="Arial" w:cs="Arial"/>
                <w:color w:val="000000" w:themeColor="text1"/>
                <w:sz w:val="16"/>
                <w:szCs w:val="16"/>
              </w:rPr>
              <w:t xml:space="preserve">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17034E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NORTE DE SANTANDER, LOS MUNICIPIOS DE ÁBREGO, BUCARASICA, CÁCHIRA, CÁCOTA, CHINÁCOTA, CONVENCIÓN, CUCUTILLA, EL CARMEN, EL TARRA, GRAMALOTE, HERRÁN, LA ESPERANZA, LA PLAYA, LA BATECA, LOS PATIOS, LOURDES, MUTISCUA, OCAÑA, PAMPLONA, RAGONVALIA, SALAZAR, SAN CAYETANO, SANTIAGO, SARDINATA, SILOS, TIBÚ Y VILLA CARO</w:t>
            </w:r>
          </w:p>
        </w:tc>
        <w:tc>
          <w:tcPr>
            <w:tcW w:w="1276" w:type="dxa"/>
            <w:tcBorders>
              <w:top w:val="nil"/>
              <w:left w:val="nil"/>
              <w:bottom w:val="single" w:sz="8" w:space="0" w:color="auto"/>
              <w:right w:val="single" w:sz="8" w:space="0" w:color="auto"/>
            </w:tcBorders>
            <w:shd w:val="clear" w:color="auto" w:fill="auto"/>
            <w:vAlign w:val="center"/>
            <w:hideMark/>
          </w:tcPr>
          <w:p w14:paraId="28AA255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1.558.596.000</w:t>
            </w:r>
          </w:p>
        </w:tc>
        <w:tc>
          <w:tcPr>
            <w:tcW w:w="2732" w:type="dxa"/>
            <w:tcBorders>
              <w:top w:val="nil"/>
              <w:left w:val="nil"/>
              <w:bottom w:val="single" w:sz="8" w:space="0" w:color="auto"/>
              <w:right w:val="single" w:sz="8" w:space="0" w:color="auto"/>
            </w:tcBorders>
            <w:shd w:val="clear" w:color="auto" w:fill="auto"/>
            <w:vAlign w:val="center"/>
            <w:hideMark/>
          </w:tcPr>
          <w:p w14:paraId="2268110B"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onstancia=21-22-31936&amp;grecaptcharesponse=03AGdBq25SGUw38r8 _S_J5YjGF6y8F5cHR_2KEYY3Kr7X UAIx5HHjDOljOhoq8fvIwOSXPaK gcnw_cGcXEWVzajfr2rFqzIhK6cKL BpyOB5Gb9XLk8XNhxIHWhK1W2 Z3wVc7Kiwl5d8PAJem12sFtZm4AY 5K5- fc5LfF1H0Kpqly54UpsJfIopPpbsql oCW67CjCIS91DfTluEbnLpxADhG rhRZRS7l1vbxGvtN0b9cV3ZsW</w:t>
            </w:r>
          </w:p>
        </w:tc>
      </w:tr>
      <w:tr w:rsidR="00ED3400" w:rsidRPr="00627621" w14:paraId="56C62C39" w14:textId="77777777" w:rsidTr="00DEA33A">
        <w:trPr>
          <w:trHeight w:val="282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7AB232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con los municipios de ACANDÍ, ATRATO, BAGADÓ, BAHÍA SOLANO, BOJAYÁ, CARMEN DE DARIÉN, CÉRTEGUI, JURADÓ, LLORÓ, MEDIO BAUDÓ, NUQUÍ, RÍO QUITO, RIOSUCIO, TADÓ, UNGUÍA y UNIÓN PANAMERICANA - Departamento de Chocó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1B71803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ACANDÍ, ATRATO, BAGADÓ, BAHÍA SOLANO, BOJAYÁ, CARMEN DE DARIÉN, CÉRTEGUI, JURADÓ, LLORÓ, MEDIO BAUDÓ, NUQUÍ, RÍO QUITO, RIOSUCIO, TADÓ, UNGUÍA Y UNIÓN PANAMERICANA - DEPARTAMENTO DE CHOCÓ</w:t>
            </w:r>
          </w:p>
        </w:tc>
        <w:tc>
          <w:tcPr>
            <w:tcW w:w="1276" w:type="dxa"/>
            <w:tcBorders>
              <w:top w:val="nil"/>
              <w:left w:val="nil"/>
              <w:bottom w:val="single" w:sz="8" w:space="0" w:color="auto"/>
              <w:right w:val="single" w:sz="8" w:space="0" w:color="auto"/>
            </w:tcBorders>
            <w:shd w:val="clear" w:color="auto" w:fill="auto"/>
            <w:vAlign w:val="center"/>
            <w:hideMark/>
          </w:tcPr>
          <w:p w14:paraId="6C4FA18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12.276.171.654</w:t>
            </w:r>
          </w:p>
        </w:tc>
        <w:tc>
          <w:tcPr>
            <w:tcW w:w="2732" w:type="dxa"/>
            <w:tcBorders>
              <w:top w:val="nil"/>
              <w:left w:val="nil"/>
              <w:bottom w:val="single" w:sz="8" w:space="0" w:color="auto"/>
              <w:right w:val="single" w:sz="8" w:space="0" w:color="auto"/>
            </w:tcBorders>
            <w:shd w:val="clear" w:color="auto" w:fill="auto"/>
            <w:vAlign w:val="center"/>
            <w:hideMark/>
          </w:tcPr>
          <w:p w14:paraId="45F4AE0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onstancia=21-22-31953&amp;grecaptcharesponse=03AGdBq26hQ4cJfWwz y_dR7DoenSvNJLovsWBus6TepTCU4oQjlII7l5iQQkEr 0QJPE6wse2- 6Vpy8vEdIyDoJ_tvWMSb1-- wywb5q0cpVDqLa7leSrZ5GngCIEVLsJq3O07QBM3E8N Xn1gsFkDP7XoyQyeBGHoLln6- uSCvRqFtnfW3J9n8LlnYgemLjZpd Ds7UlLYvx6lFOD4WAgSehDi3J4L DUCvc7Lm8u_ma0e0ry0gFrvGyFr Xt9AiYaS3RXpBOQNi46iQlzEnfoQ i5QYRcXpThqHtJoegpi8VMLsiFlq</w:t>
            </w:r>
          </w:p>
        </w:tc>
      </w:tr>
      <w:tr w:rsidR="00ED3400" w:rsidRPr="00627621" w14:paraId="2887644D" w14:textId="77777777" w:rsidTr="00DEA33A">
        <w:trPr>
          <w:trHeight w:val="183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0B9B581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lastRenderedPageBreak/>
              <w:t>Aunar esfuerzos técnicos, administrativos y financieros entre los municipios de Abejorral, Chigorodo, Cocorna, Girardota, San Carlos, Valdivia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18EDB2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ABEJORRAL, CHIGORODO, COCORNA, GIRARDOTA, SAN CARLOS, VALDIVIA</w:t>
            </w:r>
          </w:p>
        </w:tc>
        <w:tc>
          <w:tcPr>
            <w:tcW w:w="1276" w:type="dxa"/>
            <w:tcBorders>
              <w:top w:val="nil"/>
              <w:left w:val="nil"/>
              <w:bottom w:val="single" w:sz="8" w:space="0" w:color="auto"/>
              <w:right w:val="single" w:sz="8" w:space="0" w:color="auto"/>
            </w:tcBorders>
            <w:shd w:val="clear" w:color="auto" w:fill="auto"/>
            <w:vAlign w:val="center"/>
            <w:hideMark/>
          </w:tcPr>
          <w:p w14:paraId="4079F92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776.887.800</w:t>
            </w:r>
          </w:p>
        </w:tc>
        <w:tc>
          <w:tcPr>
            <w:tcW w:w="2732" w:type="dxa"/>
            <w:tcBorders>
              <w:top w:val="nil"/>
              <w:left w:val="nil"/>
              <w:bottom w:val="single" w:sz="8" w:space="0" w:color="auto"/>
              <w:right w:val="single" w:sz="8" w:space="0" w:color="auto"/>
            </w:tcBorders>
            <w:shd w:val="clear" w:color="auto" w:fill="auto"/>
            <w:vAlign w:val="center"/>
            <w:hideMark/>
          </w:tcPr>
          <w:p w14:paraId="2258176D"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onstancia=21-22-28881&amp;grecaptcharesponse=03AGdBq24Gx2YEmj86 8cRiCq8xjelL0VjqHoVkWGNOkWz CY7IqbXalF6Rtf4IDPTUocXr79CV Vqp3OYZutXjRNc3rI9x_eSwJAEZk YsK2XgD8LrVQomlayaAj8nPWmP36y4AizhmcVnFWa</w:t>
            </w:r>
          </w:p>
        </w:tc>
      </w:tr>
      <w:tr w:rsidR="00ED3400" w:rsidRPr="00627621" w14:paraId="01513730" w14:textId="77777777" w:rsidTr="007A4C12">
        <w:trPr>
          <w:trHeight w:val="71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D1F9E2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el municipio de Canalete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71046476"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CANALETE</w:t>
            </w:r>
          </w:p>
        </w:tc>
        <w:tc>
          <w:tcPr>
            <w:tcW w:w="1276" w:type="dxa"/>
            <w:tcBorders>
              <w:top w:val="nil"/>
              <w:left w:val="nil"/>
              <w:bottom w:val="single" w:sz="8" w:space="0" w:color="auto"/>
              <w:right w:val="single" w:sz="8" w:space="0" w:color="auto"/>
            </w:tcBorders>
            <w:shd w:val="clear" w:color="auto" w:fill="auto"/>
            <w:vAlign w:val="center"/>
            <w:hideMark/>
          </w:tcPr>
          <w:p w14:paraId="508EF894"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1.214.740.800</w:t>
            </w:r>
          </w:p>
        </w:tc>
        <w:tc>
          <w:tcPr>
            <w:tcW w:w="2732" w:type="dxa"/>
            <w:tcBorders>
              <w:top w:val="nil"/>
              <w:left w:val="nil"/>
              <w:bottom w:val="single" w:sz="8" w:space="0" w:color="auto"/>
              <w:right w:val="single" w:sz="8" w:space="0" w:color="auto"/>
            </w:tcBorders>
            <w:shd w:val="clear" w:color="auto" w:fill="auto"/>
            <w:vAlign w:val="center"/>
            <w:hideMark/>
          </w:tcPr>
          <w:p w14:paraId="17E32D6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https://community.secop.gov.co/Public/Tendering/OpportunityDetail/Index?noticeUID=CO1.NTC.2389571&amp;isFromPublicArea=True&amp;isModal=true&amp;asPopupView=true</w:t>
            </w:r>
          </w:p>
        </w:tc>
      </w:tr>
      <w:tr w:rsidR="00ED3400" w:rsidRPr="00627621" w14:paraId="105CF8D4" w14:textId="77777777" w:rsidTr="00DEA33A">
        <w:trPr>
          <w:trHeight w:val="21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23BEE87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el departamento de CAUCA, los municipios de BOLÍVAR, CAJIBÍO, CALDONO, EL TAMBO, JAMBALÓ, LA VEGA, MO&lt;RALES, PÁEZ, PIAMONTE, POPAYÁN, SAN SEBASTIÁN, SANTA ROSA, SILVIA, SOTARÁ Y TORIBÍO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DE896E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CAUCA, LOS MUNICIPIOS DE BOLÍVAR, CAJIBÍO, CALDONO, EL TAMBO, JAMBALÓ, LA VEGA, MO&lt;RALES, PÁEZ, PIAMONTE, POPAYÁN, SAN SEBASTIÁN, SANTA ROSA, SILVIA, SOTARÁ Y TORIBÍO</w:t>
            </w:r>
          </w:p>
        </w:tc>
        <w:tc>
          <w:tcPr>
            <w:tcW w:w="1276" w:type="dxa"/>
            <w:tcBorders>
              <w:top w:val="nil"/>
              <w:left w:val="nil"/>
              <w:bottom w:val="single" w:sz="8" w:space="0" w:color="auto"/>
              <w:right w:val="single" w:sz="8" w:space="0" w:color="auto"/>
            </w:tcBorders>
            <w:shd w:val="clear" w:color="auto" w:fill="auto"/>
            <w:vAlign w:val="center"/>
            <w:hideMark/>
          </w:tcPr>
          <w:p w14:paraId="0EF350A4"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1.236.217.496</w:t>
            </w:r>
          </w:p>
        </w:tc>
        <w:tc>
          <w:tcPr>
            <w:tcW w:w="2732" w:type="dxa"/>
            <w:tcBorders>
              <w:top w:val="nil"/>
              <w:left w:val="nil"/>
              <w:bottom w:val="single" w:sz="8" w:space="0" w:color="auto"/>
              <w:right w:val="single" w:sz="8" w:space="0" w:color="auto"/>
            </w:tcBorders>
            <w:shd w:val="clear" w:color="auto" w:fill="auto"/>
            <w:vAlign w:val="center"/>
            <w:hideMark/>
          </w:tcPr>
          <w:p w14:paraId="27695E8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onstancia=21-22-29845&amp;grecaptcharesponse=03AGdBq25bPg79Z4Tv GVLCFZsotuq2_oHv1VM_bX1ZGd A7UABtMKuENN4exjejHPT1S9w mRiEO_c5UgHnDgXZxG7x8udxasfvWgcRgK1g9rqQtJeSOP_I6r Gj-ZB5tLnjju8vqXy_hZvGbyxiSKsh</w:t>
            </w:r>
          </w:p>
        </w:tc>
      </w:tr>
      <w:tr w:rsidR="00ED3400" w:rsidRPr="00627621" w14:paraId="1238F836" w14:textId="77777777" w:rsidTr="00DEA33A">
        <w:trPr>
          <w:trHeight w:val="513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59C299EE" w14:textId="4BE83F49"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lastRenderedPageBreak/>
              <w:t xml:space="preserve">Aunar esfuerzos técnicos, administrativos y financieros entre el departamento de </w:t>
            </w:r>
            <w:r w:rsidR="60252E4E" w:rsidRPr="00627621">
              <w:rPr>
                <w:rFonts w:ascii="Arial" w:eastAsia="Tahoma" w:hAnsi="Arial" w:cs="Arial"/>
                <w:color w:val="000000" w:themeColor="text1"/>
                <w:sz w:val="16"/>
                <w:szCs w:val="16"/>
              </w:rPr>
              <w:t>CALDAS,</w:t>
            </w:r>
            <w:r w:rsidRPr="00627621">
              <w:rPr>
                <w:rFonts w:ascii="Arial" w:eastAsia="Tahoma" w:hAnsi="Arial" w:cs="Arial"/>
                <w:color w:val="000000" w:themeColor="text1"/>
                <w:sz w:val="16"/>
                <w:szCs w:val="16"/>
              </w:rPr>
              <w:t xml:space="preserve"> los municipios de MARQUETALIA, LA DORADA, NEIRA, PENSILVANIA, VILLAMARÍA, RISARALDA, ANSERMA, ARANZAZU, MANZANARES, RIOSUCIO y La Agencia de Desarrollo Rural </w:t>
            </w:r>
            <w:r w:rsidR="3EB15A0F" w:rsidRPr="00627621">
              <w:rPr>
                <w:rFonts w:ascii="Arial" w:eastAsia="Tahoma" w:hAnsi="Arial" w:cs="Arial"/>
                <w:color w:val="000000" w:themeColor="text1"/>
                <w:sz w:val="16"/>
                <w:szCs w:val="16"/>
              </w:rPr>
              <w:t>ADR,</w:t>
            </w:r>
            <w:r w:rsidRPr="00627621">
              <w:rPr>
                <w:rFonts w:ascii="Arial" w:eastAsia="Tahoma" w:hAnsi="Arial" w:cs="Arial"/>
                <w:color w:val="000000" w:themeColor="text1"/>
                <w:sz w:val="16"/>
                <w:szCs w:val="16"/>
              </w:rPr>
              <w:t xml:space="preserve">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1998332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CALDAS, LOS MUNICIPIOS DE MARQUETALIA, LA DORADA, NEIRA, PENSILVANIA, VILLAMARÍA, RISARALDA, ANSERMA, ARANZAZU, MANZANARES, RIOSUCIO</w:t>
            </w:r>
          </w:p>
        </w:tc>
        <w:tc>
          <w:tcPr>
            <w:tcW w:w="1276" w:type="dxa"/>
            <w:tcBorders>
              <w:top w:val="nil"/>
              <w:left w:val="nil"/>
              <w:bottom w:val="single" w:sz="8" w:space="0" w:color="auto"/>
              <w:right w:val="single" w:sz="8" w:space="0" w:color="auto"/>
            </w:tcBorders>
            <w:shd w:val="clear" w:color="auto" w:fill="auto"/>
            <w:vAlign w:val="center"/>
            <w:hideMark/>
          </w:tcPr>
          <w:p w14:paraId="7EEF2406"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420.000.000</w:t>
            </w:r>
          </w:p>
        </w:tc>
        <w:tc>
          <w:tcPr>
            <w:tcW w:w="2732" w:type="dxa"/>
            <w:tcBorders>
              <w:top w:val="nil"/>
              <w:left w:val="nil"/>
              <w:bottom w:val="single" w:sz="8" w:space="0" w:color="auto"/>
              <w:right w:val="single" w:sz="8" w:space="0" w:color="auto"/>
            </w:tcBorders>
            <w:shd w:val="clear" w:color="auto" w:fill="auto"/>
            <w:vAlign w:val="center"/>
            <w:hideMark/>
          </w:tcPr>
          <w:p w14:paraId="3745F79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-27189&amp;g-recaptcha-response=03ADUVZwDIeoCYMtP0IbGXrSUJK14_BFATsEI6bGFNyTldjoBnnTEKdSj7esOBwjW_30l_8UAGvEb5xunMMlpcEKn4CMqUOr2ErIUP4rSeGdpnpX4olpyWE-ngASOgXufZd0eqtIic0Ws2rRQZN-k6rMPqJoIZyF8ztUN7AlCRc-DnZJ8SM3k4WPqC2rNq5Q14QA3HvjlU3fMKeLWCDi3_cNXasmg7AOgeMgaGQfh-2JZKbPV5P_i0qDkKxNiwTiME1w3BWHfKFWFRbKQcbR6A_-aUaoM1O_TyPOZ9SzQW_LPcNtHUuO6pfbsJfe1Fvc5fVeBHSnQRcrgYFXHCi-iPvipyMzmoRIoEJbL0enF8hGaWqEGFjUcnzPtoIxu6vnOs4dXWl8pHHLhswXv_9jObfsLLkVQVobcxL9n0mE72lGrT3Ofb8Thsec4JwFcKkk0hjOxFmPA2lxGytj8K_TKkw8zoxzwV5rfBAalutwlZTMeqsCgOix-W1loaK19WLy-Ccm_knbYBXG4iRTkmmId7vhkdeWlloaz4SeTtw0gbQtnrxMTEX0SBetTrreJMv_lXncnKVtsE3OUOkBI8MaoqOZqsIFbLGw9BaYJbK3KLB2U0mJviIk4yLB3n7sISI_DLwVlhOVk_KXhO</w:t>
            </w:r>
          </w:p>
        </w:tc>
      </w:tr>
      <w:tr w:rsidR="00ED3400" w:rsidRPr="00627621" w14:paraId="60CEDBEA" w14:textId="77777777" w:rsidTr="00DEA33A">
        <w:trPr>
          <w:trHeight w:val="298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2E96EF9B" w14:textId="1EB3159B"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con los municipios de ABEJORRAL, ALEJANDRÍA, ARGELIA, EL CARMEN DE VIBORAL, COCORNÁ, CONCEPCIÓN, GRANADA, GUARNE, GUATAPÉ, LA CEJA, LA UNIÓN, MARINILLA,</w:t>
            </w:r>
            <w:r w:rsidR="00A65329" w:rsidRPr="00627621">
              <w:rPr>
                <w:rFonts w:ascii="Arial" w:eastAsia="Tahoma" w:hAnsi="Arial" w:cs="Arial"/>
                <w:color w:val="000000"/>
                <w:sz w:val="16"/>
                <w:szCs w:val="16"/>
              </w:rPr>
              <w:t xml:space="preserve"> SUCRE</w:t>
            </w:r>
            <w:r w:rsidRPr="00627621">
              <w:rPr>
                <w:rFonts w:ascii="Arial" w:eastAsia="Tahoma" w:hAnsi="Arial" w:cs="Arial"/>
                <w:color w:val="000000"/>
                <w:sz w:val="16"/>
                <w:szCs w:val="16"/>
              </w:rPr>
              <w:t>, EL PEÑOL, EL RETIRO, RIONEGRO, SAN CARLOS, SAN FRANCISCO, SAN LUIS, SAN RAFAEL, SAN VICENTE, SANTUARIO Y SONSÓN, pertenecientes a la Alianza Oriente Sostenible-AOS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F72EBCA" w14:textId="4B5F85B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ABEJORRAL, ALEJANDRÍA, ARGELIA, EL CARMEN DE VIBORAL, COCORNÁ, CONCEPCIÓ, GRANADA, GUARNE, GUATAPÉ, LA CEJA, LA UNIÓN, MARINILLA,</w:t>
            </w:r>
            <w:r w:rsidR="00A65329" w:rsidRPr="00627621">
              <w:rPr>
                <w:rFonts w:ascii="Arial" w:eastAsia="Tahoma" w:hAnsi="Arial" w:cs="Arial"/>
                <w:color w:val="000000"/>
                <w:sz w:val="16"/>
                <w:szCs w:val="16"/>
              </w:rPr>
              <w:t xml:space="preserve"> SUCRE</w:t>
            </w:r>
            <w:r w:rsidRPr="00627621">
              <w:rPr>
                <w:rFonts w:ascii="Arial" w:eastAsia="Tahoma" w:hAnsi="Arial" w:cs="Arial"/>
                <w:color w:val="000000"/>
                <w:sz w:val="16"/>
                <w:szCs w:val="16"/>
              </w:rPr>
              <w:t>, EL PEÑOL, EL RETIRO, RIONEGRO, SAN CARLOS, SAN FRANCISCO, SAN LUIS, SAN RAFAEL, SAN VICENTE, SANTUARIO Y SONSÓN</w:t>
            </w:r>
          </w:p>
        </w:tc>
        <w:tc>
          <w:tcPr>
            <w:tcW w:w="1276" w:type="dxa"/>
            <w:tcBorders>
              <w:top w:val="nil"/>
              <w:left w:val="nil"/>
              <w:bottom w:val="single" w:sz="8" w:space="0" w:color="auto"/>
              <w:right w:val="single" w:sz="8" w:space="0" w:color="auto"/>
            </w:tcBorders>
            <w:shd w:val="clear" w:color="auto" w:fill="auto"/>
            <w:vAlign w:val="center"/>
            <w:hideMark/>
          </w:tcPr>
          <w:p w14:paraId="26CCA676"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3.763.574.000</w:t>
            </w:r>
          </w:p>
        </w:tc>
        <w:tc>
          <w:tcPr>
            <w:tcW w:w="2732" w:type="dxa"/>
            <w:tcBorders>
              <w:top w:val="nil"/>
              <w:left w:val="nil"/>
              <w:bottom w:val="single" w:sz="8" w:space="0" w:color="auto"/>
              <w:right w:val="single" w:sz="8" w:space="0" w:color="auto"/>
            </w:tcBorders>
            <w:shd w:val="clear" w:color="auto" w:fill="auto"/>
            <w:vAlign w:val="center"/>
            <w:hideMark/>
          </w:tcPr>
          <w:p w14:paraId="141ABCE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onstancia=21-22-32370&amp;grecaptcharesponse=03AGdBq24uR6ifONO2- SrhX0x5QMXKAynYZK65X_elVnte ih7t4Z8hSwTRHn7Uu0B5KiGQpxa q9xgosqLwTGn3ijEsdiGII2yNoY1zJ 4OgT8QuvNSaoNqzGJr_W7o2DRAiuDs3x_Na0b8GUDKAzUe5RAizu RpuGnxDFk3i2ktsbvzKxh7TQuCH 7g_BVF1m5ok5sWZkbhtLCwLJmk xbFiOCe9dWNUcgVereEkuDXFr5s HB11612j4Pg2vo3CG5sOwn31H4 kNfPLGuOEXpIU69s2XrM_D73RrE 07zKlPVoh_3T2eXPn2uP6rdZ6Cw KIt7apTsjhVvKdFX60tAU5m23og</w:t>
            </w:r>
          </w:p>
        </w:tc>
      </w:tr>
      <w:tr w:rsidR="00ED3400" w:rsidRPr="00627621" w14:paraId="550BDACA" w14:textId="77777777" w:rsidTr="00DEA33A">
        <w:trPr>
          <w:trHeight w:val="562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7AD77799"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lastRenderedPageBreak/>
              <w:t>Aunar esfuerzos técnicos, administrativos y financieros entre el departamento de VICHADA, los municipios de CUMARIBO, SANTA ROSALIA, LA PRIMAVERA, PUERTO CARREÑO y La Agencia de Desarrollo Rural - ADR, que permitan la prestación del servicio público de extensión agropecuaria, a través de la contratación de las EPSEAS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37140F62"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DEPARTAMENTO DE VICHADA, LOS MUNICIPIOS DE CUMARIBO, SANTA ROSALIA, LA PRIMAVERA, PUERTO CARREÑO</w:t>
            </w:r>
          </w:p>
        </w:tc>
        <w:tc>
          <w:tcPr>
            <w:tcW w:w="1276" w:type="dxa"/>
            <w:tcBorders>
              <w:top w:val="nil"/>
              <w:left w:val="nil"/>
              <w:bottom w:val="single" w:sz="8" w:space="0" w:color="auto"/>
              <w:right w:val="single" w:sz="8" w:space="0" w:color="auto"/>
            </w:tcBorders>
            <w:shd w:val="clear" w:color="auto" w:fill="auto"/>
            <w:vAlign w:val="center"/>
            <w:hideMark/>
          </w:tcPr>
          <w:p w14:paraId="179F0489"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591.302.400</w:t>
            </w:r>
          </w:p>
        </w:tc>
        <w:tc>
          <w:tcPr>
            <w:tcW w:w="2732" w:type="dxa"/>
            <w:tcBorders>
              <w:top w:val="nil"/>
              <w:left w:val="nil"/>
              <w:bottom w:val="single" w:sz="8" w:space="0" w:color="auto"/>
              <w:right w:val="single" w:sz="8" w:space="0" w:color="auto"/>
            </w:tcBorders>
            <w:shd w:val="clear" w:color="auto" w:fill="auto"/>
            <w:vAlign w:val="center"/>
            <w:hideMark/>
          </w:tcPr>
          <w:p w14:paraId="4A7DBEC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-28278&amp;g-recaptcha-response=03ADUVZwDkwRxJZzKZQSXEVcCPVLBNMReMmsHdEkq98kIccBpd_LWGgLWCDyBjc8KHVFr8HTKZKcLxoXOuLL5xU07ocFK2_qsM-YwqiHbe5OWBEh9BYjQx9wNlV1a4vKX_bEHt1R-aj8MssD5PaxihLX28lMyuALr6LAnSObVkkhVxPk7xaCmMz5vJsKV36enpX-cKw50pnAhhUxwvdmrsmo35v0xS3th1uTjGkSP8DNMJ99_SG7d8nyD2ab3GWayNXMrCliXhvI6NkWLcAp4KyHrq6-sInNLo_QzxDT4W7bXppPhEvJ41NPLxS1u1ARhcRdRLGI8-J2ZHlNswJD7T_FSTnGrppcF2aUo68mEv-z_FldaehV4WQN43hgNWJ2fdN6_HSDD0R6z1HeTpFAqscugQM8Pl64LwFKoRDNOc52sKTvLSK4XxcLQk9n2Ab3nq5mQ9c3EoVpHzKVsW181y_GdwNFBUCwCM6KtbghfKmBZGADaDxoPz0QMddX7GCfFrBl5N1oR9w-xKfrq1KoFsZ2rnmSgaod5vRa2ShFRXDVVfmJX6vifg65jkPW3RrRj8lLfiKsWzJvesACbo8-zv3RgHkwfGfLxdOA98U7SK340nbebMcZayYK5082d234CS87A3Pp1Ai7J2</w:t>
            </w:r>
          </w:p>
        </w:tc>
      </w:tr>
      <w:tr w:rsidR="00ED3400" w:rsidRPr="00627621" w14:paraId="55FEB55F" w14:textId="77777777" w:rsidTr="00DEA33A">
        <w:trPr>
          <w:trHeight w:val="145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2D547B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con el municipio de VIGÍA DEL FUERTE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0B2CB9C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 DE VIGÍA DEL FUERTE</w:t>
            </w:r>
          </w:p>
        </w:tc>
        <w:tc>
          <w:tcPr>
            <w:tcW w:w="1276" w:type="dxa"/>
            <w:tcBorders>
              <w:top w:val="nil"/>
              <w:left w:val="nil"/>
              <w:bottom w:val="single" w:sz="8" w:space="0" w:color="auto"/>
              <w:right w:val="single" w:sz="8" w:space="0" w:color="auto"/>
            </w:tcBorders>
            <w:shd w:val="clear" w:color="auto" w:fill="auto"/>
            <w:vAlign w:val="center"/>
            <w:hideMark/>
          </w:tcPr>
          <w:p w14:paraId="4DE0DF8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600.093.200</w:t>
            </w:r>
          </w:p>
        </w:tc>
        <w:tc>
          <w:tcPr>
            <w:tcW w:w="2732" w:type="dxa"/>
            <w:tcBorders>
              <w:top w:val="nil"/>
              <w:left w:val="nil"/>
              <w:bottom w:val="single" w:sz="8" w:space="0" w:color="auto"/>
              <w:right w:val="single" w:sz="8" w:space="0" w:color="auto"/>
            </w:tcBorders>
            <w:shd w:val="clear" w:color="auto" w:fill="auto"/>
            <w:vAlign w:val="center"/>
            <w:hideMark/>
          </w:tcPr>
          <w:p w14:paraId="46EB8FF6"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https://community.secop.gov.co/Public/Tendering/ContractNoticeManagement/Index?currentLanguage=es-CO&amp;Page=login&amp;Country=CO&amp;SkinName=CCE</w:t>
            </w:r>
          </w:p>
        </w:tc>
      </w:tr>
      <w:tr w:rsidR="00ED3400" w:rsidRPr="00627621" w14:paraId="47A96521" w14:textId="77777777" w:rsidTr="00DEA33A">
        <w:trPr>
          <w:trHeight w:val="729"/>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2780D1A8" w14:textId="78B0170B"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t xml:space="preserve">Aunar esfuerzos técnicos, administrativos y financieros entre el departamento de SANTANDER los municipios de ALBANIA, ARATOCA, BARBOSA, BETULIA, CHIPATA, CONTRATACIÓN, EL PEÑON, FLORIAN, JESUS MARIA, LA BELLEZA, LA PAZ, MATANZA, MOGOTES, MOLAGAVITA, ONZAG A, PALMAS DE SOCORRO, PARAMO,  PIEDECUESTA, PUENTE NACIONAL, PUERTO PARRA, RIONEGRO, SAN GIL, SANTA HELENA DE OPON, SUAITA y TONA y La Agencia de Desarrollo Rural ADR para canalizar los recursos que </w:t>
            </w:r>
            <w:r w:rsidRPr="00627621">
              <w:rPr>
                <w:rFonts w:ascii="Arial" w:eastAsia="Tahoma" w:hAnsi="Arial" w:cs="Arial"/>
                <w:color w:val="000000" w:themeColor="text1"/>
                <w:sz w:val="16"/>
                <w:szCs w:val="16"/>
              </w:rPr>
              <w:lastRenderedPageBreak/>
              <w:t>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13F7F333" w14:textId="161E863D" w:rsidR="00ED3400" w:rsidRPr="00627621" w:rsidRDefault="541C6FA7">
            <w:pPr>
              <w:jc w:val="center"/>
              <w:rPr>
                <w:rFonts w:ascii="Arial" w:hAnsi="Arial" w:cs="Arial"/>
                <w:color w:val="000000"/>
                <w:sz w:val="16"/>
                <w:szCs w:val="16"/>
              </w:rPr>
            </w:pPr>
            <w:r w:rsidRPr="00627621">
              <w:rPr>
                <w:rFonts w:ascii="Arial" w:eastAsia="Tahoma" w:hAnsi="Arial" w:cs="Arial"/>
                <w:color w:val="000000" w:themeColor="text1"/>
                <w:sz w:val="16"/>
                <w:szCs w:val="16"/>
              </w:rPr>
              <w:lastRenderedPageBreak/>
              <w:t xml:space="preserve">MUNICIPIOS DE ALBANIA, ARATOCA, BARBOSA, BETULIA, CHIPATA, CONTRATACIÓN, EL PEÑON, FLORIAN, JESUS MARIA, LA BELLEZA, LA PAZ, MATANZA, MOGOTES, MOLAGAVITA, ONZAG A, PALMAS DE SOCORRO, </w:t>
            </w:r>
            <w:r w:rsidR="4EA59F75" w:rsidRPr="00627621">
              <w:rPr>
                <w:rFonts w:ascii="Arial" w:eastAsia="Tahoma" w:hAnsi="Arial" w:cs="Arial"/>
                <w:color w:val="000000" w:themeColor="text1"/>
                <w:sz w:val="16"/>
                <w:szCs w:val="16"/>
              </w:rPr>
              <w:t>PARAMO, PIEDECUESTA</w:t>
            </w:r>
            <w:r w:rsidRPr="00627621">
              <w:rPr>
                <w:rFonts w:ascii="Arial" w:eastAsia="Tahoma" w:hAnsi="Arial" w:cs="Arial"/>
                <w:color w:val="000000" w:themeColor="text1"/>
                <w:sz w:val="16"/>
                <w:szCs w:val="16"/>
              </w:rPr>
              <w:t>, PUENTE NACIONAL, PUERTO PARRA, RIONEGRO, SAN GIL, SANTA HELENA DE OPON, SUAITA Y TONA</w:t>
            </w:r>
          </w:p>
        </w:tc>
        <w:tc>
          <w:tcPr>
            <w:tcW w:w="1276" w:type="dxa"/>
            <w:tcBorders>
              <w:top w:val="nil"/>
              <w:left w:val="nil"/>
              <w:bottom w:val="single" w:sz="8" w:space="0" w:color="auto"/>
              <w:right w:val="single" w:sz="8" w:space="0" w:color="auto"/>
            </w:tcBorders>
            <w:shd w:val="clear" w:color="auto" w:fill="auto"/>
            <w:vAlign w:val="center"/>
            <w:hideMark/>
          </w:tcPr>
          <w:p w14:paraId="2A39A4D9"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1.841.392.800</w:t>
            </w:r>
          </w:p>
        </w:tc>
        <w:tc>
          <w:tcPr>
            <w:tcW w:w="2732" w:type="dxa"/>
            <w:tcBorders>
              <w:top w:val="nil"/>
              <w:left w:val="nil"/>
              <w:bottom w:val="single" w:sz="8" w:space="0" w:color="auto"/>
              <w:right w:val="single" w:sz="8" w:space="0" w:color="auto"/>
            </w:tcBorders>
            <w:shd w:val="clear" w:color="auto" w:fill="auto"/>
            <w:vAlign w:val="center"/>
            <w:hideMark/>
          </w:tcPr>
          <w:p w14:paraId="0075F0F4"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onstancia=21-22-30145&amp;grecaptcharesponse=HFcWl3YhBWDD9zI1ZC X0NTXg8SECU1CmwvOhY8cR0Vei sAHGkwAW88dSofQy1YEN8NXgfAg0Ecw0GFFJqdSEwOiJ 8LWpwB2NER0Q0PUhdcSt0IEcuT iRIeiltSEcTAm5TXEpNfHgrIHQqCV YHRU4nIRofYDl2ETVzWTFGHl0lQi A4M0VUCGdZXmBwT093JhdALB E8ZR1g</w:t>
            </w:r>
          </w:p>
        </w:tc>
      </w:tr>
      <w:tr w:rsidR="00ED3400" w:rsidRPr="00627621" w14:paraId="199E2684" w14:textId="77777777" w:rsidTr="00DEA33A">
        <w:trPr>
          <w:trHeight w:val="181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8998E70"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con los municipios de AGUAZUL, LA SALINA, PORE, RECETOR, SAN LUIS DE PALENQUE y YOPAL del Departamento de Casanare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45FA2FC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AGUAZUL, LA SALINA, PORE, RECETOR, SAN LUIS DE PALENQUE Y YOPAL DEL DEPARTAMENTO DE CASANARE</w:t>
            </w:r>
          </w:p>
        </w:tc>
        <w:tc>
          <w:tcPr>
            <w:tcW w:w="1276" w:type="dxa"/>
            <w:tcBorders>
              <w:top w:val="nil"/>
              <w:left w:val="nil"/>
              <w:bottom w:val="single" w:sz="8" w:space="0" w:color="auto"/>
              <w:right w:val="single" w:sz="8" w:space="0" w:color="auto"/>
            </w:tcBorders>
            <w:shd w:val="clear" w:color="auto" w:fill="auto"/>
            <w:vAlign w:val="center"/>
            <w:hideMark/>
          </w:tcPr>
          <w:p w14:paraId="2A0713D9"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752.100.000</w:t>
            </w:r>
          </w:p>
        </w:tc>
        <w:tc>
          <w:tcPr>
            <w:tcW w:w="2732" w:type="dxa"/>
            <w:tcBorders>
              <w:top w:val="nil"/>
              <w:left w:val="nil"/>
              <w:bottom w:val="single" w:sz="8" w:space="0" w:color="auto"/>
              <w:right w:val="single" w:sz="8" w:space="0" w:color="auto"/>
            </w:tcBorders>
            <w:shd w:val="clear" w:color="auto" w:fill="auto"/>
            <w:vAlign w:val="center"/>
            <w:hideMark/>
          </w:tcPr>
          <w:p w14:paraId="6C9134A9" w14:textId="77777777" w:rsidR="00ED3400" w:rsidRPr="00627621" w:rsidRDefault="00ED3400">
            <w:pPr>
              <w:jc w:val="center"/>
              <w:rPr>
                <w:rFonts w:ascii="Arial" w:hAnsi="Arial" w:cs="Arial"/>
                <w:color w:val="000000"/>
                <w:sz w:val="16"/>
                <w:szCs w:val="16"/>
                <w:lang w:val="en-US"/>
              </w:rPr>
            </w:pPr>
            <w:r w:rsidRPr="00627621">
              <w:rPr>
                <w:rFonts w:ascii="Arial" w:hAnsi="Arial" w:cs="Arial"/>
                <w:color w:val="000000"/>
                <w:sz w:val="16"/>
                <w:szCs w:val="16"/>
                <w:lang w:val="en-US"/>
              </w:rPr>
              <w:t>https://community.secop.gov.co/ Public/Tendering/OpportunityDe tail/Index?noticeUID=CO1.NTC.2 368207&amp;isFromPublicArea=True &amp;isModal=true&amp;asPopupView=tr ue</w:t>
            </w:r>
          </w:p>
        </w:tc>
      </w:tr>
      <w:tr w:rsidR="00ED3400" w:rsidRPr="00627621" w14:paraId="74350A59" w14:textId="77777777" w:rsidTr="00DEA33A">
        <w:trPr>
          <w:trHeight w:val="480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33857D0"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Aunar esfuerzos técnicos, administrativos y financieros entre los municipios de CORDOBA, BUENAVISTA, PIJAO Y LA TEBAIDA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038DB9C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CORDOBA, BUENAVISTA, PIJAO Y LA TEBAIDA</w:t>
            </w:r>
          </w:p>
        </w:tc>
        <w:tc>
          <w:tcPr>
            <w:tcW w:w="1276" w:type="dxa"/>
            <w:tcBorders>
              <w:top w:val="nil"/>
              <w:left w:val="nil"/>
              <w:bottom w:val="single" w:sz="8" w:space="0" w:color="auto"/>
              <w:right w:val="single" w:sz="8" w:space="0" w:color="auto"/>
            </w:tcBorders>
            <w:shd w:val="clear" w:color="auto" w:fill="auto"/>
            <w:vAlign w:val="center"/>
            <w:hideMark/>
          </w:tcPr>
          <w:p w14:paraId="6F1DD53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304.592.800</w:t>
            </w:r>
          </w:p>
        </w:tc>
        <w:tc>
          <w:tcPr>
            <w:tcW w:w="2732" w:type="dxa"/>
            <w:tcBorders>
              <w:top w:val="nil"/>
              <w:left w:val="nil"/>
              <w:bottom w:val="single" w:sz="8" w:space="0" w:color="auto"/>
              <w:right w:val="single" w:sz="8" w:space="0" w:color="auto"/>
            </w:tcBorders>
            <w:shd w:val="clear" w:color="auto" w:fill="auto"/>
            <w:vAlign w:val="center"/>
            <w:hideMark/>
          </w:tcPr>
          <w:p w14:paraId="668AC1AD"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-27333&amp;g-recaptcha-response=03ADUVZwB63OkJUAArcv1e3FVx0DtAMpaDKvluWWZ8w4vQYniqJIwWxewAmWbDhLkOe_iFzKtFkcQ31UfMQa4YmBBaPSRZdtWRnZyeVq1hTdhn52LmZD1FbpnvM-mS25kkyiXEPCq3II_QimEQiqsND0gcy5t4xFJkMAzIrc6xMW0lOPK2FAYkLAyJJg2tn_toCom6q306Stm9H4RBKtptVyEcroPZ2iyrb-JW4hhH1RFZ9Pv35w9Z7KlANOmzl0ctgZhwoZb25HOCETXVqcstL0rEiCGiDKEZmjOcRozJuJJML_JGK_fvRqWmw3IGAw7X4TMWMDZy7KxWlIRt0wlGmGsqlwE87hbGhdRaFDjUdxjkMcgNQ9H3e43kqvSKQuoO6v8l_9OEa06ahOA__HK8Pd2iv5EPW34V9yJPqJj1VtrokJ5F2yoVB1MKwNDhNuFPG7Xp31bMtMYd1bYBAliHaObFBNKQVdWsccayWT0rgF9HJWtaua17UT2IP4yHsZvAZ1qyqphurTjtLbPDh3lMusNYPiquyy5EMBS3MxQ1tI-mD3bXf8vOAOxVgjtnxQX5GeGAy7YQ5mE7JoA7enQ8F_WeZYH2atiD_SbhKbnqQDPqOBqO-PG40_HDwazH5rYwD3GPYIpEjtXu</w:t>
            </w:r>
          </w:p>
        </w:tc>
      </w:tr>
      <w:tr w:rsidR="00ED3400" w:rsidRPr="00627621" w14:paraId="2FDF7B26" w14:textId="77777777" w:rsidTr="00DEA33A">
        <w:trPr>
          <w:trHeight w:val="480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31DAE5E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lastRenderedPageBreak/>
              <w:t>Aunar esfuerzos técnicos, administrativos y financieros entre los municipios de SAHAGÚN, PLANETA RICA, COTORRA, PUEBLO NUEVO, MOMIL y SAN BERNARDO DEL VIENTO y La Agencia de Desarrollo Rural ADR, para canalizar los recursos que permitirán la prestación del s ervicio público de extensión agropecuaria, a través de la contratación de las entidades prestadoras del servicio de extensión agropecuaria EPS 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35B1B1CB"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SAHAGÚN, PLANETA RICA, COTORRA, PUEBLO NUEVO, MOMIL Y SAN BERNARDO DEL VIENTO</w:t>
            </w:r>
          </w:p>
        </w:tc>
        <w:tc>
          <w:tcPr>
            <w:tcW w:w="1276" w:type="dxa"/>
            <w:tcBorders>
              <w:top w:val="nil"/>
              <w:left w:val="nil"/>
              <w:bottom w:val="single" w:sz="8" w:space="0" w:color="auto"/>
              <w:right w:val="single" w:sz="8" w:space="0" w:color="auto"/>
            </w:tcBorders>
            <w:shd w:val="clear" w:color="auto" w:fill="auto"/>
            <w:vAlign w:val="center"/>
            <w:hideMark/>
          </w:tcPr>
          <w:p w14:paraId="7CFE9667"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1.020.046.600</w:t>
            </w:r>
          </w:p>
        </w:tc>
        <w:tc>
          <w:tcPr>
            <w:tcW w:w="2732" w:type="dxa"/>
            <w:tcBorders>
              <w:top w:val="nil"/>
              <w:left w:val="nil"/>
              <w:bottom w:val="single" w:sz="8" w:space="0" w:color="auto"/>
              <w:right w:val="single" w:sz="8" w:space="0" w:color="auto"/>
            </w:tcBorders>
            <w:shd w:val="clear" w:color="auto" w:fill="auto"/>
            <w:vAlign w:val="center"/>
            <w:hideMark/>
          </w:tcPr>
          <w:p w14:paraId="4DDCEF91"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-28814&amp;g-recaptcha-response=03AFcWeA73DDTh41TbiCNyWnngVAmSgxxn42ruoS0rygrLHh6vPqr2aiOm1GuLiePQ0zoRn0Cr7o1UOwepGOYRkz_lWbW1AwqccyIIMqH7lV3JVDGNegx_jLe1GjN9wfgTIG3745ASTIyS88oeYUujRT-vY7YjXurQ1cPz3hXDOEgltcd52wLylXrjZtZcbU-A6c7LyYW88ZxxJMVR3VrTd_yVbhCebBy_76f5ZAPKquhpS5hHJTfAQg5Yf35lpCXk9dQbjrNxc9fKAhTtlvztRJwJ7QYQnaVcfJGXqAV5BEzdIpFWNj5YIubDwGfenDEEyEraWa7vMXXsUZhSUaeXhJ2SUoFvzVqxJV0HCFZ4gPFvPgy3qzuI8Q6XcOWkY5grxigdvg5Bz37TD22RA6d7kMb5_wP_R8LYJQE6xK2WrNCM_wy8LobkWXFMoyo1zM9tnWZkdboStyfXdYnqsrZLUUYBW_Nf0AhyKRDA4BkOJ2eqJicbSRevIjUPdZ2WUEzVFFS0YOUq8SUsW-XtBjkVgLj9Ehuj54uD-G8tTjyFm6jbIV304pZiCgEGIdqYdH9WczneWIqIH9PS5xlsABIElhoAb17xPIVLVElZ4x2nLmuwWKpITqOrIlTbA_5KzqqcjaBIr6VPFzrW</w:t>
            </w:r>
          </w:p>
        </w:tc>
      </w:tr>
      <w:tr w:rsidR="00ED3400" w:rsidRPr="00627621" w14:paraId="379433B2" w14:textId="77777777" w:rsidTr="00DEA33A">
        <w:trPr>
          <w:trHeight w:val="282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2B8422B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 </w:t>
            </w:r>
            <w:r w:rsidRPr="00627621">
              <w:rPr>
                <w:rFonts w:ascii="Arial" w:eastAsia="Tahoma" w:hAnsi="Arial" w:cs="Arial"/>
                <w:color w:val="3D3D3D"/>
                <w:sz w:val="16"/>
                <w:szCs w:val="16"/>
              </w:rPr>
              <w:t>Aunar esfuerzos técnicos, administrativos y financieros entre el Departamento de GUAJIRA, los municipios de URIBIA, HATONUEVO, BARRANCAS, FONSECA, DISTRACCIÓN, SAN JUAN DEL CESAR, EL MOLINO, VILLANUEVA, URUMITA, LA JAGUA DEL PILAR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0735A6D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MUNICIPIOS DE VILLANUEVA, EL MOLINO, DISTRACCION, URIBIA, HATONUEVO, BARRANCAS, FONSECA, SAN JUAN DEL CESAR, URUMITA, LA JAGUA DEL PILAR</w:t>
            </w:r>
          </w:p>
        </w:tc>
        <w:tc>
          <w:tcPr>
            <w:tcW w:w="1276" w:type="dxa"/>
            <w:tcBorders>
              <w:top w:val="nil"/>
              <w:left w:val="nil"/>
              <w:bottom w:val="single" w:sz="8" w:space="0" w:color="auto"/>
              <w:right w:val="single" w:sz="8" w:space="0" w:color="auto"/>
            </w:tcBorders>
            <w:shd w:val="clear" w:color="auto" w:fill="auto"/>
            <w:vAlign w:val="center"/>
            <w:hideMark/>
          </w:tcPr>
          <w:p w14:paraId="304F764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2.374.893.372</w:t>
            </w:r>
          </w:p>
        </w:tc>
        <w:tc>
          <w:tcPr>
            <w:tcW w:w="2732" w:type="dxa"/>
            <w:tcBorders>
              <w:top w:val="nil"/>
              <w:left w:val="nil"/>
              <w:bottom w:val="single" w:sz="8" w:space="0" w:color="auto"/>
              <w:right w:val="single" w:sz="8" w:space="0" w:color="auto"/>
            </w:tcBorders>
            <w:shd w:val="clear" w:color="auto" w:fill="auto"/>
            <w:vAlign w:val="center"/>
            <w:hideMark/>
          </w:tcPr>
          <w:p w14:paraId="737A582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onstancia=21-22-32197&amp;grecaptcharesponse=03AGdBq25FTTo02rNP OqgtQRV_5sv9qg9_kbOcaZ8mQG TI4096yHSAXFyYeS9lEZovCPe3- VPXeUs6iv_uw8t_bqT02lkIdGFgjF 5JhbTI0aYQr3UQnJ7_lUC5U0Rdv cnuE3Wahwf-M5nUX470IIK5ZeOz7p0tt_klaFcFKpOOh6Abjg D6- 3qnBLw1JxRnlG7S5YxZRPPecFKX pqPm_Cw5ySrlig4isnw8OBGv9i5 NXiB2T1jhe3uy_U6mQw0eLaSRoMobYy4iL9K0FA3pofEg2xc H9WtqaAZmUF6M1KBrJ_qXXAa</w:t>
            </w:r>
          </w:p>
        </w:tc>
      </w:tr>
      <w:tr w:rsidR="00ED3400" w:rsidRPr="00627621" w14:paraId="7F770387" w14:textId="77777777" w:rsidTr="00DEA33A">
        <w:trPr>
          <w:trHeight w:val="298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B900C9B"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entre los municipios de ARCABUCO, BELEN, BERBEO, CHITARAQUE, CIÉNEGA, COPER, GUACAMAYAS, IZA, MONGUI, SOCHA, NUEVO COLON, PANQUEBA y ZETAQUIRA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70406116"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municipios de ARCABUCO, BELEN, BERBEO, CHITARAQUE, CIÉNEGA, COPER, GUACAMAYAS, IZA, MONGUI, SOCHA, NUEVO COLON, PANQUEBA y ZETAQUIRA</w:t>
            </w:r>
          </w:p>
        </w:tc>
        <w:tc>
          <w:tcPr>
            <w:tcW w:w="1276" w:type="dxa"/>
            <w:tcBorders>
              <w:top w:val="nil"/>
              <w:left w:val="nil"/>
              <w:bottom w:val="single" w:sz="8" w:space="0" w:color="auto"/>
              <w:right w:val="single" w:sz="8" w:space="0" w:color="auto"/>
            </w:tcBorders>
            <w:shd w:val="clear" w:color="auto" w:fill="auto"/>
            <w:vAlign w:val="center"/>
            <w:hideMark/>
          </w:tcPr>
          <w:p w14:paraId="70D96D78"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887.757.000</w:t>
            </w:r>
          </w:p>
        </w:tc>
        <w:tc>
          <w:tcPr>
            <w:tcW w:w="2732" w:type="dxa"/>
            <w:tcBorders>
              <w:top w:val="nil"/>
              <w:left w:val="nil"/>
              <w:bottom w:val="single" w:sz="8" w:space="0" w:color="auto"/>
              <w:right w:val="single" w:sz="8" w:space="0" w:color="auto"/>
            </w:tcBorders>
            <w:shd w:val="clear" w:color="auto" w:fill="auto"/>
            <w:vAlign w:val="center"/>
            <w:hideMark/>
          </w:tcPr>
          <w:p w14:paraId="604984C2"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 nsultas/detalleProceso.do?numC onstancia=21-22-30204&amp;grecaptcharesponse=03AGdBq26xRY3YXMn Xovo2Wq32PtgSUc8oet9Q2zPgPu YnMMlR9M8LcFwW0ISvoV46Rsl9 JGELAeAw6fCnOhk8ahjA8192cgQ am3h9C8m5wFDwP_CfDlND0M5 VViy-_HPpBNXTjjAedMq3c5RYJhgcwI1dQOmcqx73S023siBh2Yxy3QdpYVuPlrBVKHedqNu0mtuqtz PD9uGr8WtMVlGMnXHFmhxnM8 6MXl_6I7k3tLSnFehKcNYpw7Ezw hSeFecDnB0zUFxtbpdyCmKgfJ6</w:t>
            </w:r>
          </w:p>
        </w:tc>
      </w:tr>
      <w:tr w:rsidR="00ED3400" w:rsidRPr="00627621" w14:paraId="1EF1F219"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3CF5851"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lastRenderedPageBreak/>
              <w:t>Aunar esfuerzos técnicos, administrativos y financieros entre el municipio de TIERRALTA del Departamento de Córdoba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147BE216"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MUNICIPIO DE TIERRALTA DEL DEPARTAMENTO DE CÓRDOBA</w:t>
            </w:r>
          </w:p>
        </w:tc>
        <w:tc>
          <w:tcPr>
            <w:tcW w:w="1276" w:type="dxa"/>
            <w:tcBorders>
              <w:top w:val="nil"/>
              <w:left w:val="nil"/>
              <w:bottom w:val="single" w:sz="8" w:space="0" w:color="auto"/>
              <w:right w:val="single" w:sz="8" w:space="0" w:color="auto"/>
            </w:tcBorders>
            <w:shd w:val="clear" w:color="auto" w:fill="auto"/>
            <w:vAlign w:val="center"/>
            <w:hideMark/>
          </w:tcPr>
          <w:p w14:paraId="6F9D247B"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250.235.800</w:t>
            </w:r>
          </w:p>
        </w:tc>
        <w:tc>
          <w:tcPr>
            <w:tcW w:w="2732" w:type="dxa"/>
            <w:tcBorders>
              <w:top w:val="nil"/>
              <w:left w:val="nil"/>
              <w:bottom w:val="single" w:sz="8" w:space="0" w:color="auto"/>
              <w:right w:val="single" w:sz="8" w:space="0" w:color="auto"/>
            </w:tcBorders>
            <w:shd w:val="clear" w:color="auto" w:fill="auto"/>
            <w:vAlign w:val="center"/>
            <w:hideMark/>
          </w:tcPr>
          <w:p w14:paraId="7A8D6F40"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https://community.secop.gov.co/Public/Tendering/ContractNoticeManagement/Index?currentLanguage=es-CO&amp;Page=login&amp;Country=CO&amp;SkinName=CCE</w:t>
            </w:r>
          </w:p>
        </w:tc>
      </w:tr>
      <w:tr w:rsidR="00ED3400" w:rsidRPr="00627621" w14:paraId="59B6B238" w14:textId="77777777" w:rsidTr="00DEA33A">
        <w:trPr>
          <w:trHeight w:val="529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2E168B2"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entre el departamento del TOLIMA, los municipios de IBAGUE, FALAN, ICONONZO, NATAGAIMA, ANZOATEGUI, ROVIRA, PLANADAS, SALDAÑA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5C7A56AB"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DEPARTAMENTO DEL TOLIMA, LOS MUNICIPIOS DE IBAGUE, FALAN, ICONONZO NATAGAIMA, ANZOATEGUI, ROVIRA, PLANADAS, SALDAÑA</w:t>
            </w:r>
          </w:p>
        </w:tc>
        <w:tc>
          <w:tcPr>
            <w:tcW w:w="1276" w:type="dxa"/>
            <w:tcBorders>
              <w:top w:val="nil"/>
              <w:left w:val="nil"/>
              <w:bottom w:val="single" w:sz="8" w:space="0" w:color="auto"/>
              <w:right w:val="single" w:sz="8" w:space="0" w:color="auto"/>
            </w:tcBorders>
            <w:shd w:val="clear" w:color="auto" w:fill="auto"/>
            <w:vAlign w:val="center"/>
            <w:hideMark/>
          </w:tcPr>
          <w:p w14:paraId="5C5BCE70"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840.000.000</w:t>
            </w:r>
          </w:p>
        </w:tc>
        <w:tc>
          <w:tcPr>
            <w:tcW w:w="2732" w:type="dxa"/>
            <w:tcBorders>
              <w:top w:val="nil"/>
              <w:left w:val="nil"/>
              <w:bottom w:val="single" w:sz="8" w:space="0" w:color="auto"/>
              <w:right w:val="single" w:sz="8" w:space="0" w:color="auto"/>
            </w:tcBorders>
            <w:shd w:val="clear" w:color="auto" w:fill="auto"/>
            <w:vAlign w:val="center"/>
            <w:hideMark/>
          </w:tcPr>
          <w:p w14:paraId="490B833E"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-28647&amp;g-recaptcha-response=03ADUVZwAIX6VG3V4tqGIMrDMVQE_Pv4JNgu6ACfac_FDW6vdeyDYIrhiuzzhJUysqgT7p81iUxwCFrA1PtI0SieTKeHXBD8V6Rz_P00rYHyiUkZfpTAOZ9CCSgdFwjzb-DqJgmQCbQVoBgdgWIPGnc0P_KY-sZxtETz9-YQh7P3RaIyijbQ9qkOQuV0jPENwf0ntGL59ajdGRnGNBGelyYlj49bSLy5mu_sSA2-6phnGZof1on-UiGXBMmKltL_j_j9MhkRE7MFpwrG9kZmGpxtMsMHVZbYi8pthusw6Ykw_6f1j7OP2Rm2Vw2HO6n923X7Y6rmjeeXJwqaOfkFh-SwipQ_VGZDnG6hGLzu5ca_qZjV7V3aPDZWDxzn6-q1_24E-sPNw0SM4uhCAscDVcLpur3f3xm0w0VvmkQK6Pa3-Gz67e1lihriw6tpmwS6E3nLDfGWaCiVzAVuPP1_j2WNvWCy-nydxQMVa7-aG00JraiCjkCFvO9EQwVjTRzdve_TVQm3a1Jih7Wt1pdOQV1gSU3CN-Q5h_yQtju6joNXI646g9dIGe703GR3ZdxMQ1rRMZbDdFWe47licmGsYPSkijvE9NWDKgNXAnCy48NT7vP5hhsYZK0gEP6xEri0tEiKdVNsFEP211</w:t>
            </w:r>
          </w:p>
        </w:tc>
      </w:tr>
      <w:tr w:rsidR="00ED3400" w:rsidRPr="00627621" w14:paraId="1299D385" w14:textId="77777777" w:rsidTr="00DEA33A">
        <w:trPr>
          <w:trHeight w:val="5130"/>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50E0003C" w14:textId="7BBE6D12" w:rsidR="00ED3400" w:rsidRPr="00627621" w:rsidRDefault="541C6FA7">
            <w:pPr>
              <w:jc w:val="center"/>
              <w:rPr>
                <w:rFonts w:ascii="Arial" w:hAnsi="Arial" w:cs="Arial"/>
                <w:color w:val="000000"/>
                <w:sz w:val="16"/>
                <w:szCs w:val="16"/>
              </w:rPr>
            </w:pPr>
            <w:r w:rsidRPr="00627621">
              <w:rPr>
                <w:rFonts w:ascii="Arial" w:hAnsi="Arial" w:cs="Arial"/>
                <w:color w:val="000000" w:themeColor="text1"/>
                <w:sz w:val="16"/>
                <w:szCs w:val="16"/>
              </w:rPr>
              <w:lastRenderedPageBreak/>
              <w:t>Aunar esfuerzos técnicos, administrativos y financieros entre el departamento de</w:t>
            </w:r>
            <w:r w:rsidR="00A65329" w:rsidRPr="00627621">
              <w:rPr>
                <w:rFonts w:ascii="Arial" w:hAnsi="Arial" w:cs="Arial"/>
                <w:color w:val="000000" w:themeColor="text1"/>
                <w:sz w:val="16"/>
                <w:szCs w:val="16"/>
              </w:rPr>
              <w:t xml:space="preserve"> SUCRE</w:t>
            </w:r>
            <w:r w:rsidRPr="00627621">
              <w:rPr>
                <w:rFonts w:ascii="Arial" w:hAnsi="Arial" w:cs="Arial"/>
                <w:color w:val="000000" w:themeColor="text1"/>
                <w:sz w:val="16"/>
                <w:szCs w:val="16"/>
              </w:rPr>
              <w:t xml:space="preserve">, los municipios de SAN VICENTE DEL CAGUÁN y CARTAGENA DEL CHAIRÁ y La Agencia de Desarrollo Rural - ADR, para canalizar los recursos que permitirán la prestación del servicio público de extensión agropecuaria, a través de la contratación de las entidades prestadoras del servicio de extensión agropecuaria EPSEA, </w:t>
            </w:r>
            <w:r w:rsidR="40EB280D" w:rsidRPr="00627621">
              <w:rPr>
                <w:rFonts w:ascii="Arial" w:hAnsi="Arial" w:cs="Arial"/>
                <w:color w:val="000000" w:themeColor="text1"/>
                <w:sz w:val="16"/>
                <w:szCs w:val="16"/>
              </w:rPr>
              <w:t>debidamente habilitadas</w:t>
            </w:r>
            <w:r w:rsidRPr="00627621">
              <w:rPr>
                <w:rFonts w:ascii="Arial" w:hAnsi="Arial" w:cs="Arial"/>
                <w:color w:val="000000" w:themeColor="text1"/>
                <w:sz w:val="16"/>
                <w:szCs w:val="16"/>
              </w:rPr>
              <w:t>.</w:t>
            </w:r>
          </w:p>
        </w:tc>
        <w:tc>
          <w:tcPr>
            <w:tcW w:w="2126" w:type="dxa"/>
            <w:tcBorders>
              <w:top w:val="nil"/>
              <w:left w:val="nil"/>
              <w:bottom w:val="single" w:sz="8" w:space="0" w:color="auto"/>
              <w:right w:val="single" w:sz="8" w:space="0" w:color="auto"/>
            </w:tcBorders>
            <w:shd w:val="clear" w:color="auto" w:fill="auto"/>
            <w:vAlign w:val="center"/>
            <w:hideMark/>
          </w:tcPr>
          <w:p w14:paraId="3C75DB3C"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MUNICIPIOS DE SAN VICENTE DEL CAGUÁN Y CARTAGENA DEL CHAIRÁ</w:t>
            </w:r>
          </w:p>
        </w:tc>
        <w:tc>
          <w:tcPr>
            <w:tcW w:w="1276" w:type="dxa"/>
            <w:tcBorders>
              <w:top w:val="nil"/>
              <w:left w:val="nil"/>
              <w:bottom w:val="single" w:sz="8" w:space="0" w:color="auto"/>
              <w:right w:val="single" w:sz="8" w:space="0" w:color="auto"/>
            </w:tcBorders>
            <w:shd w:val="clear" w:color="auto" w:fill="auto"/>
            <w:vAlign w:val="center"/>
            <w:hideMark/>
          </w:tcPr>
          <w:p w14:paraId="106853A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360.000.000</w:t>
            </w:r>
          </w:p>
        </w:tc>
        <w:tc>
          <w:tcPr>
            <w:tcW w:w="2732" w:type="dxa"/>
            <w:tcBorders>
              <w:top w:val="nil"/>
              <w:left w:val="nil"/>
              <w:bottom w:val="single" w:sz="8" w:space="0" w:color="auto"/>
              <w:right w:val="single" w:sz="8" w:space="0" w:color="auto"/>
            </w:tcBorders>
            <w:shd w:val="clear" w:color="auto" w:fill="auto"/>
            <w:vAlign w:val="center"/>
            <w:hideMark/>
          </w:tcPr>
          <w:p w14:paraId="0D5F0D9C"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www.contratos.gov.co/consultas/detalleProceso.do?numConstancia=21-22-28586&amp;g-recaptcha-response=03ADUVZwAER7yenLmUuIwKHBIFQtyM2ernZYpM8ZTwJslJV_eoJlgcnFeIR32qLqx3XdL9Xnandcbk5LcgBtyp98KrpV8M0sgvdQ50s91x1Mt9TGnxrFu4Fu9qgfdHbM7TZRvy2Ot2ccfk-WAj7GTVq4cuC4Lc2bsTKRKQGbzQt-AayTnwcxFf6XveRsOwutR4taYuze-BOtL8xO_4ybdFPEcQkGG8preCWq3QG1NfWfLLZcmsHzwfh7WwcpvrPE-ZKh1Wgq9uByX59NgMQ7xrRA7DrPCvF0wXUexyMeEgJYmceNogmeIGH_a16cpB3g002SuHaw1irwKadGYvJAxmpM-SIZ1A6HVJxF37tJc6j17J7PzgrRq-cVQmLq6873OAr1Rkkvm3fTZ_HhdYYSTY9NoT3kaRASqLZWODT7jRZzsNOb69djJFtZZd75Audy9_GXNM5n_sCDcgcBi4MTDQW06bT0r-uHkKre7lCTsXiKocrmRnX8innNcZe5A__VyiaPjNIS_6OqMT2ODsZYNTaOD4F6V3SvpFcLdXZoQdIMQnZVspdCERlhjzJ0YCADj1J7xVYaDr14RdyxONBDkcrj6tuMUswIiBXD0EPRf24vm3f0wf1dopt1-_9jeopBIV4uLvFpvvNvyv</w:t>
            </w:r>
          </w:p>
        </w:tc>
      </w:tr>
      <w:tr w:rsidR="00ED3400" w:rsidRPr="00627621" w14:paraId="282F003C"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3254517C"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entre el municipio de SAN CRISTOBAL en el Departamento de BOLIVAR y La Agencia de Desarrollo Rural - ADR, para canalizar los recursos que permitirán la prestación del Servicio Público de Extensión Agropecuaria, a través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7C6D66A"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MUNICIPIO DE SAN CRISTOBAL EN EL DEPARTAMENTO DE BOLIVAR</w:t>
            </w:r>
          </w:p>
        </w:tc>
        <w:tc>
          <w:tcPr>
            <w:tcW w:w="1276" w:type="dxa"/>
            <w:tcBorders>
              <w:top w:val="nil"/>
              <w:left w:val="nil"/>
              <w:bottom w:val="single" w:sz="8" w:space="0" w:color="auto"/>
              <w:right w:val="single" w:sz="8" w:space="0" w:color="auto"/>
            </w:tcBorders>
            <w:shd w:val="clear" w:color="auto" w:fill="auto"/>
            <w:vAlign w:val="center"/>
            <w:hideMark/>
          </w:tcPr>
          <w:p w14:paraId="521C8E94"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451.275.000</w:t>
            </w:r>
          </w:p>
        </w:tc>
        <w:tc>
          <w:tcPr>
            <w:tcW w:w="2732" w:type="dxa"/>
            <w:tcBorders>
              <w:top w:val="nil"/>
              <w:left w:val="nil"/>
              <w:bottom w:val="single" w:sz="8" w:space="0" w:color="auto"/>
              <w:right w:val="single" w:sz="8" w:space="0" w:color="auto"/>
            </w:tcBorders>
            <w:shd w:val="clear" w:color="auto" w:fill="auto"/>
            <w:vAlign w:val="center"/>
            <w:hideMark/>
          </w:tcPr>
          <w:p w14:paraId="2C969716" w14:textId="77777777" w:rsidR="00ED3400" w:rsidRPr="00627621" w:rsidRDefault="00ED3400">
            <w:pPr>
              <w:jc w:val="center"/>
              <w:rPr>
                <w:rFonts w:ascii="Arial" w:hAnsi="Arial" w:cs="Arial"/>
                <w:color w:val="000000"/>
                <w:sz w:val="16"/>
                <w:szCs w:val="16"/>
                <w:lang w:val="en-US"/>
              </w:rPr>
            </w:pPr>
            <w:r w:rsidRPr="00627621">
              <w:rPr>
                <w:rFonts w:ascii="Arial" w:hAnsi="Arial" w:cs="Arial"/>
                <w:color w:val="000000"/>
                <w:sz w:val="16"/>
                <w:szCs w:val="16"/>
                <w:lang w:val="en-US"/>
              </w:rPr>
              <w:t>https://community.secop.gov.co/ Public/Tendering/OpportunityDe tail/Index?noticeUID=CO1.NTC.2 366279&amp;isFromPublicArea=True &amp;isModal=False</w:t>
            </w:r>
          </w:p>
        </w:tc>
      </w:tr>
      <w:tr w:rsidR="00ED3400" w:rsidRPr="00627621" w14:paraId="78100EF1" w14:textId="77777777" w:rsidTr="00DEA33A">
        <w:trPr>
          <w:trHeight w:val="145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2E28BE16"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con el municipio de SAN JUAN DE URABA y La Agencia de Desarrollo Rural - ADR, para canalizar los recursos que permitirán la prestación del servicio público de extensión agropecuaria, a través de la contratación de las Entidades Prestadoras del Servicio 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6C1125FC"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MUNICIPIO DE SAN JUAN DE URABA</w:t>
            </w:r>
          </w:p>
        </w:tc>
        <w:tc>
          <w:tcPr>
            <w:tcW w:w="1276" w:type="dxa"/>
            <w:tcBorders>
              <w:top w:val="nil"/>
              <w:left w:val="nil"/>
              <w:bottom w:val="single" w:sz="8" w:space="0" w:color="auto"/>
              <w:right w:val="single" w:sz="8" w:space="0" w:color="auto"/>
            </w:tcBorders>
            <w:shd w:val="clear" w:color="auto" w:fill="auto"/>
            <w:vAlign w:val="center"/>
            <w:hideMark/>
          </w:tcPr>
          <w:p w14:paraId="68EB2623"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750.425.000</w:t>
            </w:r>
          </w:p>
        </w:tc>
        <w:tc>
          <w:tcPr>
            <w:tcW w:w="2732" w:type="dxa"/>
            <w:tcBorders>
              <w:top w:val="nil"/>
              <w:left w:val="nil"/>
              <w:bottom w:val="single" w:sz="8" w:space="0" w:color="auto"/>
              <w:right w:val="single" w:sz="8" w:space="0" w:color="auto"/>
            </w:tcBorders>
            <w:shd w:val="clear" w:color="auto" w:fill="auto"/>
            <w:vAlign w:val="center"/>
            <w:hideMark/>
          </w:tcPr>
          <w:p w14:paraId="2022F4A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https://community.secop.gov.co/Public/Tendering/OpportunityDetail/Index?noticeUID=CO1.NTC.2381621&amp;isFromPublicArea=True&amp;isModal=true&amp;asPopupView=true</w:t>
            </w:r>
          </w:p>
        </w:tc>
      </w:tr>
      <w:tr w:rsidR="00ED3400" w:rsidRPr="00627621" w14:paraId="00DE595C" w14:textId="77777777" w:rsidTr="00DEA33A">
        <w:trPr>
          <w:trHeight w:val="446"/>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B1A2BD0"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 xml:space="preserve">Aunar esfuerzos técnicos, administrativos y financieros con el municipio de TUCHÍN y La Agencia de Desarrollo Rural - ADR, para canalizar los recursos que permitirán la prestación del servicio público de extensión agropecuaria, a través de la contratación de las Entidades Prestadoras del Servicio </w:t>
            </w:r>
            <w:r w:rsidRPr="00627621">
              <w:rPr>
                <w:rFonts w:ascii="Arial" w:hAnsi="Arial" w:cs="Arial"/>
                <w:color w:val="000000"/>
                <w:sz w:val="16"/>
                <w:szCs w:val="16"/>
              </w:rPr>
              <w:lastRenderedPageBreak/>
              <w:t>de Extensión Agropecuaria EPSEA, debidamente habilitadas.</w:t>
            </w:r>
          </w:p>
        </w:tc>
        <w:tc>
          <w:tcPr>
            <w:tcW w:w="2126" w:type="dxa"/>
            <w:tcBorders>
              <w:top w:val="nil"/>
              <w:left w:val="nil"/>
              <w:bottom w:val="single" w:sz="8" w:space="0" w:color="auto"/>
              <w:right w:val="single" w:sz="8" w:space="0" w:color="auto"/>
            </w:tcBorders>
            <w:shd w:val="clear" w:color="auto" w:fill="auto"/>
            <w:vAlign w:val="center"/>
            <w:hideMark/>
          </w:tcPr>
          <w:p w14:paraId="560F9291"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lastRenderedPageBreak/>
              <w:t>MUNICIPIO DE TUCHÍN</w:t>
            </w:r>
          </w:p>
        </w:tc>
        <w:tc>
          <w:tcPr>
            <w:tcW w:w="1276" w:type="dxa"/>
            <w:tcBorders>
              <w:top w:val="nil"/>
              <w:left w:val="nil"/>
              <w:bottom w:val="single" w:sz="8" w:space="0" w:color="auto"/>
              <w:right w:val="single" w:sz="8" w:space="0" w:color="auto"/>
            </w:tcBorders>
            <w:shd w:val="clear" w:color="auto" w:fill="auto"/>
            <w:vAlign w:val="center"/>
            <w:hideMark/>
          </w:tcPr>
          <w:p w14:paraId="2E76B3DF"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1.144.363.800</w:t>
            </w:r>
          </w:p>
        </w:tc>
        <w:tc>
          <w:tcPr>
            <w:tcW w:w="2732" w:type="dxa"/>
            <w:tcBorders>
              <w:top w:val="nil"/>
              <w:left w:val="nil"/>
              <w:bottom w:val="single" w:sz="8" w:space="0" w:color="auto"/>
              <w:right w:val="single" w:sz="8" w:space="0" w:color="auto"/>
            </w:tcBorders>
            <w:shd w:val="clear" w:color="auto" w:fill="auto"/>
            <w:vAlign w:val="center"/>
            <w:hideMark/>
          </w:tcPr>
          <w:p w14:paraId="1ADF3AC5" w14:textId="77777777" w:rsidR="00ED3400" w:rsidRPr="00627621" w:rsidRDefault="00ED3400">
            <w:pPr>
              <w:jc w:val="center"/>
              <w:rPr>
                <w:rFonts w:ascii="Arial"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https://community.secop.gov.co/Public/Tendering/OpportunityDetail/Index?noticeUID=CO1.NTC.2390287&amp;isFromPublicArea=True&amp;isModal=true&amp;asPopupView=true</w:t>
            </w:r>
          </w:p>
        </w:tc>
      </w:tr>
      <w:tr w:rsidR="00ED3400" w:rsidRPr="00627621" w14:paraId="1165207C"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D16BDF7"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PARA LA PRESTACIÓN DEL SERVICIO PÚBLICO DE EXTENSIÓN AGROPECUARIA CONFORME A LO DISPUESTO EN LA LEY 1876 DE 2017, RESPONDIENDO A LAS NECESIDADES DEFINIDAS EN EL PROYECTO DE EXTENSION AGROPECUARIA DEL DEPARTAMENTO DE BOYACÁ.</w:t>
            </w:r>
          </w:p>
        </w:tc>
        <w:tc>
          <w:tcPr>
            <w:tcW w:w="2126" w:type="dxa"/>
            <w:tcBorders>
              <w:top w:val="nil"/>
              <w:left w:val="nil"/>
              <w:bottom w:val="single" w:sz="8" w:space="0" w:color="auto"/>
              <w:right w:val="single" w:sz="8" w:space="0" w:color="auto"/>
            </w:tcBorders>
            <w:shd w:val="clear" w:color="auto" w:fill="auto"/>
            <w:vAlign w:val="center"/>
            <w:hideMark/>
          </w:tcPr>
          <w:p w14:paraId="1C8298A2"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PEDAGOGICA Y TECNOLOGICA DE COLOMBIA</w:t>
            </w:r>
          </w:p>
        </w:tc>
        <w:tc>
          <w:tcPr>
            <w:tcW w:w="1276" w:type="dxa"/>
            <w:tcBorders>
              <w:top w:val="nil"/>
              <w:left w:val="nil"/>
              <w:bottom w:val="single" w:sz="8" w:space="0" w:color="auto"/>
              <w:right w:val="single" w:sz="8" w:space="0" w:color="auto"/>
            </w:tcBorders>
            <w:shd w:val="clear" w:color="auto" w:fill="auto"/>
            <w:vAlign w:val="center"/>
            <w:hideMark/>
          </w:tcPr>
          <w:p w14:paraId="59262D15"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6.260.632.370</w:t>
            </w:r>
          </w:p>
        </w:tc>
        <w:tc>
          <w:tcPr>
            <w:tcW w:w="2732" w:type="dxa"/>
            <w:tcBorders>
              <w:top w:val="nil"/>
              <w:left w:val="nil"/>
              <w:bottom w:val="single" w:sz="8" w:space="0" w:color="auto"/>
              <w:right w:val="single" w:sz="8" w:space="0" w:color="auto"/>
            </w:tcBorders>
            <w:shd w:val="clear" w:color="auto" w:fill="auto"/>
            <w:vAlign w:val="center"/>
            <w:hideMark/>
          </w:tcPr>
          <w:p w14:paraId="289C5B3E" w14:textId="77777777" w:rsidR="00ED3400" w:rsidRPr="00627621" w:rsidRDefault="00ED3400">
            <w:pPr>
              <w:jc w:val="center"/>
              <w:rPr>
                <w:rFonts w:ascii="Arial" w:hAnsi="Arial" w:cs="Arial"/>
                <w:color w:val="000000"/>
                <w:sz w:val="16"/>
                <w:szCs w:val="16"/>
              </w:rPr>
            </w:pPr>
            <w:hyperlink r:id="rId41" w:history="1">
              <w:r w:rsidRPr="00627621">
                <w:rPr>
                  <w:rFonts w:ascii="Arial" w:eastAsia="Tahoma" w:hAnsi="Arial" w:cs="Arial"/>
                  <w:color w:val="000000"/>
                  <w:sz w:val="16"/>
                  <w:szCs w:val="16"/>
                </w:rPr>
                <w:t>https://community.secop.gov.co/Public/Tendering/OpportunityDetail/Index?noticeUID=CO1.NTC.4823751&amp;isFromPublicArea=True&amp;isModal=true&amp;asPopupView=true</w:t>
              </w:r>
            </w:hyperlink>
          </w:p>
        </w:tc>
      </w:tr>
      <w:tr w:rsidR="00ED3400" w:rsidRPr="00627621" w14:paraId="79975B91" w14:textId="77777777" w:rsidTr="00DEA33A">
        <w:trPr>
          <w:trHeight w:val="163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F9BE90B"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PARA LA PRESTACIÓN DEL SERVICIO PÚBLICO DE EXTENSIÓN AGROPECUARIA CONFORME A LO DISPUESTO EN LA LEY 1876 DE 2017, RESPONDIENDO A LAS NECESIDADES DEFINIDAS EN EL PROYECTO DE EXTENSION AGROPECUARIA DEL DEPARTAMENTO DE BOYACÁ.</w:t>
            </w:r>
          </w:p>
        </w:tc>
        <w:tc>
          <w:tcPr>
            <w:tcW w:w="2126" w:type="dxa"/>
            <w:tcBorders>
              <w:top w:val="nil"/>
              <w:left w:val="nil"/>
              <w:bottom w:val="single" w:sz="8" w:space="0" w:color="auto"/>
              <w:right w:val="single" w:sz="8" w:space="0" w:color="auto"/>
            </w:tcBorders>
            <w:shd w:val="clear" w:color="auto" w:fill="auto"/>
            <w:vAlign w:val="center"/>
            <w:hideMark/>
          </w:tcPr>
          <w:p w14:paraId="4B484D72"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PEDAGOGICA Y TECNOLOGICA DE COLOMBIA - UPTC</w:t>
            </w:r>
          </w:p>
        </w:tc>
        <w:tc>
          <w:tcPr>
            <w:tcW w:w="1276" w:type="dxa"/>
            <w:tcBorders>
              <w:top w:val="nil"/>
              <w:left w:val="nil"/>
              <w:bottom w:val="single" w:sz="8" w:space="0" w:color="auto"/>
              <w:right w:val="single" w:sz="8" w:space="0" w:color="auto"/>
            </w:tcBorders>
            <w:shd w:val="clear" w:color="auto" w:fill="auto"/>
            <w:vAlign w:val="center"/>
            <w:hideMark/>
          </w:tcPr>
          <w:p w14:paraId="2FCFF165" w14:textId="29A1AEBD"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6</w:t>
            </w:r>
            <w:r w:rsidR="00600D56" w:rsidRPr="00627621">
              <w:rPr>
                <w:rFonts w:ascii="Arial" w:hAnsi="Arial" w:cs="Arial"/>
                <w:color w:val="000000"/>
                <w:sz w:val="16"/>
                <w:szCs w:val="16"/>
              </w:rPr>
              <w:t>.</w:t>
            </w:r>
            <w:r w:rsidRPr="00627621">
              <w:rPr>
                <w:rFonts w:ascii="Arial" w:hAnsi="Arial" w:cs="Arial"/>
                <w:color w:val="000000"/>
                <w:sz w:val="16"/>
                <w:szCs w:val="16"/>
              </w:rPr>
              <w:t>260</w:t>
            </w:r>
            <w:r w:rsidR="00600D56" w:rsidRPr="00627621">
              <w:rPr>
                <w:rFonts w:ascii="Arial" w:hAnsi="Arial" w:cs="Arial"/>
                <w:color w:val="000000"/>
                <w:sz w:val="16"/>
                <w:szCs w:val="16"/>
              </w:rPr>
              <w:t>.</w:t>
            </w:r>
            <w:r w:rsidRPr="00627621">
              <w:rPr>
                <w:rFonts w:ascii="Arial" w:hAnsi="Arial" w:cs="Arial"/>
                <w:color w:val="000000"/>
                <w:sz w:val="16"/>
                <w:szCs w:val="16"/>
              </w:rPr>
              <w:t>632</w:t>
            </w:r>
            <w:r w:rsidR="00600D56" w:rsidRPr="00627621">
              <w:rPr>
                <w:rFonts w:ascii="Arial" w:hAnsi="Arial" w:cs="Arial"/>
                <w:color w:val="000000"/>
                <w:sz w:val="16"/>
                <w:szCs w:val="16"/>
              </w:rPr>
              <w:t>.</w:t>
            </w:r>
            <w:r w:rsidRPr="00627621">
              <w:rPr>
                <w:rFonts w:ascii="Arial" w:hAnsi="Arial" w:cs="Arial"/>
                <w:color w:val="000000"/>
                <w:sz w:val="16"/>
                <w:szCs w:val="16"/>
              </w:rPr>
              <w:t>370</w:t>
            </w:r>
          </w:p>
        </w:tc>
        <w:tc>
          <w:tcPr>
            <w:tcW w:w="2732" w:type="dxa"/>
            <w:tcBorders>
              <w:top w:val="nil"/>
              <w:left w:val="nil"/>
              <w:bottom w:val="single" w:sz="8" w:space="0" w:color="auto"/>
              <w:right w:val="single" w:sz="8" w:space="0" w:color="auto"/>
            </w:tcBorders>
            <w:shd w:val="clear" w:color="auto" w:fill="auto"/>
            <w:vAlign w:val="center"/>
            <w:hideMark/>
          </w:tcPr>
          <w:p w14:paraId="576C8782" w14:textId="77777777" w:rsidR="00ED3400" w:rsidRPr="00627621" w:rsidRDefault="00ED3400">
            <w:pPr>
              <w:jc w:val="center"/>
              <w:rPr>
                <w:rFonts w:ascii="Arial" w:hAnsi="Arial" w:cs="Arial"/>
                <w:color w:val="000000"/>
                <w:sz w:val="16"/>
                <w:szCs w:val="16"/>
              </w:rPr>
            </w:pPr>
            <w:hyperlink r:id="rId42" w:history="1">
              <w:r w:rsidRPr="00627621">
                <w:rPr>
                  <w:rFonts w:ascii="Arial" w:hAnsi="Arial" w:cs="Arial"/>
                  <w:color w:val="000000"/>
                  <w:sz w:val="16"/>
                  <w:szCs w:val="16"/>
                </w:rPr>
                <w:t>https://community.secop.gov.co/Public/Tendering/OpportunityDetail/Index?noticeUID=CO1.NTC.4823751&amp;isFromPublicArea=True&amp;isModal=true&amp;asPopupView=true</w:t>
              </w:r>
            </w:hyperlink>
          </w:p>
        </w:tc>
      </w:tr>
      <w:tr w:rsidR="00ED3400" w:rsidRPr="00627621" w14:paraId="443B52C3" w14:textId="77777777" w:rsidTr="00DEA33A">
        <w:trPr>
          <w:trHeight w:val="21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3EA0C59C"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CON LA UNIVERSIDAD DE MAGDALENA Y LA AGENCIA DE DESARROLLO RURAL - ADR, PARA LA PRESTACIÓN DEL SERVICIO PÚBLICO DE EXTENSIÓN AGROPECUARIA CONFORME A LO DISPUESTO EN LA LEY 1876 DE 2017, RESPONDIENDO A LAS NECESIDADES DEFINIDAS EN EL PROYECTO DE EXTENSION AGROPECUARIA EN EL DEPARTAMENTOS DE MAGDALENA Y LA GUAJIRA.</w:t>
            </w:r>
          </w:p>
        </w:tc>
        <w:tc>
          <w:tcPr>
            <w:tcW w:w="2126" w:type="dxa"/>
            <w:tcBorders>
              <w:top w:val="nil"/>
              <w:left w:val="nil"/>
              <w:bottom w:val="single" w:sz="8" w:space="0" w:color="auto"/>
              <w:right w:val="single" w:sz="8" w:space="0" w:color="auto"/>
            </w:tcBorders>
            <w:shd w:val="clear" w:color="auto" w:fill="auto"/>
            <w:vAlign w:val="center"/>
            <w:hideMark/>
          </w:tcPr>
          <w:p w14:paraId="38C9B5EF"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DEL MAGDALENA</w:t>
            </w:r>
          </w:p>
        </w:tc>
        <w:tc>
          <w:tcPr>
            <w:tcW w:w="1276" w:type="dxa"/>
            <w:tcBorders>
              <w:top w:val="nil"/>
              <w:left w:val="nil"/>
              <w:bottom w:val="single" w:sz="8" w:space="0" w:color="auto"/>
              <w:right w:val="single" w:sz="8" w:space="0" w:color="auto"/>
            </w:tcBorders>
            <w:shd w:val="clear" w:color="auto" w:fill="auto"/>
            <w:vAlign w:val="center"/>
            <w:hideMark/>
          </w:tcPr>
          <w:p w14:paraId="2D555782" w14:textId="617A8099"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11</w:t>
            </w:r>
            <w:r w:rsidR="00600D56" w:rsidRPr="00627621">
              <w:rPr>
                <w:rFonts w:ascii="Arial" w:hAnsi="Arial" w:cs="Arial"/>
                <w:color w:val="000000"/>
                <w:sz w:val="16"/>
                <w:szCs w:val="16"/>
              </w:rPr>
              <w:t>.</w:t>
            </w:r>
            <w:r w:rsidRPr="00627621">
              <w:rPr>
                <w:rFonts w:ascii="Arial" w:hAnsi="Arial" w:cs="Arial"/>
                <w:color w:val="000000"/>
                <w:sz w:val="16"/>
                <w:szCs w:val="16"/>
              </w:rPr>
              <w:t>639</w:t>
            </w:r>
            <w:r w:rsidR="00600D56" w:rsidRPr="00627621">
              <w:rPr>
                <w:rFonts w:ascii="Arial" w:hAnsi="Arial" w:cs="Arial"/>
                <w:color w:val="000000"/>
                <w:sz w:val="16"/>
                <w:szCs w:val="16"/>
              </w:rPr>
              <w:t>.</w:t>
            </w:r>
            <w:r w:rsidRPr="00627621">
              <w:rPr>
                <w:rFonts w:ascii="Arial" w:hAnsi="Arial" w:cs="Arial"/>
                <w:color w:val="000000"/>
                <w:sz w:val="16"/>
                <w:szCs w:val="16"/>
              </w:rPr>
              <w:t>274</w:t>
            </w:r>
            <w:r w:rsidR="00600D56" w:rsidRPr="00627621">
              <w:rPr>
                <w:rFonts w:ascii="Arial" w:hAnsi="Arial" w:cs="Arial"/>
                <w:color w:val="000000"/>
                <w:sz w:val="16"/>
                <w:szCs w:val="16"/>
              </w:rPr>
              <w:t>.</w:t>
            </w:r>
            <w:r w:rsidRPr="00627621">
              <w:rPr>
                <w:rFonts w:ascii="Arial" w:hAnsi="Arial" w:cs="Arial"/>
                <w:color w:val="000000"/>
                <w:sz w:val="16"/>
                <w:szCs w:val="16"/>
              </w:rPr>
              <w:t>666</w:t>
            </w:r>
          </w:p>
        </w:tc>
        <w:tc>
          <w:tcPr>
            <w:tcW w:w="2732" w:type="dxa"/>
            <w:tcBorders>
              <w:top w:val="nil"/>
              <w:left w:val="nil"/>
              <w:bottom w:val="single" w:sz="8" w:space="0" w:color="auto"/>
              <w:right w:val="single" w:sz="8" w:space="0" w:color="auto"/>
            </w:tcBorders>
            <w:shd w:val="clear" w:color="auto" w:fill="auto"/>
            <w:vAlign w:val="center"/>
            <w:hideMark/>
          </w:tcPr>
          <w:p w14:paraId="3E0AED38" w14:textId="77777777" w:rsidR="00ED3400" w:rsidRPr="00627621" w:rsidRDefault="00ED3400">
            <w:pPr>
              <w:jc w:val="center"/>
              <w:rPr>
                <w:rFonts w:ascii="Arial" w:hAnsi="Arial" w:cs="Arial"/>
                <w:color w:val="000000"/>
                <w:sz w:val="16"/>
                <w:szCs w:val="16"/>
              </w:rPr>
            </w:pPr>
            <w:hyperlink r:id="rId43" w:history="1">
              <w:r w:rsidRPr="00627621">
                <w:rPr>
                  <w:rFonts w:ascii="Arial" w:hAnsi="Arial" w:cs="Arial"/>
                  <w:color w:val="000000"/>
                  <w:sz w:val="16"/>
                  <w:szCs w:val="16"/>
                </w:rPr>
                <w:t>https://community.secop.gov.co/Public/Tendering/OpportunityDetail/Index?noticeUID=CO1.NTC.4833910&amp;isFromPublicArea=True&amp;isModal=true&amp;asPopupView=true</w:t>
              </w:r>
            </w:hyperlink>
          </w:p>
        </w:tc>
      </w:tr>
      <w:tr w:rsidR="00ED3400" w:rsidRPr="00627621" w14:paraId="1DB2C40A" w14:textId="77777777" w:rsidTr="00DEA33A">
        <w:trPr>
          <w:trHeight w:val="109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32E2DF61"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PARA LA PRESTACIÓN DEL SERVICIO PÚBLICO DE EXTENSIÓN AGROPECUARIA CONFORME A LO DISPUESTO EN LA LEY 1876 DE 2017 DE LOS DEPARTAMENTOS DE BOLÍVAR Y SUCRE.</w:t>
            </w:r>
          </w:p>
        </w:tc>
        <w:tc>
          <w:tcPr>
            <w:tcW w:w="2126" w:type="dxa"/>
            <w:tcBorders>
              <w:top w:val="nil"/>
              <w:left w:val="nil"/>
              <w:bottom w:val="single" w:sz="8" w:space="0" w:color="auto"/>
              <w:right w:val="single" w:sz="8" w:space="0" w:color="auto"/>
            </w:tcBorders>
            <w:shd w:val="clear" w:color="auto" w:fill="auto"/>
            <w:vAlign w:val="center"/>
            <w:hideMark/>
          </w:tcPr>
          <w:p w14:paraId="44A04C3A"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DE CARTAGENA - UNICARTAGENA</w:t>
            </w:r>
          </w:p>
        </w:tc>
        <w:tc>
          <w:tcPr>
            <w:tcW w:w="1276" w:type="dxa"/>
            <w:tcBorders>
              <w:top w:val="nil"/>
              <w:left w:val="nil"/>
              <w:bottom w:val="single" w:sz="8" w:space="0" w:color="auto"/>
              <w:right w:val="single" w:sz="8" w:space="0" w:color="auto"/>
            </w:tcBorders>
            <w:shd w:val="clear" w:color="auto" w:fill="auto"/>
            <w:vAlign w:val="center"/>
            <w:hideMark/>
          </w:tcPr>
          <w:p w14:paraId="54992B8E"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0</w:t>
            </w:r>
          </w:p>
        </w:tc>
        <w:tc>
          <w:tcPr>
            <w:tcW w:w="2732" w:type="dxa"/>
            <w:tcBorders>
              <w:top w:val="nil"/>
              <w:left w:val="nil"/>
              <w:bottom w:val="single" w:sz="8" w:space="0" w:color="auto"/>
              <w:right w:val="single" w:sz="8" w:space="0" w:color="auto"/>
            </w:tcBorders>
            <w:shd w:val="clear" w:color="auto" w:fill="auto"/>
            <w:vAlign w:val="center"/>
            <w:hideMark/>
          </w:tcPr>
          <w:p w14:paraId="1328C24D"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https://community.secop.gov.co/Public/Tendering/OpportunityDetail/Index?noticeUID=CO1.NTC.4897894&amp;isFromPublicArea=True&amp;isModal=False</w:t>
            </w:r>
          </w:p>
        </w:tc>
      </w:tr>
      <w:tr w:rsidR="00ED3400" w:rsidRPr="00627621" w14:paraId="6F1490A4" w14:textId="77777777" w:rsidTr="00DEA33A">
        <w:trPr>
          <w:trHeight w:val="44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6E1772B8"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 xml:space="preserve">AUNAR ESFUERZOS TÉCNICOS, ADMINISTRATIVOS Y FINANCIEROS PARA LA PRESTACIÓN DEL SERVICIO PÚBLICO DE EXTENSIÓN AGROPECUARIA CONFORME A LO DISPUESTO EN LA LEY 1876 DE 2017, RESPONDIENDO A LAS NECESIDADES DEFINIDAS EN EL PLAN DEPARTAMENTAL DE EXTENSIÓN AGROPECUARIA </w:t>
            </w:r>
            <w:r w:rsidRPr="00627621">
              <w:rPr>
                <w:rFonts w:ascii="Arial" w:hAnsi="Arial" w:cs="Arial"/>
                <w:color w:val="000000"/>
                <w:sz w:val="16"/>
                <w:szCs w:val="16"/>
              </w:rPr>
              <w:lastRenderedPageBreak/>
              <w:t>(PDEA) Y EL PROYECTO DE EXTENSION AGROPECUARIA DEL DEPARTAMENTO DE SUCRE.NPAA-1071</w:t>
            </w:r>
          </w:p>
        </w:tc>
        <w:tc>
          <w:tcPr>
            <w:tcW w:w="2126" w:type="dxa"/>
            <w:tcBorders>
              <w:top w:val="nil"/>
              <w:left w:val="nil"/>
              <w:bottom w:val="single" w:sz="8" w:space="0" w:color="auto"/>
              <w:right w:val="single" w:sz="8" w:space="0" w:color="auto"/>
            </w:tcBorders>
            <w:shd w:val="clear" w:color="auto" w:fill="auto"/>
            <w:vAlign w:val="center"/>
            <w:hideMark/>
          </w:tcPr>
          <w:p w14:paraId="1498FACD"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lastRenderedPageBreak/>
              <w:t>UNIVERSIDAD DE CARTAGENA - UNICARTAGENA</w:t>
            </w:r>
          </w:p>
        </w:tc>
        <w:tc>
          <w:tcPr>
            <w:tcW w:w="1276" w:type="dxa"/>
            <w:tcBorders>
              <w:top w:val="nil"/>
              <w:left w:val="nil"/>
              <w:bottom w:val="single" w:sz="8" w:space="0" w:color="auto"/>
              <w:right w:val="single" w:sz="8" w:space="0" w:color="auto"/>
            </w:tcBorders>
            <w:shd w:val="clear" w:color="auto" w:fill="auto"/>
            <w:vAlign w:val="center"/>
            <w:hideMark/>
          </w:tcPr>
          <w:p w14:paraId="4BDA4AFC" w14:textId="50726068"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5</w:t>
            </w:r>
            <w:r w:rsidR="00600D56" w:rsidRPr="00627621">
              <w:rPr>
                <w:rFonts w:ascii="Arial" w:hAnsi="Arial" w:cs="Arial"/>
                <w:color w:val="000000"/>
                <w:sz w:val="16"/>
                <w:szCs w:val="16"/>
              </w:rPr>
              <w:t>.</w:t>
            </w:r>
            <w:r w:rsidRPr="00627621">
              <w:rPr>
                <w:rFonts w:ascii="Arial" w:hAnsi="Arial" w:cs="Arial"/>
                <w:color w:val="000000"/>
                <w:sz w:val="16"/>
                <w:szCs w:val="16"/>
              </w:rPr>
              <w:t>211</w:t>
            </w:r>
            <w:r w:rsidR="00600D56" w:rsidRPr="00627621">
              <w:rPr>
                <w:rFonts w:ascii="Arial" w:hAnsi="Arial" w:cs="Arial"/>
                <w:color w:val="000000"/>
                <w:sz w:val="16"/>
                <w:szCs w:val="16"/>
              </w:rPr>
              <w:t>.</w:t>
            </w:r>
            <w:r w:rsidRPr="00627621">
              <w:rPr>
                <w:rFonts w:ascii="Arial" w:hAnsi="Arial" w:cs="Arial"/>
                <w:color w:val="000000"/>
                <w:sz w:val="16"/>
                <w:szCs w:val="16"/>
              </w:rPr>
              <w:t>944</w:t>
            </w:r>
            <w:r w:rsidR="00600D56" w:rsidRPr="00627621">
              <w:rPr>
                <w:rFonts w:ascii="Arial" w:hAnsi="Arial" w:cs="Arial"/>
                <w:color w:val="000000"/>
                <w:sz w:val="16"/>
                <w:szCs w:val="16"/>
              </w:rPr>
              <w:t>.</w:t>
            </w:r>
            <w:r w:rsidRPr="00627621">
              <w:rPr>
                <w:rFonts w:ascii="Arial" w:hAnsi="Arial" w:cs="Arial"/>
                <w:color w:val="000000"/>
                <w:sz w:val="16"/>
                <w:szCs w:val="16"/>
              </w:rPr>
              <w:t>675</w:t>
            </w:r>
          </w:p>
        </w:tc>
        <w:tc>
          <w:tcPr>
            <w:tcW w:w="2732" w:type="dxa"/>
            <w:tcBorders>
              <w:top w:val="nil"/>
              <w:left w:val="nil"/>
              <w:bottom w:val="single" w:sz="8" w:space="0" w:color="auto"/>
              <w:right w:val="single" w:sz="8" w:space="0" w:color="auto"/>
            </w:tcBorders>
            <w:shd w:val="clear" w:color="auto" w:fill="auto"/>
            <w:vAlign w:val="center"/>
            <w:hideMark/>
          </w:tcPr>
          <w:p w14:paraId="107B8E73" w14:textId="77777777" w:rsidR="00ED3400" w:rsidRPr="00627621" w:rsidRDefault="00ED3400">
            <w:pPr>
              <w:jc w:val="center"/>
              <w:rPr>
                <w:rFonts w:ascii="Arial" w:hAnsi="Arial" w:cs="Arial"/>
                <w:color w:val="000000"/>
                <w:sz w:val="16"/>
                <w:szCs w:val="16"/>
              </w:rPr>
            </w:pPr>
            <w:hyperlink r:id="rId44" w:history="1">
              <w:r w:rsidRPr="00627621">
                <w:rPr>
                  <w:rFonts w:ascii="Arial" w:hAnsi="Arial" w:cs="Arial"/>
                  <w:color w:val="000000"/>
                  <w:sz w:val="16"/>
                  <w:szCs w:val="16"/>
                </w:rPr>
                <w:t>https://community.secop.gov.co/Public/Tendering/OpportunityDetail/Index?noticeUID=CO1.NTC.4961613&amp;isFromPublicArea=True&amp;isModal=False</w:t>
              </w:r>
            </w:hyperlink>
          </w:p>
        </w:tc>
      </w:tr>
      <w:tr w:rsidR="00ED3400" w:rsidRPr="00627621" w14:paraId="5F27E0A9" w14:textId="77777777" w:rsidTr="00DEA33A">
        <w:trPr>
          <w:trHeight w:val="21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02FDCCA2"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PARA LA PRESTACIÓN DEL SERVICIO PÚBLICO DE EXTENSIÓN AGROPECUARIA CONFORME A LO DISPUESTO EN LA LEY 1876 DE 2017, RESPONDIENDO A LAS NECESIDADES DEFINIDAS EN EL COMPONENTE DE EXTENSIÓN AGROPECUARIA DEL PROYECTO INTEGRAL DE DESARROLLO AGROPECUARIO Y RURAL (PIDAR) DE LA REGION DE LA MOJANA EN EL DEPARTAMENTO DE SUCRE.NPAA-1072</w:t>
            </w:r>
          </w:p>
        </w:tc>
        <w:tc>
          <w:tcPr>
            <w:tcW w:w="2126" w:type="dxa"/>
            <w:tcBorders>
              <w:top w:val="nil"/>
              <w:left w:val="nil"/>
              <w:bottom w:val="single" w:sz="8" w:space="0" w:color="auto"/>
              <w:right w:val="single" w:sz="8" w:space="0" w:color="auto"/>
            </w:tcBorders>
            <w:shd w:val="clear" w:color="auto" w:fill="auto"/>
            <w:vAlign w:val="center"/>
            <w:hideMark/>
          </w:tcPr>
          <w:p w14:paraId="5DA00970"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DE CARTAGENA - UNICARTAGENA</w:t>
            </w:r>
          </w:p>
        </w:tc>
        <w:tc>
          <w:tcPr>
            <w:tcW w:w="1276" w:type="dxa"/>
            <w:tcBorders>
              <w:top w:val="nil"/>
              <w:left w:val="nil"/>
              <w:bottom w:val="single" w:sz="8" w:space="0" w:color="auto"/>
              <w:right w:val="single" w:sz="8" w:space="0" w:color="auto"/>
            </w:tcBorders>
            <w:shd w:val="clear" w:color="auto" w:fill="auto"/>
            <w:vAlign w:val="center"/>
            <w:hideMark/>
          </w:tcPr>
          <w:p w14:paraId="5F96FC6F" w14:textId="3A68648E"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1</w:t>
            </w:r>
            <w:r w:rsidR="00600D56" w:rsidRPr="00627621">
              <w:rPr>
                <w:rFonts w:ascii="Arial" w:hAnsi="Arial" w:cs="Arial"/>
                <w:color w:val="000000"/>
                <w:sz w:val="16"/>
                <w:szCs w:val="16"/>
              </w:rPr>
              <w:t>.</w:t>
            </w:r>
            <w:r w:rsidRPr="00627621">
              <w:rPr>
                <w:rFonts w:ascii="Arial" w:hAnsi="Arial" w:cs="Arial"/>
                <w:color w:val="000000"/>
                <w:sz w:val="16"/>
                <w:szCs w:val="16"/>
              </w:rPr>
              <w:t>386</w:t>
            </w:r>
            <w:r w:rsidR="00600D56" w:rsidRPr="00627621">
              <w:rPr>
                <w:rFonts w:ascii="Arial" w:hAnsi="Arial" w:cs="Arial"/>
                <w:color w:val="000000"/>
                <w:sz w:val="16"/>
                <w:szCs w:val="16"/>
              </w:rPr>
              <w:t>.</w:t>
            </w:r>
            <w:r w:rsidRPr="00627621">
              <w:rPr>
                <w:rFonts w:ascii="Arial" w:hAnsi="Arial" w:cs="Arial"/>
                <w:color w:val="000000"/>
                <w:sz w:val="16"/>
                <w:szCs w:val="16"/>
              </w:rPr>
              <w:t>888</w:t>
            </w:r>
            <w:r w:rsidR="00600D56" w:rsidRPr="00627621">
              <w:rPr>
                <w:rFonts w:ascii="Arial" w:hAnsi="Arial" w:cs="Arial"/>
                <w:color w:val="000000"/>
                <w:sz w:val="16"/>
                <w:szCs w:val="16"/>
              </w:rPr>
              <w:t>.</w:t>
            </w:r>
            <w:r w:rsidRPr="00627621">
              <w:rPr>
                <w:rFonts w:ascii="Arial" w:hAnsi="Arial" w:cs="Arial"/>
                <w:color w:val="000000"/>
                <w:sz w:val="16"/>
                <w:szCs w:val="16"/>
              </w:rPr>
              <w:t>517</w:t>
            </w:r>
          </w:p>
        </w:tc>
        <w:tc>
          <w:tcPr>
            <w:tcW w:w="2732" w:type="dxa"/>
            <w:tcBorders>
              <w:top w:val="nil"/>
              <w:left w:val="nil"/>
              <w:bottom w:val="single" w:sz="8" w:space="0" w:color="auto"/>
              <w:right w:val="single" w:sz="8" w:space="0" w:color="auto"/>
            </w:tcBorders>
            <w:shd w:val="clear" w:color="auto" w:fill="auto"/>
            <w:vAlign w:val="center"/>
            <w:hideMark/>
          </w:tcPr>
          <w:p w14:paraId="3E5F0AA3" w14:textId="77777777" w:rsidR="00ED3400" w:rsidRPr="00627621" w:rsidRDefault="00ED3400">
            <w:pPr>
              <w:jc w:val="center"/>
              <w:rPr>
                <w:rFonts w:ascii="Arial" w:hAnsi="Arial" w:cs="Arial"/>
                <w:color w:val="000000"/>
                <w:sz w:val="16"/>
                <w:szCs w:val="16"/>
              </w:rPr>
            </w:pPr>
            <w:hyperlink r:id="rId45" w:history="1">
              <w:r w:rsidRPr="00627621">
                <w:rPr>
                  <w:rFonts w:ascii="Arial" w:hAnsi="Arial" w:cs="Arial"/>
                  <w:color w:val="000000"/>
                  <w:sz w:val="16"/>
                  <w:szCs w:val="16"/>
                </w:rPr>
                <w:t>https://community.secop.gov.co/Public/Tendering/OpportunityDetail/Index?noticeUID=CO1.NTC.4961617&amp;isFromPublicArea=True&amp;isModal=False</w:t>
              </w:r>
            </w:hyperlink>
          </w:p>
        </w:tc>
      </w:tr>
      <w:tr w:rsidR="00ED3400" w:rsidRPr="00627621" w14:paraId="0D3BB973" w14:textId="77777777" w:rsidTr="00DEA33A">
        <w:trPr>
          <w:trHeight w:val="12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17E29E3F"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CON LA UNIVERSIDAD TECNOLOGICA DE PEREIRA PARA LA PRESTACIÓN DEL SERVICIO PÚBLICO DE EXTENSIÓN AGROPECUARIA CONFORME A LO DISPUESTO EN LA LEY 1876 DE 2017 EN EL TERRITORIO NACIONAL.</w:t>
            </w:r>
          </w:p>
        </w:tc>
        <w:tc>
          <w:tcPr>
            <w:tcW w:w="2126" w:type="dxa"/>
            <w:tcBorders>
              <w:top w:val="nil"/>
              <w:left w:val="nil"/>
              <w:bottom w:val="single" w:sz="8" w:space="0" w:color="auto"/>
              <w:right w:val="single" w:sz="8" w:space="0" w:color="auto"/>
            </w:tcBorders>
            <w:shd w:val="clear" w:color="auto" w:fill="auto"/>
            <w:vAlign w:val="center"/>
            <w:hideMark/>
          </w:tcPr>
          <w:p w14:paraId="6BDD8B1C"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TECNOLÓGICA DE PEREIRA</w:t>
            </w:r>
          </w:p>
        </w:tc>
        <w:tc>
          <w:tcPr>
            <w:tcW w:w="1276" w:type="dxa"/>
            <w:tcBorders>
              <w:top w:val="nil"/>
              <w:left w:val="nil"/>
              <w:bottom w:val="single" w:sz="8" w:space="0" w:color="auto"/>
              <w:right w:val="single" w:sz="8" w:space="0" w:color="auto"/>
            </w:tcBorders>
            <w:shd w:val="clear" w:color="auto" w:fill="auto"/>
            <w:vAlign w:val="center"/>
            <w:hideMark/>
          </w:tcPr>
          <w:p w14:paraId="2D2EA22A" w14:textId="70C14D1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48</w:t>
            </w:r>
            <w:r w:rsidR="00600D56" w:rsidRPr="00627621">
              <w:rPr>
                <w:rFonts w:ascii="Arial" w:hAnsi="Arial" w:cs="Arial"/>
                <w:color w:val="000000"/>
                <w:sz w:val="16"/>
                <w:szCs w:val="16"/>
              </w:rPr>
              <w:t>.</w:t>
            </w:r>
            <w:r w:rsidRPr="00627621">
              <w:rPr>
                <w:rFonts w:ascii="Arial" w:hAnsi="Arial" w:cs="Arial"/>
                <w:color w:val="000000"/>
                <w:sz w:val="16"/>
                <w:szCs w:val="16"/>
              </w:rPr>
              <w:t>969</w:t>
            </w:r>
            <w:r w:rsidR="00600D56" w:rsidRPr="00627621">
              <w:rPr>
                <w:rFonts w:ascii="Arial" w:hAnsi="Arial" w:cs="Arial"/>
                <w:color w:val="000000"/>
                <w:sz w:val="16"/>
                <w:szCs w:val="16"/>
              </w:rPr>
              <w:t>.</w:t>
            </w:r>
            <w:r w:rsidRPr="00627621">
              <w:rPr>
                <w:rFonts w:ascii="Arial" w:hAnsi="Arial" w:cs="Arial"/>
                <w:color w:val="000000"/>
                <w:sz w:val="16"/>
                <w:szCs w:val="16"/>
              </w:rPr>
              <w:t>537</w:t>
            </w:r>
            <w:r w:rsidR="00600D56" w:rsidRPr="00627621">
              <w:rPr>
                <w:rFonts w:ascii="Arial" w:hAnsi="Arial" w:cs="Arial"/>
                <w:color w:val="000000"/>
                <w:sz w:val="16"/>
                <w:szCs w:val="16"/>
              </w:rPr>
              <w:t>.</w:t>
            </w:r>
            <w:r w:rsidRPr="00627621">
              <w:rPr>
                <w:rFonts w:ascii="Arial" w:hAnsi="Arial" w:cs="Arial"/>
                <w:color w:val="000000"/>
                <w:sz w:val="16"/>
                <w:szCs w:val="16"/>
              </w:rPr>
              <w:t>592</w:t>
            </w:r>
          </w:p>
        </w:tc>
        <w:tc>
          <w:tcPr>
            <w:tcW w:w="2732" w:type="dxa"/>
            <w:tcBorders>
              <w:top w:val="nil"/>
              <w:left w:val="nil"/>
              <w:bottom w:val="single" w:sz="8" w:space="0" w:color="auto"/>
              <w:right w:val="single" w:sz="8" w:space="0" w:color="auto"/>
            </w:tcBorders>
            <w:shd w:val="clear" w:color="auto" w:fill="auto"/>
            <w:vAlign w:val="center"/>
            <w:hideMark/>
          </w:tcPr>
          <w:p w14:paraId="710FFBCC" w14:textId="77777777" w:rsidR="00ED3400" w:rsidRPr="00627621" w:rsidRDefault="00ED3400">
            <w:pPr>
              <w:jc w:val="center"/>
              <w:rPr>
                <w:rFonts w:ascii="Arial" w:hAnsi="Arial" w:cs="Arial"/>
                <w:color w:val="000000"/>
                <w:sz w:val="16"/>
                <w:szCs w:val="16"/>
              </w:rPr>
            </w:pPr>
            <w:hyperlink r:id="rId46" w:history="1">
              <w:r w:rsidRPr="00627621">
                <w:rPr>
                  <w:rFonts w:ascii="Arial" w:hAnsi="Arial" w:cs="Arial"/>
                  <w:color w:val="000000"/>
                  <w:sz w:val="16"/>
                  <w:szCs w:val="16"/>
                </w:rPr>
                <w:t>https://community.secop.gov.co/Public/Tendering/OpportunityDetail/Index?noticeUID=CO1.NTC.5021027&amp;isFromPublicArea=True&amp;isModal=true&amp;asPopupView=true</w:t>
              </w:r>
            </w:hyperlink>
          </w:p>
        </w:tc>
      </w:tr>
      <w:tr w:rsidR="00ED3400" w:rsidRPr="00627621" w14:paraId="0F54E9A2" w14:textId="77777777" w:rsidTr="00DEA33A">
        <w:trPr>
          <w:trHeight w:val="127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7461977"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CON LA UNIVERSIDAD DE MAGDALENA PARA LA PRESTACIÓN DEL SERVICIO PÚBLICO DE EXTENSIÓN AGROPECUARIA CONFORME A LO DISPUESTO EN LA LEY 1876 DE 2017, EN EL TERRITORIO NACIONAL</w:t>
            </w:r>
          </w:p>
        </w:tc>
        <w:tc>
          <w:tcPr>
            <w:tcW w:w="2126" w:type="dxa"/>
            <w:tcBorders>
              <w:top w:val="nil"/>
              <w:left w:val="nil"/>
              <w:bottom w:val="single" w:sz="8" w:space="0" w:color="auto"/>
              <w:right w:val="single" w:sz="8" w:space="0" w:color="auto"/>
            </w:tcBorders>
            <w:shd w:val="clear" w:color="auto" w:fill="auto"/>
            <w:vAlign w:val="center"/>
            <w:hideMark/>
          </w:tcPr>
          <w:p w14:paraId="674BB5E8"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DEL MAGDALENA</w:t>
            </w:r>
          </w:p>
        </w:tc>
        <w:tc>
          <w:tcPr>
            <w:tcW w:w="1276" w:type="dxa"/>
            <w:tcBorders>
              <w:top w:val="nil"/>
              <w:left w:val="nil"/>
              <w:bottom w:val="single" w:sz="8" w:space="0" w:color="auto"/>
              <w:right w:val="single" w:sz="8" w:space="0" w:color="auto"/>
            </w:tcBorders>
            <w:shd w:val="clear" w:color="auto" w:fill="auto"/>
            <w:vAlign w:val="center"/>
            <w:hideMark/>
          </w:tcPr>
          <w:p w14:paraId="5E8E70A7" w14:textId="614581BC"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6</w:t>
            </w:r>
            <w:r w:rsidR="00600D56" w:rsidRPr="00627621">
              <w:rPr>
                <w:rFonts w:ascii="Arial" w:hAnsi="Arial" w:cs="Arial"/>
                <w:color w:val="000000"/>
                <w:sz w:val="16"/>
                <w:szCs w:val="16"/>
              </w:rPr>
              <w:t>.</w:t>
            </w:r>
            <w:r w:rsidRPr="00627621">
              <w:rPr>
                <w:rFonts w:ascii="Arial" w:hAnsi="Arial" w:cs="Arial"/>
                <w:color w:val="000000"/>
                <w:sz w:val="16"/>
                <w:szCs w:val="16"/>
              </w:rPr>
              <w:t>338</w:t>
            </w:r>
            <w:r w:rsidR="00600D56" w:rsidRPr="00627621">
              <w:rPr>
                <w:rFonts w:ascii="Arial" w:hAnsi="Arial" w:cs="Arial"/>
                <w:color w:val="000000"/>
                <w:sz w:val="16"/>
                <w:szCs w:val="16"/>
              </w:rPr>
              <w:t>.</w:t>
            </w:r>
            <w:r w:rsidRPr="00627621">
              <w:rPr>
                <w:rFonts w:ascii="Arial" w:hAnsi="Arial" w:cs="Arial"/>
                <w:color w:val="000000"/>
                <w:sz w:val="16"/>
                <w:szCs w:val="16"/>
              </w:rPr>
              <w:t>006</w:t>
            </w:r>
            <w:r w:rsidR="00600D56" w:rsidRPr="00627621">
              <w:rPr>
                <w:rFonts w:ascii="Arial" w:hAnsi="Arial" w:cs="Arial"/>
                <w:color w:val="000000"/>
                <w:sz w:val="16"/>
                <w:szCs w:val="16"/>
              </w:rPr>
              <w:t>.</w:t>
            </w:r>
            <w:r w:rsidRPr="00627621">
              <w:rPr>
                <w:rFonts w:ascii="Arial" w:hAnsi="Arial" w:cs="Arial"/>
                <w:color w:val="000000"/>
                <w:sz w:val="16"/>
                <w:szCs w:val="16"/>
              </w:rPr>
              <w:t>992</w:t>
            </w:r>
          </w:p>
        </w:tc>
        <w:tc>
          <w:tcPr>
            <w:tcW w:w="2732" w:type="dxa"/>
            <w:tcBorders>
              <w:top w:val="nil"/>
              <w:left w:val="nil"/>
              <w:bottom w:val="single" w:sz="8" w:space="0" w:color="auto"/>
              <w:right w:val="single" w:sz="8" w:space="0" w:color="auto"/>
            </w:tcBorders>
            <w:shd w:val="clear" w:color="auto" w:fill="auto"/>
            <w:vAlign w:val="center"/>
            <w:hideMark/>
          </w:tcPr>
          <w:p w14:paraId="19849BAD" w14:textId="77777777" w:rsidR="00ED3400" w:rsidRPr="00627621" w:rsidRDefault="00ED3400">
            <w:pPr>
              <w:jc w:val="center"/>
              <w:rPr>
                <w:rFonts w:ascii="Arial" w:hAnsi="Arial" w:cs="Arial"/>
                <w:color w:val="000000"/>
                <w:sz w:val="16"/>
                <w:szCs w:val="16"/>
              </w:rPr>
            </w:pPr>
            <w:hyperlink r:id="rId47" w:history="1">
              <w:r w:rsidRPr="00627621">
                <w:rPr>
                  <w:rFonts w:ascii="Arial" w:hAnsi="Arial" w:cs="Arial"/>
                  <w:color w:val="000000"/>
                  <w:sz w:val="16"/>
                  <w:szCs w:val="16"/>
                </w:rPr>
                <w:t>https://community.secop.gov.co/Public/Tendering/OpportunityDetail/Index?noticeUID=CO1.NTC.5022233&amp;isFromPublicArea=True&amp;isModal=true&amp;asPopupView=true</w:t>
              </w:r>
            </w:hyperlink>
          </w:p>
        </w:tc>
      </w:tr>
      <w:tr w:rsidR="00ED3400" w:rsidRPr="00627621" w14:paraId="2DCC9BF5" w14:textId="77777777" w:rsidTr="00DEA33A">
        <w:trPr>
          <w:trHeight w:val="1455"/>
        </w:trPr>
        <w:tc>
          <w:tcPr>
            <w:tcW w:w="2684" w:type="dxa"/>
            <w:tcBorders>
              <w:top w:val="nil"/>
              <w:left w:val="single" w:sz="8" w:space="0" w:color="auto"/>
              <w:bottom w:val="single" w:sz="8" w:space="0" w:color="auto"/>
              <w:right w:val="single" w:sz="8" w:space="0" w:color="auto"/>
            </w:tcBorders>
            <w:shd w:val="clear" w:color="auto" w:fill="auto"/>
            <w:vAlign w:val="center"/>
            <w:hideMark/>
          </w:tcPr>
          <w:p w14:paraId="47939EA7"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AUNAR ESFUERZOS TÉCNICOS, ADMINISTRATIVOS Y FINANCIEROS CON LA UNIVERSIDAD PEDAGÓGICA Y TECNOLÓGICA DE COLOMBIA PARA LA PRESTACIÓN DEL SERVICIO PÚBLICO DE EXTENSIÓN AGROPECUARIA CONFORME A LO DISPUESTO EN LA LEY 1876 DE 2017, EN EL TERRITORIO NACIONAL.</w:t>
            </w:r>
          </w:p>
        </w:tc>
        <w:tc>
          <w:tcPr>
            <w:tcW w:w="2126" w:type="dxa"/>
            <w:tcBorders>
              <w:top w:val="nil"/>
              <w:left w:val="nil"/>
              <w:bottom w:val="single" w:sz="8" w:space="0" w:color="auto"/>
              <w:right w:val="single" w:sz="8" w:space="0" w:color="auto"/>
            </w:tcBorders>
            <w:shd w:val="clear" w:color="auto" w:fill="auto"/>
            <w:vAlign w:val="center"/>
            <w:hideMark/>
          </w:tcPr>
          <w:p w14:paraId="053A4C5B"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UNIVERSIDAD PEDAGÓGICA Y TECNOLÓGICA DE COLOMBIA – UPTC</w:t>
            </w:r>
          </w:p>
        </w:tc>
        <w:tc>
          <w:tcPr>
            <w:tcW w:w="1276" w:type="dxa"/>
            <w:tcBorders>
              <w:top w:val="nil"/>
              <w:left w:val="nil"/>
              <w:bottom w:val="single" w:sz="8" w:space="0" w:color="auto"/>
              <w:right w:val="single" w:sz="8" w:space="0" w:color="auto"/>
            </w:tcBorders>
            <w:shd w:val="clear" w:color="auto" w:fill="auto"/>
            <w:vAlign w:val="center"/>
            <w:hideMark/>
          </w:tcPr>
          <w:p w14:paraId="288FF0D0" w14:textId="1AD94150"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9</w:t>
            </w:r>
            <w:r w:rsidR="00600D56" w:rsidRPr="00627621">
              <w:rPr>
                <w:rFonts w:ascii="Arial" w:hAnsi="Arial" w:cs="Arial"/>
                <w:color w:val="000000"/>
                <w:sz w:val="16"/>
                <w:szCs w:val="16"/>
              </w:rPr>
              <w:t>.</w:t>
            </w:r>
            <w:r w:rsidRPr="00627621">
              <w:rPr>
                <w:rFonts w:ascii="Arial" w:hAnsi="Arial" w:cs="Arial"/>
                <w:color w:val="000000"/>
                <w:sz w:val="16"/>
                <w:szCs w:val="16"/>
              </w:rPr>
              <w:t>704</w:t>
            </w:r>
            <w:r w:rsidR="00600D56" w:rsidRPr="00627621">
              <w:rPr>
                <w:rFonts w:ascii="Arial" w:hAnsi="Arial" w:cs="Arial"/>
                <w:color w:val="000000"/>
                <w:sz w:val="16"/>
                <w:szCs w:val="16"/>
              </w:rPr>
              <w:t>.</w:t>
            </w:r>
            <w:r w:rsidRPr="00627621">
              <w:rPr>
                <w:rFonts w:ascii="Arial" w:hAnsi="Arial" w:cs="Arial"/>
                <w:color w:val="000000"/>
                <w:sz w:val="16"/>
                <w:szCs w:val="16"/>
              </w:rPr>
              <w:t>090</w:t>
            </w:r>
            <w:r w:rsidR="00600D56" w:rsidRPr="00627621">
              <w:rPr>
                <w:rFonts w:ascii="Arial" w:hAnsi="Arial" w:cs="Arial"/>
                <w:color w:val="000000"/>
                <w:sz w:val="16"/>
                <w:szCs w:val="16"/>
              </w:rPr>
              <w:t>.</w:t>
            </w:r>
            <w:r w:rsidRPr="00627621">
              <w:rPr>
                <w:rFonts w:ascii="Arial" w:hAnsi="Arial" w:cs="Arial"/>
                <w:color w:val="000000"/>
                <w:sz w:val="16"/>
                <w:szCs w:val="16"/>
              </w:rPr>
              <w:t>685</w:t>
            </w:r>
          </w:p>
        </w:tc>
        <w:tc>
          <w:tcPr>
            <w:tcW w:w="2732" w:type="dxa"/>
            <w:tcBorders>
              <w:top w:val="nil"/>
              <w:left w:val="nil"/>
              <w:bottom w:val="single" w:sz="8" w:space="0" w:color="auto"/>
              <w:right w:val="single" w:sz="8" w:space="0" w:color="auto"/>
            </w:tcBorders>
            <w:shd w:val="clear" w:color="auto" w:fill="auto"/>
            <w:vAlign w:val="center"/>
            <w:hideMark/>
          </w:tcPr>
          <w:p w14:paraId="3516266B" w14:textId="77777777" w:rsidR="00ED3400" w:rsidRPr="00627621" w:rsidRDefault="00ED3400">
            <w:pPr>
              <w:jc w:val="center"/>
              <w:rPr>
                <w:rFonts w:ascii="Arial" w:hAnsi="Arial" w:cs="Arial"/>
                <w:color w:val="000000"/>
                <w:sz w:val="16"/>
                <w:szCs w:val="16"/>
              </w:rPr>
            </w:pPr>
            <w:r w:rsidRPr="00627621">
              <w:rPr>
                <w:rFonts w:ascii="Arial" w:hAnsi="Arial" w:cs="Arial"/>
                <w:color w:val="000000"/>
                <w:sz w:val="16"/>
                <w:szCs w:val="16"/>
              </w:rPr>
              <w:t>https://community.secop.gov.co/Public/Tendering/OpportunityDetail/Index?noticeUID=CO1.NTC.5022334&amp;isFromPublicArea=True&amp;isModal=true&amp;asPopupView=true</w:t>
            </w:r>
          </w:p>
        </w:tc>
      </w:tr>
    </w:tbl>
    <w:p w14:paraId="6F1560E5" w14:textId="0853E989" w:rsidR="00496E4F" w:rsidRPr="0086351C" w:rsidRDefault="00496E4F" w:rsidP="1C5DF8D6">
      <w:pPr>
        <w:jc w:val="both"/>
        <w:rPr>
          <w:rFonts w:ascii="Arial" w:eastAsia="Tahoma" w:hAnsi="Arial" w:cs="Arial"/>
          <w:sz w:val="22"/>
          <w:szCs w:val="22"/>
        </w:rPr>
      </w:pPr>
    </w:p>
    <w:p w14:paraId="1C6E95E4" w14:textId="26024A41" w:rsidR="00496E4F" w:rsidRPr="0086351C" w:rsidRDefault="0929F9B8" w:rsidP="007D7433">
      <w:pPr>
        <w:pStyle w:val="Ttulo2"/>
        <w:numPr>
          <w:ilvl w:val="1"/>
          <w:numId w:val="29"/>
        </w:numPr>
        <w:rPr>
          <w:rFonts w:ascii="Arial" w:eastAsia="Tahoma" w:hAnsi="Arial" w:cs="Arial"/>
          <w:sz w:val="22"/>
          <w:szCs w:val="22"/>
        </w:rPr>
      </w:pPr>
      <w:bookmarkStart w:id="23" w:name="_Toc178847899"/>
      <w:r w:rsidRPr="0086351C">
        <w:rPr>
          <w:rFonts w:ascii="Arial" w:eastAsia="Tahoma" w:hAnsi="Arial" w:cs="Arial"/>
          <w:sz w:val="22"/>
          <w:szCs w:val="22"/>
        </w:rPr>
        <w:t>Contrataciones realizadas por otras entidades</w:t>
      </w:r>
      <w:bookmarkEnd w:id="23"/>
    </w:p>
    <w:p w14:paraId="1D9E699B" w14:textId="77777777" w:rsidR="00336C1B" w:rsidRPr="0086351C" w:rsidRDefault="00336C1B" w:rsidP="00187362">
      <w:pPr>
        <w:rPr>
          <w:rFonts w:ascii="Arial" w:eastAsia="Tahoma" w:hAnsi="Arial" w:cs="Arial"/>
          <w:sz w:val="22"/>
          <w:szCs w:val="22"/>
        </w:rPr>
      </w:pPr>
    </w:p>
    <w:tbl>
      <w:tblPr>
        <w:tblW w:w="4978" w:type="pct"/>
        <w:tblInd w:w="-5" w:type="dxa"/>
        <w:tblLayout w:type="fixed"/>
        <w:tblCellMar>
          <w:left w:w="70" w:type="dxa"/>
          <w:right w:w="70" w:type="dxa"/>
        </w:tblCellMar>
        <w:tblLook w:val="04A0" w:firstRow="1" w:lastRow="0" w:firstColumn="1" w:lastColumn="0" w:noHBand="0" w:noVBand="1"/>
      </w:tblPr>
      <w:tblGrid>
        <w:gridCol w:w="1842"/>
        <w:gridCol w:w="1276"/>
        <w:gridCol w:w="1677"/>
        <w:gridCol w:w="1136"/>
        <w:gridCol w:w="2858"/>
      </w:tblGrid>
      <w:tr w:rsidR="004A08E6" w:rsidRPr="00627621" w14:paraId="1B49311A" w14:textId="77777777" w:rsidTr="00195179">
        <w:trPr>
          <w:trHeight w:val="300"/>
          <w:tblHeader/>
        </w:trPr>
        <w:tc>
          <w:tcPr>
            <w:tcW w:w="104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44CAA4" w14:textId="2DF500FC" w:rsidR="00336C1B" w:rsidRPr="00627621" w:rsidRDefault="00336C1B" w:rsidP="00336C1B">
            <w:pPr>
              <w:jc w:val="center"/>
              <w:rPr>
                <w:rFonts w:ascii="Arial" w:eastAsia="Tahoma" w:hAnsi="Arial" w:cs="Arial"/>
                <w:b/>
                <w:bCs/>
                <w:color w:val="000000"/>
                <w:sz w:val="16"/>
                <w:szCs w:val="16"/>
              </w:rPr>
            </w:pPr>
            <w:r w:rsidRPr="00627621">
              <w:rPr>
                <w:rFonts w:ascii="Arial" w:eastAsia="Tahoma" w:hAnsi="Arial" w:cs="Arial"/>
                <w:b/>
                <w:bCs/>
                <w:color w:val="000000"/>
                <w:sz w:val="16"/>
                <w:szCs w:val="16"/>
              </w:rPr>
              <w:t>Descripción del Proceso</w:t>
            </w:r>
          </w:p>
        </w:tc>
        <w:tc>
          <w:tcPr>
            <w:tcW w:w="726"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D26133F" w14:textId="76BEEB85" w:rsidR="00336C1B" w:rsidRPr="00627621" w:rsidRDefault="00336C1B" w:rsidP="00336C1B">
            <w:pPr>
              <w:jc w:val="center"/>
              <w:rPr>
                <w:rFonts w:ascii="Arial" w:eastAsia="Tahoma" w:hAnsi="Arial" w:cs="Arial"/>
                <w:b/>
                <w:bCs/>
                <w:color w:val="000000"/>
                <w:sz w:val="16"/>
                <w:szCs w:val="16"/>
              </w:rPr>
            </w:pPr>
            <w:r w:rsidRPr="00627621">
              <w:rPr>
                <w:rFonts w:ascii="Arial" w:eastAsia="Tahoma" w:hAnsi="Arial" w:cs="Arial"/>
                <w:b/>
                <w:bCs/>
                <w:color w:val="000000"/>
                <w:sz w:val="16"/>
                <w:szCs w:val="16"/>
              </w:rPr>
              <w:t>Nombre Entidad</w:t>
            </w:r>
          </w:p>
        </w:tc>
        <w:tc>
          <w:tcPr>
            <w:tcW w:w="954"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380B5E4" w14:textId="4252B167" w:rsidR="00336C1B" w:rsidRPr="00627621" w:rsidRDefault="00336C1B" w:rsidP="00336C1B">
            <w:pPr>
              <w:jc w:val="center"/>
              <w:rPr>
                <w:rFonts w:ascii="Arial" w:hAnsi="Arial" w:cs="Arial"/>
                <w:sz w:val="16"/>
                <w:szCs w:val="16"/>
              </w:rPr>
            </w:pPr>
            <w:r w:rsidRPr="00627621">
              <w:rPr>
                <w:rFonts w:ascii="Arial" w:eastAsia="Tahoma" w:hAnsi="Arial" w:cs="Arial"/>
                <w:b/>
                <w:bCs/>
                <w:color w:val="000000" w:themeColor="text1"/>
                <w:sz w:val="16"/>
                <w:szCs w:val="16"/>
              </w:rPr>
              <w:t>Contratista</w:t>
            </w:r>
          </w:p>
        </w:tc>
        <w:tc>
          <w:tcPr>
            <w:tcW w:w="646"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BCEDB9F" w14:textId="77777777" w:rsidR="00336C1B" w:rsidRPr="00627621" w:rsidRDefault="00336C1B" w:rsidP="00336C1B">
            <w:pPr>
              <w:jc w:val="center"/>
              <w:rPr>
                <w:rFonts w:ascii="Arial" w:eastAsia="Tahoma" w:hAnsi="Arial" w:cs="Arial"/>
                <w:b/>
                <w:bCs/>
                <w:color w:val="000000"/>
                <w:sz w:val="16"/>
                <w:szCs w:val="16"/>
              </w:rPr>
            </w:pPr>
            <w:r w:rsidRPr="00627621">
              <w:rPr>
                <w:rFonts w:ascii="Arial" w:eastAsia="Tahoma" w:hAnsi="Arial" w:cs="Arial"/>
                <w:b/>
                <w:bCs/>
                <w:color w:val="000000"/>
                <w:sz w:val="16"/>
                <w:szCs w:val="16"/>
              </w:rPr>
              <w:t>Valor del Contrato</w:t>
            </w:r>
          </w:p>
        </w:tc>
        <w:tc>
          <w:tcPr>
            <w:tcW w:w="1626"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CC3CE7" w14:textId="77777777" w:rsidR="00336C1B" w:rsidRPr="00627621" w:rsidRDefault="00336C1B" w:rsidP="00336C1B">
            <w:pPr>
              <w:jc w:val="center"/>
              <w:rPr>
                <w:rFonts w:ascii="Arial" w:eastAsia="Tahoma" w:hAnsi="Arial" w:cs="Arial"/>
                <w:b/>
                <w:bCs/>
                <w:color w:val="000000"/>
                <w:sz w:val="16"/>
                <w:szCs w:val="16"/>
              </w:rPr>
            </w:pPr>
            <w:r w:rsidRPr="00627621">
              <w:rPr>
                <w:rFonts w:ascii="Arial" w:eastAsia="Tahoma" w:hAnsi="Arial" w:cs="Arial"/>
                <w:b/>
                <w:bCs/>
                <w:color w:val="000000"/>
                <w:sz w:val="16"/>
                <w:szCs w:val="16"/>
              </w:rPr>
              <w:t>URLProceso</w:t>
            </w:r>
          </w:p>
        </w:tc>
      </w:tr>
      <w:tr w:rsidR="00A818D1" w:rsidRPr="00627621" w14:paraId="5C2A9B56"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5508390D" w14:textId="2B339AC4"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 xml:space="preserve">AUNAR ESFUERZOS TÉCNICOS ADMINISTRATIVOS Y FINANCIEROS EN EL </w:t>
            </w:r>
            <w:r w:rsidRPr="00627621">
              <w:rPr>
                <w:rFonts w:ascii="Arial" w:eastAsia="Tahoma" w:hAnsi="Arial" w:cs="Arial"/>
                <w:color w:val="000000"/>
                <w:sz w:val="16"/>
                <w:szCs w:val="16"/>
              </w:rPr>
              <w:lastRenderedPageBreak/>
              <w:t>MARCO DE LOS PRINCIPIOS DE INTEGRACIÓN SOLIDARIDAD Y ASOCIATIVIDAD DE LA LEY 1454 DE 2011 CON EL PROPÓSITO DE GENERAR SINERGIA ENTRE INSTANCIAS DE INTEGRACIÓN TERRITORIAL PARA LA PRESTACIÓN DEL SERVICIO PÚBLICO DE EXTENSIÓN AGROPECUARIA EP</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61ED7B59" w14:textId="5C5E00BF"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lastRenderedPageBreak/>
              <w:t>MUNICIPIO DE LA UNION ANTIOQUIA</w:t>
            </w:r>
          </w:p>
        </w:tc>
        <w:tc>
          <w:tcPr>
            <w:tcW w:w="954" w:type="pct"/>
            <w:tcBorders>
              <w:top w:val="nil"/>
              <w:left w:val="nil"/>
              <w:bottom w:val="single" w:sz="4" w:space="0" w:color="auto"/>
              <w:right w:val="single" w:sz="4" w:space="0" w:color="auto"/>
            </w:tcBorders>
            <w:shd w:val="clear" w:color="auto" w:fill="auto"/>
            <w:noWrap/>
            <w:vAlign w:val="center"/>
            <w:hideMark/>
          </w:tcPr>
          <w:p w14:paraId="5FE9C9C5"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 xml:space="preserve">La Provincia Administrativa y de Planificación PAP de la Paz en el </w:t>
            </w:r>
            <w:r w:rsidRPr="00627621">
              <w:rPr>
                <w:rFonts w:ascii="Arial" w:eastAsia="Tahoma" w:hAnsi="Arial" w:cs="Arial"/>
                <w:color w:val="000000"/>
                <w:sz w:val="16"/>
                <w:szCs w:val="16"/>
              </w:rPr>
              <w:lastRenderedPageBreak/>
              <w:t>departamento de Antioquia</w:t>
            </w:r>
          </w:p>
        </w:tc>
        <w:tc>
          <w:tcPr>
            <w:tcW w:w="646" w:type="pct"/>
            <w:tcBorders>
              <w:top w:val="nil"/>
              <w:left w:val="nil"/>
              <w:bottom w:val="single" w:sz="4" w:space="0" w:color="auto"/>
              <w:right w:val="single" w:sz="4" w:space="0" w:color="auto"/>
            </w:tcBorders>
            <w:shd w:val="clear" w:color="auto" w:fill="auto"/>
            <w:noWrap/>
            <w:vAlign w:val="center"/>
            <w:hideMark/>
          </w:tcPr>
          <w:p w14:paraId="26EE786A"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lastRenderedPageBreak/>
              <w:t>164,262,400</w:t>
            </w:r>
          </w:p>
        </w:tc>
        <w:tc>
          <w:tcPr>
            <w:tcW w:w="1626" w:type="pct"/>
            <w:tcBorders>
              <w:top w:val="nil"/>
              <w:left w:val="nil"/>
              <w:bottom w:val="single" w:sz="4" w:space="0" w:color="auto"/>
              <w:right w:val="single" w:sz="4" w:space="0" w:color="auto"/>
            </w:tcBorders>
            <w:shd w:val="clear" w:color="auto" w:fill="auto"/>
            <w:noWrap/>
            <w:vAlign w:val="center"/>
            <w:hideMark/>
          </w:tcPr>
          <w:p w14:paraId="258E38E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https://community.secop.gov.co/Public/Tendering/OpportunityDetail/Index?noticeUID=CO1.NTC.2397128&amp;isFro</w:t>
            </w:r>
            <w:r w:rsidRPr="00627621">
              <w:rPr>
                <w:rFonts w:ascii="Arial" w:eastAsia="Tahoma" w:hAnsi="Arial" w:cs="Arial"/>
                <w:color w:val="000000"/>
                <w:sz w:val="16"/>
                <w:szCs w:val="16"/>
              </w:rPr>
              <w:lastRenderedPageBreak/>
              <w:t>mPublicArea=True&amp;isModal=true&amp;asPopupView=true</w:t>
            </w:r>
          </w:p>
        </w:tc>
      </w:tr>
      <w:tr w:rsidR="00A818D1" w:rsidRPr="00627621" w14:paraId="0685FDF8"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017BFEA6" w14:textId="30B30A8D"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lastRenderedPageBreak/>
              <w:t>Aunar esfuerzos técnicos administrativos y financieros entre el Departamento de CALDAS y El Municipio de LA DORADA para la ejecución del proyecto de extensión agropecuaria municipal en las líneas productivas de agroganadería y piscicultura mediante la contratación de una entidad prestadora del servi</w:t>
            </w:r>
            <w:r w:rsidR="6D105DBC" w:rsidRPr="00627621">
              <w:rPr>
                <w:rFonts w:ascii="Arial" w:eastAsia="Tahoma" w:hAnsi="Arial" w:cs="Arial"/>
                <w:color w:val="000000" w:themeColor="text1"/>
                <w:sz w:val="16"/>
                <w:szCs w:val="16"/>
              </w:rPr>
              <w:t>cio.</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699617C5" w14:textId="1176A35E"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GOBERNACION DE CALDAS</w:t>
            </w:r>
          </w:p>
        </w:tc>
        <w:tc>
          <w:tcPr>
            <w:tcW w:w="954" w:type="pct"/>
            <w:tcBorders>
              <w:top w:val="nil"/>
              <w:left w:val="nil"/>
              <w:bottom w:val="single" w:sz="4" w:space="0" w:color="auto"/>
              <w:right w:val="single" w:sz="4" w:space="0" w:color="auto"/>
            </w:tcBorders>
            <w:shd w:val="clear" w:color="auto" w:fill="auto"/>
            <w:noWrap/>
            <w:vAlign w:val="center"/>
            <w:hideMark/>
          </w:tcPr>
          <w:p w14:paraId="77BB55D9"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LA DORADA</w:t>
            </w:r>
          </w:p>
        </w:tc>
        <w:tc>
          <w:tcPr>
            <w:tcW w:w="646" w:type="pct"/>
            <w:tcBorders>
              <w:top w:val="nil"/>
              <w:left w:val="nil"/>
              <w:bottom w:val="single" w:sz="4" w:space="0" w:color="auto"/>
              <w:right w:val="single" w:sz="4" w:space="0" w:color="auto"/>
            </w:tcBorders>
            <w:shd w:val="clear" w:color="auto" w:fill="auto"/>
            <w:noWrap/>
            <w:vAlign w:val="center"/>
            <w:hideMark/>
          </w:tcPr>
          <w:p w14:paraId="68D95E6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80,977,685</w:t>
            </w:r>
          </w:p>
        </w:tc>
        <w:tc>
          <w:tcPr>
            <w:tcW w:w="1626" w:type="pct"/>
            <w:tcBorders>
              <w:top w:val="nil"/>
              <w:left w:val="nil"/>
              <w:bottom w:val="single" w:sz="4" w:space="0" w:color="auto"/>
              <w:right w:val="single" w:sz="4" w:space="0" w:color="auto"/>
            </w:tcBorders>
            <w:shd w:val="clear" w:color="auto" w:fill="auto"/>
            <w:noWrap/>
            <w:vAlign w:val="center"/>
            <w:hideMark/>
          </w:tcPr>
          <w:p w14:paraId="7607063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https://community.secop.gov.co/Public/Tendering/OpportunityDetail/Index?noticeUID=CO1.NTC.3252234&amp;isFromPublicArea=True&amp;isModal=true&amp;asPopupView=true</w:t>
            </w:r>
          </w:p>
        </w:tc>
      </w:tr>
      <w:tr w:rsidR="00A818D1" w:rsidRPr="00627621" w14:paraId="6598303D"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41614C64" w14:textId="24C9BC6F"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APOYO A LA SUPERVISIÓN DEL CONTRATO DE PRESTACIÓN DE SERVICIOS DEEXTENSIÓN AGROPECUARIA MEDIANTE EL APOYO ACOMPAÑAMIENTO Y ASISTENCIATÉCNICA PARA EL FORTALECIMIENTO TÉCNICO PRODUCTIVO Y COMERCIAL DE LAPISCICULTURA EN EL DEPARTAMENTO DEL ATLÁNTICO A TRAVÉS DE ESQUEMASASOCIATIVOS SOSTENIBLES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5D6CB6FC" w14:textId="59F8CBDA"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DEPARTAMENTO DEL ATLANTICO</w:t>
            </w:r>
          </w:p>
        </w:tc>
        <w:tc>
          <w:tcPr>
            <w:tcW w:w="954" w:type="pct"/>
            <w:tcBorders>
              <w:top w:val="nil"/>
              <w:left w:val="nil"/>
              <w:bottom w:val="single" w:sz="4" w:space="0" w:color="auto"/>
              <w:right w:val="single" w:sz="4" w:space="0" w:color="auto"/>
            </w:tcBorders>
            <w:shd w:val="clear" w:color="auto" w:fill="auto"/>
            <w:noWrap/>
            <w:vAlign w:val="center"/>
            <w:hideMark/>
          </w:tcPr>
          <w:p w14:paraId="7308A5B3" w14:textId="77777777" w:rsidR="00336C1B" w:rsidRPr="00627621" w:rsidRDefault="00336C1B" w:rsidP="00336C1B">
            <w:pPr>
              <w:jc w:val="center"/>
              <w:rPr>
                <w:rFonts w:ascii="Arial" w:eastAsia="Tahoma" w:hAnsi="Arial" w:cs="Arial"/>
                <w:color w:val="000000"/>
                <w:sz w:val="16"/>
                <w:szCs w:val="16"/>
                <w:lang w:val="en-US"/>
              </w:rPr>
            </w:pPr>
            <w:r w:rsidRPr="00627621">
              <w:rPr>
                <w:rFonts w:ascii="Arial" w:eastAsia="Tahoma" w:hAnsi="Arial" w:cs="Arial"/>
                <w:color w:val="000000"/>
                <w:sz w:val="16"/>
                <w:szCs w:val="16"/>
                <w:lang w:val="en-US"/>
              </w:rPr>
              <w:t>LEGALTECH BUSINESS INVESTMENTS AND ADVISORS SAS</w:t>
            </w:r>
          </w:p>
        </w:tc>
        <w:tc>
          <w:tcPr>
            <w:tcW w:w="646" w:type="pct"/>
            <w:tcBorders>
              <w:top w:val="nil"/>
              <w:left w:val="nil"/>
              <w:bottom w:val="single" w:sz="4" w:space="0" w:color="auto"/>
              <w:right w:val="single" w:sz="4" w:space="0" w:color="auto"/>
            </w:tcBorders>
            <w:shd w:val="clear" w:color="auto" w:fill="auto"/>
            <w:noWrap/>
            <w:vAlign w:val="center"/>
            <w:hideMark/>
          </w:tcPr>
          <w:p w14:paraId="2DC9CC40"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300,000,000</w:t>
            </w:r>
          </w:p>
        </w:tc>
        <w:tc>
          <w:tcPr>
            <w:tcW w:w="1626" w:type="pct"/>
            <w:tcBorders>
              <w:top w:val="nil"/>
              <w:left w:val="nil"/>
              <w:bottom w:val="single" w:sz="4" w:space="0" w:color="auto"/>
              <w:right w:val="single" w:sz="4" w:space="0" w:color="auto"/>
            </w:tcBorders>
            <w:shd w:val="clear" w:color="auto" w:fill="auto"/>
            <w:noWrap/>
            <w:vAlign w:val="center"/>
            <w:hideMark/>
          </w:tcPr>
          <w:p w14:paraId="31AD6F6B"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https://community.secop.gov.co/Public/Tendering/OpportunityDetail/Index?noticeUID=CO1.NTC.2785982&amp;isFromPublicArea=True&amp;isModal=true&amp;asPopupView=true</w:t>
            </w:r>
          </w:p>
        </w:tc>
      </w:tr>
      <w:tr w:rsidR="00A818D1" w:rsidRPr="00627621" w14:paraId="0CF94FD7"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753F5423" w14:textId="6A4EAF96"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Apoyar a la DDRS en la generación de insumos para la estructura de una política pública que consolide la implementación del servicio público de extensión agropecuaria y el Sistema de Medidas Sanitarias y Fitosanitarias MSF</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1A7F823C" w14:textId="0629A0D0"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DEPARTAMENTO NACIONAL DE PLANEACIÓN</w:t>
            </w:r>
          </w:p>
        </w:tc>
        <w:tc>
          <w:tcPr>
            <w:tcW w:w="954" w:type="pct"/>
            <w:tcBorders>
              <w:top w:val="nil"/>
              <w:left w:val="nil"/>
              <w:bottom w:val="single" w:sz="4" w:space="0" w:color="auto"/>
              <w:right w:val="single" w:sz="4" w:space="0" w:color="auto"/>
            </w:tcBorders>
            <w:shd w:val="clear" w:color="auto" w:fill="auto"/>
            <w:noWrap/>
            <w:vAlign w:val="center"/>
            <w:hideMark/>
          </w:tcPr>
          <w:p w14:paraId="19F75BBF"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Natalia Milena Acosta Amador</w:t>
            </w:r>
          </w:p>
        </w:tc>
        <w:tc>
          <w:tcPr>
            <w:tcW w:w="646" w:type="pct"/>
            <w:tcBorders>
              <w:top w:val="nil"/>
              <w:left w:val="nil"/>
              <w:bottom w:val="single" w:sz="4" w:space="0" w:color="auto"/>
              <w:right w:val="single" w:sz="4" w:space="0" w:color="auto"/>
            </w:tcBorders>
            <w:shd w:val="clear" w:color="auto" w:fill="auto"/>
            <w:noWrap/>
            <w:vAlign w:val="center"/>
            <w:hideMark/>
          </w:tcPr>
          <w:p w14:paraId="41876FF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87,579,989</w:t>
            </w:r>
          </w:p>
        </w:tc>
        <w:tc>
          <w:tcPr>
            <w:tcW w:w="1626" w:type="pct"/>
            <w:tcBorders>
              <w:top w:val="nil"/>
              <w:left w:val="nil"/>
              <w:bottom w:val="single" w:sz="4" w:space="0" w:color="auto"/>
              <w:right w:val="single" w:sz="4" w:space="0" w:color="auto"/>
            </w:tcBorders>
            <w:shd w:val="clear" w:color="auto" w:fill="auto"/>
            <w:noWrap/>
            <w:vAlign w:val="center"/>
            <w:hideMark/>
          </w:tcPr>
          <w:p w14:paraId="03DE94A6"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https://community.secop.gov.co/Public/Tendering/OpportunityDetail/Index?noticeUID=CO1.NTC.685690&amp;isFromPublicArea=True&amp;isModal=true&amp;asPopupView=true</w:t>
            </w:r>
          </w:p>
        </w:tc>
      </w:tr>
      <w:tr w:rsidR="00A818D1" w:rsidRPr="00627621" w14:paraId="48D8B0D4"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1DDEEFDE" w14:textId="67B2EF59"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lastRenderedPageBreak/>
              <w:t>PRESTACIÓN DEL SERVICIO PÚBLICO DE EXTENSIÓN AGROPECUARIA Y AMBIENTAL ENMARCADO EN LA LEY 1876 DE 2017 Y FORTALECER LA EJECUCIÓN DEL PLAN AGROPECUARIO DEL MUNICIPIO DE SAN GIL</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5378B309" w14:textId="17C15919"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t xml:space="preserve">ALCALDIA MUNICIPIO DE SAN </w:t>
            </w:r>
            <w:r w:rsidR="74B1B39B" w:rsidRPr="00627621">
              <w:rPr>
                <w:rFonts w:ascii="Arial" w:eastAsia="Tahoma" w:hAnsi="Arial" w:cs="Arial"/>
                <w:color w:val="000000" w:themeColor="text1"/>
                <w:sz w:val="16"/>
                <w:szCs w:val="16"/>
              </w:rPr>
              <w:t>GIL SANTANDER</w:t>
            </w:r>
          </w:p>
        </w:tc>
        <w:tc>
          <w:tcPr>
            <w:tcW w:w="954" w:type="pct"/>
            <w:tcBorders>
              <w:top w:val="nil"/>
              <w:left w:val="nil"/>
              <w:bottom w:val="single" w:sz="4" w:space="0" w:color="auto"/>
              <w:right w:val="single" w:sz="4" w:space="0" w:color="auto"/>
            </w:tcBorders>
            <w:shd w:val="clear" w:color="auto" w:fill="auto"/>
            <w:noWrap/>
            <w:vAlign w:val="center"/>
            <w:hideMark/>
          </w:tcPr>
          <w:p w14:paraId="0BCF8A68"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CORPORACION PARA EL MANEJO Y CONSERVACION DEL MEDIO AMBIENTE Y LOS RECURSOS NATURALES</w:t>
            </w:r>
          </w:p>
        </w:tc>
        <w:tc>
          <w:tcPr>
            <w:tcW w:w="646" w:type="pct"/>
            <w:tcBorders>
              <w:top w:val="nil"/>
              <w:left w:val="nil"/>
              <w:bottom w:val="single" w:sz="4" w:space="0" w:color="auto"/>
              <w:right w:val="single" w:sz="4" w:space="0" w:color="auto"/>
            </w:tcBorders>
            <w:shd w:val="clear" w:color="auto" w:fill="auto"/>
            <w:noWrap/>
            <w:vAlign w:val="center"/>
            <w:hideMark/>
          </w:tcPr>
          <w:p w14:paraId="33FD7F0A"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130,000,000</w:t>
            </w:r>
          </w:p>
        </w:tc>
        <w:tc>
          <w:tcPr>
            <w:tcW w:w="1626" w:type="pct"/>
            <w:tcBorders>
              <w:top w:val="nil"/>
              <w:left w:val="nil"/>
              <w:bottom w:val="single" w:sz="4" w:space="0" w:color="auto"/>
              <w:right w:val="single" w:sz="4" w:space="0" w:color="auto"/>
            </w:tcBorders>
            <w:shd w:val="clear" w:color="auto" w:fill="auto"/>
            <w:noWrap/>
            <w:vAlign w:val="center"/>
            <w:hideMark/>
          </w:tcPr>
          <w:p w14:paraId="1EFF7282"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https://community.secop.gov.co/Public/Tendering/OpportunityDetail/Index?noticeUID=CO1.NTC.4161625&amp;isFromPublicArea=True&amp;isModal=true&amp;asPopupView=true</w:t>
            </w:r>
          </w:p>
        </w:tc>
      </w:tr>
      <w:tr w:rsidR="00A818D1" w:rsidRPr="00627621" w14:paraId="265FCD05"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2B02A5ED" w14:textId="34CC0797"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t xml:space="preserve">contrato interadministrativo </w:t>
            </w:r>
            <w:r w:rsidR="664F56A6" w:rsidRPr="00627621">
              <w:rPr>
                <w:rFonts w:ascii="Arial" w:eastAsia="Tahoma" w:hAnsi="Arial" w:cs="Arial"/>
                <w:color w:val="000000" w:themeColor="text1"/>
                <w:sz w:val="16"/>
                <w:szCs w:val="16"/>
              </w:rPr>
              <w:t>para la</w:t>
            </w:r>
            <w:r w:rsidRPr="00627621">
              <w:rPr>
                <w:rFonts w:ascii="Arial" w:eastAsia="Tahoma" w:hAnsi="Arial" w:cs="Arial"/>
                <w:color w:val="000000" w:themeColor="text1"/>
                <w:sz w:val="16"/>
                <w:szCs w:val="16"/>
              </w:rPr>
              <w:t xml:space="preserve"> prestación de </w:t>
            </w:r>
            <w:r w:rsidR="3E219454" w:rsidRPr="00627621">
              <w:rPr>
                <w:rFonts w:ascii="Arial" w:eastAsia="Tahoma" w:hAnsi="Arial" w:cs="Arial"/>
                <w:color w:val="000000" w:themeColor="text1"/>
                <w:sz w:val="16"/>
                <w:szCs w:val="16"/>
              </w:rPr>
              <w:t>servicio de</w:t>
            </w:r>
            <w:r w:rsidRPr="00627621">
              <w:rPr>
                <w:rFonts w:ascii="Arial" w:eastAsia="Tahoma" w:hAnsi="Arial" w:cs="Arial"/>
                <w:color w:val="000000" w:themeColor="text1"/>
                <w:sz w:val="16"/>
                <w:szCs w:val="16"/>
              </w:rPr>
              <w:t xml:space="preserve"> </w:t>
            </w:r>
            <w:r w:rsidR="100B38F8" w:rsidRPr="00627621">
              <w:rPr>
                <w:rFonts w:ascii="Arial" w:eastAsia="Tahoma" w:hAnsi="Arial" w:cs="Arial"/>
                <w:color w:val="000000" w:themeColor="text1"/>
                <w:sz w:val="16"/>
                <w:szCs w:val="16"/>
              </w:rPr>
              <w:t>implementación de</w:t>
            </w:r>
            <w:r w:rsidRPr="00627621">
              <w:rPr>
                <w:rFonts w:ascii="Arial" w:eastAsia="Tahoma" w:hAnsi="Arial" w:cs="Arial"/>
                <w:color w:val="000000" w:themeColor="text1"/>
                <w:sz w:val="16"/>
                <w:szCs w:val="16"/>
              </w:rPr>
              <w:t xml:space="preserve"> la primera </w:t>
            </w:r>
            <w:r w:rsidR="76446971" w:rsidRPr="00627621">
              <w:rPr>
                <w:rFonts w:ascii="Arial" w:eastAsia="Tahoma" w:hAnsi="Arial" w:cs="Arial"/>
                <w:color w:val="000000" w:themeColor="text1"/>
                <w:sz w:val="16"/>
                <w:szCs w:val="16"/>
              </w:rPr>
              <w:t>fase del</w:t>
            </w:r>
            <w:r w:rsidRPr="00627621">
              <w:rPr>
                <w:rFonts w:ascii="Arial" w:eastAsia="Tahoma" w:hAnsi="Arial" w:cs="Arial"/>
                <w:color w:val="000000" w:themeColor="text1"/>
                <w:sz w:val="16"/>
                <w:szCs w:val="16"/>
              </w:rPr>
              <w:t xml:space="preserve"> </w:t>
            </w:r>
            <w:r w:rsidR="694C3FD8" w:rsidRPr="00627621">
              <w:rPr>
                <w:rFonts w:ascii="Arial" w:eastAsia="Tahoma" w:hAnsi="Arial" w:cs="Arial"/>
                <w:color w:val="000000" w:themeColor="text1"/>
                <w:sz w:val="16"/>
                <w:szCs w:val="16"/>
              </w:rPr>
              <w:t xml:space="preserve">plan </w:t>
            </w:r>
            <w:r w:rsidR="4A0F46EF" w:rsidRPr="00627621">
              <w:rPr>
                <w:rFonts w:ascii="Arial" w:eastAsia="Tahoma" w:hAnsi="Arial" w:cs="Arial"/>
                <w:color w:val="000000" w:themeColor="text1"/>
                <w:sz w:val="16"/>
                <w:szCs w:val="16"/>
              </w:rPr>
              <w:t>departamental de</w:t>
            </w:r>
            <w:r w:rsidRPr="00627621">
              <w:rPr>
                <w:rFonts w:ascii="Arial" w:eastAsia="Tahoma" w:hAnsi="Arial" w:cs="Arial"/>
                <w:color w:val="000000" w:themeColor="text1"/>
                <w:sz w:val="16"/>
                <w:szCs w:val="16"/>
              </w:rPr>
              <w:t xml:space="preserve"> extensión agropecuaria</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3C04996C" w14:textId="739F7289"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GOBERNACIÓN DEL DEPARTAMENTO ARCHIPIELAGO DE SAN ANDRES PROVIDENCIA Y SANTA CATALINA</w:t>
            </w:r>
          </w:p>
        </w:tc>
        <w:tc>
          <w:tcPr>
            <w:tcW w:w="954" w:type="pct"/>
            <w:tcBorders>
              <w:top w:val="nil"/>
              <w:left w:val="nil"/>
              <w:bottom w:val="single" w:sz="4" w:space="0" w:color="auto"/>
              <w:right w:val="single" w:sz="4" w:space="0" w:color="auto"/>
            </w:tcBorders>
            <w:shd w:val="clear" w:color="auto" w:fill="auto"/>
            <w:noWrap/>
            <w:vAlign w:val="center"/>
            <w:hideMark/>
          </w:tcPr>
          <w:p w14:paraId="5AACC36E"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CORPORACION CENTRO PROVINCIAL DE GESTION AGROEMPRESARIAL DEL CENTRO DEL DEPARTAMENTO DEL HUILA</w:t>
            </w:r>
          </w:p>
        </w:tc>
        <w:tc>
          <w:tcPr>
            <w:tcW w:w="646" w:type="pct"/>
            <w:tcBorders>
              <w:top w:val="nil"/>
              <w:left w:val="nil"/>
              <w:bottom w:val="single" w:sz="4" w:space="0" w:color="auto"/>
              <w:right w:val="single" w:sz="4" w:space="0" w:color="auto"/>
            </w:tcBorders>
            <w:shd w:val="clear" w:color="auto" w:fill="auto"/>
            <w:noWrap/>
            <w:vAlign w:val="center"/>
            <w:hideMark/>
          </w:tcPr>
          <w:p w14:paraId="30D22B4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430,000,000</w:t>
            </w:r>
          </w:p>
        </w:tc>
        <w:tc>
          <w:tcPr>
            <w:tcW w:w="1626" w:type="pct"/>
            <w:tcBorders>
              <w:top w:val="nil"/>
              <w:left w:val="nil"/>
              <w:bottom w:val="single" w:sz="4" w:space="0" w:color="auto"/>
              <w:right w:val="single" w:sz="4" w:space="0" w:color="auto"/>
            </w:tcBorders>
            <w:shd w:val="clear" w:color="auto" w:fill="auto"/>
            <w:noWrap/>
            <w:vAlign w:val="center"/>
            <w:hideMark/>
          </w:tcPr>
          <w:p w14:paraId="09D408BC"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https://community.secop.gov.co/Public/Tendering/OpportunityDetail/Index?noticeUID=CO1.NTC.3421443&amp;isFromPublicArea=True&amp;isModal=true&amp;asPopupView=true</w:t>
            </w:r>
          </w:p>
        </w:tc>
      </w:tr>
      <w:tr w:rsidR="00A818D1" w:rsidRPr="00627621" w14:paraId="17A21961"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7A08664D" w14:textId="2EEF31EA"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Prestar sus servicios profesionales a la DDRS del DNP por sus propios medios con plena autonomía técnica y administrativa en la realización de insumos técnicos para el diagnóstico diseño y seguimiento de estrategias y políticas públicas en relación con el Servicio Público de Extensión Agropecuaria 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4448FF8C" w14:textId="7B3DEC60"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DEPARTAMENTO NACIONAL DE PLANEACIÓN</w:t>
            </w:r>
          </w:p>
        </w:tc>
        <w:tc>
          <w:tcPr>
            <w:tcW w:w="954" w:type="pct"/>
            <w:tcBorders>
              <w:top w:val="nil"/>
              <w:left w:val="nil"/>
              <w:bottom w:val="single" w:sz="4" w:space="0" w:color="auto"/>
              <w:right w:val="single" w:sz="4" w:space="0" w:color="auto"/>
            </w:tcBorders>
            <w:shd w:val="clear" w:color="auto" w:fill="auto"/>
            <w:noWrap/>
            <w:vAlign w:val="center"/>
            <w:hideMark/>
          </w:tcPr>
          <w:p w14:paraId="7708F56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Diego Fernando Romero Valbuena</w:t>
            </w:r>
          </w:p>
        </w:tc>
        <w:tc>
          <w:tcPr>
            <w:tcW w:w="646" w:type="pct"/>
            <w:tcBorders>
              <w:top w:val="nil"/>
              <w:left w:val="nil"/>
              <w:bottom w:val="single" w:sz="4" w:space="0" w:color="auto"/>
              <w:right w:val="single" w:sz="4" w:space="0" w:color="auto"/>
            </w:tcBorders>
            <w:shd w:val="clear" w:color="auto" w:fill="auto"/>
            <w:noWrap/>
            <w:vAlign w:val="center"/>
            <w:hideMark/>
          </w:tcPr>
          <w:p w14:paraId="2DBAF34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111,616,468</w:t>
            </w:r>
          </w:p>
        </w:tc>
        <w:tc>
          <w:tcPr>
            <w:tcW w:w="1626" w:type="pct"/>
            <w:tcBorders>
              <w:top w:val="nil"/>
              <w:left w:val="nil"/>
              <w:bottom w:val="single" w:sz="4" w:space="0" w:color="auto"/>
              <w:right w:val="single" w:sz="4" w:space="0" w:color="auto"/>
            </w:tcBorders>
            <w:shd w:val="clear" w:color="auto" w:fill="auto"/>
            <w:noWrap/>
            <w:vAlign w:val="center"/>
            <w:hideMark/>
          </w:tcPr>
          <w:p w14:paraId="78134DF1"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https://community.secop.gov.co/Public/Tendering/OpportunityDetail/Index?noticeUID=CO1.NTC.2604785&amp;isFromPublicArea=True&amp;isModal=true&amp;asPopupView=true</w:t>
            </w:r>
          </w:p>
        </w:tc>
      </w:tr>
      <w:tr w:rsidR="00A818D1" w:rsidRPr="00627621" w14:paraId="1197C927"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33F2B872" w14:textId="295AADF5"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PRESTACIÓN DE SERVICIOS PARA REALIZAR ACCIONES DE FORTALECIMIENTO DE LA COMISIÓN REGIONAL DE COMPETITIVIDAD DE RISARALDA LIDERAR LA AGENDA DEL DEPARTAMENTO Y LA ARTICULACIÓN DEL SISTEMA DE COMPETITIVIDAD Y DE EXTENSIÓN AGROPECUARIA DIGITAL</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40B45769" w14:textId="10CED3C6"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GOBERNACIÓN DE RISARALDA</w:t>
            </w:r>
          </w:p>
        </w:tc>
        <w:tc>
          <w:tcPr>
            <w:tcW w:w="954" w:type="pct"/>
            <w:tcBorders>
              <w:top w:val="nil"/>
              <w:left w:val="nil"/>
              <w:bottom w:val="single" w:sz="4" w:space="0" w:color="auto"/>
              <w:right w:val="single" w:sz="4" w:space="0" w:color="auto"/>
            </w:tcBorders>
            <w:shd w:val="clear" w:color="auto" w:fill="auto"/>
            <w:noWrap/>
            <w:vAlign w:val="center"/>
            <w:hideMark/>
          </w:tcPr>
          <w:p w14:paraId="300BDC50"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Cámara de Comercio de Pereira</w:t>
            </w:r>
          </w:p>
        </w:tc>
        <w:tc>
          <w:tcPr>
            <w:tcW w:w="646" w:type="pct"/>
            <w:tcBorders>
              <w:top w:val="nil"/>
              <w:left w:val="nil"/>
              <w:bottom w:val="single" w:sz="4" w:space="0" w:color="auto"/>
              <w:right w:val="single" w:sz="4" w:space="0" w:color="auto"/>
            </w:tcBorders>
            <w:shd w:val="clear" w:color="auto" w:fill="auto"/>
            <w:noWrap/>
            <w:vAlign w:val="center"/>
            <w:hideMark/>
          </w:tcPr>
          <w:p w14:paraId="520FBEDB"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160,000,000</w:t>
            </w:r>
          </w:p>
        </w:tc>
        <w:tc>
          <w:tcPr>
            <w:tcW w:w="1626" w:type="pct"/>
            <w:tcBorders>
              <w:top w:val="nil"/>
              <w:left w:val="nil"/>
              <w:bottom w:val="single" w:sz="4" w:space="0" w:color="auto"/>
              <w:right w:val="single" w:sz="4" w:space="0" w:color="auto"/>
            </w:tcBorders>
            <w:shd w:val="clear" w:color="auto" w:fill="auto"/>
            <w:noWrap/>
            <w:vAlign w:val="center"/>
            <w:hideMark/>
          </w:tcPr>
          <w:p w14:paraId="4119B09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https://community.secop.gov.co/Public/Tendering/OpportunityDetail/Index?noticeUID=CO1.NTC.4206244&amp;isFromPublicArea=True&amp;isModal=true&amp;asPopupView=true</w:t>
            </w:r>
          </w:p>
        </w:tc>
      </w:tr>
      <w:tr w:rsidR="00A818D1" w:rsidRPr="00627621" w14:paraId="02EC0C9C"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27BB92BB" w14:textId="16D06294"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FORTALECIMIENTO DEL SERVICIO DE ASISTENCIA TÉCNICA Y EXTENSIÓN AGROPECUARIA EN EL MUNICIPIO DE SANTA ROSA DE OSOS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070C972B" w14:textId="189F8919"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SANTA ROSA DE OSOS</w:t>
            </w:r>
          </w:p>
        </w:tc>
        <w:tc>
          <w:tcPr>
            <w:tcW w:w="954" w:type="pct"/>
            <w:tcBorders>
              <w:top w:val="nil"/>
              <w:left w:val="nil"/>
              <w:bottom w:val="single" w:sz="4" w:space="0" w:color="auto"/>
              <w:right w:val="single" w:sz="4" w:space="0" w:color="auto"/>
            </w:tcBorders>
            <w:shd w:val="clear" w:color="auto" w:fill="auto"/>
            <w:noWrap/>
            <w:vAlign w:val="center"/>
            <w:hideMark/>
          </w:tcPr>
          <w:p w14:paraId="6E1DC69E"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075985C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116,000,000</w:t>
            </w:r>
          </w:p>
        </w:tc>
        <w:tc>
          <w:tcPr>
            <w:tcW w:w="1626" w:type="pct"/>
            <w:tcBorders>
              <w:top w:val="nil"/>
              <w:left w:val="nil"/>
              <w:bottom w:val="single" w:sz="4" w:space="0" w:color="auto"/>
              <w:right w:val="single" w:sz="4" w:space="0" w:color="auto"/>
            </w:tcBorders>
            <w:shd w:val="clear" w:color="auto" w:fill="auto"/>
            <w:noWrap/>
            <w:vAlign w:val="center"/>
            <w:hideMark/>
          </w:tcPr>
          <w:p w14:paraId="106EBA41"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https://community.secop.gov.co/Public/Tendering/OpportunityDetail/Index?noticeUID=CO1.NTC.3895687&amp;isFromPublicArea=True&amp;isModal=true&amp;asPopupView=true</w:t>
            </w:r>
          </w:p>
        </w:tc>
      </w:tr>
      <w:tr w:rsidR="00A818D1" w:rsidRPr="00627621" w14:paraId="21A1C898"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2119BD0D" w14:textId="639F080A"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lastRenderedPageBreak/>
              <w:t xml:space="preserve">PRESTACION DEL SERVICIO PÚBLICO DE EXTENSIÓN AGROPECUARIA Y AMBIENTAL ENMARCADO EN LA LEY 1876 DE 2017 Y FORTALECER LA EJECUCIÓN DEL PLAN AGROPECUARIO DEL MUNICIPIO DE SAN </w:t>
            </w:r>
            <w:r w:rsidR="74CBBB4A" w:rsidRPr="00627621">
              <w:rPr>
                <w:rFonts w:ascii="Arial" w:eastAsia="Tahoma" w:hAnsi="Arial" w:cs="Arial"/>
                <w:color w:val="000000" w:themeColor="text1"/>
                <w:sz w:val="16"/>
                <w:szCs w:val="16"/>
              </w:rPr>
              <w:t>GIL SANTANDER</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34AC6A9B" w14:textId="09D632BC"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t xml:space="preserve">ALCALDIA MUNICIPIO DE SAN </w:t>
            </w:r>
            <w:r w:rsidR="239BAF54" w:rsidRPr="00627621">
              <w:rPr>
                <w:rFonts w:ascii="Arial" w:eastAsia="Tahoma" w:hAnsi="Arial" w:cs="Arial"/>
                <w:color w:val="000000" w:themeColor="text1"/>
                <w:sz w:val="16"/>
                <w:szCs w:val="16"/>
              </w:rPr>
              <w:t>GIL SANTANDER</w:t>
            </w:r>
          </w:p>
        </w:tc>
        <w:tc>
          <w:tcPr>
            <w:tcW w:w="954" w:type="pct"/>
            <w:tcBorders>
              <w:top w:val="nil"/>
              <w:left w:val="nil"/>
              <w:bottom w:val="single" w:sz="4" w:space="0" w:color="auto"/>
              <w:right w:val="single" w:sz="4" w:space="0" w:color="auto"/>
            </w:tcBorders>
            <w:shd w:val="clear" w:color="auto" w:fill="auto"/>
            <w:noWrap/>
            <w:vAlign w:val="center"/>
            <w:hideMark/>
          </w:tcPr>
          <w:p w14:paraId="2A24875C"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COOPERATIVA DE TRABAJO ASOCIADO PRESTADORA DE SERVICIOS DE ASISTENCIA TECNICA RURAL DIRECTA AGROPECUARIA EPSAGRO LOS COMUNEROS CTA</w:t>
            </w:r>
          </w:p>
        </w:tc>
        <w:tc>
          <w:tcPr>
            <w:tcW w:w="646" w:type="pct"/>
            <w:tcBorders>
              <w:top w:val="nil"/>
              <w:left w:val="nil"/>
              <w:bottom w:val="single" w:sz="4" w:space="0" w:color="auto"/>
              <w:right w:val="single" w:sz="4" w:space="0" w:color="auto"/>
            </w:tcBorders>
            <w:shd w:val="clear" w:color="auto" w:fill="auto"/>
            <w:noWrap/>
            <w:vAlign w:val="center"/>
            <w:hideMark/>
          </w:tcPr>
          <w:p w14:paraId="566996E2"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150,000,000</w:t>
            </w:r>
          </w:p>
        </w:tc>
        <w:tc>
          <w:tcPr>
            <w:tcW w:w="1626" w:type="pct"/>
            <w:tcBorders>
              <w:top w:val="nil"/>
              <w:left w:val="nil"/>
              <w:bottom w:val="single" w:sz="4" w:space="0" w:color="auto"/>
              <w:right w:val="single" w:sz="4" w:space="0" w:color="auto"/>
            </w:tcBorders>
            <w:shd w:val="clear" w:color="auto" w:fill="auto"/>
            <w:noWrap/>
            <w:vAlign w:val="center"/>
            <w:hideMark/>
          </w:tcPr>
          <w:p w14:paraId="2BCE3A5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https://community.secop.gov.co/Public/Tendering/OpportunityDetail/Index?noticeUID=CO1.NTC.2750464&amp;isFromPublicArea=True&amp;isModal=true&amp;asPopupView=true</w:t>
            </w:r>
          </w:p>
        </w:tc>
      </w:tr>
      <w:tr w:rsidR="00A818D1" w:rsidRPr="00627621" w14:paraId="56A1FACF"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1EE2B105" w14:textId="05160014"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PRESTAR EL SERVICIO PÚBLICO DE EXTENSIÓN AGROPECUARIA PARA EL DESARROLLO PRODUCTIVO Y COMPETITIVO DE LAS 2 CADENAS PRODUCTIVAS PRIORIZADAS DE CACAO Y GANADERÍA DOBLE PROPÓSITOFORTALECIENDO LA TRANSFERENCIA DE TECNOLOGÍA Y CAPACIDADES PRODUCTIVAS CON LA APROPIACIÓN DEL CONOCIMIENTO AMPLIANDO LAS OPOR</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56993BA5" w14:textId="31FCE832"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DE VALDIVIA</w:t>
            </w:r>
          </w:p>
        </w:tc>
        <w:tc>
          <w:tcPr>
            <w:tcW w:w="954" w:type="pct"/>
            <w:tcBorders>
              <w:top w:val="nil"/>
              <w:left w:val="nil"/>
              <w:bottom w:val="single" w:sz="4" w:space="0" w:color="auto"/>
              <w:right w:val="single" w:sz="4" w:space="0" w:color="auto"/>
            </w:tcBorders>
            <w:shd w:val="clear" w:color="auto" w:fill="auto"/>
            <w:noWrap/>
            <w:vAlign w:val="center"/>
            <w:hideMark/>
          </w:tcPr>
          <w:p w14:paraId="729CD3A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056FFF2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268,224,000</w:t>
            </w:r>
          </w:p>
        </w:tc>
        <w:tc>
          <w:tcPr>
            <w:tcW w:w="1626" w:type="pct"/>
            <w:tcBorders>
              <w:top w:val="nil"/>
              <w:left w:val="nil"/>
              <w:bottom w:val="single" w:sz="4" w:space="0" w:color="auto"/>
              <w:right w:val="single" w:sz="4" w:space="0" w:color="auto"/>
            </w:tcBorders>
            <w:shd w:val="clear" w:color="auto" w:fill="auto"/>
            <w:noWrap/>
            <w:vAlign w:val="center"/>
            <w:hideMark/>
          </w:tcPr>
          <w:p w14:paraId="349BC359"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https://community.secop.gov.co/Public/Tendering/OpportunityDetail/Index?noticeUID=CO1.NTC.2814084&amp;isFromPublicArea=True&amp;isModal=true&amp;asPopupView=true</w:t>
            </w:r>
          </w:p>
        </w:tc>
      </w:tr>
      <w:tr w:rsidR="00A818D1" w:rsidRPr="00627621" w14:paraId="7885AD3C"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19271563" w14:textId="380DA92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PRESTACIÓN DE SERVICIOS PARA REALIZAR ACCIONES DE FORTALECIMIENTO DE LA COMISIÓN REGIONAL DE COMPETITIVIDAD DE RISARALDA LIDERAR LA AGENDA DEL DEPARTAMENTO Y LA ARTICULACIÓN DEL SISTEMA DE COMPETITIVIDAD Y DE EXTENSIÓN AGROPECUARIA DIGITAL</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1F1FA9FF" w14:textId="04F95C70"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GOBERNACIÓN DE RISARALDA</w:t>
            </w:r>
          </w:p>
        </w:tc>
        <w:tc>
          <w:tcPr>
            <w:tcW w:w="954" w:type="pct"/>
            <w:tcBorders>
              <w:top w:val="nil"/>
              <w:left w:val="nil"/>
              <w:bottom w:val="single" w:sz="4" w:space="0" w:color="auto"/>
              <w:right w:val="single" w:sz="4" w:space="0" w:color="auto"/>
            </w:tcBorders>
            <w:shd w:val="clear" w:color="auto" w:fill="auto"/>
            <w:noWrap/>
            <w:vAlign w:val="center"/>
            <w:hideMark/>
          </w:tcPr>
          <w:p w14:paraId="3CFB61C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Cámara de Comercio de Pereira</w:t>
            </w:r>
          </w:p>
        </w:tc>
        <w:tc>
          <w:tcPr>
            <w:tcW w:w="646" w:type="pct"/>
            <w:tcBorders>
              <w:top w:val="nil"/>
              <w:left w:val="nil"/>
              <w:bottom w:val="single" w:sz="4" w:space="0" w:color="auto"/>
              <w:right w:val="single" w:sz="4" w:space="0" w:color="auto"/>
            </w:tcBorders>
            <w:shd w:val="clear" w:color="auto" w:fill="auto"/>
            <w:noWrap/>
            <w:vAlign w:val="center"/>
            <w:hideMark/>
          </w:tcPr>
          <w:p w14:paraId="12E3B7A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160,000,000</w:t>
            </w:r>
          </w:p>
        </w:tc>
        <w:tc>
          <w:tcPr>
            <w:tcW w:w="1626" w:type="pct"/>
            <w:tcBorders>
              <w:top w:val="nil"/>
              <w:left w:val="nil"/>
              <w:bottom w:val="single" w:sz="4" w:space="0" w:color="auto"/>
              <w:right w:val="single" w:sz="4" w:space="0" w:color="auto"/>
            </w:tcBorders>
            <w:shd w:val="clear" w:color="auto" w:fill="auto"/>
            <w:noWrap/>
            <w:vAlign w:val="center"/>
            <w:hideMark/>
          </w:tcPr>
          <w:p w14:paraId="4508AA9A"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https://community.secop.gov.co/Public/Tendering/OpportunityDetail/Index?noticeUID=CO1.NTC.4276368&amp;isFromPublicArea=True&amp;isModal=true&amp;asPopupView=true</w:t>
            </w:r>
          </w:p>
        </w:tc>
      </w:tr>
      <w:tr w:rsidR="00A818D1" w:rsidRPr="00627621" w14:paraId="043700DA"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51B5EAED" w14:textId="7F1F053F"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 xml:space="preserve">Proyecto para la prestación del servicio público de extensión agropecuaria para el fortalecimiento de las capacidades de los productores de las cadenas productivas de hortalizas plátano y cacao del municipio de Granada del </w:t>
            </w:r>
            <w:r w:rsidRPr="00627621">
              <w:rPr>
                <w:rFonts w:ascii="Arial" w:eastAsia="Tahoma" w:hAnsi="Arial" w:cs="Arial"/>
                <w:color w:val="000000"/>
                <w:sz w:val="16"/>
                <w:szCs w:val="16"/>
              </w:rPr>
              <w:lastRenderedPageBreak/>
              <w:t>departamento de Antioquia</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3B53C817" w14:textId="77D57CB9"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lastRenderedPageBreak/>
              <w:t>MUNICIPIO DE GRANADA</w:t>
            </w:r>
          </w:p>
        </w:tc>
        <w:tc>
          <w:tcPr>
            <w:tcW w:w="954" w:type="pct"/>
            <w:tcBorders>
              <w:top w:val="nil"/>
              <w:left w:val="nil"/>
              <w:bottom w:val="single" w:sz="4" w:space="0" w:color="auto"/>
              <w:right w:val="single" w:sz="4" w:space="0" w:color="auto"/>
            </w:tcBorders>
            <w:shd w:val="clear" w:color="auto" w:fill="auto"/>
            <w:noWrap/>
            <w:vAlign w:val="center"/>
            <w:hideMark/>
          </w:tcPr>
          <w:p w14:paraId="36600920"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1D4AE4A9"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109,262,400</w:t>
            </w:r>
          </w:p>
        </w:tc>
        <w:tc>
          <w:tcPr>
            <w:tcW w:w="1626" w:type="pct"/>
            <w:tcBorders>
              <w:top w:val="nil"/>
              <w:left w:val="nil"/>
              <w:bottom w:val="single" w:sz="4" w:space="0" w:color="auto"/>
              <w:right w:val="single" w:sz="4" w:space="0" w:color="auto"/>
            </w:tcBorders>
            <w:shd w:val="clear" w:color="auto" w:fill="auto"/>
            <w:noWrap/>
            <w:vAlign w:val="center"/>
            <w:hideMark/>
          </w:tcPr>
          <w:p w14:paraId="5D32E2E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https://community.secop.gov.co/Public/Tendering/OpportunityDetail/Index?noticeUID=CO1.NTC.2798221&amp;isFromPublicArea=True&amp;isModal=true&amp;asPopupView=true</w:t>
            </w:r>
          </w:p>
        </w:tc>
      </w:tr>
      <w:tr w:rsidR="00A818D1" w:rsidRPr="00627621" w14:paraId="0A655ADA"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366EFD1E" w14:textId="6419380C"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FORTALECIMIENTO DEL SERVICIO DE ASISTENCIA TÉCNICA Y EXTENSIÓN AGROPECUARIA EN EL MUNICIPIO DE SANTA ROSA DE OSOS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4D284B44" w14:textId="3A23AEEE"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SANTA ROSA DE OSOS</w:t>
            </w:r>
          </w:p>
        </w:tc>
        <w:tc>
          <w:tcPr>
            <w:tcW w:w="954" w:type="pct"/>
            <w:tcBorders>
              <w:top w:val="nil"/>
              <w:left w:val="nil"/>
              <w:bottom w:val="single" w:sz="4" w:space="0" w:color="auto"/>
              <w:right w:val="single" w:sz="4" w:space="0" w:color="auto"/>
            </w:tcBorders>
            <w:shd w:val="clear" w:color="auto" w:fill="auto"/>
            <w:noWrap/>
            <w:vAlign w:val="center"/>
            <w:hideMark/>
          </w:tcPr>
          <w:p w14:paraId="36B43979"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3B0D9F1D"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524,362,500</w:t>
            </w:r>
          </w:p>
        </w:tc>
        <w:tc>
          <w:tcPr>
            <w:tcW w:w="1626" w:type="pct"/>
            <w:tcBorders>
              <w:top w:val="nil"/>
              <w:left w:val="nil"/>
              <w:bottom w:val="single" w:sz="4" w:space="0" w:color="auto"/>
              <w:right w:val="single" w:sz="4" w:space="0" w:color="auto"/>
            </w:tcBorders>
            <w:shd w:val="clear" w:color="auto" w:fill="auto"/>
            <w:noWrap/>
            <w:vAlign w:val="center"/>
            <w:hideMark/>
          </w:tcPr>
          <w:p w14:paraId="149DF24E"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https://community.secop.gov.co/Public/Tendering/OpportunityDetail/Index?noticeUID=CO1.NTC.4246488&amp;isFromPublicArea=True&amp;isModal=true&amp;asPopupView=true</w:t>
            </w:r>
          </w:p>
        </w:tc>
      </w:tr>
      <w:tr w:rsidR="00A818D1" w:rsidRPr="00627621" w14:paraId="04A38A8D"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72F85266" w14:textId="4303FD1B" w:rsidR="00336C1B" w:rsidRPr="00627621" w:rsidRDefault="29F52F1D" w:rsidP="00336C1B">
            <w:pPr>
              <w:jc w:val="center"/>
              <w:rPr>
                <w:rFonts w:ascii="Arial" w:eastAsia="Tahoma" w:hAnsi="Arial" w:cs="Arial"/>
                <w:color w:val="000000"/>
                <w:sz w:val="16"/>
                <w:szCs w:val="16"/>
              </w:rPr>
            </w:pPr>
            <w:r w:rsidRPr="00627621">
              <w:rPr>
                <w:rFonts w:ascii="Arial" w:eastAsia="Tahoma" w:hAnsi="Arial" w:cs="Arial"/>
                <w:color w:val="000000" w:themeColor="text1"/>
                <w:sz w:val="16"/>
                <w:szCs w:val="16"/>
              </w:rPr>
              <w:t>Prestar el servicio público de extensión agropecuaria para el fortalecimiento de las capacidades de los productores de las cadenas productivas de frijol y plantas aromáticas del municipio de marinilla en cumplimiento a lo establecido en clausula cuarta numeral 5 del convenio no 11682021 con la agenc</w:t>
            </w:r>
            <w:r w:rsidR="65E7445C" w:rsidRPr="00627621">
              <w:rPr>
                <w:rFonts w:ascii="Arial" w:eastAsia="Tahoma" w:hAnsi="Arial" w:cs="Arial"/>
                <w:color w:val="000000" w:themeColor="text1"/>
                <w:sz w:val="16"/>
                <w:szCs w:val="16"/>
              </w:rPr>
              <w:t>ia.</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6D5B1FBB" w14:textId="7BDBAF65"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DE MARINILLA</w:t>
            </w:r>
          </w:p>
        </w:tc>
        <w:tc>
          <w:tcPr>
            <w:tcW w:w="954" w:type="pct"/>
            <w:tcBorders>
              <w:top w:val="nil"/>
              <w:left w:val="nil"/>
              <w:bottom w:val="single" w:sz="4" w:space="0" w:color="auto"/>
              <w:right w:val="single" w:sz="4" w:space="0" w:color="auto"/>
            </w:tcBorders>
            <w:shd w:val="clear" w:color="auto" w:fill="auto"/>
            <w:noWrap/>
            <w:vAlign w:val="center"/>
            <w:hideMark/>
          </w:tcPr>
          <w:p w14:paraId="57678CA3"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3A8B3676"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109,262,400</w:t>
            </w:r>
          </w:p>
        </w:tc>
        <w:tc>
          <w:tcPr>
            <w:tcW w:w="1626" w:type="pct"/>
            <w:tcBorders>
              <w:top w:val="nil"/>
              <w:left w:val="nil"/>
              <w:bottom w:val="single" w:sz="4" w:space="0" w:color="auto"/>
              <w:right w:val="single" w:sz="4" w:space="0" w:color="auto"/>
            </w:tcBorders>
            <w:shd w:val="clear" w:color="auto" w:fill="auto"/>
            <w:noWrap/>
            <w:vAlign w:val="center"/>
            <w:hideMark/>
          </w:tcPr>
          <w:p w14:paraId="09B5204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https://community.secop.gov.co/Public/Tendering/OpportunityDetail/Index?noticeUID=CO1.NTC.2804744&amp;isFromPublicArea=True&amp;isModal=true&amp;asPopupView=true</w:t>
            </w:r>
          </w:p>
        </w:tc>
      </w:tr>
      <w:tr w:rsidR="00A818D1" w:rsidRPr="00627621" w14:paraId="7EE6138B"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6FACD199" w14:textId="1CC4DE75"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PRESTACIÓN DE SERVICIOS PROFESIONALES PARA EL FORTALECIMIENTO DEL SERVICIO DE ASISTENCIA TÉCNICA Y EXTENSIÓN AGROPECUARIA EN EL MUNICIPIO DE SANTA ROSA DE OSOS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1106FF65" w14:textId="2248422F"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MUNICIPIO SANTA ROSA DE OSOS</w:t>
            </w:r>
          </w:p>
        </w:tc>
        <w:tc>
          <w:tcPr>
            <w:tcW w:w="954" w:type="pct"/>
            <w:tcBorders>
              <w:top w:val="nil"/>
              <w:left w:val="nil"/>
              <w:bottom w:val="single" w:sz="4" w:space="0" w:color="auto"/>
              <w:right w:val="single" w:sz="4" w:space="0" w:color="auto"/>
            </w:tcBorders>
            <w:shd w:val="clear" w:color="auto" w:fill="auto"/>
            <w:noWrap/>
            <w:vAlign w:val="center"/>
            <w:hideMark/>
          </w:tcPr>
          <w:p w14:paraId="2CFA1DDE"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corporación desarrollo rural integral</w:t>
            </w:r>
          </w:p>
        </w:tc>
        <w:tc>
          <w:tcPr>
            <w:tcW w:w="646" w:type="pct"/>
            <w:tcBorders>
              <w:top w:val="nil"/>
              <w:left w:val="nil"/>
              <w:bottom w:val="single" w:sz="4" w:space="0" w:color="auto"/>
              <w:right w:val="single" w:sz="4" w:space="0" w:color="auto"/>
            </w:tcBorders>
            <w:shd w:val="clear" w:color="auto" w:fill="auto"/>
            <w:noWrap/>
            <w:vAlign w:val="center"/>
            <w:hideMark/>
          </w:tcPr>
          <w:p w14:paraId="1258A1A5"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765,999,995</w:t>
            </w:r>
          </w:p>
        </w:tc>
        <w:tc>
          <w:tcPr>
            <w:tcW w:w="1626" w:type="pct"/>
            <w:tcBorders>
              <w:top w:val="nil"/>
              <w:left w:val="nil"/>
              <w:bottom w:val="single" w:sz="4" w:space="0" w:color="auto"/>
              <w:right w:val="single" w:sz="4" w:space="0" w:color="auto"/>
            </w:tcBorders>
            <w:shd w:val="clear" w:color="auto" w:fill="auto"/>
            <w:noWrap/>
            <w:vAlign w:val="center"/>
            <w:hideMark/>
          </w:tcPr>
          <w:p w14:paraId="6D3E022B"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https://community.secop.gov.co/Public/Tendering/OpportunityDetail/Index?noticeUID=CO1.NTC.2793090&amp;isFromPublicArea=True&amp;isModal=true&amp;asPopupView=true</w:t>
            </w:r>
          </w:p>
        </w:tc>
      </w:tr>
      <w:tr w:rsidR="00A818D1" w:rsidRPr="00627621" w14:paraId="0B15CB65"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7FFE8737" w14:textId="4796ECC5"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Apoyo a la supervisión del contrato de prestación de servicios de extensión agropecuaria mediante el apoyo acompañamiento y asistencia técnica para el fortalecimiento técnico productivo y comercial de la piscicultura en el departamento del Atlántico a través de esquemas asociativos sostenibles</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5B88B94D" w14:textId="645EC3B5"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DEPARTAMENTO DEL ATLANTICO</w:t>
            </w:r>
          </w:p>
        </w:tc>
        <w:tc>
          <w:tcPr>
            <w:tcW w:w="954" w:type="pct"/>
            <w:tcBorders>
              <w:top w:val="nil"/>
              <w:left w:val="nil"/>
              <w:bottom w:val="single" w:sz="4" w:space="0" w:color="auto"/>
              <w:right w:val="single" w:sz="4" w:space="0" w:color="auto"/>
            </w:tcBorders>
            <w:shd w:val="clear" w:color="auto" w:fill="auto"/>
            <w:noWrap/>
            <w:vAlign w:val="center"/>
            <w:hideMark/>
          </w:tcPr>
          <w:p w14:paraId="054BA816" w14:textId="77777777" w:rsidR="00336C1B" w:rsidRPr="00627621" w:rsidRDefault="00336C1B" w:rsidP="00336C1B">
            <w:pPr>
              <w:jc w:val="center"/>
              <w:rPr>
                <w:rFonts w:ascii="Arial" w:eastAsia="Tahoma" w:hAnsi="Arial" w:cs="Arial"/>
                <w:color w:val="000000"/>
                <w:sz w:val="16"/>
                <w:szCs w:val="16"/>
                <w:lang w:val="en-US"/>
              </w:rPr>
            </w:pPr>
            <w:r w:rsidRPr="00627621">
              <w:rPr>
                <w:rFonts w:ascii="Arial" w:eastAsia="Tahoma" w:hAnsi="Arial" w:cs="Arial"/>
                <w:color w:val="000000"/>
                <w:sz w:val="16"/>
                <w:szCs w:val="16"/>
                <w:lang w:val="en-US"/>
              </w:rPr>
              <w:t>LEGALTECH BUSINESS INVESTMENTS AND ADVISORS SAS</w:t>
            </w:r>
          </w:p>
        </w:tc>
        <w:tc>
          <w:tcPr>
            <w:tcW w:w="646" w:type="pct"/>
            <w:tcBorders>
              <w:top w:val="nil"/>
              <w:left w:val="nil"/>
              <w:bottom w:val="single" w:sz="4" w:space="0" w:color="auto"/>
              <w:right w:val="single" w:sz="4" w:space="0" w:color="auto"/>
            </w:tcBorders>
            <w:shd w:val="clear" w:color="auto" w:fill="auto"/>
            <w:noWrap/>
            <w:vAlign w:val="center"/>
            <w:hideMark/>
          </w:tcPr>
          <w:p w14:paraId="427C0AB1"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300,000,000</w:t>
            </w:r>
          </w:p>
        </w:tc>
        <w:tc>
          <w:tcPr>
            <w:tcW w:w="1626" w:type="pct"/>
            <w:tcBorders>
              <w:top w:val="nil"/>
              <w:left w:val="nil"/>
              <w:bottom w:val="single" w:sz="4" w:space="0" w:color="auto"/>
              <w:right w:val="single" w:sz="4" w:space="0" w:color="auto"/>
            </w:tcBorders>
            <w:shd w:val="clear" w:color="auto" w:fill="auto"/>
            <w:noWrap/>
            <w:vAlign w:val="center"/>
            <w:hideMark/>
          </w:tcPr>
          <w:p w14:paraId="2BB2F2B5"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https://community.secop.gov.co/Public/Tendering/OpportunityDetail/Index?noticeUID=CO1.NTC.2765576&amp;isFromPublicArea=True&amp;isModal=true&amp;asPopupView=true</w:t>
            </w:r>
          </w:p>
        </w:tc>
      </w:tr>
      <w:tr w:rsidR="00A818D1" w:rsidRPr="00627621" w14:paraId="2A25B857" w14:textId="77777777" w:rsidTr="00195179">
        <w:trPr>
          <w:trHeight w:val="300"/>
        </w:trPr>
        <w:tc>
          <w:tcPr>
            <w:tcW w:w="1048" w:type="pct"/>
            <w:tcBorders>
              <w:top w:val="nil"/>
              <w:left w:val="single" w:sz="4" w:space="0" w:color="auto"/>
              <w:bottom w:val="single" w:sz="4" w:space="0" w:color="auto"/>
              <w:right w:val="single" w:sz="4" w:space="0" w:color="auto"/>
            </w:tcBorders>
            <w:vAlign w:val="center"/>
          </w:tcPr>
          <w:p w14:paraId="390F9294" w14:textId="0406193D"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 xml:space="preserve">PRESTACIÓN DE SERVICIOS DE EXTENSIÓN AGROPECUARIA MEDIANTE EL APOYO ACOMPAÑAMIENTO Y ASISTENCIA TÉCNICA PARA EL FOMENTO E IMPLEMENTACIÓN DE AGRONEGOCIOS CON CULTIVOS </w:t>
            </w:r>
            <w:r w:rsidRPr="00627621">
              <w:rPr>
                <w:rFonts w:ascii="Arial" w:eastAsia="Tahoma" w:hAnsi="Arial" w:cs="Arial"/>
                <w:color w:val="000000"/>
                <w:sz w:val="16"/>
                <w:szCs w:val="16"/>
              </w:rPr>
              <w:lastRenderedPageBreak/>
              <w:t>PERENNES Y SEMIPERENNES COMO ESTRATEGIA PARA LA REACTIVACIÓN PRODUCTIVA DE LAS ZONAS DE DISTRITOS DE RIEGO Y ÁREA DE INFLUENCIA EN EL</w:t>
            </w:r>
          </w:p>
        </w:tc>
        <w:tc>
          <w:tcPr>
            <w:tcW w:w="726" w:type="pct"/>
            <w:tcBorders>
              <w:top w:val="nil"/>
              <w:left w:val="single" w:sz="4" w:space="0" w:color="auto"/>
              <w:bottom w:val="single" w:sz="4" w:space="0" w:color="auto"/>
              <w:right w:val="single" w:sz="4" w:space="0" w:color="auto"/>
            </w:tcBorders>
            <w:shd w:val="clear" w:color="auto" w:fill="auto"/>
            <w:noWrap/>
            <w:vAlign w:val="center"/>
            <w:hideMark/>
          </w:tcPr>
          <w:p w14:paraId="5E2899A9" w14:textId="2B83EBCB"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lastRenderedPageBreak/>
              <w:t>DEPARTAMENTO DEL ATLANTICO</w:t>
            </w:r>
          </w:p>
        </w:tc>
        <w:tc>
          <w:tcPr>
            <w:tcW w:w="954" w:type="pct"/>
            <w:tcBorders>
              <w:top w:val="nil"/>
              <w:left w:val="nil"/>
              <w:bottom w:val="single" w:sz="4" w:space="0" w:color="auto"/>
              <w:right w:val="single" w:sz="4" w:space="0" w:color="auto"/>
            </w:tcBorders>
            <w:shd w:val="clear" w:color="auto" w:fill="auto"/>
            <w:noWrap/>
            <w:vAlign w:val="center"/>
            <w:hideMark/>
          </w:tcPr>
          <w:p w14:paraId="1CAB5034"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PROMOTORA HACIENDA LAS FLORES SA</w:t>
            </w:r>
          </w:p>
        </w:tc>
        <w:tc>
          <w:tcPr>
            <w:tcW w:w="646" w:type="pct"/>
            <w:tcBorders>
              <w:top w:val="nil"/>
              <w:left w:val="nil"/>
              <w:bottom w:val="single" w:sz="4" w:space="0" w:color="auto"/>
              <w:right w:val="single" w:sz="4" w:space="0" w:color="auto"/>
            </w:tcBorders>
            <w:shd w:val="clear" w:color="auto" w:fill="auto"/>
            <w:noWrap/>
            <w:vAlign w:val="center"/>
            <w:hideMark/>
          </w:tcPr>
          <w:p w14:paraId="733092B6"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7,314,999,701</w:t>
            </w:r>
          </w:p>
        </w:tc>
        <w:tc>
          <w:tcPr>
            <w:tcW w:w="1626" w:type="pct"/>
            <w:tcBorders>
              <w:top w:val="nil"/>
              <w:left w:val="nil"/>
              <w:bottom w:val="single" w:sz="4" w:space="0" w:color="auto"/>
              <w:right w:val="single" w:sz="4" w:space="0" w:color="auto"/>
            </w:tcBorders>
            <w:shd w:val="clear" w:color="auto" w:fill="auto"/>
            <w:noWrap/>
            <w:vAlign w:val="center"/>
            <w:hideMark/>
          </w:tcPr>
          <w:p w14:paraId="29793652" w14:textId="77777777" w:rsidR="00336C1B" w:rsidRPr="00627621" w:rsidRDefault="00336C1B" w:rsidP="00336C1B">
            <w:pPr>
              <w:jc w:val="center"/>
              <w:rPr>
                <w:rFonts w:ascii="Arial" w:eastAsia="Tahoma" w:hAnsi="Arial" w:cs="Arial"/>
                <w:color w:val="000000"/>
                <w:sz w:val="16"/>
                <w:szCs w:val="16"/>
              </w:rPr>
            </w:pPr>
            <w:r w:rsidRPr="00627621">
              <w:rPr>
                <w:rFonts w:ascii="Arial" w:eastAsia="Tahoma" w:hAnsi="Arial" w:cs="Arial"/>
                <w:color w:val="000000"/>
                <w:sz w:val="16"/>
                <w:szCs w:val="16"/>
              </w:rPr>
              <w:t>https://community.secop.gov.co/Public/Tendering/OpportunityDetail/Index?noticeUID=CO1.NTC.1614306&amp;isFromPublicArea=True&amp;isModal=true&amp;asPopupView=true</w:t>
            </w:r>
          </w:p>
        </w:tc>
      </w:tr>
    </w:tbl>
    <w:p w14:paraId="5A2158DD" w14:textId="77777777" w:rsidR="00195179" w:rsidRPr="0086351C" w:rsidRDefault="00195179" w:rsidP="00195179">
      <w:pPr>
        <w:pStyle w:val="Ttulo1"/>
        <w:framePr w:w="8625" w:wrap="around" w:hAnchor="page" w:x="1809" w:y="259"/>
        <w:spacing w:line="240" w:lineRule="auto"/>
        <w:ind w:left="0" w:firstLine="0"/>
        <w:rPr>
          <w:rFonts w:ascii="Arial" w:eastAsia="Tahoma" w:hAnsi="Arial" w:cs="Arial"/>
          <w:b w:val="0"/>
          <w:bCs w:val="0"/>
          <w:sz w:val="22"/>
          <w:szCs w:val="22"/>
        </w:rPr>
      </w:pPr>
      <w:bookmarkStart w:id="24" w:name="_Toc178847900"/>
      <w:r w:rsidRPr="0086351C">
        <w:rPr>
          <w:rFonts w:ascii="Arial" w:eastAsia="Tahoma" w:hAnsi="Arial" w:cs="Arial"/>
          <w:sz w:val="22"/>
          <w:szCs w:val="22"/>
        </w:rPr>
        <w:t>ANALISIS DE LA OFERTA</w:t>
      </w:r>
      <w:bookmarkEnd w:id="24"/>
    </w:p>
    <w:p w14:paraId="510FF7E2" w14:textId="77777777" w:rsidR="00D12A5C" w:rsidRPr="0086351C" w:rsidRDefault="00D12A5C" w:rsidP="1C5DF8D6">
      <w:pPr>
        <w:jc w:val="both"/>
        <w:rPr>
          <w:rFonts w:ascii="Arial" w:eastAsia="Tahoma" w:hAnsi="Arial" w:cs="Arial"/>
          <w:sz w:val="22"/>
          <w:szCs w:val="22"/>
        </w:rPr>
      </w:pPr>
    </w:p>
    <w:p w14:paraId="47584793" w14:textId="77777777" w:rsidR="008A1330" w:rsidRPr="0086351C" w:rsidRDefault="008A1330" w:rsidP="00A56D82">
      <w:pPr>
        <w:pStyle w:val="paragraph"/>
        <w:spacing w:before="0" w:beforeAutospacing="0" w:after="0" w:afterAutospacing="0"/>
        <w:ind w:right="49"/>
        <w:jc w:val="both"/>
        <w:textAlignment w:val="baseline"/>
        <w:rPr>
          <w:rStyle w:val="normaltextrun"/>
          <w:rFonts w:ascii="Arial" w:eastAsia="Tahoma" w:hAnsi="Arial" w:cs="Arial"/>
          <w:sz w:val="22"/>
          <w:szCs w:val="22"/>
        </w:rPr>
      </w:pPr>
    </w:p>
    <w:p w14:paraId="124BEF46" w14:textId="77777777" w:rsidR="008A1330" w:rsidRPr="0086351C" w:rsidRDefault="008A1330" w:rsidP="00627621">
      <w:pPr>
        <w:spacing w:line="276" w:lineRule="auto"/>
        <w:jc w:val="both"/>
        <w:rPr>
          <w:rStyle w:val="normaltextrun"/>
          <w:rFonts w:ascii="Arial" w:eastAsia="Tahoma" w:hAnsi="Arial" w:cs="Arial"/>
          <w:sz w:val="22"/>
          <w:szCs w:val="22"/>
        </w:rPr>
      </w:pPr>
      <w:r w:rsidRPr="0086351C">
        <w:rPr>
          <w:rStyle w:val="normaltextrun"/>
          <w:rFonts w:ascii="Arial" w:eastAsia="Tahoma" w:hAnsi="Arial" w:cs="Arial"/>
          <w:sz w:val="22"/>
          <w:szCs w:val="22"/>
        </w:rPr>
        <w:t xml:space="preserve">De acuerdo con lo dispuesto en el artículo 2.2.1.1.1.6.1 del Decreto 1082 de 2015 y la Guía de Colombia Compra Eficiente, se procedió a realizar el análisis del sector económico y de los posibles oferentes.  Se identifican tanto en la plataforma SECOP como en los portafolios directos del mercado, una muestra de entidades que cumplen con los códigos del clasificador de bienes y servicios para la contratación pública, que aplican a la necesidad descrita:  </w:t>
      </w:r>
    </w:p>
    <w:p w14:paraId="06271584" w14:textId="77777777" w:rsidR="008A1330" w:rsidRPr="0086351C" w:rsidRDefault="008A1330" w:rsidP="00627621">
      <w:pPr>
        <w:spacing w:line="276" w:lineRule="auto"/>
        <w:jc w:val="both"/>
        <w:rPr>
          <w:rStyle w:val="normaltextrun"/>
          <w:rFonts w:ascii="Arial" w:eastAsia="Tahoma" w:hAnsi="Arial" w:cs="Arial"/>
          <w:sz w:val="22"/>
          <w:szCs w:val="22"/>
        </w:rPr>
      </w:pPr>
    </w:p>
    <w:p w14:paraId="24712E90" w14:textId="77777777" w:rsidR="008A1330" w:rsidRPr="0086351C" w:rsidRDefault="008A1330" w:rsidP="00627621">
      <w:pPr>
        <w:spacing w:line="276" w:lineRule="auto"/>
        <w:jc w:val="both"/>
        <w:rPr>
          <w:rStyle w:val="normaltextrun"/>
          <w:rFonts w:ascii="Arial" w:eastAsia="Tahoma" w:hAnsi="Arial" w:cs="Arial"/>
          <w:sz w:val="22"/>
          <w:szCs w:val="22"/>
        </w:rPr>
      </w:pPr>
      <w:r w:rsidRPr="0086351C">
        <w:rPr>
          <w:rStyle w:val="normaltextrun"/>
          <w:rFonts w:ascii="Arial" w:eastAsia="Tahoma" w:hAnsi="Arial" w:cs="Arial"/>
          <w:sz w:val="22"/>
          <w:szCs w:val="22"/>
        </w:rPr>
        <w:t>Para identificar la oferta de empresas que conforme a su naturaleza y objeto social pueden prestar el servicio requerido, verificó en el Modelo de Abastecimiento Estratégico para la compra pública elaborado por la Agencia Nacional de Contratación Pública – Colombia Compra Eficiente.</w:t>
      </w:r>
    </w:p>
    <w:p w14:paraId="25141A56" w14:textId="77777777" w:rsidR="008A1330" w:rsidRPr="0086351C" w:rsidRDefault="008A1330" w:rsidP="00627621">
      <w:pPr>
        <w:pStyle w:val="paragraph"/>
        <w:spacing w:before="0" w:beforeAutospacing="0" w:after="0" w:afterAutospacing="0" w:line="276" w:lineRule="auto"/>
        <w:ind w:right="49"/>
        <w:jc w:val="both"/>
        <w:textAlignment w:val="baseline"/>
        <w:rPr>
          <w:rStyle w:val="normaltextrun"/>
          <w:rFonts w:ascii="Arial" w:eastAsia="Tahoma" w:hAnsi="Arial" w:cs="Arial"/>
          <w:sz w:val="22"/>
          <w:szCs w:val="22"/>
        </w:rPr>
      </w:pPr>
    </w:p>
    <w:p w14:paraId="68BBD45D" w14:textId="41E82347" w:rsidR="008A1330" w:rsidRPr="0086351C" w:rsidRDefault="008A1330" w:rsidP="00627621">
      <w:pPr>
        <w:spacing w:line="276" w:lineRule="auto"/>
        <w:jc w:val="both"/>
        <w:rPr>
          <w:rStyle w:val="normaltextrun"/>
          <w:rFonts w:ascii="Arial" w:eastAsia="Tahoma" w:hAnsi="Arial" w:cs="Arial"/>
          <w:sz w:val="22"/>
          <w:szCs w:val="22"/>
        </w:rPr>
      </w:pPr>
      <w:r w:rsidRPr="0086351C">
        <w:rPr>
          <w:rStyle w:val="normaltextrun"/>
          <w:rFonts w:ascii="Arial" w:eastAsia="Tahoma" w:hAnsi="Arial" w:cs="Arial"/>
          <w:sz w:val="22"/>
          <w:szCs w:val="22"/>
        </w:rPr>
        <w:t>Utilizando la herramienta de abastecimiento estratégico, se encuentra que para los departamentos seleccionados el análisis de la oferta en el país existe una gran cantidad de empresas que han realizado contrataciones con los clasificadores de bienes y servicios de acuerdo con el servicio requerido con el segmento 70</w:t>
      </w:r>
      <w:r w:rsidR="00BE42E7" w:rsidRPr="0086351C">
        <w:rPr>
          <w:rStyle w:val="normaltextrun"/>
          <w:rFonts w:ascii="Arial" w:eastAsia="Tahoma" w:hAnsi="Arial" w:cs="Arial"/>
          <w:sz w:val="22"/>
          <w:szCs w:val="22"/>
        </w:rPr>
        <w:t xml:space="preserve"> y 93</w:t>
      </w:r>
      <w:r w:rsidRPr="0086351C">
        <w:rPr>
          <w:rStyle w:val="normaltextrun"/>
          <w:rFonts w:ascii="Arial" w:eastAsia="Tahoma" w:hAnsi="Arial" w:cs="Arial"/>
          <w:sz w:val="22"/>
          <w:szCs w:val="22"/>
        </w:rPr>
        <w:t>, en donde se evidencia contrataciones a nivel nacional del orden de $</w:t>
      </w:r>
      <w:r w:rsidR="00BE42E7" w:rsidRPr="0086351C">
        <w:rPr>
          <w:rStyle w:val="normaltextrun"/>
          <w:rFonts w:ascii="Arial" w:eastAsia="Tahoma" w:hAnsi="Arial" w:cs="Arial"/>
          <w:sz w:val="22"/>
          <w:szCs w:val="22"/>
        </w:rPr>
        <w:t>578</w:t>
      </w:r>
      <w:r w:rsidRPr="0086351C">
        <w:rPr>
          <w:rStyle w:val="normaltextrun"/>
          <w:rFonts w:ascii="Arial" w:eastAsia="Tahoma" w:hAnsi="Arial" w:cs="Arial"/>
          <w:sz w:val="22"/>
          <w:szCs w:val="22"/>
        </w:rPr>
        <w:t xml:space="preserve"> mil millones para el año 2023 y lo corrido 2024.</w:t>
      </w:r>
      <w:r w:rsidR="003A35E5" w:rsidRPr="0086351C">
        <w:rPr>
          <w:rStyle w:val="normaltextrun"/>
          <w:rFonts w:ascii="Arial" w:eastAsia="Tahoma" w:hAnsi="Arial" w:cs="Arial"/>
          <w:sz w:val="22"/>
          <w:szCs w:val="22"/>
        </w:rPr>
        <w:t xml:space="preserve"> </w:t>
      </w:r>
    </w:p>
    <w:p w14:paraId="08CEEBD3" w14:textId="77777777" w:rsidR="008A1330" w:rsidRPr="0086351C" w:rsidRDefault="008A1330" w:rsidP="008A1330">
      <w:pPr>
        <w:jc w:val="both"/>
        <w:rPr>
          <w:rStyle w:val="normaltextrun"/>
          <w:rFonts w:ascii="Arial" w:eastAsia="Tahoma" w:hAnsi="Arial" w:cs="Arial"/>
          <w:sz w:val="22"/>
          <w:szCs w:val="22"/>
        </w:rPr>
      </w:pPr>
    </w:p>
    <w:p w14:paraId="1184C020" w14:textId="04606487" w:rsidR="003A35E5" w:rsidRPr="0086351C" w:rsidRDefault="00903FEB" w:rsidP="00627621">
      <w:pPr>
        <w:jc w:val="center"/>
        <w:rPr>
          <w:rStyle w:val="normaltextrun"/>
          <w:rFonts w:ascii="Arial" w:eastAsia="Tahoma" w:hAnsi="Arial" w:cs="Arial"/>
          <w:sz w:val="22"/>
          <w:szCs w:val="22"/>
        </w:rPr>
      </w:pPr>
      <w:r w:rsidRPr="0086351C">
        <w:rPr>
          <w:rStyle w:val="normaltextrun"/>
          <w:rFonts w:ascii="Arial" w:eastAsia="Tahoma" w:hAnsi="Arial" w:cs="Arial"/>
          <w:noProof/>
          <w:sz w:val="22"/>
          <w:szCs w:val="22"/>
        </w:rPr>
        <w:drawing>
          <wp:inline distT="0" distB="0" distL="0" distR="0" wp14:anchorId="00FD5003" wp14:editId="1E51EA28">
            <wp:extent cx="5160416" cy="1895889"/>
            <wp:effectExtent l="0" t="0" r="2540" b="9525"/>
            <wp:docPr id="1898921002"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21002" name="Imagen 1" descr="Interfaz de usuario gráfica, Texto, Aplicación&#10;&#10;Descripción generada automáticamente"/>
                    <pic:cNvPicPr/>
                  </pic:nvPicPr>
                  <pic:blipFill>
                    <a:blip r:embed="rId48"/>
                    <a:stretch>
                      <a:fillRect/>
                    </a:stretch>
                  </pic:blipFill>
                  <pic:spPr>
                    <a:xfrm>
                      <a:off x="0" y="0"/>
                      <a:ext cx="5171848" cy="1900089"/>
                    </a:xfrm>
                    <a:prstGeom prst="rect">
                      <a:avLst/>
                    </a:prstGeom>
                  </pic:spPr>
                </pic:pic>
              </a:graphicData>
            </a:graphic>
          </wp:inline>
        </w:drawing>
      </w:r>
    </w:p>
    <w:p w14:paraId="04D57AD7" w14:textId="77777777" w:rsidR="00CB225E" w:rsidRPr="0086351C" w:rsidRDefault="00CB225E" w:rsidP="00CB225E">
      <w:pPr>
        <w:pStyle w:val="Descripcin"/>
        <w:spacing w:after="0"/>
        <w:rPr>
          <w:rFonts w:ascii="Arial" w:eastAsia="Arial" w:hAnsi="Arial" w:cs="Arial"/>
          <w:i w:val="0"/>
          <w:color w:val="auto"/>
        </w:rPr>
      </w:pPr>
      <w:r w:rsidRPr="0086351C">
        <w:rPr>
          <w:rFonts w:ascii="Arial" w:eastAsia="Arial" w:hAnsi="Arial" w:cs="Arial"/>
          <w:color w:val="auto"/>
        </w:rPr>
        <w:t xml:space="preserve">Gráfico </w:t>
      </w:r>
      <w:r w:rsidRPr="0086351C">
        <w:rPr>
          <w:rFonts w:ascii="Arial" w:hAnsi="Arial" w:cs="Arial"/>
          <w:color w:val="auto"/>
        </w:rPr>
        <w:fldChar w:fldCharType="begin"/>
      </w:r>
      <w:r w:rsidRPr="0086351C">
        <w:rPr>
          <w:rFonts w:ascii="Arial" w:hAnsi="Arial" w:cs="Arial"/>
          <w:color w:val="auto"/>
        </w:rPr>
        <w:instrText xml:space="preserve"> SEQ Grafico \* ARABIC </w:instrText>
      </w:r>
      <w:r w:rsidRPr="0086351C">
        <w:rPr>
          <w:rFonts w:ascii="Arial" w:hAnsi="Arial" w:cs="Arial"/>
          <w:color w:val="auto"/>
        </w:rPr>
        <w:fldChar w:fldCharType="separate"/>
      </w:r>
      <w:r w:rsidRPr="0086351C">
        <w:rPr>
          <w:rFonts w:ascii="Arial" w:hAnsi="Arial" w:cs="Arial"/>
          <w:noProof/>
          <w:color w:val="auto"/>
        </w:rPr>
        <w:t>19</w:t>
      </w:r>
      <w:r w:rsidRPr="0086351C">
        <w:rPr>
          <w:rFonts w:ascii="Arial" w:hAnsi="Arial" w:cs="Arial"/>
          <w:color w:val="auto"/>
        </w:rPr>
        <w:fldChar w:fldCharType="end"/>
      </w:r>
      <w:r w:rsidRPr="0086351C">
        <w:rPr>
          <w:rFonts w:ascii="Arial" w:eastAsia="Arial" w:hAnsi="Arial" w:cs="Arial"/>
          <w:color w:val="auto"/>
        </w:rPr>
        <w:t>. Resultado de herramienta de abastecimiento estratégico departamental –Antioquia, agosto 2024</w:t>
      </w:r>
    </w:p>
    <w:p w14:paraId="0CD64CDF" w14:textId="77777777" w:rsidR="00CB225E" w:rsidRPr="0086351C" w:rsidRDefault="00CB225E" w:rsidP="00CB225E">
      <w:pPr>
        <w:jc w:val="center"/>
        <w:rPr>
          <w:rFonts w:ascii="Arial" w:eastAsia="Arial" w:hAnsi="Arial" w:cs="Arial"/>
          <w:i/>
          <w:sz w:val="18"/>
          <w:szCs w:val="18"/>
        </w:rPr>
      </w:pPr>
      <w:r w:rsidRPr="0086351C">
        <w:rPr>
          <w:rFonts w:ascii="Arial" w:eastAsia="Arial" w:hAnsi="Arial" w:cs="Arial"/>
          <w:i/>
          <w:sz w:val="18"/>
          <w:szCs w:val="18"/>
        </w:rPr>
        <w:t>Fuente: Revisión procesos del subsector – SECOP I – II; agosto 2024.</w:t>
      </w:r>
    </w:p>
    <w:p w14:paraId="0539B0AF" w14:textId="7FB0ED6C" w:rsidR="008A1330" w:rsidRPr="0086351C" w:rsidRDefault="008A1330" w:rsidP="00CB225E">
      <w:pPr>
        <w:jc w:val="center"/>
        <w:rPr>
          <w:rStyle w:val="normaltextrun"/>
          <w:rFonts w:ascii="Arial" w:eastAsia="Tahoma" w:hAnsi="Arial" w:cs="Arial"/>
          <w:sz w:val="22"/>
          <w:szCs w:val="22"/>
        </w:rPr>
      </w:pPr>
    </w:p>
    <w:p w14:paraId="3EDE8171" w14:textId="77777777" w:rsidR="008A1330" w:rsidRPr="0086351C" w:rsidRDefault="008A1330" w:rsidP="00627621">
      <w:pPr>
        <w:spacing w:line="276" w:lineRule="auto"/>
        <w:jc w:val="both"/>
        <w:rPr>
          <w:rStyle w:val="normaltextrun"/>
          <w:rFonts w:ascii="Arial" w:eastAsia="Tahoma" w:hAnsi="Arial" w:cs="Arial"/>
          <w:sz w:val="22"/>
          <w:szCs w:val="22"/>
        </w:rPr>
      </w:pPr>
      <w:r w:rsidRPr="0086351C">
        <w:rPr>
          <w:rStyle w:val="normaltextrun"/>
          <w:rFonts w:ascii="Arial" w:eastAsia="Tahoma" w:hAnsi="Arial" w:cs="Arial"/>
          <w:sz w:val="22"/>
          <w:szCs w:val="22"/>
        </w:rPr>
        <w:lastRenderedPageBreak/>
        <w:t>Los proveedores en mayor medida fueron asignatarios por medio de contratación directa y régimen especial, cuando se analiza para la información convenida en el Sistema Electrónico para la Contratación Pública (SECOP I y II) que es el medio de información oficial de toda la contratación realizada con dineros públicos.</w:t>
      </w:r>
    </w:p>
    <w:p w14:paraId="79189806" w14:textId="77777777" w:rsidR="008A1330" w:rsidRPr="0086351C" w:rsidRDefault="008A1330" w:rsidP="00627621">
      <w:pPr>
        <w:pStyle w:val="paragraph"/>
        <w:spacing w:before="0" w:beforeAutospacing="0" w:after="0" w:afterAutospacing="0" w:line="276" w:lineRule="auto"/>
        <w:ind w:right="49"/>
        <w:jc w:val="both"/>
        <w:textAlignment w:val="baseline"/>
        <w:rPr>
          <w:rStyle w:val="normaltextrun"/>
          <w:rFonts w:ascii="Arial" w:eastAsia="Tahoma" w:hAnsi="Arial" w:cs="Arial"/>
          <w:sz w:val="22"/>
          <w:szCs w:val="22"/>
        </w:rPr>
      </w:pPr>
    </w:p>
    <w:p w14:paraId="3F8D256D" w14:textId="77777777" w:rsidR="008A1330" w:rsidRPr="0086351C" w:rsidRDefault="008A1330" w:rsidP="00627621">
      <w:pPr>
        <w:pStyle w:val="paragraph"/>
        <w:spacing w:before="0" w:beforeAutospacing="0" w:after="0" w:afterAutospacing="0" w:line="276" w:lineRule="auto"/>
        <w:ind w:right="49"/>
        <w:jc w:val="both"/>
        <w:textAlignment w:val="baseline"/>
        <w:rPr>
          <w:rFonts w:ascii="Arial" w:eastAsia="Tahoma" w:hAnsi="Arial" w:cs="Arial"/>
          <w:sz w:val="22"/>
          <w:szCs w:val="22"/>
        </w:rPr>
      </w:pPr>
      <w:r w:rsidRPr="0086351C">
        <w:rPr>
          <w:rStyle w:val="normaltextrun"/>
          <w:rFonts w:ascii="Arial" w:eastAsia="Tahoma" w:hAnsi="Arial" w:cs="Arial"/>
          <w:sz w:val="22"/>
          <w:szCs w:val="22"/>
        </w:rPr>
        <w:t>El potencial de crecimiento del sector agropecuario del país está asociado, tanto a la disponibilidad de suelos aptos para la agricultura, como a la oferta hídrica expresada en regímenes de lluvias o caudales que ofrecen las diferentes fuentes dentro del contexto nacional. En este sentido, los pilares del desarrollo agrícola están constituidos por tres elementos o recursos, el agua, el suelo y la planta o cultivo, de cuyo estudio, planificación, aprovechamiento y manejo adecuado depende la producción sostenible.</w:t>
      </w:r>
      <w:r w:rsidRPr="0086351C">
        <w:rPr>
          <w:rStyle w:val="eop"/>
          <w:rFonts w:ascii="Arial" w:eastAsia="Tahoma" w:hAnsi="Arial" w:cs="Arial"/>
          <w:sz w:val="22"/>
          <w:szCs w:val="22"/>
        </w:rPr>
        <w:t> </w:t>
      </w:r>
    </w:p>
    <w:p w14:paraId="24E19B32" w14:textId="77777777" w:rsidR="008A1330" w:rsidRPr="0086351C" w:rsidRDefault="008A1330" w:rsidP="00627621">
      <w:pPr>
        <w:pStyle w:val="paragraph"/>
        <w:spacing w:before="0" w:beforeAutospacing="0" w:after="0" w:afterAutospacing="0" w:line="276" w:lineRule="auto"/>
        <w:ind w:left="720"/>
        <w:textAlignment w:val="baseline"/>
        <w:rPr>
          <w:rFonts w:ascii="Arial" w:eastAsia="Tahoma" w:hAnsi="Arial" w:cs="Arial"/>
          <w:sz w:val="22"/>
          <w:szCs w:val="22"/>
        </w:rPr>
      </w:pPr>
      <w:r w:rsidRPr="0086351C">
        <w:rPr>
          <w:rStyle w:val="eop"/>
          <w:rFonts w:ascii="Arial" w:eastAsia="Tahoma" w:hAnsi="Arial" w:cs="Arial"/>
          <w:sz w:val="22"/>
          <w:szCs w:val="22"/>
        </w:rPr>
        <w:t> </w:t>
      </w:r>
    </w:p>
    <w:p w14:paraId="4FF3E796" w14:textId="60E10095" w:rsidR="00393634" w:rsidRPr="0086351C" w:rsidRDefault="00841956" w:rsidP="00627621">
      <w:pPr>
        <w:pStyle w:val="paragraph"/>
        <w:spacing w:before="0" w:beforeAutospacing="0" w:after="0" w:afterAutospacing="0" w:line="276" w:lineRule="auto"/>
        <w:ind w:right="-67"/>
        <w:jc w:val="both"/>
        <w:textAlignment w:val="baseline"/>
        <w:rPr>
          <w:rStyle w:val="eop"/>
          <w:rFonts w:ascii="Arial" w:eastAsia="Tahoma" w:hAnsi="Arial" w:cs="Arial"/>
          <w:sz w:val="22"/>
          <w:szCs w:val="22"/>
        </w:rPr>
      </w:pPr>
      <w:r w:rsidRPr="0086351C">
        <w:rPr>
          <w:rStyle w:val="eop"/>
          <w:rFonts w:ascii="Arial" w:eastAsia="Tahoma" w:hAnsi="Arial" w:cs="Arial"/>
          <w:sz w:val="22"/>
          <w:szCs w:val="22"/>
        </w:rPr>
        <w:t>Es por esta razón</w:t>
      </w:r>
      <w:r w:rsidR="00D96C07" w:rsidRPr="0086351C">
        <w:rPr>
          <w:rStyle w:val="eop"/>
          <w:rFonts w:ascii="Arial" w:eastAsia="Tahoma" w:hAnsi="Arial" w:cs="Arial"/>
          <w:sz w:val="22"/>
          <w:szCs w:val="22"/>
        </w:rPr>
        <w:t>,</w:t>
      </w:r>
      <w:r w:rsidRPr="0086351C">
        <w:rPr>
          <w:rStyle w:val="eop"/>
          <w:rFonts w:ascii="Arial" w:eastAsia="Tahoma" w:hAnsi="Arial" w:cs="Arial"/>
          <w:sz w:val="22"/>
          <w:szCs w:val="22"/>
        </w:rPr>
        <w:t xml:space="preserve"> desde la Dirección de Asistencia Técnica se está analizando la </w:t>
      </w:r>
      <w:r w:rsidR="00CB3A4C" w:rsidRPr="0086351C">
        <w:rPr>
          <w:rStyle w:val="eop"/>
          <w:rFonts w:ascii="Arial" w:eastAsia="Tahoma" w:hAnsi="Arial" w:cs="Arial"/>
          <w:sz w:val="22"/>
          <w:szCs w:val="22"/>
        </w:rPr>
        <w:t>posibilidad</w:t>
      </w:r>
      <w:r w:rsidRPr="0086351C">
        <w:rPr>
          <w:rStyle w:val="eop"/>
          <w:rFonts w:ascii="Arial" w:eastAsia="Tahoma" w:hAnsi="Arial" w:cs="Arial"/>
          <w:sz w:val="22"/>
          <w:szCs w:val="22"/>
        </w:rPr>
        <w:t xml:space="preserve"> de contratación con vigencia futura para extender el tiempo la ejecución de los contratos y la atención a los 71.3</w:t>
      </w:r>
      <w:r w:rsidR="00F5335A" w:rsidRPr="0086351C">
        <w:rPr>
          <w:rStyle w:val="eop"/>
          <w:rFonts w:ascii="Arial" w:eastAsia="Tahoma" w:hAnsi="Arial" w:cs="Arial"/>
          <w:sz w:val="22"/>
          <w:szCs w:val="22"/>
        </w:rPr>
        <w:t>57</w:t>
      </w:r>
      <w:r w:rsidRPr="0086351C">
        <w:rPr>
          <w:rStyle w:val="eop"/>
          <w:rFonts w:ascii="Arial" w:eastAsia="Tahoma" w:hAnsi="Arial" w:cs="Arial"/>
          <w:sz w:val="22"/>
          <w:szCs w:val="22"/>
        </w:rPr>
        <w:t xml:space="preserve"> usuarios a los que la ADR quiere llegar en el territorio nacional</w:t>
      </w:r>
      <w:r w:rsidR="00F5335A" w:rsidRPr="0086351C">
        <w:rPr>
          <w:rStyle w:val="eop"/>
          <w:rFonts w:ascii="Arial" w:eastAsia="Tahoma" w:hAnsi="Arial" w:cs="Arial"/>
          <w:sz w:val="22"/>
          <w:szCs w:val="22"/>
        </w:rPr>
        <w:t>.</w:t>
      </w:r>
    </w:p>
    <w:p w14:paraId="47D24C46" w14:textId="77777777" w:rsidR="00E05FD8" w:rsidRPr="0086351C" w:rsidRDefault="00E05FD8" w:rsidP="00627621">
      <w:pPr>
        <w:pStyle w:val="paragraph"/>
        <w:spacing w:before="0" w:beforeAutospacing="0" w:after="0" w:afterAutospacing="0" w:line="276" w:lineRule="auto"/>
        <w:ind w:right="-67"/>
        <w:jc w:val="both"/>
        <w:textAlignment w:val="baseline"/>
        <w:rPr>
          <w:rStyle w:val="eop"/>
          <w:rFonts w:ascii="Arial" w:eastAsia="Tahoma" w:hAnsi="Arial" w:cs="Arial"/>
          <w:sz w:val="22"/>
          <w:szCs w:val="22"/>
        </w:rPr>
      </w:pPr>
    </w:p>
    <w:p w14:paraId="39591590" w14:textId="39A36266" w:rsidR="00AB4DCE" w:rsidRPr="0086351C" w:rsidRDefault="007C15AF" w:rsidP="00627621">
      <w:pPr>
        <w:pStyle w:val="paragraph"/>
        <w:spacing w:before="0" w:beforeAutospacing="0" w:after="0" w:afterAutospacing="0" w:line="276" w:lineRule="auto"/>
        <w:ind w:right="-67"/>
        <w:jc w:val="both"/>
        <w:textAlignment w:val="baseline"/>
        <w:rPr>
          <w:rStyle w:val="eop"/>
          <w:rFonts w:ascii="Arial" w:eastAsia="Tahoma" w:hAnsi="Arial" w:cs="Arial"/>
          <w:sz w:val="22"/>
          <w:szCs w:val="22"/>
        </w:rPr>
      </w:pPr>
      <w:r w:rsidRPr="0086351C">
        <w:rPr>
          <w:rStyle w:val="eop"/>
          <w:rFonts w:ascii="Arial" w:eastAsia="Tahoma" w:hAnsi="Arial" w:cs="Arial"/>
          <w:sz w:val="22"/>
          <w:szCs w:val="22"/>
        </w:rPr>
        <w:t>Es así como para las vigencias pasadas los valores por usuario fueron de $</w:t>
      </w:r>
      <w:r w:rsidR="00E240F0" w:rsidRPr="0086351C">
        <w:rPr>
          <w:rStyle w:val="eop"/>
          <w:rFonts w:ascii="Arial" w:eastAsia="Tahoma" w:hAnsi="Arial" w:cs="Arial"/>
          <w:sz w:val="22"/>
          <w:szCs w:val="22"/>
        </w:rPr>
        <w:t>803.400</w:t>
      </w:r>
      <w:r w:rsidRPr="0086351C">
        <w:rPr>
          <w:rStyle w:val="eop"/>
          <w:rFonts w:ascii="Arial" w:eastAsia="Tahoma" w:hAnsi="Arial" w:cs="Arial"/>
          <w:sz w:val="22"/>
          <w:szCs w:val="22"/>
        </w:rPr>
        <w:t xml:space="preserve"> para 2021, $</w:t>
      </w:r>
      <w:r w:rsidR="00833D9D" w:rsidRPr="0086351C">
        <w:rPr>
          <w:rStyle w:val="eop"/>
          <w:rFonts w:ascii="Arial" w:eastAsia="Tahoma" w:hAnsi="Arial" w:cs="Arial"/>
          <w:sz w:val="22"/>
          <w:szCs w:val="22"/>
        </w:rPr>
        <w:t>835.536</w:t>
      </w:r>
      <w:r w:rsidRPr="0086351C">
        <w:rPr>
          <w:rStyle w:val="eop"/>
          <w:rFonts w:ascii="Arial" w:eastAsia="Tahoma" w:hAnsi="Arial" w:cs="Arial"/>
          <w:sz w:val="22"/>
          <w:szCs w:val="22"/>
        </w:rPr>
        <w:t xml:space="preserve"> para 2022 y $</w:t>
      </w:r>
      <w:r w:rsidR="00C23973" w:rsidRPr="0086351C">
        <w:rPr>
          <w:rStyle w:val="eop"/>
          <w:rFonts w:ascii="Arial" w:eastAsia="Tahoma" w:hAnsi="Arial" w:cs="Arial"/>
          <w:sz w:val="22"/>
          <w:szCs w:val="22"/>
        </w:rPr>
        <w:t xml:space="preserve">879.819 </w:t>
      </w:r>
      <w:r w:rsidRPr="0086351C">
        <w:rPr>
          <w:rStyle w:val="eop"/>
          <w:rFonts w:ascii="Arial" w:eastAsia="Tahoma" w:hAnsi="Arial" w:cs="Arial"/>
          <w:sz w:val="22"/>
          <w:szCs w:val="22"/>
        </w:rPr>
        <w:t xml:space="preserve">para 2023, es decir con un incremento anual aproximado de </w:t>
      </w:r>
      <w:r w:rsidR="00E240F0" w:rsidRPr="0086351C">
        <w:rPr>
          <w:rStyle w:val="eop"/>
          <w:rFonts w:ascii="Arial" w:eastAsia="Tahoma" w:hAnsi="Arial" w:cs="Arial"/>
          <w:sz w:val="22"/>
          <w:szCs w:val="22"/>
        </w:rPr>
        <w:t>9.2</w:t>
      </w:r>
      <w:r w:rsidRPr="0086351C">
        <w:rPr>
          <w:rStyle w:val="eop"/>
          <w:rFonts w:ascii="Arial" w:eastAsia="Tahoma" w:hAnsi="Arial" w:cs="Arial"/>
          <w:sz w:val="22"/>
          <w:szCs w:val="22"/>
        </w:rPr>
        <w:t>%</w:t>
      </w:r>
      <w:r w:rsidR="00AE2A60" w:rsidRPr="0086351C">
        <w:rPr>
          <w:rStyle w:val="eop"/>
          <w:rFonts w:ascii="Arial" w:eastAsia="Tahoma" w:hAnsi="Arial" w:cs="Arial"/>
          <w:sz w:val="22"/>
          <w:szCs w:val="22"/>
        </w:rPr>
        <w:t>, en donde se tuvo una cobertura de usuario por cada una de las vigencias</w:t>
      </w:r>
      <w:r w:rsidR="00B04FBF" w:rsidRPr="0086351C">
        <w:rPr>
          <w:rStyle w:val="eop"/>
          <w:rFonts w:ascii="Arial" w:eastAsia="Tahoma" w:hAnsi="Arial" w:cs="Arial"/>
          <w:sz w:val="22"/>
          <w:szCs w:val="22"/>
        </w:rPr>
        <w:t>.</w:t>
      </w:r>
      <w:r w:rsidR="00AF6244" w:rsidRPr="0086351C">
        <w:rPr>
          <w:rStyle w:val="eop"/>
          <w:rFonts w:ascii="Arial" w:eastAsia="Tahoma" w:hAnsi="Arial" w:cs="Arial"/>
          <w:sz w:val="22"/>
          <w:szCs w:val="22"/>
        </w:rPr>
        <w:t xml:space="preserve"> Así mismo los costos asociados para el servicio en 2024 tienen un límite por usuario de $949.806, un 7.9% más alto que en 2023. </w:t>
      </w:r>
    </w:p>
    <w:p w14:paraId="22C5A738" w14:textId="77777777" w:rsidR="00AE2A60" w:rsidRPr="0086351C" w:rsidRDefault="00AE2A60" w:rsidP="00627621">
      <w:pPr>
        <w:pStyle w:val="Textoindependiente"/>
        <w:spacing w:line="276" w:lineRule="auto"/>
        <w:ind w:right="49"/>
        <w:jc w:val="both"/>
        <w:rPr>
          <w:rFonts w:ascii="Arial" w:hAnsi="Arial" w:cs="Arial"/>
          <w:color w:val="000000" w:themeColor="text1"/>
        </w:rPr>
      </w:pPr>
    </w:p>
    <w:p w14:paraId="67335304" w14:textId="40C968C8" w:rsidR="00AE2A60" w:rsidRPr="0086351C" w:rsidRDefault="00AE2A60" w:rsidP="00627621">
      <w:pPr>
        <w:pStyle w:val="Textoindependiente"/>
        <w:spacing w:line="276" w:lineRule="auto"/>
        <w:ind w:right="49"/>
        <w:jc w:val="both"/>
        <w:rPr>
          <w:rFonts w:ascii="Arial" w:hAnsi="Arial" w:cs="Arial"/>
          <w:color w:val="000000" w:themeColor="text1"/>
        </w:rPr>
      </w:pPr>
      <w:r w:rsidRPr="0086351C">
        <w:rPr>
          <w:rFonts w:ascii="Arial" w:hAnsi="Arial" w:cs="Arial"/>
          <w:color w:val="000000" w:themeColor="text1"/>
        </w:rPr>
        <w:t xml:space="preserve">Lo anterior permitirá que durante los </w:t>
      </w:r>
      <w:r w:rsidR="11B366B7" w:rsidRPr="0086351C">
        <w:rPr>
          <w:rFonts w:ascii="Arial" w:hAnsi="Arial" w:cs="Arial"/>
          <w:color w:val="000000" w:themeColor="text1"/>
        </w:rPr>
        <w:t>2</w:t>
      </w:r>
      <w:r w:rsidR="003A35E5" w:rsidRPr="0086351C">
        <w:rPr>
          <w:rFonts w:ascii="Arial" w:hAnsi="Arial" w:cs="Arial"/>
          <w:color w:val="000000" w:themeColor="text1"/>
        </w:rPr>
        <w:t>,5</w:t>
      </w:r>
      <w:r w:rsidR="00DF3B88" w:rsidRPr="0086351C">
        <w:rPr>
          <w:rFonts w:ascii="Arial" w:hAnsi="Arial" w:cs="Arial"/>
          <w:color w:val="000000" w:themeColor="text1"/>
        </w:rPr>
        <w:t xml:space="preserve"> </w:t>
      </w:r>
      <w:r w:rsidRPr="0086351C">
        <w:rPr>
          <w:rFonts w:ascii="Arial" w:hAnsi="Arial" w:cs="Arial"/>
          <w:color w:val="000000" w:themeColor="text1"/>
        </w:rPr>
        <w:t xml:space="preserve">meses que se planean otorgar para los nuevos </w:t>
      </w:r>
      <w:r w:rsidR="003A35E5" w:rsidRPr="0086351C">
        <w:rPr>
          <w:rFonts w:ascii="Arial" w:hAnsi="Arial" w:cs="Arial"/>
          <w:color w:val="000000" w:themeColor="text1"/>
        </w:rPr>
        <w:t>contratos o convenios</w:t>
      </w:r>
      <w:r w:rsidRPr="0086351C">
        <w:rPr>
          <w:rFonts w:ascii="Arial" w:hAnsi="Arial" w:cs="Arial"/>
          <w:color w:val="000000" w:themeColor="text1"/>
        </w:rPr>
        <w:t>, éstos garanticen la continuidad del servicio de extensión</w:t>
      </w:r>
      <w:r w:rsidR="00AF6244" w:rsidRPr="0086351C">
        <w:rPr>
          <w:rFonts w:ascii="Arial" w:hAnsi="Arial" w:cs="Arial"/>
          <w:color w:val="000000" w:themeColor="text1"/>
        </w:rPr>
        <w:t xml:space="preserve"> y una prestación real del servicio cumpliendo con la atención integral a los usuarios.</w:t>
      </w:r>
    </w:p>
    <w:p w14:paraId="55F41AF3" w14:textId="77777777" w:rsidR="00181007" w:rsidRPr="0086351C" w:rsidRDefault="00181007" w:rsidP="00187362">
      <w:pPr>
        <w:pStyle w:val="paragraph"/>
        <w:spacing w:before="0" w:beforeAutospacing="0" w:after="0" w:afterAutospacing="0"/>
        <w:ind w:right="-67"/>
        <w:textAlignment w:val="baseline"/>
        <w:rPr>
          <w:rFonts w:ascii="Arial" w:eastAsia="Tahoma" w:hAnsi="Arial" w:cs="Arial"/>
          <w:sz w:val="22"/>
          <w:szCs w:val="22"/>
          <w:lang w:val="es-ES"/>
        </w:rPr>
      </w:pPr>
    </w:p>
    <w:p w14:paraId="0B7EC7D8" w14:textId="68E78BDC" w:rsidR="00496E4F" w:rsidRPr="0086351C" w:rsidRDefault="008F3366" w:rsidP="00195179">
      <w:pPr>
        <w:pStyle w:val="Ttulo1"/>
        <w:framePr w:w="8423" w:wrap="around" w:hAnchor="page" w:x="1843"/>
        <w:spacing w:line="240" w:lineRule="auto"/>
        <w:ind w:left="0" w:right="-67" w:firstLine="0"/>
        <w:rPr>
          <w:rFonts w:ascii="Arial" w:eastAsia="Tahoma" w:hAnsi="Arial" w:cs="Arial"/>
          <w:b w:val="0"/>
          <w:bCs w:val="0"/>
          <w:sz w:val="22"/>
          <w:szCs w:val="22"/>
        </w:rPr>
      </w:pPr>
      <w:bookmarkStart w:id="25" w:name="_Toc178847901"/>
      <w:r w:rsidRPr="0086351C">
        <w:rPr>
          <w:rFonts w:ascii="Arial" w:eastAsia="Tahoma" w:hAnsi="Arial" w:cs="Arial"/>
          <w:sz w:val="22"/>
          <w:szCs w:val="22"/>
        </w:rPr>
        <w:t>ESTUDIO DE MERCADO</w:t>
      </w:r>
      <w:bookmarkEnd w:id="25"/>
    </w:p>
    <w:p w14:paraId="50AF876D" w14:textId="77777777" w:rsidR="008F3366" w:rsidRPr="0086351C" w:rsidRDefault="008F3366" w:rsidP="1C5DF8D6">
      <w:pPr>
        <w:autoSpaceDE w:val="0"/>
        <w:autoSpaceDN w:val="0"/>
        <w:adjustRightInd w:val="0"/>
        <w:rPr>
          <w:rFonts w:ascii="Arial" w:eastAsia="Tahoma" w:hAnsi="Arial" w:cs="Arial"/>
          <w:sz w:val="22"/>
          <w:szCs w:val="22"/>
        </w:rPr>
      </w:pPr>
    </w:p>
    <w:p w14:paraId="393D446A" w14:textId="4A612432" w:rsidR="008F3366" w:rsidRPr="0086351C" w:rsidRDefault="008F3366" w:rsidP="00627621">
      <w:pPr>
        <w:pStyle w:val="paragraph"/>
        <w:spacing w:before="0" w:beforeAutospacing="0" w:after="0" w:afterAutospacing="0" w:line="276" w:lineRule="auto"/>
        <w:ind w:right="45"/>
        <w:jc w:val="both"/>
        <w:textAlignment w:val="baseline"/>
        <w:rPr>
          <w:rFonts w:ascii="Arial" w:eastAsia="Tahoma" w:hAnsi="Arial" w:cs="Arial"/>
          <w:sz w:val="22"/>
          <w:szCs w:val="22"/>
        </w:rPr>
      </w:pPr>
      <w:bookmarkStart w:id="26" w:name="_Hlk165835281"/>
      <w:r w:rsidRPr="0086351C">
        <w:rPr>
          <w:rStyle w:val="normaltextrun"/>
          <w:rFonts w:ascii="Arial" w:eastAsia="Tahoma" w:hAnsi="Arial" w:cs="Arial"/>
          <w:sz w:val="22"/>
          <w:szCs w:val="22"/>
        </w:rPr>
        <w:t xml:space="preserve">La política nacional de Asistencia Técnica Agropecuaria como servicio público regida por el Ministerio de Agricultura y Desarrollo Rural MADR se ha ejecutado en el país desde los años 50, con un alcance limitado en términos de su impacto toda vez que no logró generar transformaciones importantes en la productividad y competitividad, ni en el desarrollo social de los productores y menos en el desarrollo rural de sus territorios. El modelo de asistencia técnica se orientó hacia la atención productiva unidireccionalmente, desarticulada del contexto económico y social de sus comunidades y territorios, que como consecuencia dio paso al cambio en su enfoque con la Ley 1876 del 2017, hacia la prestación del servicio público integral de extensión agropecuaria, el cual centra su atención en el ser humano y sus capacidades y aborda además del aspecto productivo, el desarrollo social orientado hacia la asociatividad, el manejo sostenible de los recursos naturales, el acceso a la información y tecnologías de la información y a la participación de los productores para gestionar sus propias necesidades en espacios de política pública sectoriales y no </w:t>
      </w:r>
      <w:r w:rsidRPr="0086351C">
        <w:rPr>
          <w:rStyle w:val="normaltextrun"/>
          <w:rFonts w:ascii="Arial" w:eastAsia="Tahoma" w:hAnsi="Arial" w:cs="Arial"/>
          <w:sz w:val="22"/>
          <w:szCs w:val="22"/>
        </w:rPr>
        <w:lastRenderedPageBreak/>
        <w:t>sectoriales, en este sentido el servicio de extensión agropecuario estará fundamentado en el fortalecimiento de las capacidades de los productores de forma integral.</w:t>
      </w:r>
      <w:r w:rsidRPr="0086351C">
        <w:rPr>
          <w:rStyle w:val="eop"/>
          <w:rFonts w:ascii="Arial" w:eastAsia="Tahoma" w:hAnsi="Arial" w:cs="Arial"/>
          <w:sz w:val="22"/>
          <w:szCs w:val="22"/>
        </w:rPr>
        <w:t> </w:t>
      </w:r>
    </w:p>
    <w:p w14:paraId="7E7665DA" w14:textId="77777777" w:rsidR="008F3366" w:rsidRPr="0086351C" w:rsidRDefault="008F3366" w:rsidP="00627621">
      <w:pPr>
        <w:pStyle w:val="paragraph"/>
        <w:spacing w:before="0" w:beforeAutospacing="0" w:after="0" w:afterAutospacing="0" w:line="276" w:lineRule="auto"/>
        <w:jc w:val="both"/>
        <w:textAlignment w:val="baseline"/>
        <w:rPr>
          <w:rFonts w:ascii="Arial" w:eastAsia="Tahoma" w:hAnsi="Arial" w:cs="Arial"/>
          <w:sz w:val="22"/>
          <w:szCs w:val="22"/>
        </w:rPr>
      </w:pPr>
      <w:r w:rsidRPr="0086351C">
        <w:rPr>
          <w:rStyle w:val="eop"/>
          <w:rFonts w:ascii="Arial" w:eastAsia="Tahoma" w:hAnsi="Arial" w:cs="Arial"/>
          <w:sz w:val="22"/>
          <w:szCs w:val="22"/>
        </w:rPr>
        <w:t> </w:t>
      </w:r>
    </w:p>
    <w:p w14:paraId="0DBADF68" w14:textId="70794D81" w:rsidR="00784430" w:rsidRPr="0086351C" w:rsidRDefault="008F3366" w:rsidP="00627621">
      <w:pPr>
        <w:pStyle w:val="TableParagraph"/>
        <w:spacing w:line="276" w:lineRule="auto"/>
        <w:jc w:val="both"/>
        <w:rPr>
          <w:rStyle w:val="normaltextrun"/>
          <w:rFonts w:ascii="Arial" w:hAnsi="Arial" w:cs="Arial"/>
          <w:lang w:val="es-CO" w:eastAsia="es-CO"/>
        </w:rPr>
      </w:pPr>
      <w:r w:rsidRPr="0086351C">
        <w:rPr>
          <w:rStyle w:val="normaltextrun"/>
          <w:rFonts w:ascii="Arial" w:hAnsi="Arial" w:cs="Arial"/>
          <w:lang w:val="es-CO" w:eastAsia="es-CO"/>
        </w:rPr>
        <w:t>La prestación del servicio de extensión agropecuaria obedece al direccionamiento que los Planes Departamentales de Extensión Agropecuaria PDEA (ley 1876 del 2017) debidamente aprobados, como instrumentos de planeación del servicio de extensión y conformados por el diagnóstico del sector agropecuario territorial, el análisis de las líneas y encadenamientos productivos existentes y de mayor representación, productividad y competitividad; la problemática de cada una de las líneas productivas y/o eslabón de la cadena de valor (frente a los 5 aspectos del enfoque de la ley 1876 del 2017) y los programas y proyectos de extensión a implementar en los territorios. </w:t>
      </w:r>
      <w:r w:rsidR="00784430" w:rsidRPr="0086351C">
        <w:rPr>
          <w:rStyle w:val="normaltextrun"/>
          <w:rFonts w:ascii="Arial" w:hAnsi="Arial" w:cs="Arial"/>
          <w:lang w:val="es-CO" w:eastAsia="es-CO"/>
        </w:rPr>
        <w:t>Es así como en el artículo 25 de la presente normativa, se habla del enfoque de extensión agropecuaria en la prestación del servicio público, fundamentado en 5 aspectos, así:</w:t>
      </w:r>
    </w:p>
    <w:p w14:paraId="5519595E" w14:textId="77777777" w:rsidR="00784430" w:rsidRPr="0086351C" w:rsidRDefault="00784430" w:rsidP="00627621">
      <w:pPr>
        <w:pStyle w:val="TableParagraph"/>
        <w:spacing w:before="28" w:line="276" w:lineRule="auto"/>
        <w:jc w:val="both"/>
        <w:rPr>
          <w:rStyle w:val="normaltextrun"/>
          <w:rFonts w:ascii="Arial" w:hAnsi="Arial" w:cs="Arial"/>
          <w:lang w:val="es-CO" w:eastAsia="es-CO"/>
        </w:rPr>
      </w:pPr>
    </w:p>
    <w:p w14:paraId="48865B04" w14:textId="77777777" w:rsidR="00784430" w:rsidRPr="0086351C" w:rsidRDefault="00784430" w:rsidP="00627621">
      <w:pPr>
        <w:pStyle w:val="TableParagraph"/>
        <w:numPr>
          <w:ilvl w:val="0"/>
          <w:numId w:val="33"/>
        </w:numPr>
        <w:tabs>
          <w:tab w:val="left" w:pos="827"/>
        </w:tabs>
        <w:spacing w:line="276" w:lineRule="auto"/>
        <w:ind w:right="90" w:hanging="360"/>
        <w:jc w:val="both"/>
        <w:rPr>
          <w:rStyle w:val="normaltextrun"/>
          <w:rFonts w:ascii="Arial" w:hAnsi="Arial" w:cs="Arial"/>
          <w:lang w:val="es-CO" w:eastAsia="es-CO"/>
        </w:rPr>
      </w:pPr>
      <w:r w:rsidRPr="0086351C">
        <w:rPr>
          <w:rStyle w:val="normaltextrun"/>
          <w:rFonts w:ascii="Arial" w:hAnsi="Arial" w:cs="Arial"/>
          <w:lang w:val="es-CO" w:eastAsia="es-CO"/>
        </w:rPr>
        <w:t>Desarrollo de las capacidades humanas integrales a los productores agropecuarios.</w:t>
      </w:r>
    </w:p>
    <w:p w14:paraId="655E898F" w14:textId="77777777" w:rsidR="00784430" w:rsidRPr="0086351C" w:rsidRDefault="00784430" w:rsidP="00627621">
      <w:pPr>
        <w:pStyle w:val="TableParagraph"/>
        <w:numPr>
          <w:ilvl w:val="0"/>
          <w:numId w:val="33"/>
        </w:numPr>
        <w:tabs>
          <w:tab w:val="left" w:pos="827"/>
        </w:tabs>
        <w:spacing w:line="276" w:lineRule="auto"/>
        <w:ind w:right="89" w:hanging="360"/>
        <w:jc w:val="both"/>
        <w:rPr>
          <w:rStyle w:val="normaltextrun"/>
          <w:rFonts w:ascii="Arial" w:hAnsi="Arial" w:cs="Arial"/>
          <w:lang w:val="es-CO" w:eastAsia="es-CO"/>
        </w:rPr>
      </w:pPr>
      <w:r w:rsidRPr="0086351C">
        <w:rPr>
          <w:rStyle w:val="normaltextrun"/>
          <w:rFonts w:ascii="Arial" w:hAnsi="Arial" w:cs="Arial"/>
          <w:lang w:val="es-CO" w:eastAsia="es-CO"/>
        </w:rPr>
        <w:t>Desarrollo de las capacidades sociales a los productores agropecuarios que permita gestionar colectivamente insumos y salidas en su sistema de producción.</w:t>
      </w:r>
    </w:p>
    <w:p w14:paraId="76D01C5F" w14:textId="77777777" w:rsidR="00784430" w:rsidRPr="0086351C" w:rsidRDefault="00784430" w:rsidP="00627621">
      <w:pPr>
        <w:pStyle w:val="TableParagraph"/>
        <w:numPr>
          <w:ilvl w:val="0"/>
          <w:numId w:val="33"/>
        </w:numPr>
        <w:tabs>
          <w:tab w:val="left" w:pos="827"/>
        </w:tabs>
        <w:spacing w:line="276" w:lineRule="auto"/>
        <w:ind w:right="89" w:hanging="360"/>
        <w:jc w:val="both"/>
        <w:rPr>
          <w:rStyle w:val="normaltextrun"/>
          <w:rFonts w:ascii="Arial" w:hAnsi="Arial" w:cs="Arial"/>
          <w:lang w:val="es-CO" w:eastAsia="es-CO"/>
        </w:rPr>
      </w:pPr>
      <w:r w:rsidRPr="0086351C">
        <w:rPr>
          <w:rStyle w:val="normaltextrun"/>
          <w:rFonts w:ascii="Arial" w:hAnsi="Arial" w:cs="Arial"/>
          <w:lang w:val="es-CO" w:eastAsia="es-CO"/>
        </w:rPr>
        <w:t>Acceso y aprovechamiento de la información de apoyo y adopción y adaptación a los productos tecnológicos, el uso de tecnologías de información y comunicación.</w:t>
      </w:r>
    </w:p>
    <w:p w14:paraId="28DD5828" w14:textId="77777777" w:rsidR="00784430" w:rsidRPr="0086351C" w:rsidRDefault="00784430" w:rsidP="00627621">
      <w:pPr>
        <w:pStyle w:val="TableParagraph"/>
        <w:numPr>
          <w:ilvl w:val="0"/>
          <w:numId w:val="33"/>
        </w:numPr>
        <w:tabs>
          <w:tab w:val="left" w:pos="827"/>
        </w:tabs>
        <w:spacing w:line="276" w:lineRule="auto"/>
        <w:ind w:hanging="360"/>
        <w:jc w:val="both"/>
        <w:rPr>
          <w:rStyle w:val="normaltextrun"/>
          <w:rFonts w:ascii="Arial" w:hAnsi="Arial" w:cs="Arial"/>
          <w:lang w:val="es-CO" w:eastAsia="es-CO"/>
        </w:rPr>
      </w:pPr>
      <w:r w:rsidRPr="0086351C">
        <w:rPr>
          <w:rStyle w:val="normaltextrun"/>
          <w:rFonts w:ascii="Arial" w:hAnsi="Arial" w:cs="Arial"/>
          <w:lang w:val="es-CO" w:eastAsia="es-CO"/>
        </w:rPr>
        <w:t>Gestión sostenible de recursos naturales.</w:t>
      </w:r>
    </w:p>
    <w:p w14:paraId="1F2E6A1D" w14:textId="631866C5" w:rsidR="008F3366" w:rsidRPr="0086351C" w:rsidRDefault="00784430" w:rsidP="00627621">
      <w:pPr>
        <w:pStyle w:val="TableParagraph"/>
        <w:numPr>
          <w:ilvl w:val="0"/>
          <w:numId w:val="33"/>
        </w:numPr>
        <w:tabs>
          <w:tab w:val="left" w:pos="827"/>
        </w:tabs>
        <w:spacing w:line="276" w:lineRule="auto"/>
        <w:ind w:right="89" w:hanging="360"/>
        <w:jc w:val="both"/>
        <w:textAlignment w:val="baseline"/>
        <w:rPr>
          <w:rStyle w:val="normaltextrun"/>
          <w:rFonts w:ascii="Arial" w:hAnsi="Arial" w:cs="Arial"/>
        </w:rPr>
      </w:pPr>
      <w:r w:rsidRPr="0086351C">
        <w:rPr>
          <w:rStyle w:val="normaltextrun"/>
          <w:rFonts w:ascii="Arial" w:hAnsi="Arial" w:cs="Arial"/>
          <w:lang w:val="es-CO" w:eastAsia="es-CO"/>
        </w:rPr>
        <w:t xml:space="preserve">Desarrollo de habilidades para la participación de los productores en espacios de retroalimentación con el fin que </w:t>
      </w:r>
      <w:r w:rsidRPr="0086351C">
        <w:rPr>
          <w:rStyle w:val="normaltextrun"/>
          <w:rFonts w:ascii="Arial" w:hAnsi="Arial" w:cs="Arial"/>
        </w:rPr>
        <w:t>puedan gestionar la solución de sus necesidades.</w:t>
      </w:r>
    </w:p>
    <w:p w14:paraId="4FAD5CE7" w14:textId="1E32B131" w:rsidR="008F3366" w:rsidRPr="00150BD6" w:rsidRDefault="008F3366" w:rsidP="00150BD6">
      <w:pPr>
        <w:pStyle w:val="paragraph"/>
        <w:spacing w:before="240" w:beforeAutospacing="0" w:after="0" w:afterAutospacing="0" w:line="276" w:lineRule="auto"/>
        <w:jc w:val="both"/>
        <w:textAlignment w:val="baseline"/>
        <w:rPr>
          <w:rFonts w:ascii="Arial" w:eastAsia="Tahoma" w:hAnsi="Arial" w:cs="Arial"/>
          <w:sz w:val="22"/>
          <w:szCs w:val="22"/>
        </w:rPr>
      </w:pPr>
      <w:r w:rsidRPr="00150BD6">
        <w:rPr>
          <w:rStyle w:val="normaltextrun"/>
          <w:rFonts w:ascii="Arial" w:eastAsia="Tahoma" w:hAnsi="Arial" w:cs="Arial"/>
          <w:sz w:val="22"/>
          <w:szCs w:val="22"/>
        </w:rPr>
        <w:t>Del mismo modo, el artículo 31 de la mencionada Ley, establece que “para efectos de la prestación del servicio, los productores deberán estar inscritos en el registro de usuarios que disponga el Ministerio de Agricultura y Desarrollo Rural. Para esto, los usuarios deberán solicitar su inscripción en el registro ante el municipio correspondiente al lugar donde se ubiquen sus predios. El municipio velará por la veracidad de la información consignada en el registro. El Departamento velará porque los municipios y distritos actualicen el registro durante los primeros tres (3) meses de cada año (…)”</w:t>
      </w:r>
      <w:r w:rsidRPr="00150BD6">
        <w:rPr>
          <w:rStyle w:val="eop"/>
          <w:rFonts w:ascii="Arial" w:eastAsia="Tahoma" w:hAnsi="Arial" w:cs="Arial"/>
          <w:sz w:val="22"/>
          <w:szCs w:val="22"/>
        </w:rPr>
        <w:t> </w:t>
      </w:r>
    </w:p>
    <w:p w14:paraId="48D1EA0D" w14:textId="77777777" w:rsidR="008F3366" w:rsidRPr="00150BD6" w:rsidRDefault="008F3366" w:rsidP="00627621">
      <w:pPr>
        <w:pStyle w:val="paragraph"/>
        <w:spacing w:before="0" w:beforeAutospacing="0" w:after="0" w:afterAutospacing="0" w:line="276" w:lineRule="auto"/>
        <w:ind w:right="105"/>
        <w:jc w:val="both"/>
        <w:textAlignment w:val="baseline"/>
        <w:rPr>
          <w:rFonts w:ascii="Arial" w:eastAsia="Tahoma" w:hAnsi="Arial" w:cs="Arial"/>
          <w:sz w:val="22"/>
          <w:szCs w:val="22"/>
        </w:rPr>
      </w:pPr>
      <w:r w:rsidRPr="00150BD6">
        <w:rPr>
          <w:rStyle w:val="eop"/>
          <w:rFonts w:ascii="Arial" w:eastAsia="Tahoma" w:hAnsi="Arial" w:cs="Arial"/>
          <w:sz w:val="22"/>
          <w:szCs w:val="22"/>
        </w:rPr>
        <w:t> </w:t>
      </w:r>
    </w:p>
    <w:p w14:paraId="380CD049" w14:textId="21BA47F2" w:rsidR="008F3366" w:rsidRPr="00150BD6" w:rsidRDefault="0194DD76" w:rsidP="00627621">
      <w:pPr>
        <w:pStyle w:val="paragraph"/>
        <w:spacing w:before="0" w:beforeAutospacing="0" w:after="0" w:afterAutospacing="0" w:line="276" w:lineRule="auto"/>
        <w:ind w:right="105"/>
        <w:jc w:val="both"/>
        <w:textAlignment w:val="baseline"/>
        <w:rPr>
          <w:rStyle w:val="eop"/>
          <w:rFonts w:ascii="Arial" w:eastAsia="Tahoma" w:hAnsi="Arial" w:cs="Arial"/>
          <w:sz w:val="22"/>
          <w:szCs w:val="22"/>
        </w:rPr>
      </w:pPr>
      <w:r w:rsidRPr="00150BD6">
        <w:rPr>
          <w:rStyle w:val="normaltextrun"/>
          <w:rFonts w:ascii="Arial" w:eastAsia="Tahoma" w:hAnsi="Arial" w:cs="Arial"/>
          <w:sz w:val="22"/>
          <w:szCs w:val="22"/>
        </w:rPr>
        <w:t>Cumpliendo con el Articulo 31, para poder acceder al servicio público de extensión agropecuaria los usuarios deberán inscribirse y registrarse ante el municipio donde desarrolle su actividad productiva, siendo este el garante de la información; el Ministerio de Agricultura y Desarrollo Rural definirá la clasificación de usuarios del servicio de extensión agropecuaria para las diferentes actividades productivas y para efectos de los subsidios de que trata el presente título. </w:t>
      </w:r>
      <w:r w:rsidRPr="00150BD6">
        <w:rPr>
          <w:rStyle w:val="eop"/>
          <w:rFonts w:ascii="Arial" w:eastAsia="Tahoma" w:hAnsi="Arial" w:cs="Arial"/>
          <w:sz w:val="22"/>
          <w:szCs w:val="22"/>
        </w:rPr>
        <w:t> </w:t>
      </w:r>
    </w:p>
    <w:p w14:paraId="0266E0E4" w14:textId="3FCE335D" w:rsidR="00451AE0" w:rsidRPr="00150BD6" w:rsidRDefault="00451AE0" w:rsidP="00627621">
      <w:pPr>
        <w:pStyle w:val="paragraph"/>
        <w:spacing w:before="0" w:beforeAutospacing="0" w:after="0" w:afterAutospacing="0" w:line="276" w:lineRule="auto"/>
        <w:ind w:right="105"/>
        <w:jc w:val="both"/>
        <w:textAlignment w:val="baseline"/>
        <w:rPr>
          <w:rStyle w:val="eop"/>
          <w:rFonts w:ascii="Arial" w:eastAsia="Tahoma" w:hAnsi="Arial" w:cs="Arial"/>
          <w:sz w:val="22"/>
          <w:szCs w:val="22"/>
        </w:rPr>
      </w:pPr>
    </w:p>
    <w:p w14:paraId="63AE483C" w14:textId="0CDAD993" w:rsidR="007D6086" w:rsidRPr="00150BD6" w:rsidRDefault="0096163C" w:rsidP="00627621">
      <w:pPr>
        <w:tabs>
          <w:tab w:val="left" w:pos="8170"/>
        </w:tabs>
        <w:spacing w:line="276" w:lineRule="auto"/>
        <w:jc w:val="both"/>
        <w:rPr>
          <w:rFonts w:ascii="Arial" w:eastAsia="Arial" w:hAnsi="Arial" w:cs="Arial"/>
          <w:sz w:val="22"/>
          <w:szCs w:val="22"/>
        </w:rPr>
      </w:pPr>
      <w:r w:rsidRPr="00150BD6">
        <w:rPr>
          <w:rFonts w:ascii="Arial" w:eastAsia="Tahoma" w:hAnsi="Arial" w:cs="Arial"/>
          <w:sz w:val="22"/>
          <w:szCs w:val="22"/>
        </w:rPr>
        <w:t xml:space="preserve">Conforme con el objeto del presente proceso </w:t>
      </w:r>
      <w:r w:rsidRPr="00150BD6">
        <w:rPr>
          <w:rFonts w:ascii="Arial" w:eastAsia="Tahoma" w:hAnsi="Arial" w:cs="Arial"/>
          <w:i/>
          <w:iCs/>
          <w:sz w:val="22"/>
          <w:szCs w:val="22"/>
        </w:rPr>
        <w:t>"</w:t>
      </w:r>
      <w:r w:rsidR="00A57397" w:rsidRPr="00150BD6">
        <w:rPr>
          <w:rFonts w:ascii="Arial" w:eastAsia="Arial" w:hAnsi="Arial" w:cs="Arial"/>
          <w:i/>
          <w:iCs/>
          <w:sz w:val="22"/>
          <w:szCs w:val="22"/>
        </w:rPr>
        <w:t xml:space="preserve">AUNAR ESFUERZOS TÉCNICOS, ADMINISTRATIVOS Y FINANCIEROS ENTRE LA AGENCIA DE DESARROLLO RURAL Y LA UNIVERSIDAD DE SUCRE, PARA LA PRESTACIÓN DEL SERVICIO PÚBLICO DE </w:t>
      </w:r>
      <w:r w:rsidR="00A57397" w:rsidRPr="00150BD6">
        <w:rPr>
          <w:rFonts w:ascii="Arial" w:eastAsia="Arial" w:hAnsi="Arial" w:cs="Arial"/>
          <w:i/>
          <w:iCs/>
          <w:sz w:val="22"/>
          <w:szCs w:val="22"/>
        </w:rPr>
        <w:lastRenderedPageBreak/>
        <w:t>EXTENSIÓN AGROPECUARIA CONFORME A LO DISPUESTO EN LA LEY 1876 DE 2017, RESPONDIENDO A LA PRIORIZACIÓN DE PROGRAMAS Y ACCIONES CONTENIDAS EN EL PLAN DEPARTAMENTAL DE EXTENSIÓN AGROPECUARIA DEL DEPARTAMENTO DE SUCRE</w:t>
      </w:r>
      <w:r w:rsidRPr="00150BD6">
        <w:rPr>
          <w:rFonts w:ascii="Arial" w:eastAsia="Tahoma" w:hAnsi="Arial" w:cs="Arial"/>
          <w:i/>
          <w:iCs/>
          <w:sz w:val="22"/>
          <w:szCs w:val="22"/>
        </w:rPr>
        <w:t>.</w:t>
      </w:r>
      <w:r w:rsidR="00150BD6" w:rsidRPr="00150BD6">
        <w:rPr>
          <w:rFonts w:ascii="Arial" w:hAnsi="Arial" w:cs="Arial"/>
          <w:i/>
          <w:iCs/>
          <w:sz w:val="22"/>
          <w:szCs w:val="22"/>
          <w:shd w:val="clear" w:color="auto" w:fill="FFFFFF"/>
        </w:rPr>
        <w:t xml:space="preserve"> NPAA-1873</w:t>
      </w:r>
      <w:r w:rsidRPr="00150BD6">
        <w:rPr>
          <w:rFonts w:ascii="Arial" w:eastAsia="Tahoma" w:hAnsi="Arial" w:cs="Arial"/>
          <w:i/>
          <w:iCs/>
          <w:sz w:val="22"/>
          <w:szCs w:val="22"/>
        </w:rPr>
        <w:t>”</w:t>
      </w:r>
      <w:r w:rsidRPr="00150BD6">
        <w:rPr>
          <w:rFonts w:ascii="Arial" w:eastAsia="Tahoma" w:hAnsi="Arial" w:cs="Arial"/>
          <w:sz w:val="22"/>
          <w:szCs w:val="22"/>
        </w:rPr>
        <w:t xml:space="preserve"> La Agencia de Desarrollo Rural adelantó la invitación a </w:t>
      </w:r>
      <w:r w:rsidR="6BA3EB6A" w:rsidRPr="00150BD6">
        <w:rPr>
          <w:rFonts w:ascii="Arial" w:eastAsia="Tahoma" w:hAnsi="Arial" w:cs="Arial"/>
          <w:sz w:val="22"/>
          <w:szCs w:val="22"/>
        </w:rPr>
        <w:t xml:space="preserve">cotizar a </w:t>
      </w:r>
      <w:r w:rsidRPr="00150BD6">
        <w:rPr>
          <w:rFonts w:ascii="Arial" w:eastAsia="Tahoma" w:hAnsi="Arial" w:cs="Arial"/>
          <w:sz w:val="22"/>
          <w:szCs w:val="22"/>
        </w:rPr>
        <w:t xml:space="preserve">las siguientes EPSEA publicas habilitadas con capacidad para atender el </w:t>
      </w:r>
      <w:r w:rsidRPr="00150BD6">
        <w:rPr>
          <w:rFonts w:ascii="Arial" w:eastAsia="Arial" w:hAnsi="Arial" w:cs="Arial"/>
          <w:sz w:val="22"/>
          <w:szCs w:val="22"/>
        </w:rPr>
        <w:t>departamento: </w:t>
      </w:r>
    </w:p>
    <w:p w14:paraId="3B26DBD7" w14:textId="77777777" w:rsidR="0096163C" w:rsidRPr="0086351C" w:rsidRDefault="0096163C" w:rsidP="00DEA33A">
      <w:pPr>
        <w:jc w:val="both"/>
        <w:rPr>
          <w:rStyle w:val="normaltextrun"/>
          <w:rFonts w:ascii="Arial" w:eastAsia="Arial" w:hAnsi="Arial" w:cs="Arial"/>
          <w:sz w:val="22"/>
          <w:szCs w:val="22"/>
        </w:rPr>
      </w:pPr>
    </w:p>
    <w:tbl>
      <w:tblPr>
        <w:tblStyle w:val="Tablaconcuadrcula"/>
        <w:tblW w:w="8835" w:type="dxa"/>
        <w:tblLayout w:type="fixed"/>
        <w:tblLook w:val="06A0" w:firstRow="1" w:lastRow="0" w:firstColumn="1" w:lastColumn="0" w:noHBand="1" w:noVBand="1"/>
      </w:tblPr>
      <w:tblGrid>
        <w:gridCol w:w="2945"/>
        <w:gridCol w:w="2945"/>
        <w:gridCol w:w="2945"/>
      </w:tblGrid>
      <w:tr w:rsidR="39B543F3" w:rsidRPr="0086351C" w14:paraId="32BE918D" w14:textId="77777777" w:rsidTr="0064332A">
        <w:trPr>
          <w:trHeight w:val="300"/>
        </w:trPr>
        <w:tc>
          <w:tcPr>
            <w:tcW w:w="2945" w:type="dxa"/>
            <w:shd w:val="clear" w:color="auto" w:fill="E7E6E6" w:themeFill="background2"/>
          </w:tcPr>
          <w:p w14:paraId="5C2BCDFF" w14:textId="6F20EEA7" w:rsidR="4BFA0A77" w:rsidRPr="0086351C" w:rsidRDefault="7845322E"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EPSEA</w:t>
            </w:r>
          </w:p>
        </w:tc>
        <w:tc>
          <w:tcPr>
            <w:tcW w:w="2945" w:type="dxa"/>
            <w:shd w:val="clear" w:color="auto" w:fill="E7E6E6" w:themeFill="background2"/>
          </w:tcPr>
          <w:p w14:paraId="44C8AD29" w14:textId="1E1C7BC6" w:rsidR="4BFA0A77" w:rsidRPr="0086351C" w:rsidRDefault="708DDCE9"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N° OFICIO INVITACIÓN</w:t>
            </w:r>
          </w:p>
        </w:tc>
        <w:tc>
          <w:tcPr>
            <w:tcW w:w="2945" w:type="dxa"/>
            <w:shd w:val="clear" w:color="auto" w:fill="E7E6E6" w:themeFill="background2"/>
          </w:tcPr>
          <w:p w14:paraId="08309C66" w14:textId="1B14C0F5" w:rsidR="4BFA0A77" w:rsidRPr="0086351C" w:rsidRDefault="7845322E"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FECHA REMISION</w:t>
            </w:r>
          </w:p>
        </w:tc>
      </w:tr>
      <w:tr w:rsidR="00B55BD4" w:rsidRPr="0086351C" w14:paraId="21A18366" w14:textId="77777777" w:rsidTr="00DEA33A">
        <w:trPr>
          <w:trHeight w:val="300"/>
        </w:trPr>
        <w:tc>
          <w:tcPr>
            <w:tcW w:w="2945" w:type="dxa"/>
          </w:tcPr>
          <w:p w14:paraId="3C5CF642" w14:textId="59E358D5" w:rsidR="00B55BD4" w:rsidRPr="0086351C" w:rsidRDefault="00D73065" w:rsidP="00DEA33A">
            <w:pPr>
              <w:rPr>
                <w:rFonts w:ascii="Arial" w:eastAsia="Arial" w:hAnsi="Arial" w:cs="Arial"/>
                <w:sz w:val="20"/>
                <w:szCs w:val="20"/>
              </w:rPr>
            </w:pPr>
            <w:r>
              <w:rPr>
                <w:rFonts w:ascii="Arial" w:eastAsia="Arial" w:hAnsi="Arial" w:cs="Arial"/>
                <w:sz w:val="20"/>
                <w:szCs w:val="20"/>
              </w:rPr>
              <w:t>UNIVERSIDAD DE SUCRE</w:t>
            </w:r>
          </w:p>
        </w:tc>
        <w:tc>
          <w:tcPr>
            <w:tcW w:w="2945" w:type="dxa"/>
          </w:tcPr>
          <w:p w14:paraId="33947810" w14:textId="4CC8B4B0" w:rsidR="00B55BD4" w:rsidRPr="0086351C" w:rsidRDefault="5EC7E85E" w:rsidP="00DEA33A">
            <w:pPr>
              <w:rPr>
                <w:rFonts w:ascii="Arial" w:eastAsia="Arial" w:hAnsi="Arial" w:cs="Arial"/>
                <w:sz w:val="20"/>
                <w:szCs w:val="20"/>
              </w:rPr>
            </w:pPr>
            <w:r w:rsidRPr="0086351C">
              <w:rPr>
                <w:rFonts w:ascii="Arial" w:eastAsia="Arial" w:hAnsi="Arial" w:cs="Arial"/>
                <w:sz w:val="20"/>
                <w:szCs w:val="20"/>
              </w:rPr>
              <w:t>20243100163312</w:t>
            </w:r>
          </w:p>
        </w:tc>
        <w:tc>
          <w:tcPr>
            <w:tcW w:w="2945" w:type="dxa"/>
          </w:tcPr>
          <w:p w14:paraId="621927DB" w14:textId="6CA90CA5" w:rsidR="00B55BD4" w:rsidRPr="0086351C" w:rsidRDefault="5EC7E85E" w:rsidP="00DEA33A">
            <w:pPr>
              <w:textAlignment w:val="baseline"/>
              <w:rPr>
                <w:rFonts w:ascii="Arial" w:eastAsia="Arial" w:hAnsi="Arial" w:cs="Arial"/>
                <w:sz w:val="20"/>
                <w:szCs w:val="20"/>
              </w:rPr>
            </w:pPr>
            <w:r w:rsidRPr="0086351C">
              <w:rPr>
                <w:rFonts w:ascii="Arial" w:eastAsia="Arial" w:hAnsi="Arial" w:cs="Arial"/>
                <w:sz w:val="20"/>
                <w:szCs w:val="20"/>
              </w:rPr>
              <w:t>02</w:t>
            </w:r>
            <w:r w:rsidR="10AAB80B" w:rsidRPr="0086351C">
              <w:rPr>
                <w:rFonts w:ascii="Arial" w:eastAsia="Arial" w:hAnsi="Arial" w:cs="Arial"/>
                <w:sz w:val="20"/>
                <w:szCs w:val="20"/>
              </w:rPr>
              <w:t xml:space="preserve"> de agosto de </w:t>
            </w:r>
            <w:r w:rsidRPr="0086351C">
              <w:rPr>
                <w:rFonts w:ascii="Arial" w:eastAsia="Arial" w:hAnsi="Arial" w:cs="Arial"/>
                <w:sz w:val="20"/>
                <w:szCs w:val="20"/>
              </w:rPr>
              <w:t>2024</w:t>
            </w:r>
          </w:p>
        </w:tc>
      </w:tr>
    </w:tbl>
    <w:p w14:paraId="7E96D927" w14:textId="6ECC4ADB" w:rsidR="32FDD0E3" w:rsidRPr="0086351C" w:rsidRDefault="32FDD0E3" w:rsidP="00DEA33A">
      <w:pPr>
        <w:rPr>
          <w:rFonts w:ascii="Arial" w:eastAsia="Arial" w:hAnsi="Arial" w:cs="Arial"/>
          <w:sz w:val="22"/>
          <w:szCs w:val="22"/>
        </w:rPr>
      </w:pPr>
    </w:p>
    <w:p w14:paraId="093657DB" w14:textId="4FDD2F88" w:rsidR="007D6086" w:rsidRPr="0086351C" w:rsidRDefault="0096163C" w:rsidP="00150BD6">
      <w:pPr>
        <w:spacing w:line="276" w:lineRule="auto"/>
        <w:jc w:val="both"/>
        <w:rPr>
          <w:rFonts w:ascii="Arial" w:eastAsia="Arial" w:hAnsi="Arial" w:cs="Arial"/>
          <w:sz w:val="22"/>
          <w:szCs w:val="22"/>
        </w:rPr>
      </w:pPr>
      <w:r w:rsidRPr="0086351C">
        <w:rPr>
          <w:rFonts w:ascii="Arial" w:eastAsia="Arial" w:hAnsi="Arial" w:cs="Arial"/>
          <w:sz w:val="22"/>
          <w:szCs w:val="22"/>
        </w:rPr>
        <w:t>La mencionada invitación a las entidades con el fin de identificar el interés en presentar propuestas de prestación del servicio de extensión agropecuaria en los municipios priorizados por la Dirección de Asistencia Técnica.</w:t>
      </w:r>
    </w:p>
    <w:p w14:paraId="575DC2F6" w14:textId="77777777" w:rsidR="0096163C" w:rsidRPr="0086351C" w:rsidRDefault="0096163C" w:rsidP="00DEA33A">
      <w:pPr>
        <w:jc w:val="both"/>
        <w:rPr>
          <w:rStyle w:val="normaltextrun"/>
          <w:rFonts w:ascii="Arial" w:eastAsia="Arial" w:hAnsi="Arial" w:cs="Arial"/>
          <w:sz w:val="22"/>
          <w:szCs w:val="22"/>
        </w:rPr>
      </w:pPr>
    </w:p>
    <w:tbl>
      <w:tblPr>
        <w:tblStyle w:val="Tablaconcuadrcula"/>
        <w:tblW w:w="8835" w:type="dxa"/>
        <w:tblLayout w:type="fixed"/>
        <w:tblLook w:val="06A0" w:firstRow="1" w:lastRow="0" w:firstColumn="1" w:lastColumn="0" w:noHBand="1" w:noVBand="1"/>
      </w:tblPr>
      <w:tblGrid>
        <w:gridCol w:w="2945"/>
        <w:gridCol w:w="2945"/>
        <w:gridCol w:w="2945"/>
      </w:tblGrid>
      <w:tr w:rsidR="39B543F3" w:rsidRPr="0086351C" w14:paraId="006A1171" w14:textId="77777777" w:rsidTr="0064332A">
        <w:trPr>
          <w:trHeight w:val="300"/>
        </w:trPr>
        <w:tc>
          <w:tcPr>
            <w:tcW w:w="2945" w:type="dxa"/>
            <w:shd w:val="clear" w:color="auto" w:fill="E7E6E6" w:themeFill="background2"/>
          </w:tcPr>
          <w:p w14:paraId="1013C7D3" w14:textId="6F20EEA7" w:rsidR="39B543F3" w:rsidRPr="0086351C" w:rsidRDefault="5111D2AD"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EPSEA</w:t>
            </w:r>
          </w:p>
        </w:tc>
        <w:tc>
          <w:tcPr>
            <w:tcW w:w="2945" w:type="dxa"/>
            <w:shd w:val="clear" w:color="auto" w:fill="E7E6E6" w:themeFill="background2"/>
          </w:tcPr>
          <w:p w14:paraId="5E8BA89D" w14:textId="1BC5E8DA" w:rsidR="1A42782A" w:rsidRPr="0086351C" w:rsidRDefault="498CC7C2"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RESPUESTA OFICIO</w:t>
            </w:r>
          </w:p>
        </w:tc>
        <w:tc>
          <w:tcPr>
            <w:tcW w:w="2945" w:type="dxa"/>
            <w:shd w:val="clear" w:color="auto" w:fill="E7E6E6" w:themeFill="background2"/>
          </w:tcPr>
          <w:p w14:paraId="12A44C6A" w14:textId="6F324AB2" w:rsidR="39B543F3" w:rsidRPr="0086351C" w:rsidRDefault="5111D2AD" w:rsidP="00DEA33A">
            <w:pPr>
              <w:rPr>
                <w:rStyle w:val="normaltextrun"/>
                <w:rFonts w:ascii="Arial" w:eastAsia="Arial" w:hAnsi="Arial" w:cs="Arial"/>
                <w:b/>
                <w:bCs/>
                <w:sz w:val="20"/>
                <w:szCs w:val="20"/>
              </w:rPr>
            </w:pPr>
            <w:r w:rsidRPr="0086351C">
              <w:rPr>
                <w:rStyle w:val="normaltextrun"/>
                <w:rFonts w:ascii="Arial" w:eastAsia="Arial" w:hAnsi="Arial" w:cs="Arial"/>
                <w:b/>
                <w:bCs/>
                <w:sz w:val="20"/>
                <w:szCs w:val="20"/>
              </w:rPr>
              <w:t>FECHA RE</w:t>
            </w:r>
            <w:r w:rsidR="083AB996" w:rsidRPr="0086351C">
              <w:rPr>
                <w:rStyle w:val="normaltextrun"/>
                <w:rFonts w:ascii="Arial" w:eastAsia="Arial" w:hAnsi="Arial" w:cs="Arial"/>
                <w:b/>
                <w:bCs/>
                <w:sz w:val="20"/>
                <w:szCs w:val="20"/>
              </w:rPr>
              <w:t>CEPCION</w:t>
            </w:r>
          </w:p>
        </w:tc>
      </w:tr>
      <w:tr w:rsidR="0096163C" w:rsidRPr="0086351C" w14:paraId="3DFED462" w14:textId="77777777" w:rsidTr="00DEA33A">
        <w:trPr>
          <w:trHeight w:val="300"/>
        </w:trPr>
        <w:tc>
          <w:tcPr>
            <w:tcW w:w="2945" w:type="dxa"/>
          </w:tcPr>
          <w:p w14:paraId="154B9090" w14:textId="3F50A2AB" w:rsidR="0096163C" w:rsidRPr="0086351C" w:rsidRDefault="00D73065" w:rsidP="00DEA33A">
            <w:pPr>
              <w:rPr>
                <w:rFonts w:ascii="Arial" w:eastAsia="Arial" w:hAnsi="Arial" w:cs="Arial"/>
                <w:sz w:val="20"/>
                <w:szCs w:val="20"/>
              </w:rPr>
            </w:pPr>
            <w:r>
              <w:rPr>
                <w:rFonts w:ascii="Arial" w:eastAsia="Arial" w:hAnsi="Arial" w:cs="Arial"/>
                <w:sz w:val="20"/>
                <w:szCs w:val="20"/>
              </w:rPr>
              <w:t>UNIVERSIDAD DE SUCRE</w:t>
            </w:r>
          </w:p>
        </w:tc>
        <w:tc>
          <w:tcPr>
            <w:tcW w:w="2945" w:type="dxa"/>
          </w:tcPr>
          <w:p w14:paraId="7BE5F3E7" w14:textId="658AFBD8" w:rsidR="0096163C" w:rsidRPr="0086351C" w:rsidRDefault="20FC9FBC" w:rsidP="00DEA33A">
            <w:pPr>
              <w:rPr>
                <w:rFonts w:ascii="Arial" w:eastAsia="Arial" w:hAnsi="Arial" w:cs="Arial"/>
                <w:sz w:val="20"/>
                <w:szCs w:val="20"/>
              </w:rPr>
            </w:pPr>
            <w:r w:rsidRPr="0086351C">
              <w:rPr>
                <w:rFonts w:ascii="Arial" w:eastAsia="Arial" w:hAnsi="Arial" w:cs="Arial"/>
                <w:sz w:val="20"/>
                <w:szCs w:val="20"/>
              </w:rPr>
              <w:t>Aceptación a presentar propuesta para aunar esfuerzos enfocados en el fortalecimiento de la prestación del servicio público de extensión agropecuaria, Rad. No. 20243100163312</w:t>
            </w:r>
          </w:p>
        </w:tc>
        <w:tc>
          <w:tcPr>
            <w:tcW w:w="2945" w:type="dxa"/>
          </w:tcPr>
          <w:p w14:paraId="1927F3A5" w14:textId="71D43A49" w:rsidR="0096163C" w:rsidRPr="0086351C" w:rsidRDefault="0096163C" w:rsidP="00DEA33A">
            <w:pPr>
              <w:rPr>
                <w:rFonts w:ascii="Arial" w:eastAsia="Arial" w:hAnsi="Arial" w:cs="Arial"/>
                <w:sz w:val="20"/>
                <w:szCs w:val="20"/>
              </w:rPr>
            </w:pPr>
            <w:r w:rsidRPr="0086351C">
              <w:rPr>
                <w:rFonts w:ascii="Arial" w:eastAsia="Arial" w:hAnsi="Arial" w:cs="Arial"/>
                <w:sz w:val="20"/>
                <w:szCs w:val="20"/>
              </w:rPr>
              <w:t>26 de agosto de 2024 </w:t>
            </w:r>
          </w:p>
        </w:tc>
      </w:tr>
    </w:tbl>
    <w:p w14:paraId="00F14712" w14:textId="311A668F" w:rsidR="007D6086" w:rsidRPr="0086351C" w:rsidRDefault="007D6086" w:rsidP="39B543F3">
      <w:pPr>
        <w:jc w:val="both"/>
        <w:rPr>
          <w:rStyle w:val="normaltextrun"/>
          <w:rFonts w:ascii="Arial" w:eastAsia="Tahoma" w:hAnsi="Arial" w:cs="Arial"/>
          <w:sz w:val="22"/>
          <w:szCs w:val="22"/>
          <w:highlight w:val="yellow"/>
        </w:rPr>
      </w:pPr>
    </w:p>
    <w:p w14:paraId="24299F57" w14:textId="436909DB" w:rsidR="0096163C" w:rsidRPr="0086351C" w:rsidRDefault="0096163C" w:rsidP="00150BD6">
      <w:pPr>
        <w:spacing w:line="276" w:lineRule="auto"/>
        <w:jc w:val="both"/>
        <w:rPr>
          <w:rFonts w:ascii="Arial" w:eastAsia="Tahoma" w:hAnsi="Arial" w:cs="Arial"/>
          <w:sz w:val="22"/>
          <w:szCs w:val="22"/>
        </w:rPr>
      </w:pPr>
      <w:r w:rsidRPr="0086351C">
        <w:rPr>
          <w:rFonts w:ascii="Arial" w:eastAsia="Tahoma" w:hAnsi="Arial" w:cs="Arial"/>
          <w:sz w:val="22"/>
          <w:szCs w:val="22"/>
        </w:rPr>
        <w:t xml:space="preserve">A partir de la manifestación de interés de parte de </w:t>
      </w:r>
      <w:r w:rsidR="00203455" w:rsidRPr="0086351C">
        <w:rPr>
          <w:rFonts w:ascii="Arial" w:eastAsia="Tahoma" w:hAnsi="Arial" w:cs="Arial"/>
          <w:b/>
          <w:bCs/>
          <w:sz w:val="22"/>
          <w:szCs w:val="22"/>
        </w:rPr>
        <w:t>UNIVERSIDAD DE SUCRE</w:t>
      </w:r>
      <w:r w:rsidR="00D73065">
        <w:rPr>
          <w:rFonts w:ascii="Arial" w:eastAsia="Tahoma" w:hAnsi="Arial" w:cs="Arial"/>
          <w:b/>
          <w:bCs/>
          <w:sz w:val="22"/>
          <w:szCs w:val="22"/>
        </w:rPr>
        <w:t xml:space="preserve">, </w:t>
      </w:r>
      <w:r w:rsidRPr="0086351C">
        <w:rPr>
          <w:rFonts w:ascii="Arial" w:eastAsia="Tahoma" w:hAnsi="Arial" w:cs="Arial"/>
          <w:sz w:val="22"/>
          <w:szCs w:val="22"/>
        </w:rPr>
        <w:t xml:space="preserve">se adelantaron las socializaciones con su equipo mínimo sobre el modelo del SPEA establecido para el 2024 por la DAT, con esta información la EPSEA </w:t>
      </w:r>
      <w:r w:rsidR="00150BD6">
        <w:rPr>
          <w:rFonts w:ascii="Arial" w:eastAsia="Tahoma" w:hAnsi="Arial" w:cs="Arial"/>
          <w:sz w:val="22"/>
          <w:szCs w:val="22"/>
        </w:rPr>
        <w:t>UNIVERSIDAD DE SUCRE</w:t>
      </w:r>
      <w:r w:rsidRPr="0086351C">
        <w:rPr>
          <w:rFonts w:ascii="Arial" w:eastAsia="Tahoma" w:hAnsi="Arial" w:cs="Arial"/>
          <w:sz w:val="22"/>
          <w:szCs w:val="22"/>
        </w:rPr>
        <w:t xml:space="preserve"> presentó propuesta técnica y una vez aprobada por el equipo técnico se avanzó en la construcción de los estudios previos para el convenio interadministrativo. </w:t>
      </w:r>
    </w:p>
    <w:p w14:paraId="6BD28C38" w14:textId="77777777" w:rsidR="0096163C" w:rsidRPr="0086351C" w:rsidRDefault="0096163C" w:rsidP="00150BD6">
      <w:pPr>
        <w:spacing w:line="276" w:lineRule="auto"/>
        <w:jc w:val="both"/>
        <w:rPr>
          <w:rFonts w:ascii="Arial" w:eastAsia="Tahoma" w:hAnsi="Arial" w:cs="Arial"/>
          <w:sz w:val="22"/>
          <w:szCs w:val="22"/>
        </w:rPr>
      </w:pPr>
      <w:r w:rsidRPr="0086351C">
        <w:rPr>
          <w:rFonts w:ascii="Arial" w:eastAsia="Tahoma" w:hAnsi="Arial" w:cs="Arial"/>
          <w:sz w:val="22"/>
          <w:szCs w:val="22"/>
        </w:rPr>
        <w:t> </w:t>
      </w:r>
    </w:p>
    <w:p w14:paraId="08F3E4DD" w14:textId="0932EE27" w:rsidR="0096163C" w:rsidRPr="0086351C" w:rsidRDefault="0096163C" w:rsidP="00150BD6">
      <w:pPr>
        <w:spacing w:line="276" w:lineRule="auto"/>
        <w:jc w:val="both"/>
        <w:rPr>
          <w:rFonts w:ascii="Arial" w:eastAsia="Arial" w:hAnsi="Arial" w:cs="Arial"/>
          <w:sz w:val="22"/>
          <w:szCs w:val="22"/>
        </w:rPr>
      </w:pPr>
      <w:r w:rsidRPr="0086351C">
        <w:rPr>
          <w:rFonts w:ascii="Arial" w:eastAsia="Tahoma" w:hAnsi="Arial" w:cs="Arial"/>
          <w:sz w:val="22"/>
          <w:szCs w:val="22"/>
        </w:rPr>
        <w:t xml:space="preserve">A la EPSEA </w:t>
      </w:r>
      <w:r w:rsidR="57D34B39" w:rsidRPr="0086351C">
        <w:rPr>
          <w:rFonts w:ascii="Arial" w:eastAsia="Tahoma" w:hAnsi="Arial" w:cs="Arial"/>
          <w:sz w:val="22"/>
          <w:szCs w:val="22"/>
        </w:rPr>
        <w:t>U</w:t>
      </w:r>
      <w:r w:rsidR="77A30981" w:rsidRPr="0086351C">
        <w:rPr>
          <w:rFonts w:ascii="Arial" w:eastAsia="Tahoma" w:hAnsi="Arial" w:cs="Arial"/>
          <w:sz w:val="22"/>
          <w:szCs w:val="22"/>
        </w:rPr>
        <w:t>NIVERSIDAD DE SUCRE</w:t>
      </w:r>
      <w:r w:rsidR="57D34B39" w:rsidRPr="0086351C">
        <w:rPr>
          <w:rFonts w:ascii="Arial" w:eastAsia="Tahoma" w:hAnsi="Arial" w:cs="Arial"/>
          <w:sz w:val="22"/>
          <w:szCs w:val="22"/>
        </w:rPr>
        <w:t> de</w:t>
      </w:r>
      <w:r w:rsidR="57D34B39" w:rsidRPr="0086351C">
        <w:rPr>
          <w:rFonts w:ascii="Arial" w:eastAsia="Arial" w:hAnsi="Arial" w:cs="Arial"/>
          <w:sz w:val="22"/>
          <w:szCs w:val="22"/>
        </w:rPr>
        <w:t xml:space="preserve"> acuerdo con el estudio de territorialización se determinó como viable que adelante la prestación en los municipios de </w:t>
      </w:r>
      <w:r w:rsidR="7CE28584" w:rsidRPr="0086351C">
        <w:rPr>
          <w:rFonts w:ascii="Arial" w:eastAsia="Arial" w:hAnsi="Arial" w:cs="Arial"/>
          <w:sz w:val="22"/>
          <w:szCs w:val="22"/>
        </w:rPr>
        <w:t>Sincelejo, Buenavista, Caimito Coloso, Corozal</w:t>
      </w:r>
      <w:r w:rsidR="57D34B39" w:rsidRPr="0086351C">
        <w:rPr>
          <w:rFonts w:ascii="Arial" w:eastAsia="Arial" w:hAnsi="Arial" w:cs="Arial"/>
          <w:sz w:val="22"/>
          <w:szCs w:val="22"/>
        </w:rPr>
        <w:t>,</w:t>
      </w:r>
      <w:r w:rsidR="4B69713A" w:rsidRPr="0086351C">
        <w:rPr>
          <w:rFonts w:ascii="Arial" w:eastAsia="Arial" w:hAnsi="Arial" w:cs="Arial"/>
          <w:sz w:val="22"/>
          <w:szCs w:val="22"/>
        </w:rPr>
        <w:t xml:space="preserve"> Coveñas, Chalan, El Roble, Galeras, Guaranda, La Unión, Los Palmito, Majagual, Morroa, Ovejas, Palmito, San</w:t>
      </w:r>
      <w:r w:rsidR="26C7363B" w:rsidRPr="0086351C">
        <w:rPr>
          <w:rFonts w:ascii="Arial" w:eastAsia="Arial" w:hAnsi="Arial" w:cs="Arial"/>
          <w:sz w:val="22"/>
          <w:szCs w:val="22"/>
        </w:rPr>
        <w:t>p</w:t>
      </w:r>
      <w:r w:rsidR="4B69713A" w:rsidRPr="0086351C">
        <w:rPr>
          <w:rFonts w:ascii="Arial" w:eastAsia="Arial" w:hAnsi="Arial" w:cs="Arial"/>
          <w:sz w:val="22"/>
          <w:szCs w:val="22"/>
        </w:rPr>
        <w:t>ues</w:t>
      </w:r>
      <w:r w:rsidR="1E0F13B7" w:rsidRPr="0086351C">
        <w:rPr>
          <w:rFonts w:ascii="Arial" w:eastAsia="Arial" w:hAnsi="Arial" w:cs="Arial"/>
          <w:sz w:val="22"/>
          <w:szCs w:val="22"/>
        </w:rPr>
        <w:t xml:space="preserve">, San Benito Abad, San Juan de Betulia, </w:t>
      </w:r>
      <w:r w:rsidR="53D6F9B4" w:rsidRPr="0086351C">
        <w:rPr>
          <w:rFonts w:ascii="Arial" w:eastAsia="Arial" w:hAnsi="Arial" w:cs="Arial"/>
          <w:sz w:val="22"/>
          <w:szCs w:val="22"/>
        </w:rPr>
        <w:t xml:space="preserve">San Marcos, San Onofre, San Pedro, San Luis de Since, Sucre, Santiago de Tolú, San </w:t>
      </w:r>
      <w:r w:rsidR="339A8D8B" w:rsidRPr="0086351C">
        <w:rPr>
          <w:rFonts w:ascii="Arial" w:eastAsia="Arial" w:hAnsi="Arial" w:cs="Arial"/>
          <w:sz w:val="22"/>
          <w:szCs w:val="22"/>
        </w:rPr>
        <w:t>José</w:t>
      </w:r>
      <w:r w:rsidR="53D6F9B4" w:rsidRPr="0086351C">
        <w:rPr>
          <w:rFonts w:ascii="Arial" w:eastAsia="Arial" w:hAnsi="Arial" w:cs="Arial"/>
          <w:sz w:val="22"/>
          <w:szCs w:val="22"/>
        </w:rPr>
        <w:t xml:space="preserve"> de Toluviejo;</w:t>
      </w:r>
      <w:r w:rsidR="57D34B39" w:rsidRPr="0086351C">
        <w:rPr>
          <w:rFonts w:ascii="Arial" w:eastAsia="Arial" w:hAnsi="Arial" w:cs="Arial"/>
          <w:sz w:val="22"/>
          <w:szCs w:val="22"/>
        </w:rPr>
        <w:t xml:space="preserve"> en atención a su experiencia específica, capacidad de atención y conocimiento del territorio.</w:t>
      </w:r>
    </w:p>
    <w:p w14:paraId="7A7A4CDC" w14:textId="59A6E507" w:rsidR="39B543F3" w:rsidRPr="0086351C" w:rsidRDefault="39B543F3" w:rsidP="00150BD6">
      <w:pPr>
        <w:spacing w:line="276" w:lineRule="auto"/>
        <w:jc w:val="both"/>
        <w:rPr>
          <w:rStyle w:val="normaltextrun"/>
          <w:rFonts w:ascii="Arial" w:eastAsia="Tahoma" w:hAnsi="Arial" w:cs="Arial"/>
          <w:sz w:val="22"/>
          <w:szCs w:val="22"/>
        </w:rPr>
      </w:pPr>
    </w:p>
    <w:p w14:paraId="2602E6A5" w14:textId="77777777" w:rsidR="00571026" w:rsidRPr="0086351C" w:rsidRDefault="00571026" w:rsidP="00150BD6">
      <w:pPr>
        <w:spacing w:after="240" w:line="276" w:lineRule="auto"/>
        <w:ind w:right="49"/>
        <w:jc w:val="both"/>
        <w:rPr>
          <w:rFonts w:ascii="Arial" w:hAnsi="Arial" w:cs="Arial"/>
          <w:color w:val="000000" w:themeColor="text1"/>
          <w:sz w:val="22"/>
          <w:szCs w:val="22"/>
        </w:rPr>
      </w:pPr>
      <w:r w:rsidRPr="0086351C">
        <w:rPr>
          <w:rFonts w:ascii="Arial" w:hAnsi="Arial" w:cs="Arial"/>
          <w:color w:val="000000" w:themeColor="text1"/>
          <w:sz w:val="22"/>
          <w:szCs w:val="22"/>
        </w:rPr>
        <w:t>A continuación, se enuncia el detalle de los supuestos y bases de cálculo establecidos en la Resolución 00321 del 2022 en la que se adopta el “Plan Nacional de Asistencia Integral Técnica, Tecnológica y de Impulso a la Investigación (Plan AT), Plan Nacional para la Reforma Rural Integral”; para la prestación del servicio público de extensión agropecuaria, los cuales deberán estar alineados a los soportes de ejecución.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3157"/>
        <w:gridCol w:w="825"/>
        <w:gridCol w:w="1208"/>
        <w:gridCol w:w="1074"/>
        <w:gridCol w:w="1293"/>
      </w:tblGrid>
      <w:tr w:rsidR="000A6BCA" w:rsidRPr="00BC2B27" w14:paraId="59016455" w14:textId="77777777" w:rsidTr="00150BD6">
        <w:trPr>
          <w:trHeight w:val="315"/>
          <w:jc w:val="center"/>
        </w:trPr>
        <w:tc>
          <w:tcPr>
            <w:tcW w:w="5000" w:type="pct"/>
            <w:gridSpan w:val="6"/>
            <w:shd w:val="clear" w:color="auto" w:fill="2D74B5"/>
            <w:vAlign w:val="center"/>
            <w:hideMark/>
          </w:tcPr>
          <w:bookmarkEnd w:id="26"/>
          <w:p w14:paraId="57404E1C" w14:textId="77777777" w:rsidR="00BC2B27" w:rsidRPr="00BC2B27" w:rsidRDefault="00BC2B27" w:rsidP="00150BD6">
            <w:pPr>
              <w:spacing w:line="276" w:lineRule="auto"/>
              <w:jc w:val="center"/>
              <w:rPr>
                <w:rFonts w:ascii="Arial" w:hAnsi="Arial" w:cs="Arial"/>
                <w:b/>
                <w:bCs/>
                <w:color w:val="FFFFFF"/>
                <w:sz w:val="16"/>
                <w:szCs w:val="16"/>
              </w:rPr>
            </w:pPr>
            <w:r w:rsidRPr="00BC2B27">
              <w:rPr>
                <w:rFonts w:ascii="Arial" w:hAnsi="Arial" w:cs="Arial"/>
                <w:b/>
                <w:bCs/>
                <w:color w:val="FFFFFF"/>
                <w:sz w:val="16"/>
                <w:szCs w:val="16"/>
              </w:rPr>
              <w:t>1. Trabajo de campo</w:t>
            </w:r>
          </w:p>
        </w:tc>
      </w:tr>
      <w:tr w:rsidR="000A6BCA" w:rsidRPr="00BC2B27" w14:paraId="043EE934" w14:textId="77777777" w:rsidTr="00150BD6">
        <w:trPr>
          <w:trHeight w:val="276"/>
          <w:jc w:val="center"/>
        </w:trPr>
        <w:tc>
          <w:tcPr>
            <w:tcW w:w="722" w:type="pct"/>
            <w:vMerge w:val="restart"/>
            <w:shd w:val="clear" w:color="auto" w:fill="auto"/>
            <w:vAlign w:val="center"/>
            <w:hideMark/>
          </w:tcPr>
          <w:p w14:paraId="2572FAC1"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lastRenderedPageBreak/>
              <w:t>Métodos</w:t>
            </w:r>
          </w:p>
        </w:tc>
        <w:tc>
          <w:tcPr>
            <w:tcW w:w="1790" w:type="pct"/>
            <w:vMerge w:val="restart"/>
            <w:shd w:val="clear" w:color="auto" w:fill="auto"/>
            <w:vAlign w:val="center"/>
            <w:hideMark/>
          </w:tcPr>
          <w:p w14:paraId="470A8AD7"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Base de cálculo y Descripción</w:t>
            </w:r>
          </w:p>
        </w:tc>
        <w:tc>
          <w:tcPr>
            <w:tcW w:w="458" w:type="pct"/>
            <w:vMerge w:val="restart"/>
            <w:shd w:val="clear" w:color="auto" w:fill="auto"/>
            <w:vAlign w:val="center"/>
            <w:hideMark/>
          </w:tcPr>
          <w:p w14:paraId="7A7D33F1"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Cantidad</w:t>
            </w:r>
          </w:p>
        </w:tc>
        <w:tc>
          <w:tcPr>
            <w:tcW w:w="686" w:type="pct"/>
            <w:vMerge w:val="restart"/>
            <w:shd w:val="clear" w:color="auto" w:fill="auto"/>
            <w:vAlign w:val="center"/>
            <w:hideMark/>
          </w:tcPr>
          <w:p w14:paraId="303E9C96"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Unidad</w:t>
            </w:r>
          </w:p>
        </w:tc>
        <w:tc>
          <w:tcPr>
            <w:tcW w:w="610" w:type="pct"/>
            <w:shd w:val="clear" w:color="auto" w:fill="auto"/>
            <w:vAlign w:val="center"/>
            <w:hideMark/>
          </w:tcPr>
          <w:p w14:paraId="6D0A0007"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Valor unitario</w:t>
            </w:r>
          </w:p>
        </w:tc>
        <w:tc>
          <w:tcPr>
            <w:tcW w:w="734" w:type="pct"/>
            <w:shd w:val="clear" w:color="auto" w:fill="auto"/>
            <w:vAlign w:val="center"/>
            <w:hideMark/>
          </w:tcPr>
          <w:p w14:paraId="33B00F12"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 xml:space="preserve"> Valor ajustado 2024 </w:t>
            </w:r>
          </w:p>
        </w:tc>
      </w:tr>
      <w:tr w:rsidR="000A6BCA" w:rsidRPr="00BC2B27" w14:paraId="19EDD571" w14:textId="77777777" w:rsidTr="00150BD6">
        <w:trPr>
          <w:trHeight w:val="276"/>
          <w:jc w:val="center"/>
        </w:trPr>
        <w:tc>
          <w:tcPr>
            <w:tcW w:w="722" w:type="pct"/>
            <w:vMerge/>
            <w:vAlign w:val="center"/>
            <w:hideMark/>
          </w:tcPr>
          <w:p w14:paraId="7C852430" w14:textId="77777777" w:rsidR="00BC2B27" w:rsidRPr="00BC2B27" w:rsidRDefault="00BC2B27" w:rsidP="00BC2B27">
            <w:pPr>
              <w:rPr>
                <w:rFonts w:ascii="Arial" w:hAnsi="Arial" w:cs="Arial"/>
                <w:b/>
                <w:bCs/>
                <w:color w:val="000000"/>
                <w:sz w:val="16"/>
                <w:szCs w:val="16"/>
              </w:rPr>
            </w:pPr>
          </w:p>
        </w:tc>
        <w:tc>
          <w:tcPr>
            <w:tcW w:w="1790" w:type="pct"/>
            <w:vMerge/>
            <w:vAlign w:val="center"/>
            <w:hideMark/>
          </w:tcPr>
          <w:p w14:paraId="1ACA3D66" w14:textId="77777777" w:rsidR="00BC2B27" w:rsidRPr="00BC2B27" w:rsidRDefault="00BC2B27" w:rsidP="00BC2B27">
            <w:pPr>
              <w:rPr>
                <w:rFonts w:ascii="Arial" w:hAnsi="Arial" w:cs="Arial"/>
                <w:b/>
                <w:bCs/>
                <w:color w:val="000000"/>
                <w:sz w:val="16"/>
                <w:szCs w:val="16"/>
              </w:rPr>
            </w:pPr>
          </w:p>
        </w:tc>
        <w:tc>
          <w:tcPr>
            <w:tcW w:w="458" w:type="pct"/>
            <w:vMerge/>
            <w:vAlign w:val="center"/>
            <w:hideMark/>
          </w:tcPr>
          <w:p w14:paraId="5BA2448D" w14:textId="77777777" w:rsidR="00BC2B27" w:rsidRPr="00BC2B27" w:rsidRDefault="00BC2B27" w:rsidP="00BC2B27">
            <w:pPr>
              <w:rPr>
                <w:rFonts w:ascii="Arial" w:hAnsi="Arial" w:cs="Arial"/>
                <w:b/>
                <w:bCs/>
                <w:color w:val="000000"/>
                <w:sz w:val="16"/>
                <w:szCs w:val="16"/>
              </w:rPr>
            </w:pPr>
          </w:p>
        </w:tc>
        <w:tc>
          <w:tcPr>
            <w:tcW w:w="686" w:type="pct"/>
            <w:vMerge/>
            <w:vAlign w:val="center"/>
            <w:hideMark/>
          </w:tcPr>
          <w:p w14:paraId="7B2CAE89" w14:textId="77777777" w:rsidR="00BC2B27" w:rsidRPr="00BC2B27" w:rsidRDefault="00BC2B27" w:rsidP="00BC2B27">
            <w:pPr>
              <w:rPr>
                <w:rFonts w:ascii="Arial" w:hAnsi="Arial" w:cs="Arial"/>
                <w:b/>
                <w:bCs/>
                <w:color w:val="000000"/>
                <w:sz w:val="16"/>
                <w:szCs w:val="16"/>
              </w:rPr>
            </w:pPr>
          </w:p>
        </w:tc>
        <w:tc>
          <w:tcPr>
            <w:tcW w:w="610" w:type="pct"/>
            <w:shd w:val="clear" w:color="auto" w:fill="auto"/>
            <w:vAlign w:val="center"/>
            <w:hideMark/>
          </w:tcPr>
          <w:p w14:paraId="7C30AB63"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Pesos</w:t>
            </w:r>
          </w:p>
        </w:tc>
        <w:tc>
          <w:tcPr>
            <w:tcW w:w="734" w:type="pct"/>
            <w:shd w:val="clear" w:color="auto" w:fill="auto"/>
            <w:vAlign w:val="center"/>
            <w:hideMark/>
          </w:tcPr>
          <w:p w14:paraId="722BEB46"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 xml:space="preserve"> DAT en pesos </w:t>
            </w:r>
          </w:p>
        </w:tc>
      </w:tr>
      <w:tr w:rsidR="000A6BCA" w:rsidRPr="00BC2B27" w14:paraId="79BD2C3A" w14:textId="77777777" w:rsidTr="00150BD6">
        <w:trPr>
          <w:trHeight w:val="276"/>
          <w:jc w:val="center"/>
        </w:trPr>
        <w:tc>
          <w:tcPr>
            <w:tcW w:w="722" w:type="pct"/>
            <w:vMerge w:val="restart"/>
            <w:shd w:val="clear" w:color="auto" w:fill="auto"/>
            <w:vAlign w:val="center"/>
            <w:hideMark/>
          </w:tcPr>
          <w:p w14:paraId="54221103"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Individual</w:t>
            </w:r>
          </w:p>
        </w:tc>
        <w:tc>
          <w:tcPr>
            <w:tcW w:w="1790" w:type="pct"/>
            <w:shd w:val="clear" w:color="auto" w:fill="auto"/>
            <w:vAlign w:val="center"/>
            <w:hideMark/>
          </w:tcPr>
          <w:p w14:paraId="39F38C7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Salario promedio del extensionista / año</w:t>
            </w:r>
          </w:p>
        </w:tc>
        <w:tc>
          <w:tcPr>
            <w:tcW w:w="458" w:type="pct"/>
            <w:shd w:val="clear" w:color="auto" w:fill="auto"/>
            <w:vAlign w:val="center"/>
            <w:hideMark/>
          </w:tcPr>
          <w:p w14:paraId="4F5F7130"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12</w:t>
            </w:r>
          </w:p>
        </w:tc>
        <w:tc>
          <w:tcPr>
            <w:tcW w:w="686" w:type="pct"/>
            <w:shd w:val="clear" w:color="auto" w:fill="auto"/>
            <w:vAlign w:val="center"/>
            <w:hideMark/>
          </w:tcPr>
          <w:p w14:paraId="1B8629BD"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Salario/mes</w:t>
            </w:r>
          </w:p>
        </w:tc>
        <w:tc>
          <w:tcPr>
            <w:tcW w:w="610" w:type="pct"/>
            <w:shd w:val="clear" w:color="auto" w:fill="auto"/>
            <w:vAlign w:val="center"/>
            <w:hideMark/>
          </w:tcPr>
          <w:p w14:paraId="04FBEF56"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$ 4.000.000</w:t>
            </w:r>
          </w:p>
        </w:tc>
        <w:tc>
          <w:tcPr>
            <w:tcW w:w="734" w:type="pct"/>
            <w:shd w:val="clear" w:color="auto" w:fill="auto"/>
            <w:noWrap/>
            <w:vAlign w:val="bottom"/>
            <w:hideMark/>
          </w:tcPr>
          <w:p w14:paraId="50196825" w14:textId="61EADD51" w:rsidR="00BC2B27" w:rsidRPr="00BC2B27" w:rsidRDefault="00BC2B27" w:rsidP="00BC2B27">
            <w:pPr>
              <w:jc w:val="both"/>
              <w:rPr>
                <w:rFonts w:ascii="Arial" w:hAnsi="Arial" w:cs="Arial"/>
                <w:color w:val="000000"/>
                <w:sz w:val="16"/>
                <w:szCs w:val="16"/>
              </w:rPr>
            </w:pPr>
            <w:r w:rsidRPr="2192A5FD">
              <w:rPr>
                <w:rFonts w:ascii="Arial" w:hAnsi="Arial" w:cs="Arial"/>
                <w:color w:val="000000" w:themeColor="text1"/>
                <w:sz w:val="16"/>
                <w:szCs w:val="16"/>
              </w:rPr>
              <w:t>$</w:t>
            </w:r>
            <w:r w:rsidRPr="00BC2B27">
              <w:rPr>
                <w:rFonts w:ascii="Arial" w:hAnsi="Arial" w:cs="Arial"/>
                <w:color w:val="000000" w:themeColor="text1"/>
                <w:sz w:val="16"/>
                <w:szCs w:val="16"/>
              </w:rPr>
              <w:t xml:space="preserve">54.564.775,20 </w:t>
            </w:r>
          </w:p>
        </w:tc>
      </w:tr>
      <w:tr w:rsidR="000A6BCA" w:rsidRPr="00BC2B27" w14:paraId="4892A763" w14:textId="77777777" w:rsidTr="00150BD6">
        <w:trPr>
          <w:trHeight w:val="276"/>
          <w:jc w:val="center"/>
        </w:trPr>
        <w:tc>
          <w:tcPr>
            <w:tcW w:w="722" w:type="pct"/>
            <w:vMerge/>
            <w:vAlign w:val="center"/>
            <w:hideMark/>
          </w:tcPr>
          <w:p w14:paraId="6956B6A3"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EA977F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Salario promedio del extensionista / día</w:t>
            </w:r>
          </w:p>
        </w:tc>
        <w:tc>
          <w:tcPr>
            <w:tcW w:w="458" w:type="pct"/>
            <w:shd w:val="clear" w:color="auto" w:fill="auto"/>
            <w:vAlign w:val="center"/>
            <w:hideMark/>
          </w:tcPr>
          <w:p w14:paraId="066AFB2C"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20</w:t>
            </w:r>
          </w:p>
        </w:tc>
        <w:tc>
          <w:tcPr>
            <w:tcW w:w="686" w:type="pct"/>
            <w:shd w:val="clear" w:color="auto" w:fill="auto"/>
            <w:vAlign w:val="center"/>
            <w:hideMark/>
          </w:tcPr>
          <w:p w14:paraId="5132775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Días laborales/mes.</w:t>
            </w:r>
          </w:p>
        </w:tc>
        <w:tc>
          <w:tcPr>
            <w:tcW w:w="610" w:type="pct"/>
            <w:shd w:val="clear" w:color="auto" w:fill="auto"/>
            <w:vAlign w:val="center"/>
            <w:hideMark/>
          </w:tcPr>
          <w:p w14:paraId="181817F9"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$ 200.000,00</w:t>
            </w:r>
          </w:p>
        </w:tc>
        <w:tc>
          <w:tcPr>
            <w:tcW w:w="734" w:type="pct"/>
            <w:shd w:val="clear" w:color="auto" w:fill="auto"/>
            <w:noWrap/>
            <w:vAlign w:val="bottom"/>
            <w:hideMark/>
          </w:tcPr>
          <w:p w14:paraId="6F5C721D" w14:textId="149B0C88"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$ 227.353,23 </w:t>
            </w:r>
          </w:p>
        </w:tc>
      </w:tr>
      <w:tr w:rsidR="000A6BCA" w:rsidRPr="00BC2B27" w14:paraId="1DF80741" w14:textId="77777777" w:rsidTr="00150BD6">
        <w:trPr>
          <w:trHeight w:val="276"/>
          <w:jc w:val="center"/>
        </w:trPr>
        <w:tc>
          <w:tcPr>
            <w:tcW w:w="722" w:type="pct"/>
            <w:vMerge/>
            <w:vAlign w:val="center"/>
            <w:hideMark/>
          </w:tcPr>
          <w:p w14:paraId="3D2C6DB0"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6C78C1E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 Salario promedio del extensionista / 2 visitas a UF</w:t>
            </w:r>
          </w:p>
        </w:tc>
        <w:tc>
          <w:tcPr>
            <w:tcW w:w="458" w:type="pct"/>
            <w:shd w:val="clear" w:color="auto" w:fill="auto"/>
            <w:vAlign w:val="center"/>
            <w:hideMark/>
          </w:tcPr>
          <w:p w14:paraId="6FB42B10"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6DE4E4CB"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Visitas a UF</w:t>
            </w:r>
          </w:p>
        </w:tc>
        <w:tc>
          <w:tcPr>
            <w:tcW w:w="610" w:type="pct"/>
            <w:shd w:val="clear" w:color="auto" w:fill="auto"/>
            <w:vAlign w:val="center"/>
            <w:hideMark/>
          </w:tcPr>
          <w:p w14:paraId="012A33D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$ 60.810,00</w:t>
            </w:r>
          </w:p>
        </w:tc>
        <w:tc>
          <w:tcPr>
            <w:tcW w:w="734" w:type="pct"/>
            <w:shd w:val="clear" w:color="auto" w:fill="auto"/>
            <w:noWrap/>
            <w:vAlign w:val="bottom"/>
            <w:hideMark/>
          </w:tcPr>
          <w:p w14:paraId="4B1273F9" w14:textId="77F90039" w:rsidR="00BC2B27" w:rsidRPr="00BC2B27" w:rsidRDefault="00BC2B27" w:rsidP="00BC2B27">
            <w:pPr>
              <w:jc w:val="both"/>
              <w:rPr>
                <w:rFonts w:ascii="Arial" w:hAnsi="Arial" w:cs="Arial"/>
                <w:color w:val="000000"/>
                <w:sz w:val="16"/>
                <w:szCs w:val="16"/>
              </w:rPr>
            </w:pPr>
            <w:r w:rsidRPr="0D4D7C7B">
              <w:rPr>
                <w:rFonts w:ascii="Arial" w:hAnsi="Arial" w:cs="Arial"/>
                <w:color w:val="000000" w:themeColor="text1"/>
                <w:sz w:val="16"/>
                <w:szCs w:val="16"/>
              </w:rPr>
              <w:t>$</w:t>
            </w:r>
            <w:r w:rsidRPr="00BC2B27">
              <w:rPr>
                <w:rFonts w:ascii="Arial" w:hAnsi="Arial" w:cs="Arial"/>
                <w:color w:val="000000" w:themeColor="text1"/>
                <w:sz w:val="16"/>
                <w:szCs w:val="16"/>
              </w:rPr>
              <w:t xml:space="preserve">138.253,50 </w:t>
            </w:r>
          </w:p>
        </w:tc>
      </w:tr>
      <w:tr w:rsidR="000A6BCA" w:rsidRPr="00BC2B27" w14:paraId="1D152EBE" w14:textId="77777777" w:rsidTr="00150BD6">
        <w:trPr>
          <w:trHeight w:val="276"/>
          <w:jc w:val="center"/>
        </w:trPr>
        <w:tc>
          <w:tcPr>
            <w:tcW w:w="722" w:type="pct"/>
            <w:vMerge/>
            <w:vAlign w:val="center"/>
            <w:hideMark/>
          </w:tcPr>
          <w:p w14:paraId="4F3B07DA"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26A91BB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B. Materiales y papelería / 2 visita a UF</w:t>
            </w:r>
          </w:p>
        </w:tc>
        <w:tc>
          <w:tcPr>
            <w:tcW w:w="458" w:type="pct"/>
            <w:shd w:val="clear" w:color="auto" w:fill="auto"/>
            <w:vAlign w:val="center"/>
            <w:hideMark/>
          </w:tcPr>
          <w:p w14:paraId="409966C4"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58084FE2"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10" w:type="pct"/>
            <w:shd w:val="clear" w:color="auto" w:fill="auto"/>
            <w:vAlign w:val="center"/>
            <w:hideMark/>
          </w:tcPr>
          <w:p w14:paraId="51ED736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$ 3.000,00</w:t>
            </w:r>
          </w:p>
        </w:tc>
        <w:tc>
          <w:tcPr>
            <w:tcW w:w="734" w:type="pct"/>
            <w:shd w:val="clear" w:color="auto" w:fill="auto"/>
            <w:noWrap/>
            <w:vAlign w:val="bottom"/>
            <w:hideMark/>
          </w:tcPr>
          <w:p w14:paraId="1D71429C" w14:textId="1B396170"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$ 6.820,60 </w:t>
            </w:r>
          </w:p>
        </w:tc>
      </w:tr>
      <w:tr w:rsidR="000A6BCA" w:rsidRPr="00BC2B27" w14:paraId="70AAFD10" w14:textId="77777777" w:rsidTr="00150BD6">
        <w:trPr>
          <w:trHeight w:val="276"/>
          <w:jc w:val="center"/>
        </w:trPr>
        <w:tc>
          <w:tcPr>
            <w:tcW w:w="722" w:type="pct"/>
            <w:vMerge/>
            <w:vAlign w:val="center"/>
            <w:hideMark/>
          </w:tcPr>
          <w:p w14:paraId="50AF0138"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64CEA525"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C. Análisis de suelos fisicoquímico + ENVIO</w:t>
            </w:r>
          </w:p>
        </w:tc>
        <w:tc>
          <w:tcPr>
            <w:tcW w:w="458" w:type="pct"/>
            <w:shd w:val="clear" w:color="auto" w:fill="auto"/>
            <w:vAlign w:val="center"/>
            <w:hideMark/>
          </w:tcPr>
          <w:p w14:paraId="66A27A8B"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02441B3D"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Análisis</w:t>
            </w:r>
          </w:p>
        </w:tc>
        <w:tc>
          <w:tcPr>
            <w:tcW w:w="610" w:type="pct"/>
            <w:shd w:val="clear" w:color="auto" w:fill="auto"/>
            <w:vAlign w:val="center"/>
            <w:hideMark/>
          </w:tcPr>
          <w:p w14:paraId="09D5A67D"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$ 130.000,00</w:t>
            </w:r>
          </w:p>
        </w:tc>
        <w:tc>
          <w:tcPr>
            <w:tcW w:w="734" w:type="pct"/>
            <w:shd w:val="clear" w:color="auto" w:fill="auto"/>
            <w:noWrap/>
            <w:vAlign w:val="bottom"/>
            <w:hideMark/>
          </w:tcPr>
          <w:p w14:paraId="6460CD25" w14:textId="4E96D0D2" w:rsidR="00BC2B27" w:rsidRPr="00BC2B27" w:rsidRDefault="00BC2B27" w:rsidP="00BC2B27">
            <w:pPr>
              <w:jc w:val="both"/>
              <w:rPr>
                <w:rFonts w:ascii="Arial" w:hAnsi="Arial" w:cs="Arial"/>
                <w:color w:val="000000"/>
                <w:sz w:val="16"/>
                <w:szCs w:val="16"/>
              </w:rPr>
            </w:pPr>
            <w:r w:rsidRPr="61412851">
              <w:rPr>
                <w:rFonts w:ascii="Arial" w:hAnsi="Arial" w:cs="Arial"/>
                <w:color w:val="000000" w:themeColor="text1"/>
                <w:sz w:val="16"/>
                <w:szCs w:val="16"/>
              </w:rPr>
              <w:t>$</w:t>
            </w:r>
            <w:r w:rsidRPr="00BC2B27">
              <w:rPr>
                <w:rFonts w:ascii="Arial" w:hAnsi="Arial" w:cs="Arial"/>
                <w:color w:val="000000" w:themeColor="text1"/>
                <w:sz w:val="16"/>
                <w:szCs w:val="16"/>
              </w:rPr>
              <w:t xml:space="preserve">147.779,60 </w:t>
            </w:r>
          </w:p>
        </w:tc>
      </w:tr>
      <w:tr w:rsidR="00A818D1" w:rsidRPr="00BC2B27" w14:paraId="48B23508" w14:textId="77777777" w:rsidTr="00150BD6">
        <w:trPr>
          <w:trHeight w:val="276"/>
          <w:jc w:val="center"/>
        </w:trPr>
        <w:tc>
          <w:tcPr>
            <w:tcW w:w="722" w:type="pct"/>
            <w:vMerge/>
            <w:vAlign w:val="center"/>
            <w:hideMark/>
          </w:tcPr>
          <w:p w14:paraId="6ABB50A9" w14:textId="77777777" w:rsidR="00BC2B27" w:rsidRPr="00BC2B27" w:rsidRDefault="00BC2B27" w:rsidP="00BC2B27">
            <w:pPr>
              <w:rPr>
                <w:rFonts w:ascii="Arial" w:hAnsi="Arial" w:cs="Arial"/>
                <w:color w:val="000000"/>
                <w:sz w:val="16"/>
                <w:szCs w:val="16"/>
              </w:rPr>
            </w:pPr>
          </w:p>
        </w:tc>
        <w:tc>
          <w:tcPr>
            <w:tcW w:w="3544" w:type="pct"/>
            <w:gridSpan w:val="4"/>
            <w:shd w:val="clear" w:color="auto" w:fill="auto"/>
            <w:vAlign w:val="center"/>
            <w:hideMark/>
          </w:tcPr>
          <w:p w14:paraId="2F125B5B"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D. Total costo de visitas a 2 UAF/día (A+B+C)</w:t>
            </w:r>
          </w:p>
        </w:tc>
        <w:tc>
          <w:tcPr>
            <w:tcW w:w="734" w:type="pct"/>
            <w:shd w:val="clear" w:color="auto" w:fill="auto"/>
            <w:noWrap/>
            <w:vAlign w:val="bottom"/>
            <w:hideMark/>
          </w:tcPr>
          <w:p w14:paraId="6E47847A" w14:textId="5106A881" w:rsidR="00BC2B27" w:rsidRPr="00BC2B27" w:rsidRDefault="00BC2B27" w:rsidP="00BC2B27">
            <w:pPr>
              <w:jc w:val="both"/>
              <w:rPr>
                <w:rFonts w:ascii="Arial" w:hAnsi="Arial" w:cs="Arial"/>
                <w:color w:val="000000"/>
                <w:sz w:val="16"/>
                <w:szCs w:val="16"/>
              </w:rPr>
            </w:pPr>
            <w:r w:rsidRPr="28D08D3E">
              <w:rPr>
                <w:rFonts w:ascii="Arial" w:hAnsi="Arial" w:cs="Arial"/>
                <w:color w:val="000000" w:themeColor="text1"/>
                <w:sz w:val="16"/>
                <w:szCs w:val="16"/>
              </w:rPr>
              <w:t>$</w:t>
            </w:r>
            <w:r w:rsidRPr="00BC2B27">
              <w:rPr>
                <w:rFonts w:ascii="Arial" w:hAnsi="Arial" w:cs="Arial"/>
                <w:color w:val="000000" w:themeColor="text1"/>
                <w:sz w:val="16"/>
                <w:szCs w:val="16"/>
              </w:rPr>
              <w:t xml:space="preserve"> 520.206,93 </w:t>
            </w:r>
          </w:p>
        </w:tc>
      </w:tr>
      <w:tr w:rsidR="00A818D1" w:rsidRPr="00BC2B27" w14:paraId="006F9125" w14:textId="77777777" w:rsidTr="00150BD6">
        <w:trPr>
          <w:trHeight w:val="276"/>
          <w:jc w:val="center"/>
        </w:trPr>
        <w:tc>
          <w:tcPr>
            <w:tcW w:w="722" w:type="pct"/>
            <w:vMerge/>
            <w:vAlign w:val="center"/>
            <w:hideMark/>
          </w:tcPr>
          <w:p w14:paraId="77A93F5B" w14:textId="77777777" w:rsidR="00BC2B27" w:rsidRPr="00BC2B27" w:rsidRDefault="00BC2B27" w:rsidP="00BC2B27">
            <w:pPr>
              <w:rPr>
                <w:rFonts w:ascii="Arial" w:hAnsi="Arial" w:cs="Arial"/>
                <w:color w:val="000000"/>
                <w:sz w:val="16"/>
                <w:szCs w:val="16"/>
              </w:rPr>
            </w:pPr>
          </w:p>
        </w:tc>
        <w:tc>
          <w:tcPr>
            <w:tcW w:w="3544" w:type="pct"/>
            <w:gridSpan w:val="4"/>
            <w:shd w:val="clear" w:color="auto" w:fill="auto"/>
            <w:vAlign w:val="center"/>
            <w:hideMark/>
          </w:tcPr>
          <w:p w14:paraId="32F082E4"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E. Total costo / visita a UF (E/2)</w:t>
            </w:r>
          </w:p>
        </w:tc>
        <w:tc>
          <w:tcPr>
            <w:tcW w:w="734" w:type="pct"/>
            <w:shd w:val="clear" w:color="auto" w:fill="auto"/>
            <w:noWrap/>
            <w:vAlign w:val="bottom"/>
            <w:hideMark/>
          </w:tcPr>
          <w:p w14:paraId="4FDA2FFB" w14:textId="2014B731" w:rsidR="00BC2B27" w:rsidRPr="00BC2B27" w:rsidRDefault="00BC2B27" w:rsidP="00BC2B27">
            <w:pPr>
              <w:jc w:val="both"/>
              <w:rPr>
                <w:rFonts w:ascii="Arial" w:hAnsi="Arial" w:cs="Arial"/>
                <w:color w:val="000000"/>
                <w:sz w:val="16"/>
                <w:szCs w:val="16"/>
              </w:rPr>
            </w:pPr>
            <w:r w:rsidRPr="11C6F64E">
              <w:rPr>
                <w:rFonts w:ascii="Arial" w:hAnsi="Arial" w:cs="Arial"/>
                <w:color w:val="000000" w:themeColor="text1"/>
                <w:sz w:val="16"/>
                <w:szCs w:val="16"/>
              </w:rPr>
              <w:t xml:space="preserve">$128.454,57 </w:t>
            </w:r>
          </w:p>
        </w:tc>
      </w:tr>
      <w:tr w:rsidR="000A6BCA" w:rsidRPr="00BC2B27" w14:paraId="18A03D0D" w14:textId="77777777" w:rsidTr="00150BD6">
        <w:trPr>
          <w:trHeight w:val="276"/>
          <w:jc w:val="center"/>
        </w:trPr>
        <w:tc>
          <w:tcPr>
            <w:tcW w:w="722" w:type="pct"/>
            <w:vMerge w:val="restart"/>
            <w:shd w:val="clear" w:color="auto" w:fill="auto"/>
            <w:vAlign w:val="center"/>
            <w:hideMark/>
          </w:tcPr>
          <w:p w14:paraId="531FED9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Grupales (20-25 personas)</w:t>
            </w:r>
          </w:p>
        </w:tc>
        <w:tc>
          <w:tcPr>
            <w:tcW w:w="1790" w:type="pct"/>
            <w:shd w:val="clear" w:color="auto" w:fill="auto"/>
            <w:vAlign w:val="center"/>
            <w:hideMark/>
          </w:tcPr>
          <w:p w14:paraId="0AE9A534"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 Salario promedio del extensionista / medio día</w:t>
            </w:r>
          </w:p>
        </w:tc>
        <w:tc>
          <w:tcPr>
            <w:tcW w:w="458" w:type="pct"/>
            <w:shd w:val="clear" w:color="auto" w:fill="auto"/>
            <w:vAlign w:val="center"/>
            <w:hideMark/>
          </w:tcPr>
          <w:p w14:paraId="40736C72"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0.5</w:t>
            </w:r>
          </w:p>
        </w:tc>
        <w:tc>
          <w:tcPr>
            <w:tcW w:w="686" w:type="pct"/>
            <w:shd w:val="clear" w:color="auto" w:fill="auto"/>
            <w:vAlign w:val="center"/>
            <w:hideMark/>
          </w:tcPr>
          <w:p w14:paraId="27141FD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Visitas a UF</w:t>
            </w:r>
          </w:p>
        </w:tc>
        <w:tc>
          <w:tcPr>
            <w:tcW w:w="610" w:type="pct"/>
            <w:shd w:val="clear" w:color="auto" w:fill="auto"/>
            <w:vAlign w:val="center"/>
            <w:hideMark/>
          </w:tcPr>
          <w:p w14:paraId="4A1741F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$ 200.000,00</w:t>
            </w:r>
          </w:p>
        </w:tc>
        <w:tc>
          <w:tcPr>
            <w:tcW w:w="734" w:type="pct"/>
            <w:shd w:val="clear" w:color="auto" w:fill="auto"/>
            <w:noWrap/>
            <w:vAlign w:val="bottom"/>
            <w:hideMark/>
          </w:tcPr>
          <w:p w14:paraId="7949A086" w14:textId="1EB4EDDA" w:rsidR="00BC2B27" w:rsidRPr="00BC2B27" w:rsidRDefault="00BC2B27" w:rsidP="00BC2B27">
            <w:pPr>
              <w:jc w:val="both"/>
              <w:rPr>
                <w:rFonts w:ascii="Arial" w:hAnsi="Arial" w:cs="Arial"/>
                <w:color w:val="000000"/>
                <w:sz w:val="16"/>
                <w:szCs w:val="16"/>
              </w:rPr>
            </w:pPr>
            <w:r w:rsidRPr="11C6F64E">
              <w:rPr>
                <w:rFonts w:ascii="Arial" w:hAnsi="Arial" w:cs="Arial"/>
                <w:color w:val="000000" w:themeColor="text1"/>
                <w:sz w:val="16"/>
                <w:szCs w:val="16"/>
              </w:rPr>
              <w:t>$</w:t>
            </w:r>
            <w:r w:rsidRPr="00BC2B27">
              <w:rPr>
                <w:rFonts w:ascii="Arial" w:hAnsi="Arial" w:cs="Arial"/>
                <w:color w:val="000000" w:themeColor="text1"/>
                <w:sz w:val="16"/>
                <w:szCs w:val="16"/>
              </w:rPr>
              <w:t xml:space="preserve"> 113.676,62 </w:t>
            </w:r>
          </w:p>
        </w:tc>
      </w:tr>
      <w:tr w:rsidR="000A6BCA" w:rsidRPr="00BC2B27" w14:paraId="6812E2B6" w14:textId="77777777" w:rsidTr="00150BD6">
        <w:trPr>
          <w:trHeight w:val="276"/>
          <w:jc w:val="center"/>
        </w:trPr>
        <w:tc>
          <w:tcPr>
            <w:tcW w:w="722" w:type="pct"/>
            <w:vMerge/>
            <w:vAlign w:val="center"/>
            <w:hideMark/>
          </w:tcPr>
          <w:p w14:paraId="5652E5AD"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4542026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B. Transporte promedio</w:t>
            </w:r>
          </w:p>
        </w:tc>
        <w:tc>
          <w:tcPr>
            <w:tcW w:w="458" w:type="pct"/>
            <w:shd w:val="clear" w:color="auto" w:fill="auto"/>
            <w:vAlign w:val="center"/>
            <w:hideMark/>
          </w:tcPr>
          <w:p w14:paraId="1062FA1E"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40221C6D"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Viajes</w:t>
            </w:r>
          </w:p>
        </w:tc>
        <w:tc>
          <w:tcPr>
            <w:tcW w:w="610" w:type="pct"/>
            <w:shd w:val="clear" w:color="auto" w:fill="auto"/>
            <w:vAlign w:val="center"/>
            <w:hideMark/>
          </w:tcPr>
          <w:p w14:paraId="77A95F0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$ 5.000,00</w:t>
            </w:r>
          </w:p>
        </w:tc>
        <w:tc>
          <w:tcPr>
            <w:tcW w:w="734" w:type="pct"/>
            <w:shd w:val="clear" w:color="auto" w:fill="auto"/>
            <w:noWrap/>
            <w:vAlign w:val="bottom"/>
            <w:hideMark/>
          </w:tcPr>
          <w:p w14:paraId="37AFA327" w14:textId="107934AD" w:rsidR="00BC2B27" w:rsidRPr="00BC2B27" w:rsidRDefault="00BC2B27" w:rsidP="00BC2B27">
            <w:pPr>
              <w:jc w:val="both"/>
              <w:rPr>
                <w:rFonts w:ascii="Arial" w:hAnsi="Arial" w:cs="Arial"/>
                <w:color w:val="000000"/>
                <w:sz w:val="16"/>
                <w:szCs w:val="16"/>
              </w:rPr>
            </w:pPr>
            <w:r w:rsidRPr="44D46C3D">
              <w:rPr>
                <w:rFonts w:ascii="Arial" w:hAnsi="Arial" w:cs="Arial"/>
                <w:color w:val="000000" w:themeColor="text1"/>
                <w:sz w:val="16"/>
                <w:szCs w:val="16"/>
              </w:rPr>
              <w:t xml:space="preserve">$11.367,66 </w:t>
            </w:r>
          </w:p>
        </w:tc>
      </w:tr>
      <w:tr w:rsidR="000A6BCA" w:rsidRPr="00BC2B27" w14:paraId="6B402B07" w14:textId="77777777" w:rsidTr="00150BD6">
        <w:trPr>
          <w:trHeight w:val="276"/>
          <w:jc w:val="center"/>
        </w:trPr>
        <w:tc>
          <w:tcPr>
            <w:tcW w:w="722" w:type="pct"/>
            <w:vMerge/>
            <w:vAlign w:val="center"/>
            <w:hideMark/>
          </w:tcPr>
          <w:p w14:paraId="37904E43"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6173AA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C. Alimentación/día</w:t>
            </w:r>
          </w:p>
        </w:tc>
        <w:tc>
          <w:tcPr>
            <w:tcW w:w="458" w:type="pct"/>
            <w:shd w:val="clear" w:color="auto" w:fill="auto"/>
            <w:vAlign w:val="center"/>
            <w:hideMark/>
          </w:tcPr>
          <w:p w14:paraId="3431079C"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57FDAC55"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10" w:type="pct"/>
            <w:shd w:val="clear" w:color="auto" w:fill="auto"/>
            <w:vAlign w:val="center"/>
            <w:hideMark/>
          </w:tcPr>
          <w:p w14:paraId="39C92FB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$ 7.500,00</w:t>
            </w:r>
          </w:p>
        </w:tc>
        <w:tc>
          <w:tcPr>
            <w:tcW w:w="734" w:type="pct"/>
            <w:shd w:val="clear" w:color="auto" w:fill="auto"/>
            <w:noWrap/>
            <w:vAlign w:val="bottom"/>
            <w:hideMark/>
          </w:tcPr>
          <w:p w14:paraId="76385C77" w14:textId="0F736E9E" w:rsidR="00BC2B27" w:rsidRPr="00BC2B27" w:rsidRDefault="00BC2B27" w:rsidP="00BC2B27">
            <w:pPr>
              <w:jc w:val="both"/>
              <w:rPr>
                <w:rFonts w:ascii="Arial" w:hAnsi="Arial" w:cs="Arial"/>
                <w:color w:val="000000"/>
                <w:sz w:val="16"/>
                <w:szCs w:val="16"/>
              </w:rPr>
            </w:pPr>
            <w:r w:rsidRPr="11C6F64E">
              <w:rPr>
                <w:rFonts w:ascii="Arial" w:hAnsi="Arial" w:cs="Arial"/>
                <w:color w:val="000000" w:themeColor="text1"/>
                <w:sz w:val="16"/>
                <w:szCs w:val="16"/>
              </w:rPr>
              <w:t xml:space="preserve">$17.051,49 </w:t>
            </w:r>
          </w:p>
        </w:tc>
      </w:tr>
      <w:tr w:rsidR="000A6BCA" w:rsidRPr="00BC2B27" w14:paraId="15FE177D" w14:textId="77777777" w:rsidTr="00150BD6">
        <w:trPr>
          <w:trHeight w:val="276"/>
          <w:jc w:val="center"/>
        </w:trPr>
        <w:tc>
          <w:tcPr>
            <w:tcW w:w="722" w:type="pct"/>
            <w:vMerge/>
            <w:vAlign w:val="center"/>
            <w:hideMark/>
          </w:tcPr>
          <w:p w14:paraId="17BF97AB"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2C2A32CB"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D. Insumos, material vegetal, herramientas y/o elementos digitales.</w:t>
            </w:r>
          </w:p>
        </w:tc>
        <w:tc>
          <w:tcPr>
            <w:tcW w:w="458" w:type="pct"/>
            <w:shd w:val="clear" w:color="auto" w:fill="auto"/>
            <w:vAlign w:val="center"/>
            <w:hideMark/>
          </w:tcPr>
          <w:p w14:paraId="69EB6E02"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07E841E2"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Global</w:t>
            </w:r>
          </w:p>
        </w:tc>
        <w:tc>
          <w:tcPr>
            <w:tcW w:w="610" w:type="pct"/>
            <w:shd w:val="clear" w:color="auto" w:fill="auto"/>
            <w:vAlign w:val="center"/>
            <w:hideMark/>
          </w:tcPr>
          <w:p w14:paraId="743437F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$ 295.000,00</w:t>
            </w:r>
          </w:p>
        </w:tc>
        <w:tc>
          <w:tcPr>
            <w:tcW w:w="734" w:type="pct"/>
            <w:shd w:val="clear" w:color="auto" w:fill="auto"/>
            <w:noWrap/>
            <w:vAlign w:val="bottom"/>
            <w:hideMark/>
          </w:tcPr>
          <w:p w14:paraId="12530546" w14:textId="179C6C91" w:rsidR="00BC2B27" w:rsidRPr="00BC2B27" w:rsidRDefault="6B553AD7" w:rsidP="00BC2B27">
            <w:pPr>
              <w:jc w:val="both"/>
              <w:rPr>
                <w:rFonts w:ascii="Arial" w:hAnsi="Arial" w:cs="Arial"/>
                <w:color w:val="000000"/>
                <w:sz w:val="16"/>
                <w:szCs w:val="16"/>
              </w:rPr>
            </w:pPr>
            <w:r w:rsidRPr="11C6F64E">
              <w:rPr>
                <w:rFonts w:ascii="Arial" w:hAnsi="Arial" w:cs="Arial"/>
                <w:color w:val="000000" w:themeColor="text1"/>
                <w:sz w:val="16"/>
                <w:szCs w:val="16"/>
              </w:rPr>
              <w:t>$</w:t>
            </w:r>
            <w:r w:rsidR="00BC2B27" w:rsidRPr="00BC2B27">
              <w:rPr>
                <w:rFonts w:ascii="Arial" w:hAnsi="Arial" w:cs="Arial"/>
                <w:color w:val="000000" w:themeColor="text1"/>
                <w:sz w:val="16"/>
                <w:szCs w:val="16"/>
              </w:rPr>
              <w:t xml:space="preserve"> 335.346,01 </w:t>
            </w:r>
          </w:p>
        </w:tc>
      </w:tr>
      <w:tr w:rsidR="000A6BCA" w:rsidRPr="00BC2B27" w14:paraId="17FF774B" w14:textId="77777777" w:rsidTr="00150BD6">
        <w:trPr>
          <w:trHeight w:val="276"/>
          <w:jc w:val="center"/>
        </w:trPr>
        <w:tc>
          <w:tcPr>
            <w:tcW w:w="722" w:type="pct"/>
            <w:vMerge/>
            <w:vAlign w:val="center"/>
            <w:hideMark/>
          </w:tcPr>
          <w:p w14:paraId="4FD7CDB5"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24FB748B"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E. Materiales y papelería / actividad</w:t>
            </w:r>
          </w:p>
        </w:tc>
        <w:tc>
          <w:tcPr>
            <w:tcW w:w="458" w:type="pct"/>
            <w:shd w:val="clear" w:color="auto" w:fill="auto"/>
            <w:vAlign w:val="center"/>
            <w:hideMark/>
          </w:tcPr>
          <w:p w14:paraId="5DB2BF87"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2D6A7F6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10" w:type="pct"/>
            <w:shd w:val="clear" w:color="auto" w:fill="auto"/>
            <w:vAlign w:val="center"/>
            <w:hideMark/>
          </w:tcPr>
          <w:p w14:paraId="69A55DD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$ 29.000,00</w:t>
            </w:r>
          </w:p>
        </w:tc>
        <w:tc>
          <w:tcPr>
            <w:tcW w:w="734" w:type="pct"/>
            <w:shd w:val="clear" w:color="auto" w:fill="auto"/>
            <w:noWrap/>
            <w:vAlign w:val="bottom"/>
            <w:hideMark/>
          </w:tcPr>
          <w:p w14:paraId="080DE464" w14:textId="53E5BCF9" w:rsidR="00BC2B27" w:rsidRPr="00BC2B27" w:rsidRDefault="00BC2B27" w:rsidP="00BC2B27">
            <w:pPr>
              <w:jc w:val="both"/>
              <w:rPr>
                <w:rFonts w:ascii="Arial" w:hAnsi="Arial" w:cs="Arial"/>
                <w:color w:val="000000"/>
                <w:sz w:val="16"/>
                <w:szCs w:val="16"/>
              </w:rPr>
            </w:pPr>
            <w:r w:rsidRPr="11C6F64E">
              <w:rPr>
                <w:rFonts w:ascii="Arial" w:hAnsi="Arial" w:cs="Arial"/>
                <w:color w:val="000000" w:themeColor="text1"/>
                <w:sz w:val="16"/>
                <w:szCs w:val="16"/>
              </w:rPr>
              <w:t xml:space="preserve">$32.966,22 </w:t>
            </w:r>
          </w:p>
        </w:tc>
      </w:tr>
      <w:tr w:rsidR="000A6BCA" w:rsidRPr="00BC2B27" w14:paraId="1958C126" w14:textId="77777777" w:rsidTr="00150BD6">
        <w:trPr>
          <w:trHeight w:val="276"/>
          <w:jc w:val="center"/>
        </w:trPr>
        <w:tc>
          <w:tcPr>
            <w:tcW w:w="722" w:type="pct"/>
            <w:vMerge/>
            <w:vAlign w:val="center"/>
            <w:hideMark/>
          </w:tcPr>
          <w:p w14:paraId="3E903D1B"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E850BE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F. Refrigerios (20 productores + 5 imprevistos)</w:t>
            </w:r>
          </w:p>
        </w:tc>
        <w:tc>
          <w:tcPr>
            <w:tcW w:w="458" w:type="pct"/>
            <w:shd w:val="clear" w:color="auto" w:fill="auto"/>
            <w:vAlign w:val="center"/>
            <w:hideMark/>
          </w:tcPr>
          <w:p w14:paraId="11256CC4"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25</w:t>
            </w:r>
          </w:p>
        </w:tc>
        <w:tc>
          <w:tcPr>
            <w:tcW w:w="686" w:type="pct"/>
            <w:shd w:val="clear" w:color="auto" w:fill="auto"/>
            <w:vAlign w:val="center"/>
            <w:hideMark/>
          </w:tcPr>
          <w:p w14:paraId="63CA4D4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Unidades</w:t>
            </w:r>
          </w:p>
        </w:tc>
        <w:tc>
          <w:tcPr>
            <w:tcW w:w="610" w:type="pct"/>
            <w:shd w:val="clear" w:color="auto" w:fill="auto"/>
            <w:vAlign w:val="center"/>
            <w:hideMark/>
          </w:tcPr>
          <w:p w14:paraId="63029D5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$ 8.367,00</w:t>
            </w:r>
          </w:p>
        </w:tc>
        <w:tc>
          <w:tcPr>
            <w:tcW w:w="734" w:type="pct"/>
            <w:shd w:val="clear" w:color="auto" w:fill="auto"/>
            <w:noWrap/>
            <w:vAlign w:val="bottom"/>
            <w:hideMark/>
          </w:tcPr>
          <w:p w14:paraId="765AED91" w14:textId="0776CE62" w:rsidR="00BC2B27" w:rsidRPr="00BC2B27" w:rsidRDefault="0EB4251E" w:rsidP="00BC2B27">
            <w:pPr>
              <w:jc w:val="both"/>
              <w:rPr>
                <w:rFonts w:ascii="Arial" w:hAnsi="Arial" w:cs="Arial"/>
                <w:color w:val="000000"/>
                <w:sz w:val="16"/>
                <w:szCs w:val="16"/>
              </w:rPr>
            </w:pPr>
            <w:r w:rsidRPr="44D46C3D">
              <w:rPr>
                <w:rFonts w:ascii="Arial" w:hAnsi="Arial" w:cs="Arial"/>
                <w:color w:val="000000" w:themeColor="text1"/>
                <w:sz w:val="16"/>
                <w:szCs w:val="16"/>
              </w:rPr>
              <w:t>$</w:t>
            </w:r>
            <w:r w:rsidR="00BC2B27" w:rsidRPr="44D46C3D">
              <w:rPr>
                <w:rFonts w:ascii="Arial" w:hAnsi="Arial" w:cs="Arial"/>
                <w:color w:val="000000" w:themeColor="text1"/>
                <w:sz w:val="16"/>
                <w:szCs w:val="16"/>
              </w:rPr>
              <w:t xml:space="preserve">237.796,70 </w:t>
            </w:r>
          </w:p>
        </w:tc>
      </w:tr>
      <w:tr w:rsidR="000A6BCA" w:rsidRPr="00BC2B27" w14:paraId="7EE1DF3D" w14:textId="77777777" w:rsidTr="00150BD6">
        <w:trPr>
          <w:trHeight w:val="552"/>
          <w:jc w:val="center"/>
        </w:trPr>
        <w:tc>
          <w:tcPr>
            <w:tcW w:w="722" w:type="pct"/>
            <w:vMerge/>
            <w:vAlign w:val="center"/>
            <w:hideMark/>
          </w:tcPr>
          <w:p w14:paraId="7CF690D0"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1A1E7CB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 Giras técnicas /año/20 personas (transporte, almuerzos, refrigerio y materiales)</w:t>
            </w:r>
          </w:p>
        </w:tc>
        <w:tc>
          <w:tcPr>
            <w:tcW w:w="458" w:type="pct"/>
            <w:shd w:val="clear" w:color="auto" w:fill="auto"/>
            <w:vAlign w:val="center"/>
            <w:hideMark/>
          </w:tcPr>
          <w:p w14:paraId="1EA43E32"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1DF2CE5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Giras</w:t>
            </w:r>
          </w:p>
        </w:tc>
        <w:tc>
          <w:tcPr>
            <w:tcW w:w="610" w:type="pct"/>
            <w:shd w:val="clear" w:color="auto" w:fill="auto"/>
            <w:vAlign w:val="center"/>
            <w:hideMark/>
          </w:tcPr>
          <w:p w14:paraId="06E2D91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$ 3.000.000</w:t>
            </w:r>
          </w:p>
        </w:tc>
        <w:tc>
          <w:tcPr>
            <w:tcW w:w="734" w:type="pct"/>
            <w:shd w:val="clear" w:color="auto" w:fill="auto"/>
            <w:vAlign w:val="center"/>
            <w:hideMark/>
          </w:tcPr>
          <w:p w14:paraId="47AE2583" w14:textId="4BADBC48" w:rsidR="00BC2B27" w:rsidRPr="00BC2B27" w:rsidRDefault="00BC2B27" w:rsidP="00BC2B27">
            <w:pPr>
              <w:jc w:val="both"/>
              <w:rPr>
                <w:rFonts w:ascii="Arial" w:hAnsi="Arial" w:cs="Arial"/>
                <w:b/>
                <w:bCs/>
                <w:color w:val="000000"/>
                <w:sz w:val="16"/>
                <w:szCs w:val="16"/>
              </w:rPr>
            </w:pPr>
            <w:r w:rsidRPr="44D46C3D">
              <w:rPr>
                <w:rFonts w:ascii="Arial" w:hAnsi="Arial" w:cs="Arial"/>
                <w:b/>
                <w:bCs/>
                <w:color w:val="000000" w:themeColor="text1"/>
                <w:sz w:val="16"/>
                <w:szCs w:val="16"/>
              </w:rPr>
              <w:t>$</w:t>
            </w:r>
            <w:r w:rsidRPr="00BC2B27">
              <w:rPr>
                <w:rFonts w:ascii="Arial" w:hAnsi="Arial" w:cs="Arial"/>
                <w:b/>
                <w:color w:val="000000" w:themeColor="text1"/>
                <w:sz w:val="16"/>
                <w:szCs w:val="16"/>
              </w:rPr>
              <w:t xml:space="preserve">6.820.596,90 </w:t>
            </w:r>
          </w:p>
        </w:tc>
      </w:tr>
      <w:tr w:rsidR="00A818D1" w:rsidRPr="00BC2B27" w14:paraId="7F9F597D" w14:textId="77777777" w:rsidTr="00150BD6">
        <w:trPr>
          <w:trHeight w:val="276"/>
          <w:jc w:val="center"/>
        </w:trPr>
        <w:tc>
          <w:tcPr>
            <w:tcW w:w="722" w:type="pct"/>
            <w:vMerge/>
            <w:vAlign w:val="center"/>
            <w:hideMark/>
          </w:tcPr>
          <w:p w14:paraId="3A3E2065" w14:textId="77777777" w:rsidR="00BC2B27" w:rsidRPr="00BC2B27" w:rsidRDefault="00BC2B27" w:rsidP="00BC2B27">
            <w:pPr>
              <w:rPr>
                <w:rFonts w:ascii="Arial" w:hAnsi="Arial" w:cs="Arial"/>
                <w:color w:val="000000"/>
                <w:sz w:val="16"/>
                <w:szCs w:val="16"/>
              </w:rPr>
            </w:pPr>
          </w:p>
        </w:tc>
        <w:tc>
          <w:tcPr>
            <w:tcW w:w="3544" w:type="pct"/>
            <w:gridSpan w:val="4"/>
            <w:shd w:val="clear" w:color="auto" w:fill="auto"/>
            <w:vAlign w:val="center"/>
            <w:hideMark/>
          </w:tcPr>
          <w:p w14:paraId="7C6D98A1"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F. Total costo / actividad GRUPAL (A+B+C+D+E+F+G)</w:t>
            </w:r>
          </w:p>
        </w:tc>
        <w:tc>
          <w:tcPr>
            <w:tcW w:w="734" w:type="pct"/>
            <w:shd w:val="clear" w:color="auto" w:fill="auto"/>
            <w:vAlign w:val="center"/>
            <w:hideMark/>
          </w:tcPr>
          <w:p w14:paraId="138565CE" w14:textId="1080EE35" w:rsidR="00BC2B27" w:rsidRPr="00BC2B27" w:rsidRDefault="00BC2B27" w:rsidP="00BC2B27">
            <w:pPr>
              <w:jc w:val="both"/>
              <w:rPr>
                <w:rFonts w:ascii="Arial" w:hAnsi="Arial" w:cs="Arial"/>
                <w:b/>
                <w:bCs/>
                <w:color w:val="000000"/>
                <w:sz w:val="16"/>
                <w:szCs w:val="16"/>
              </w:rPr>
            </w:pPr>
            <w:r w:rsidRPr="44D46C3D">
              <w:rPr>
                <w:rFonts w:ascii="Arial" w:hAnsi="Arial" w:cs="Arial"/>
                <w:b/>
                <w:bCs/>
                <w:color w:val="000000" w:themeColor="text1"/>
                <w:sz w:val="16"/>
                <w:szCs w:val="16"/>
              </w:rPr>
              <w:t>$</w:t>
            </w:r>
            <w:r w:rsidRPr="00BC2B27">
              <w:rPr>
                <w:rFonts w:ascii="Arial" w:hAnsi="Arial" w:cs="Arial"/>
                <w:b/>
                <w:color w:val="000000" w:themeColor="text1"/>
                <w:sz w:val="16"/>
                <w:szCs w:val="16"/>
              </w:rPr>
              <w:t xml:space="preserve"> 748.204,70 </w:t>
            </w:r>
          </w:p>
        </w:tc>
      </w:tr>
      <w:tr w:rsidR="00A818D1" w:rsidRPr="00BC2B27" w14:paraId="7DF54C03" w14:textId="77777777" w:rsidTr="00150BD6">
        <w:trPr>
          <w:trHeight w:val="276"/>
          <w:jc w:val="center"/>
        </w:trPr>
        <w:tc>
          <w:tcPr>
            <w:tcW w:w="722" w:type="pct"/>
            <w:vMerge/>
            <w:vAlign w:val="center"/>
            <w:hideMark/>
          </w:tcPr>
          <w:p w14:paraId="1F38FF75" w14:textId="77777777" w:rsidR="00BC2B27" w:rsidRPr="00BC2B27" w:rsidRDefault="00BC2B27" w:rsidP="00BC2B27">
            <w:pPr>
              <w:rPr>
                <w:rFonts w:ascii="Arial" w:hAnsi="Arial" w:cs="Arial"/>
                <w:color w:val="000000"/>
                <w:sz w:val="16"/>
                <w:szCs w:val="16"/>
              </w:rPr>
            </w:pPr>
          </w:p>
        </w:tc>
        <w:tc>
          <w:tcPr>
            <w:tcW w:w="3544" w:type="pct"/>
            <w:gridSpan w:val="4"/>
            <w:shd w:val="clear" w:color="auto" w:fill="auto"/>
            <w:vAlign w:val="center"/>
            <w:hideMark/>
          </w:tcPr>
          <w:p w14:paraId="68ACE678"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G. Total costo actividad / productor (F/20 productores)</w:t>
            </w:r>
          </w:p>
        </w:tc>
        <w:tc>
          <w:tcPr>
            <w:tcW w:w="734" w:type="pct"/>
            <w:shd w:val="clear" w:color="auto" w:fill="auto"/>
            <w:vAlign w:val="center"/>
            <w:hideMark/>
          </w:tcPr>
          <w:p w14:paraId="4C1287EC" w14:textId="303ECCD9" w:rsidR="00BC2B27" w:rsidRPr="00BC2B27" w:rsidRDefault="00BC2B27" w:rsidP="00BC2B27">
            <w:pPr>
              <w:jc w:val="both"/>
              <w:rPr>
                <w:rFonts w:ascii="Arial" w:hAnsi="Arial" w:cs="Arial"/>
                <w:b/>
                <w:bCs/>
                <w:color w:val="000000"/>
                <w:sz w:val="16"/>
                <w:szCs w:val="16"/>
              </w:rPr>
            </w:pPr>
            <w:r w:rsidRPr="44D46C3D">
              <w:rPr>
                <w:rFonts w:ascii="Arial" w:hAnsi="Arial" w:cs="Arial"/>
                <w:b/>
                <w:bCs/>
                <w:color w:val="000000" w:themeColor="text1"/>
                <w:sz w:val="16"/>
                <w:szCs w:val="16"/>
              </w:rPr>
              <w:t>$</w:t>
            </w:r>
            <w:r w:rsidRPr="00BC2B27">
              <w:rPr>
                <w:rFonts w:ascii="Arial" w:hAnsi="Arial" w:cs="Arial"/>
                <w:b/>
                <w:color w:val="000000" w:themeColor="text1"/>
                <w:sz w:val="16"/>
                <w:szCs w:val="16"/>
              </w:rPr>
              <w:t xml:space="preserve">14.964.094,04 </w:t>
            </w:r>
          </w:p>
        </w:tc>
      </w:tr>
      <w:tr w:rsidR="000A6BCA" w:rsidRPr="00BC2B27" w14:paraId="24D11CC7" w14:textId="77777777" w:rsidTr="00150BD6">
        <w:trPr>
          <w:trHeight w:val="276"/>
          <w:jc w:val="center"/>
        </w:trPr>
        <w:tc>
          <w:tcPr>
            <w:tcW w:w="722" w:type="pct"/>
            <w:vMerge w:val="restart"/>
            <w:shd w:val="clear" w:color="auto" w:fill="auto"/>
            <w:vAlign w:val="center"/>
            <w:hideMark/>
          </w:tcPr>
          <w:p w14:paraId="467202C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Masivos (comunidades)</w:t>
            </w:r>
          </w:p>
        </w:tc>
        <w:tc>
          <w:tcPr>
            <w:tcW w:w="1790" w:type="pct"/>
            <w:shd w:val="clear" w:color="auto" w:fill="auto"/>
            <w:vAlign w:val="center"/>
            <w:hideMark/>
          </w:tcPr>
          <w:p w14:paraId="1EE17785"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A. Programa de Radio (1-2 horas/semana)</w:t>
            </w:r>
          </w:p>
        </w:tc>
        <w:tc>
          <w:tcPr>
            <w:tcW w:w="458" w:type="pct"/>
            <w:shd w:val="clear" w:color="auto" w:fill="auto"/>
            <w:vAlign w:val="center"/>
            <w:hideMark/>
          </w:tcPr>
          <w:p w14:paraId="4AB2DA05"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86" w:type="pct"/>
            <w:shd w:val="clear" w:color="auto" w:fill="auto"/>
            <w:vAlign w:val="center"/>
            <w:hideMark/>
          </w:tcPr>
          <w:p w14:paraId="4A62CE34"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10" w:type="pct"/>
            <w:shd w:val="clear" w:color="auto" w:fill="auto"/>
            <w:vAlign w:val="center"/>
            <w:hideMark/>
          </w:tcPr>
          <w:p w14:paraId="4B8D794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734" w:type="pct"/>
            <w:shd w:val="clear" w:color="auto" w:fill="auto"/>
            <w:vAlign w:val="center"/>
            <w:hideMark/>
          </w:tcPr>
          <w:p w14:paraId="0D738C11" w14:textId="606BF6B5" w:rsidR="00BC2B27" w:rsidRPr="00BC2B27" w:rsidRDefault="00BC2B27" w:rsidP="00BC2B27">
            <w:pPr>
              <w:jc w:val="both"/>
              <w:rPr>
                <w:rFonts w:ascii="Arial" w:hAnsi="Arial" w:cs="Arial"/>
                <w:b/>
                <w:bCs/>
                <w:color w:val="000000"/>
                <w:sz w:val="16"/>
                <w:szCs w:val="16"/>
              </w:rPr>
            </w:pPr>
            <w:r w:rsidRPr="44D46C3D">
              <w:rPr>
                <w:rFonts w:ascii="Arial" w:hAnsi="Arial" w:cs="Arial"/>
                <w:b/>
                <w:bCs/>
                <w:color w:val="000000" w:themeColor="text1"/>
                <w:sz w:val="16"/>
                <w:szCs w:val="16"/>
              </w:rPr>
              <w:t xml:space="preserve">$119.367,27 </w:t>
            </w:r>
          </w:p>
        </w:tc>
      </w:tr>
      <w:tr w:rsidR="000A6BCA" w:rsidRPr="00BC2B27" w14:paraId="62576D3A" w14:textId="77777777" w:rsidTr="00150BD6">
        <w:trPr>
          <w:trHeight w:val="330"/>
          <w:jc w:val="center"/>
        </w:trPr>
        <w:tc>
          <w:tcPr>
            <w:tcW w:w="722" w:type="pct"/>
            <w:vMerge/>
            <w:vAlign w:val="center"/>
            <w:hideMark/>
          </w:tcPr>
          <w:p w14:paraId="0549C567"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7A26C25A"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A. Programa de Radio (52 semanas)</w:t>
            </w:r>
          </w:p>
        </w:tc>
        <w:tc>
          <w:tcPr>
            <w:tcW w:w="458" w:type="pct"/>
            <w:shd w:val="clear" w:color="auto" w:fill="auto"/>
            <w:vAlign w:val="center"/>
            <w:hideMark/>
          </w:tcPr>
          <w:p w14:paraId="3BFAF0E7"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52</w:t>
            </w:r>
          </w:p>
        </w:tc>
        <w:tc>
          <w:tcPr>
            <w:tcW w:w="686" w:type="pct"/>
            <w:shd w:val="clear" w:color="auto" w:fill="auto"/>
            <w:vAlign w:val="center"/>
            <w:hideMark/>
          </w:tcPr>
          <w:p w14:paraId="24F8B1A6"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Programa</w:t>
            </w:r>
          </w:p>
        </w:tc>
        <w:tc>
          <w:tcPr>
            <w:tcW w:w="610" w:type="pct"/>
            <w:shd w:val="clear" w:color="auto" w:fill="auto"/>
            <w:vAlign w:val="center"/>
            <w:hideMark/>
          </w:tcPr>
          <w:p w14:paraId="73C3FE13"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$ 105.000,00</w:t>
            </w:r>
          </w:p>
        </w:tc>
        <w:tc>
          <w:tcPr>
            <w:tcW w:w="734" w:type="pct"/>
            <w:shd w:val="clear" w:color="auto" w:fill="auto"/>
            <w:vAlign w:val="center"/>
            <w:hideMark/>
          </w:tcPr>
          <w:p w14:paraId="40F717C3" w14:textId="33ECE082" w:rsidR="00BC2B27" w:rsidRPr="00BC2B27" w:rsidRDefault="00BC2B27" w:rsidP="00BC2B27">
            <w:pPr>
              <w:jc w:val="both"/>
              <w:rPr>
                <w:rFonts w:ascii="Arial" w:hAnsi="Arial" w:cs="Arial"/>
                <w:b/>
                <w:bCs/>
                <w:color w:val="000000"/>
                <w:sz w:val="16"/>
                <w:szCs w:val="16"/>
              </w:rPr>
            </w:pPr>
            <w:r w:rsidRPr="44D46C3D">
              <w:rPr>
                <w:rFonts w:ascii="Arial" w:hAnsi="Arial" w:cs="Arial"/>
                <w:b/>
                <w:bCs/>
                <w:color w:val="000000" w:themeColor="text1"/>
                <w:sz w:val="16"/>
                <w:szCs w:val="16"/>
              </w:rPr>
              <w:t>$</w:t>
            </w:r>
            <w:r w:rsidRPr="00BC2B27">
              <w:rPr>
                <w:rFonts w:ascii="Arial" w:hAnsi="Arial" w:cs="Arial"/>
                <w:b/>
                <w:color w:val="000000" w:themeColor="text1"/>
                <w:sz w:val="16"/>
                <w:szCs w:val="16"/>
              </w:rPr>
              <w:t xml:space="preserve">6.206.743,18 </w:t>
            </w:r>
          </w:p>
        </w:tc>
      </w:tr>
      <w:tr w:rsidR="000A6BCA" w:rsidRPr="00BC2B27" w14:paraId="5896D124" w14:textId="77777777" w:rsidTr="00150BD6">
        <w:trPr>
          <w:trHeight w:val="276"/>
          <w:jc w:val="center"/>
        </w:trPr>
        <w:tc>
          <w:tcPr>
            <w:tcW w:w="722" w:type="pct"/>
            <w:vMerge/>
            <w:vAlign w:val="center"/>
            <w:hideMark/>
          </w:tcPr>
          <w:p w14:paraId="4F063EA8"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D9EA526"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Extensionista</w:t>
            </w:r>
          </w:p>
        </w:tc>
        <w:tc>
          <w:tcPr>
            <w:tcW w:w="458" w:type="pct"/>
            <w:shd w:val="clear" w:color="auto" w:fill="auto"/>
            <w:vAlign w:val="center"/>
            <w:hideMark/>
          </w:tcPr>
          <w:p w14:paraId="0A326EC9"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2</w:t>
            </w:r>
          </w:p>
        </w:tc>
        <w:tc>
          <w:tcPr>
            <w:tcW w:w="686" w:type="pct"/>
            <w:shd w:val="clear" w:color="auto" w:fill="auto"/>
            <w:vAlign w:val="center"/>
            <w:hideMark/>
          </w:tcPr>
          <w:p w14:paraId="4BD0CF8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Horas laborales</w:t>
            </w:r>
          </w:p>
        </w:tc>
        <w:tc>
          <w:tcPr>
            <w:tcW w:w="610" w:type="pct"/>
            <w:shd w:val="clear" w:color="auto" w:fill="auto"/>
            <w:vAlign w:val="center"/>
            <w:hideMark/>
          </w:tcPr>
          <w:p w14:paraId="24B6B5A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$ 25.000,00</w:t>
            </w:r>
          </w:p>
        </w:tc>
        <w:tc>
          <w:tcPr>
            <w:tcW w:w="734" w:type="pct"/>
            <w:shd w:val="clear" w:color="auto" w:fill="auto"/>
            <w:noWrap/>
            <w:vAlign w:val="bottom"/>
            <w:hideMark/>
          </w:tcPr>
          <w:p w14:paraId="10639D50" w14:textId="4E8952D4" w:rsidR="00BC2B27" w:rsidRPr="00BC2B27" w:rsidRDefault="00BC2B27" w:rsidP="00BC2B27">
            <w:pPr>
              <w:jc w:val="both"/>
              <w:rPr>
                <w:rFonts w:ascii="Arial" w:hAnsi="Arial" w:cs="Arial"/>
                <w:color w:val="000000"/>
                <w:sz w:val="16"/>
                <w:szCs w:val="16"/>
              </w:rPr>
            </w:pPr>
            <w:r w:rsidRPr="44D46C3D">
              <w:rPr>
                <w:rFonts w:ascii="Arial" w:hAnsi="Arial" w:cs="Arial"/>
                <w:color w:val="000000" w:themeColor="text1"/>
                <w:sz w:val="16"/>
                <w:szCs w:val="16"/>
              </w:rPr>
              <w:t xml:space="preserve">$ 56.838,31 </w:t>
            </w:r>
          </w:p>
        </w:tc>
      </w:tr>
      <w:tr w:rsidR="000A6BCA" w:rsidRPr="00BC2B27" w14:paraId="602512B4" w14:textId="77777777" w:rsidTr="00150BD6">
        <w:trPr>
          <w:trHeight w:val="276"/>
          <w:jc w:val="center"/>
        </w:trPr>
        <w:tc>
          <w:tcPr>
            <w:tcW w:w="722" w:type="pct"/>
            <w:vMerge/>
            <w:vAlign w:val="center"/>
            <w:hideMark/>
          </w:tcPr>
          <w:p w14:paraId="2CE22C12"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7BC167C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Emisora local</w:t>
            </w:r>
          </w:p>
        </w:tc>
        <w:tc>
          <w:tcPr>
            <w:tcW w:w="458" w:type="pct"/>
            <w:shd w:val="clear" w:color="auto" w:fill="auto"/>
            <w:vAlign w:val="center"/>
            <w:hideMark/>
          </w:tcPr>
          <w:p w14:paraId="45B75B2B"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26314FAC"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Programa</w:t>
            </w:r>
          </w:p>
        </w:tc>
        <w:tc>
          <w:tcPr>
            <w:tcW w:w="610" w:type="pct"/>
            <w:shd w:val="clear" w:color="auto" w:fill="auto"/>
            <w:vAlign w:val="center"/>
            <w:hideMark/>
          </w:tcPr>
          <w:p w14:paraId="4CCA4529"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$ 50.000,00</w:t>
            </w:r>
          </w:p>
        </w:tc>
        <w:tc>
          <w:tcPr>
            <w:tcW w:w="734" w:type="pct"/>
            <w:shd w:val="clear" w:color="auto" w:fill="auto"/>
            <w:noWrap/>
            <w:vAlign w:val="bottom"/>
            <w:hideMark/>
          </w:tcPr>
          <w:p w14:paraId="06CC2145" w14:textId="03A98ED6" w:rsidR="00BC2B27" w:rsidRPr="00BC2B27" w:rsidRDefault="00BC2B27" w:rsidP="00BC2B27">
            <w:pPr>
              <w:jc w:val="both"/>
              <w:rPr>
                <w:rFonts w:ascii="Arial" w:hAnsi="Arial" w:cs="Arial"/>
                <w:color w:val="000000"/>
                <w:sz w:val="16"/>
                <w:szCs w:val="16"/>
              </w:rPr>
            </w:pPr>
            <w:r w:rsidRPr="44D46C3D">
              <w:rPr>
                <w:rFonts w:ascii="Arial" w:hAnsi="Arial" w:cs="Arial"/>
                <w:color w:val="000000" w:themeColor="text1"/>
                <w:sz w:val="16"/>
                <w:szCs w:val="16"/>
              </w:rPr>
              <w:t xml:space="preserve">$ 56.838,31 </w:t>
            </w:r>
          </w:p>
        </w:tc>
      </w:tr>
      <w:tr w:rsidR="000A6BCA" w:rsidRPr="00BC2B27" w14:paraId="62ED5659" w14:textId="77777777" w:rsidTr="00150BD6">
        <w:trPr>
          <w:trHeight w:val="276"/>
          <w:jc w:val="center"/>
        </w:trPr>
        <w:tc>
          <w:tcPr>
            <w:tcW w:w="722" w:type="pct"/>
            <w:vMerge/>
            <w:vAlign w:val="center"/>
            <w:hideMark/>
          </w:tcPr>
          <w:p w14:paraId="094B7DE7"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029B9B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Materiales por programa</w:t>
            </w:r>
          </w:p>
        </w:tc>
        <w:tc>
          <w:tcPr>
            <w:tcW w:w="458" w:type="pct"/>
            <w:shd w:val="clear" w:color="auto" w:fill="auto"/>
            <w:vAlign w:val="center"/>
            <w:hideMark/>
          </w:tcPr>
          <w:p w14:paraId="4BC6A787"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1F15BE29"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w:t>
            </w:r>
          </w:p>
        </w:tc>
        <w:tc>
          <w:tcPr>
            <w:tcW w:w="610" w:type="pct"/>
            <w:shd w:val="clear" w:color="auto" w:fill="auto"/>
            <w:vAlign w:val="center"/>
            <w:hideMark/>
          </w:tcPr>
          <w:p w14:paraId="202CF5C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$ 5.006,00</w:t>
            </w:r>
          </w:p>
        </w:tc>
        <w:tc>
          <w:tcPr>
            <w:tcW w:w="734" w:type="pct"/>
            <w:shd w:val="clear" w:color="auto" w:fill="auto"/>
            <w:noWrap/>
            <w:vAlign w:val="bottom"/>
            <w:hideMark/>
          </w:tcPr>
          <w:p w14:paraId="77DC8BD5" w14:textId="5ADE32B4" w:rsidR="00BC2B27" w:rsidRPr="00BC2B27" w:rsidRDefault="00BC2B27" w:rsidP="00BC2B27">
            <w:pPr>
              <w:jc w:val="both"/>
              <w:rPr>
                <w:rFonts w:ascii="Arial" w:hAnsi="Arial" w:cs="Arial"/>
                <w:color w:val="000000"/>
                <w:sz w:val="16"/>
                <w:szCs w:val="16"/>
              </w:rPr>
            </w:pPr>
            <w:r w:rsidRPr="44D46C3D">
              <w:rPr>
                <w:rFonts w:ascii="Arial" w:hAnsi="Arial" w:cs="Arial"/>
                <w:color w:val="000000" w:themeColor="text1"/>
                <w:sz w:val="16"/>
                <w:szCs w:val="16"/>
              </w:rPr>
              <w:t xml:space="preserve">$ 5.690,65 </w:t>
            </w:r>
          </w:p>
        </w:tc>
      </w:tr>
      <w:tr w:rsidR="000A6BCA" w:rsidRPr="00BC2B27" w14:paraId="335A458C" w14:textId="77777777" w:rsidTr="00150BD6">
        <w:trPr>
          <w:trHeight w:val="552"/>
          <w:jc w:val="center"/>
        </w:trPr>
        <w:tc>
          <w:tcPr>
            <w:tcW w:w="722" w:type="pct"/>
            <w:vMerge/>
            <w:vAlign w:val="center"/>
            <w:hideMark/>
          </w:tcPr>
          <w:p w14:paraId="46168ACB"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69D76E40"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B Diseño, edición y distribución de Cartillas, periódico, boletines y afiches por municipio (anual)</w:t>
            </w:r>
          </w:p>
        </w:tc>
        <w:tc>
          <w:tcPr>
            <w:tcW w:w="458" w:type="pct"/>
            <w:shd w:val="clear" w:color="auto" w:fill="auto"/>
            <w:vAlign w:val="center"/>
            <w:hideMark/>
          </w:tcPr>
          <w:p w14:paraId="08AD8BA8"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1000</w:t>
            </w:r>
          </w:p>
        </w:tc>
        <w:tc>
          <w:tcPr>
            <w:tcW w:w="686" w:type="pct"/>
            <w:shd w:val="clear" w:color="auto" w:fill="auto"/>
            <w:vAlign w:val="center"/>
            <w:hideMark/>
          </w:tcPr>
          <w:p w14:paraId="04D36FEC"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Unidades</w:t>
            </w:r>
          </w:p>
        </w:tc>
        <w:tc>
          <w:tcPr>
            <w:tcW w:w="610" w:type="pct"/>
            <w:shd w:val="clear" w:color="auto" w:fill="auto"/>
            <w:vAlign w:val="center"/>
            <w:hideMark/>
          </w:tcPr>
          <w:p w14:paraId="3E795394"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$ 35.000,00</w:t>
            </w:r>
          </w:p>
        </w:tc>
        <w:tc>
          <w:tcPr>
            <w:tcW w:w="734" w:type="pct"/>
            <w:shd w:val="clear" w:color="auto" w:fill="auto"/>
            <w:vAlign w:val="center"/>
            <w:hideMark/>
          </w:tcPr>
          <w:p w14:paraId="4F881A00" w14:textId="24423818"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$39.786.815,25 </w:t>
            </w:r>
          </w:p>
        </w:tc>
      </w:tr>
      <w:tr w:rsidR="000A6BCA" w:rsidRPr="00BC2B27" w14:paraId="6B0614DD" w14:textId="77777777" w:rsidTr="00150BD6">
        <w:trPr>
          <w:trHeight w:val="255"/>
          <w:jc w:val="center"/>
        </w:trPr>
        <w:tc>
          <w:tcPr>
            <w:tcW w:w="5000" w:type="pct"/>
            <w:gridSpan w:val="6"/>
            <w:shd w:val="clear" w:color="auto" w:fill="2D74B5"/>
            <w:vAlign w:val="center"/>
            <w:hideMark/>
          </w:tcPr>
          <w:p w14:paraId="292AD3A4" w14:textId="77777777" w:rsidR="00BC2B27" w:rsidRPr="00BC2B27" w:rsidRDefault="00BC2B27" w:rsidP="00BC2B27">
            <w:pPr>
              <w:jc w:val="both"/>
              <w:rPr>
                <w:rFonts w:ascii="Arial" w:hAnsi="Arial" w:cs="Arial"/>
                <w:b/>
                <w:bCs/>
                <w:color w:val="FFFFFF"/>
                <w:sz w:val="16"/>
                <w:szCs w:val="16"/>
              </w:rPr>
            </w:pPr>
            <w:r w:rsidRPr="00BC2B27">
              <w:rPr>
                <w:rFonts w:ascii="Arial" w:hAnsi="Arial" w:cs="Arial"/>
                <w:b/>
                <w:bCs/>
                <w:color w:val="FFFFFF"/>
                <w:sz w:val="16"/>
                <w:szCs w:val="16"/>
              </w:rPr>
              <w:t>2. Atención y labores de oficina</w:t>
            </w:r>
          </w:p>
        </w:tc>
      </w:tr>
      <w:tr w:rsidR="000A6BCA" w:rsidRPr="00BC2B27" w14:paraId="1C9AECB9" w14:textId="77777777" w:rsidTr="00150BD6">
        <w:trPr>
          <w:trHeight w:val="255"/>
          <w:jc w:val="center"/>
        </w:trPr>
        <w:tc>
          <w:tcPr>
            <w:tcW w:w="722" w:type="pct"/>
            <w:vMerge w:val="restart"/>
            <w:shd w:val="clear" w:color="auto" w:fill="auto"/>
            <w:vAlign w:val="center"/>
            <w:hideMark/>
          </w:tcPr>
          <w:p w14:paraId="635B5DC4"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Atención de 100 personas promedio al mes y realización de informes y trámites de oficina</w:t>
            </w:r>
          </w:p>
        </w:tc>
        <w:tc>
          <w:tcPr>
            <w:tcW w:w="1790" w:type="pct"/>
            <w:shd w:val="clear" w:color="auto" w:fill="auto"/>
            <w:vAlign w:val="center"/>
            <w:hideMark/>
          </w:tcPr>
          <w:p w14:paraId="43290F3B"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 Salario promedio del extensionista / 4 días al mes</w:t>
            </w:r>
          </w:p>
        </w:tc>
        <w:tc>
          <w:tcPr>
            <w:tcW w:w="458" w:type="pct"/>
            <w:shd w:val="clear" w:color="auto" w:fill="auto"/>
            <w:vAlign w:val="center"/>
            <w:hideMark/>
          </w:tcPr>
          <w:p w14:paraId="193A1AE9"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4</w:t>
            </w:r>
          </w:p>
        </w:tc>
        <w:tc>
          <w:tcPr>
            <w:tcW w:w="686" w:type="pct"/>
            <w:shd w:val="clear" w:color="auto" w:fill="auto"/>
            <w:vAlign w:val="center"/>
            <w:hideMark/>
          </w:tcPr>
          <w:p w14:paraId="65271344"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Días laborales/mes</w:t>
            </w:r>
          </w:p>
        </w:tc>
        <w:tc>
          <w:tcPr>
            <w:tcW w:w="610" w:type="pct"/>
            <w:shd w:val="clear" w:color="auto" w:fill="auto"/>
            <w:vAlign w:val="center"/>
            <w:hideMark/>
          </w:tcPr>
          <w:p w14:paraId="271B018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$ 200.000,00</w:t>
            </w:r>
          </w:p>
        </w:tc>
        <w:tc>
          <w:tcPr>
            <w:tcW w:w="734" w:type="pct"/>
            <w:shd w:val="clear" w:color="auto" w:fill="auto"/>
            <w:noWrap/>
            <w:vAlign w:val="bottom"/>
            <w:hideMark/>
          </w:tcPr>
          <w:p w14:paraId="5215779F" w14:textId="7C82D148" w:rsidR="00BC2B27" w:rsidRPr="00BC2B27" w:rsidRDefault="00BC2B27" w:rsidP="00BC2B27">
            <w:pPr>
              <w:jc w:val="both"/>
              <w:rPr>
                <w:rFonts w:ascii="Arial" w:hAnsi="Arial" w:cs="Arial"/>
                <w:color w:val="000000"/>
                <w:sz w:val="16"/>
                <w:szCs w:val="16"/>
              </w:rPr>
            </w:pPr>
            <w:r w:rsidRPr="099C5F40">
              <w:rPr>
                <w:rFonts w:ascii="Arial" w:hAnsi="Arial" w:cs="Arial"/>
                <w:color w:val="000000" w:themeColor="text1"/>
                <w:sz w:val="16"/>
                <w:szCs w:val="16"/>
              </w:rPr>
              <w:t>$</w:t>
            </w:r>
            <w:r w:rsidRPr="00BC2B27">
              <w:rPr>
                <w:rFonts w:ascii="Arial" w:hAnsi="Arial" w:cs="Arial"/>
                <w:color w:val="000000" w:themeColor="text1"/>
                <w:sz w:val="16"/>
                <w:szCs w:val="16"/>
              </w:rPr>
              <w:t xml:space="preserve">909.412,92 </w:t>
            </w:r>
          </w:p>
        </w:tc>
      </w:tr>
      <w:tr w:rsidR="000A6BCA" w:rsidRPr="00BC2B27" w14:paraId="17CAEED0" w14:textId="77777777" w:rsidTr="00150BD6">
        <w:trPr>
          <w:trHeight w:val="255"/>
          <w:jc w:val="center"/>
        </w:trPr>
        <w:tc>
          <w:tcPr>
            <w:tcW w:w="722" w:type="pct"/>
            <w:vMerge/>
            <w:vAlign w:val="center"/>
            <w:hideMark/>
          </w:tcPr>
          <w:p w14:paraId="7E784680"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67359FC6"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B. Arrendamiento, servicios públicos y otros gastos / extensionista</w:t>
            </w:r>
          </w:p>
        </w:tc>
        <w:tc>
          <w:tcPr>
            <w:tcW w:w="458" w:type="pct"/>
            <w:shd w:val="clear" w:color="auto" w:fill="auto"/>
            <w:vAlign w:val="center"/>
            <w:hideMark/>
          </w:tcPr>
          <w:p w14:paraId="0F3F51C3" w14:textId="77777777" w:rsidR="00BC2B27" w:rsidRPr="00BC2B27" w:rsidRDefault="00BC2B27" w:rsidP="00BC2B27">
            <w:pPr>
              <w:jc w:val="center"/>
              <w:rPr>
                <w:rFonts w:ascii="Arial" w:hAnsi="Arial" w:cs="Arial"/>
                <w:b/>
                <w:bCs/>
                <w:color w:val="000000"/>
                <w:sz w:val="16"/>
                <w:szCs w:val="16"/>
              </w:rPr>
            </w:pPr>
            <w:r w:rsidRPr="00BC2B27">
              <w:rPr>
                <w:rFonts w:ascii="Arial" w:hAnsi="Arial" w:cs="Arial"/>
                <w:b/>
                <w:bCs/>
                <w:color w:val="000000"/>
                <w:sz w:val="16"/>
                <w:szCs w:val="16"/>
              </w:rPr>
              <w:t>1</w:t>
            </w:r>
          </w:p>
        </w:tc>
        <w:tc>
          <w:tcPr>
            <w:tcW w:w="686" w:type="pct"/>
            <w:shd w:val="clear" w:color="auto" w:fill="auto"/>
            <w:vAlign w:val="center"/>
            <w:hideMark/>
          </w:tcPr>
          <w:p w14:paraId="0B306FB9"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Global mensual</w:t>
            </w:r>
          </w:p>
        </w:tc>
        <w:tc>
          <w:tcPr>
            <w:tcW w:w="610" w:type="pct"/>
            <w:shd w:val="clear" w:color="auto" w:fill="auto"/>
            <w:vAlign w:val="center"/>
            <w:hideMark/>
          </w:tcPr>
          <w:p w14:paraId="5C3AC36E"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$ 200.000,00</w:t>
            </w:r>
          </w:p>
        </w:tc>
        <w:tc>
          <w:tcPr>
            <w:tcW w:w="734" w:type="pct"/>
            <w:shd w:val="clear" w:color="auto" w:fill="auto"/>
            <w:noWrap/>
            <w:vAlign w:val="bottom"/>
            <w:hideMark/>
          </w:tcPr>
          <w:p w14:paraId="556827C7" w14:textId="4E19666B"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$227.353,23 </w:t>
            </w:r>
          </w:p>
        </w:tc>
      </w:tr>
      <w:tr w:rsidR="000A6BCA" w:rsidRPr="00BC2B27" w14:paraId="105684A4" w14:textId="77777777" w:rsidTr="00150BD6">
        <w:trPr>
          <w:trHeight w:val="255"/>
          <w:jc w:val="center"/>
        </w:trPr>
        <w:tc>
          <w:tcPr>
            <w:tcW w:w="722" w:type="pct"/>
            <w:vMerge/>
            <w:vAlign w:val="center"/>
            <w:hideMark/>
          </w:tcPr>
          <w:p w14:paraId="5F385C28"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10344606"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C. Materiales, Equipos, Papelería e Insumos / extensionista</w:t>
            </w:r>
          </w:p>
        </w:tc>
        <w:tc>
          <w:tcPr>
            <w:tcW w:w="458" w:type="pct"/>
            <w:shd w:val="clear" w:color="auto" w:fill="auto"/>
            <w:vAlign w:val="center"/>
            <w:hideMark/>
          </w:tcPr>
          <w:p w14:paraId="406EFF57"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7D46780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Global mensual</w:t>
            </w:r>
          </w:p>
        </w:tc>
        <w:tc>
          <w:tcPr>
            <w:tcW w:w="610" w:type="pct"/>
            <w:shd w:val="clear" w:color="auto" w:fill="auto"/>
            <w:vAlign w:val="center"/>
            <w:hideMark/>
          </w:tcPr>
          <w:p w14:paraId="1378ADEB"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$ 100.000,00</w:t>
            </w:r>
          </w:p>
        </w:tc>
        <w:tc>
          <w:tcPr>
            <w:tcW w:w="734" w:type="pct"/>
            <w:shd w:val="clear" w:color="auto" w:fill="auto"/>
            <w:noWrap/>
            <w:vAlign w:val="bottom"/>
            <w:hideMark/>
          </w:tcPr>
          <w:p w14:paraId="17B4DB87" w14:textId="2EF885EF" w:rsidR="00BC2B27" w:rsidRPr="00BC2B27" w:rsidRDefault="00BC2B27" w:rsidP="00BC2B27">
            <w:pPr>
              <w:jc w:val="both"/>
              <w:rPr>
                <w:rFonts w:ascii="Arial" w:hAnsi="Arial" w:cs="Arial"/>
                <w:color w:val="000000"/>
                <w:sz w:val="16"/>
                <w:szCs w:val="16"/>
              </w:rPr>
            </w:pPr>
            <w:r w:rsidRPr="070EA136">
              <w:rPr>
                <w:rFonts w:ascii="Arial" w:hAnsi="Arial" w:cs="Arial"/>
                <w:color w:val="000000" w:themeColor="text1"/>
                <w:sz w:val="16"/>
                <w:szCs w:val="16"/>
              </w:rPr>
              <w:t>$</w:t>
            </w:r>
            <w:r w:rsidRPr="00BC2B27">
              <w:rPr>
                <w:rFonts w:ascii="Arial" w:hAnsi="Arial" w:cs="Arial"/>
                <w:color w:val="000000" w:themeColor="text1"/>
                <w:sz w:val="16"/>
                <w:szCs w:val="16"/>
              </w:rPr>
              <w:t xml:space="preserve"> 113.676,62 </w:t>
            </w:r>
          </w:p>
        </w:tc>
      </w:tr>
      <w:tr w:rsidR="000A6BCA" w:rsidRPr="00BC2B27" w14:paraId="4C15B003" w14:textId="77777777" w:rsidTr="00150BD6">
        <w:trPr>
          <w:trHeight w:val="255"/>
          <w:jc w:val="center"/>
        </w:trPr>
        <w:tc>
          <w:tcPr>
            <w:tcW w:w="722" w:type="pct"/>
            <w:vMerge/>
            <w:vAlign w:val="center"/>
            <w:hideMark/>
          </w:tcPr>
          <w:p w14:paraId="622B3CB3"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2FC496E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D. Auxilio para celular / extensionista</w:t>
            </w:r>
          </w:p>
        </w:tc>
        <w:tc>
          <w:tcPr>
            <w:tcW w:w="458" w:type="pct"/>
            <w:shd w:val="clear" w:color="auto" w:fill="auto"/>
            <w:vAlign w:val="center"/>
            <w:hideMark/>
          </w:tcPr>
          <w:p w14:paraId="23DE5A76"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24413756"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Plan mensual</w:t>
            </w:r>
          </w:p>
        </w:tc>
        <w:tc>
          <w:tcPr>
            <w:tcW w:w="610" w:type="pct"/>
            <w:shd w:val="clear" w:color="auto" w:fill="auto"/>
            <w:vAlign w:val="center"/>
            <w:hideMark/>
          </w:tcPr>
          <w:p w14:paraId="74F4A93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$ 100.000,00</w:t>
            </w:r>
          </w:p>
        </w:tc>
        <w:tc>
          <w:tcPr>
            <w:tcW w:w="734" w:type="pct"/>
            <w:shd w:val="clear" w:color="auto" w:fill="auto"/>
            <w:noWrap/>
            <w:vAlign w:val="bottom"/>
            <w:hideMark/>
          </w:tcPr>
          <w:p w14:paraId="690DA8E8" w14:textId="369A1765"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$113.676,62 </w:t>
            </w:r>
          </w:p>
        </w:tc>
      </w:tr>
      <w:tr w:rsidR="00A818D1" w:rsidRPr="00BC2B27" w14:paraId="1A2953A9" w14:textId="77777777" w:rsidTr="00150BD6">
        <w:trPr>
          <w:trHeight w:val="255"/>
          <w:jc w:val="center"/>
        </w:trPr>
        <w:tc>
          <w:tcPr>
            <w:tcW w:w="722" w:type="pct"/>
            <w:vMerge/>
            <w:vAlign w:val="center"/>
            <w:hideMark/>
          </w:tcPr>
          <w:p w14:paraId="770E33DC" w14:textId="77777777" w:rsidR="00BC2B27" w:rsidRPr="00BC2B27" w:rsidRDefault="00BC2B27" w:rsidP="00BC2B27">
            <w:pPr>
              <w:rPr>
                <w:rFonts w:ascii="Arial" w:hAnsi="Arial" w:cs="Arial"/>
                <w:color w:val="000000"/>
                <w:sz w:val="16"/>
                <w:szCs w:val="16"/>
              </w:rPr>
            </w:pPr>
          </w:p>
        </w:tc>
        <w:tc>
          <w:tcPr>
            <w:tcW w:w="3544" w:type="pct"/>
            <w:gridSpan w:val="4"/>
            <w:shd w:val="clear" w:color="auto" w:fill="auto"/>
            <w:vAlign w:val="center"/>
            <w:hideMark/>
          </w:tcPr>
          <w:p w14:paraId="76E877C7" w14:textId="77777777" w:rsidR="00BC2B27" w:rsidRPr="00BC2B27" w:rsidRDefault="00BC2B27" w:rsidP="00BC2B27">
            <w:pPr>
              <w:rPr>
                <w:rFonts w:ascii="Arial" w:hAnsi="Arial" w:cs="Arial"/>
                <w:b/>
                <w:bCs/>
                <w:color w:val="000000"/>
                <w:sz w:val="16"/>
                <w:szCs w:val="16"/>
              </w:rPr>
            </w:pPr>
            <w:r w:rsidRPr="00BC2B27">
              <w:rPr>
                <w:rFonts w:ascii="Arial" w:hAnsi="Arial" w:cs="Arial"/>
                <w:b/>
                <w:bCs/>
                <w:color w:val="000000"/>
                <w:sz w:val="16"/>
                <w:szCs w:val="16"/>
              </w:rPr>
              <w:t>Total (A+B+C+D)</w:t>
            </w:r>
          </w:p>
        </w:tc>
        <w:tc>
          <w:tcPr>
            <w:tcW w:w="734" w:type="pct"/>
            <w:shd w:val="clear" w:color="auto" w:fill="auto"/>
            <w:noWrap/>
            <w:vAlign w:val="bottom"/>
            <w:hideMark/>
          </w:tcPr>
          <w:p w14:paraId="4F480D0C" w14:textId="3865A9D0" w:rsidR="00BC2B27" w:rsidRPr="00BC2B27" w:rsidRDefault="00BC2B27" w:rsidP="00BC2B27">
            <w:pPr>
              <w:jc w:val="both"/>
              <w:rPr>
                <w:rFonts w:ascii="Arial" w:hAnsi="Arial" w:cs="Arial"/>
                <w:color w:val="000000"/>
                <w:sz w:val="16"/>
                <w:szCs w:val="16"/>
              </w:rPr>
            </w:pPr>
            <w:r w:rsidRPr="00BC2B27">
              <w:rPr>
                <w:rFonts w:ascii="Arial" w:hAnsi="Arial" w:cs="Arial"/>
                <w:color w:val="000000" w:themeColor="text1"/>
                <w:sz w:val="16"/>
                <w:szCs w:val="16"/>
              </w:rPr>
              <w:t xml:space="preserve">$ 1.364.119,38 </w:t>
            </w:r>
          </w:p>
        </w:tc>
      </w:tr>
      <w:tr w:rsidR="000A6BCA" w:rsidRPr="00BC2B27" w14:paraId="1B4A3FC2" w14:textId="77777777" w:rsidTr="00150BD6">
        <w:trPr>
          <w:trHeight w:val="255"/>
          <w:jc w:val="center"/>
        </w:trPr>
        <w:tc>
          <w:tcPr>
            <w:tcW w:w="5000" w:type="pct"/>
            <w:gridSpan w:val="6"/>
            <w:shd w:val="clear" w:color="auto" w:fill="2D74B5"/>
            <w:vAlign w:val="center"/>
            <w:hideMark/>
          </w:tcPr>
          <w:p w14:paraId="3E7B4D1E" w14:textId="77777777" w:rsidR="00BC2B27" w:rsidRPr="00BC2B27" w:rsidRDefault="00BC2B27" w:rsidP="00BC2B27">
            <w:pPr>
              <w:jc w:val="both"/>
              <w:rPr>
                <w:rFonts w:ascii="Arial" w:hAnsi="Arial" w:cs="Arial"/>
                <w:b/>
                <w:bCs/>
                <w:color w:val="FFFFFF"/>
                <w:sz w:val="16"/>
                <w:szCs w:val="16"/>
              </w:rPr>
            </w:pPr>
            <w:r w:rsidRPr="00BC2B27">
              <w:rPr>
                <w:rFonts w:ascii="Arial" w:hAnsi="Arial" w:cs="Arial"/>
                <w:b/>
                <w:bCs/>
                <w:color w:val="FFFFFF"/>
                <w:sz w:val="16"/>
                <w:szCs w:val="16"/>
              </w:rPr>
              <w:t>3. Resumen de costos del servicio de extensión / UF / año</w:t>
            </w:r>
          </w:p>
        </w:tc>
      </w:tr>
      <w:tr w:rsidR="000A6BCA" w:rsidRPr="00BC2B27" w14:paraId="4B10175D" w14:textId="77777777" w:rsidTr="00150BD6">
        <w:trPr>
          <w:trHeight w:val="399"/>
          <w:jc w:val="center"/>
        </w:trPr>
        <w:tc>
          <w:tcPr>
            <w:tcW w:w="722" w:type="pct"/>
            <w:shd w:val="clear" w:color="auto" w:fill="auto"/>
            <w:vAlign w:val="center"/>
            <w:hideMark/>
          </w:tcPr>
          <w:p w14:paraId="0A7CB06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Visitas a la UF</w:t>
            </w:r>
          </w:p>
        </w:tc>
        <w:tc>
          <w:tcPr>
            <w:tcW w:w="1790" w:type="pct"/>
            <w:shd w:val="clear" w:color="auto" w:fill="auto"/>
            <w:vAlign w:val="center"/>
            <w:hideMark/>
          </w:tcPr>
          <w:p w14:paraId="6C86FD82"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 Cada UF recibiría 4 visitas/año</w:t>
            </w:r>
          </w:p>
        </w:tc>
        <w:tc>
          <w:tcPr>
            <w:tcW w:w="458" w:type="pct"/>
            <w:shd w:val="clear" w:color="auto" w:fill="auto"/>
            <w:vAlign w:val="center"/>
            <w:hideMark/>
          </w:tcPr>
          <w:p w14:paraId="11B84BA1"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4</w:t>
            </w:r>
          </w:p>
        </w:tc>
        <w:tc>
          <w:tcPr>
            <w:tcW w:w="686" w:type="pct"/>
            <w:shd w:val="clear" w:color="auto" w:fill="auto"/>
            <w:vAlign w:val="center"/>
            <w:hideMark/>
          </w:tcPr>
          <w:p w14:paraId="663A2C70"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Costo/visita</w:t>
            </w:r>
          </w:p>
        </w:tc>
        <w:tc>
          <w:tcPr>
            <w:tcW w:w="610" w:type="pct"/>
            <w:shd w:val="clear" w:color="auto" w:fill="auto"/>
            <w:vAlign w:val="center"/>
            <w:hideMark/>
          </w:tcPr>
          <w:p w14:paraId="60C7B36E"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$ 113.000,00</w:t>
            </w:r>
          </w:p>
        </w:tc>
        <w:tc>
          <w:tcPr>
            <w:tcW w:w="734" w:type="pct"/>
            <w:shd w:val="clear" w:color="auto" w:fill="auto"/>
            <w:noWrap/>
            <w:vAlign w:val="bottom"/>
            <w:hideMark/>
          </w:tcPr>
          <w:p w14:paraId="683B6EA1" w14:textId="4710994D" w:rsidR="00BC2B27" w:rsidRPr="00BC2B27" w:rsidRDefault="00BC2B27" w:rsidP="00BC2B27">
            <w:pPr>
              <w:jc w:val="both"/>
              <w:rPr>
                <w:rFonts w:ascii="Arial" w:hAnsi="Arial" w:cs="Arial"/>
                <w:color w:val="000000"/>
                <w:sz w:val="16"/>
                <w:szCs w:val="16"/>
              </w:rPr>
            </w:pPr>
            <w:r w:rsidRPr="2AF60112">
              <w:rPr>
                <w:rFonts w:ascii="Arial" w:hAnsi="Arial" w:cs="Arial"/>
                <w:color w:val="000000" w:themeColor="text1"/>
                <w:sz w:val="16"/>
                <w:szCs w:val="16"/>
              </w:rPr>
              <w:t xml:space="preserve">$   517.532 </w:t>
            </w:r>
          </w:p>
        </w:tc>
      </w:tr>
      <w:tr w:rsidR="000A6BCA" w:rsidRPr="00BC2B27" w14:paraId="4E4FBD3C" w14:textId="77777777" w:rsidTr="00150BD6">
        <w:trPr>
          <w:trHeight w:val="552"/>
          <w:jc w:val="center"/>
        </w:trPr>
        <w:tc>
          <w:tcPr>
            <w:tcW w:w="722" w:type="pct"/>
            <w:vMerge w:val="restart"/>
            <w:shd w:val="clear" w:color="auto" w:fill="auto"/>
            <w:vAlign w:val="center"/>
            <w:hideMark/>
          </w:tcPr>
          <w:p w14:paraId="435D34CF"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Métodos grupales</w:t>
            </w:r>
          </w:p>
        </w:tc>
        <w:tc>
          <w:tcPr>
            <w:tcW w:w="1790" w:type="pct"/>
            <w:shd w:val="clear" w:color="auto" w:fill="auto"/>
            <w:vAlign w:val="center"/>
            <w:hideMark/>
          </w:tcPr>
          <w:p w14:paraId="69BFC3DC"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B. Eventos grupales: Cada productor que representa una UF participaría en 6 actividades /año</w:t>
            </w:r>
          </w:p>
        </w:tc>
        <w:tc>
          <w:tcPr>
            <w:tcW w:w="458" w:type="pct"/>
            <w:shd w:val="clear" w:color="auto" w:fill="auto"/>
            <w:vAlign w:val="center"/>
            <w:hideMark/>
          </w:tcPr>
          <w:p w14:paraId="7CC9C6E1"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6</w:t>
            </w:r>
          </w:p>
        </w:tc>
        <w:tc>
          <w:tcPr>
            <w:tcW w:w="686" w:type="pct"/>
            <w:shd w:val="clear" w:color="auto" w:fill="auto"/>
            <w:vAlign w:val="center"/>
            <w:hideMark/>
          </w:tcPr>
          <w:p w14:paraId="63DF9E85"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Actividades</w:t>
            </w:r>
          </w:p>
        </w:tc>
        <w:tc>
          <w:tcPr>
            <w:tcW w:w="610" w:type="pct"/>
            <w:shd w:val="clear" w:color="auto" w:fill="auto"/>
            <w:vAlign w:val="center"/>
            <w:hideMark/>
          </w:tcPr>
          <w:p w14:paraId="14D14D0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$ 32.909,00</w:t>
            </w:r>
          </w:p>
        </w:tc>
        <w:tc>
          <w:tcPr>
            <w:tcW w:w="734" w:type="pct"/>
            <w:shd w:val="clear" w:color="auto" w:fill="auto"/>
            <w:noWrap/>
            <w:vAlign w:val="bottom"/>
            <w:hideMark/>
          </w:tcPr>
          <w:p w14:paraId="3C84D0EC" w14:textId="0F449E41" w:rsidR="00BC2B27" w:rsidRPr="00BC2B27" w:rsidRDefault="00BC2B27" w:rsidP="00BC2B27">
            <w:pPr>
              <w:jc w:val="both"/>
              <w:rPr>
                <w:rFonts w:ascii="Arial" w:hAnsi="Arial" w:cs="Arial"/>
                <w:color w:val="000000"/>
                <w:sz w:val="16"/>
                <w:szCs w:val="16"/>
              </w:rPr>
            </w:pPr>
            <w:r w:rsidRPr="28D8CB8C">
              <w:rPr>
                <w:rFonts w:ascii="Arial" w:hAnsi="Arial" w:cs="Arial"/>
                <w:color w:val="000000" w:themeColor="text1"/>
                <w:sz w:val="16"/>
                <w:szCs w:val="16"/>
              </w:rPr>
              <w:t xml:space="preserve">$   223.308 </w:t>
            </w:r>
          </w:p>
        </w:tc>
      </w:tr>
      <w:tr w:rsidR="000A6BCA" w:rsidRPr="00BC2B27" w14:paraId="431EB214" w14:textId="77777777" w:rsidTr="00150BD6">
        <w:trPr>
          <w:trHeight w:val="276"/>
          <w:jc w:val="center"/>
        </w:trPr>
        <w:tc>
          <w:tcPr>
            <w:tcW w:w="722" w:type="pct"/>
            <w:vMerge/>
            <w:vAlign w:val="center"/>
            <w:hideMark/>
          </w:tcPr>
          <w:p w14:paraId="641B75EB"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0C87B162"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C. Giras para identificación de casos exitosos.</w:t>
            </w:r>
          </w:p>
        </w:tc>
        <w:tc>
          <w:tcPr>
            <w:tcW w:w="458" w:type="pct"/>
            <w:shd w:val="clear" w:color="auto" w:fill="auto"/>
            <w:vAlign w:val="center"/>
            <w:hideMark/>
          </w:tcPr>
          <w:p w14:paraId="4CACBD7D"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w:t>
            </w:r>
          </w:p>
        </w:tc>
        <w:tc>
          <w:tcPr>
            <w:tcW w:w="686" w:type="pct"/>
            <w:shd w:val="clear" w:color="auto" w:fill="auto"/>
            <w:vAlign w:val="center"/>
            <w:hideMark/>
          </w:tcPr>
          <w:p w14:paraId="19EE49C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Giras</w:t>
            </w:r>
          </w:p>
        </w:tc>
        <w:tc>
          <w:tcPr>
            <w:tcW w:w="610" w:type="pct"/>
            <w:shd w:val="clear" w:color="auto" w:fill="auto"/>
            <w:vAlign w:val="center"/>
            <w:hideMark/>
          </w:tcPr>
          <w:p w14:paraId="65919B01"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$ 150.000,00</w:t>
            </w:r>
          </w:p>
        </w:tc>
        <w:tc>
          <w:tcPr>
            <w:tcW w:w="734" w:type="pct"/>
            <w:shd w:val="clear" w:color="auto" w:fill="auto"/>
            <w:noWrap/>
            <w:vAlign w:val="bottom"/>
            <w:hideMark/>
          </w:tcPr>
          <w:p w14:paraId="1DF4604A" w14:textId="700A22FD" w:rsidR="00BC2B27" w:rsidRPr="00BC2B27" w:rsidRDefault="00BC2B27" w:rsidP="00BC2B27">
            <w:pPr>
              <w:jc w:val="both"/>
              <w:rPr>
                <w:rFonts w:ascii="Arial" w:hAnsi="Arial" w:cs="Arial"/>
                <w:color w:val="000000"/>
                <w:sz w:val="16"/>
                <w:szCs w:val="16"/>
              </w:rPr>
            </w:pPr>
            <w:r w:rsidRPr="28D8CB8C">
              <w:rPr>
                <w:rFonts w:ascii="Arial" w:hAnsi="Arial" w:cs="Arial"/>
                <w:color w:val="000000" w:themeColor="text1"/>
                <w:sz w:val="16"/>
                <w:szCs w:val="16"/>
              </w:rPr>
              <w:t xml:space="preserve">$  169.638 </w:t>
            </w:r>
          </w:p>
        </w:tc>
      </w:tr>
      <w:tr w:rsidR="000A6BCA" w:rsidRPr="00BC2B27" w14:paraId="72A16E3B" w14:textId="77777777" w:rsidTr="00150BD6">
        <w:trPr>
          <w:trHeight w:val="709"/>
          <w:jc w:val="center"/>
        </w:trPr>
        <w:tc>
          <w:tcPr>
            <w:tcW w:w="722" w:type="pct"/>
            <w:vMerge w:val="restart"/>
            <w:shd w:val="clear" w:color="auto" w:fill="auto"/>
            <w:vAlign w:val="center"/>
            <w:hideMark/>
          </w:tcPr>
          <w:p w14:paraId="0BA26FC7"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lastRenderedPageBreak/>
              <w:t>Masivos</w:t>
            </w:r>
          </w:p>
        </w:tc>
        <w:tc>
          <w:tcPr>
            <w:tcW w:w="1790" w:type="pct"/>
            <w:shd w:val="clear" w:color="auto" w:fill="auto"/>
            <w:vAlign w:val="center"/>
            <w:hideMark/>
          </w:tcPr>
          <w:p w14:paraId="71A6D5D8"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D. Programa de radio semanal con alcance para más de 1000 personas</w:t>
            </w:r>
          </w:p>
        </w:tc>
        <w:tc>
          <w:tcPr>
            <w:tcW w:w="458" w:type="pct"/>
            <w:shd w:val="clear" w:color="auto" w:fill="auto"/>
            <w:vAlign w:val="center"/>
            <w:hideMark/>
          </w:tcPr>
          <w:p w14:paraId="2866B449"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52</w:t>
            </w:r>
          </w:p>
        </w:tc>
        <w:tc>
          <w:tcPr>
            <w:tcW w:w="686" w:type="pct"/>
            <w:shd w:val="clear" w:color="auto" w:fill="auto"/>
            <w:vAlign w:val="center"/>
            <w:hideMark/>
          </w:tcPr>
          <w:p w14:paraId="071F0EE4"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programas/ 1000 oyentes</w:t>
            </w:r>
          </w:p>
        </w:tc>
        <w:tc>
          <w:tcPr>
            <w:tcW w:w="610" w:type="pct"/>
            <w:shd w:val="clear" w:color="auto" w:fill="auto"/>
            <w:vAlign w:val="center"/>
            <w:hideMark/>
          </w:tcPr>
          <w:p w14:paraId="4D8B0769"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$ 105.006,00</w:t>
            </w:r>
          </w:p>
        </w:tc>
        <w:tc>
          <w:tcPr>
            <w:tcW w:w="734" w:type="pct"/>
            <w:shd w:val="clear" w:color="auto" w:fill="auto"/>
            <w:noWrap/>
            <w:vAlign w:val="bottom"/>
            <w:hideMark/>
          </w:tcPr>
          <w:p w14:paraId="69A82507" w14:textId="1B085C1D" w:rsidR="00BC2B27" w:rsidRPr="00BC2B27" w:rsidRDefault="378E5FDA" w:rsidP="00BC2B27">
            <w:pPr>
              <w:jc w:val="both"/>
              <w:rPr>
                <w:rFonts w:ascii="Arial" w:hAnsi="Arial" w:cs="Arial"/>
                <w:color w:val="000000"/>
                <w:sz w:val="16"/>
                <w:szCs w:val="16"/>
              </w:rPr>
            </w:pPr>
            <w:r w:rsidRPr="7A20C1C4">
              <w:rPr>
                <w:rFonts w:ascii="Arial" w:hAnsi="Arial" w:cs="Arial"/>
                <w:color w:val="000000" w:themeColor="text1"/>
                <w:sz w:val="16"/>
                <w:szCs w:val="16"/>
              </w:rPr>
              <w:t>$</w:t>
            </w:r>
            <w:r w:rsidR="00BC2B27" w:rsidRPr="7A20C1C4">
              <w:rPr>
                <w:rFonts w:ascii="Arial" w:hAnsi="Arial" w:cs="Arial"/>
                <w:color w:val="000000" w:themeColor="text1"/>
                <w:sz w:val="16"/>
                <w:szCs w:val="16"/>
              </w:rPr>
              <w:t xml:space="preserve"> 9.328 </w:t>
            </w:r>
          </w:p>
        </w:tc>
      </w:tr>
      <w:tr w:rsidR="000A6BCA" w:rsidRPr="00BC2B27" w14:paraId="112FA0AE" w14:textId="77777777" w:rsidTr="00150BD6">
        <w:trPr>
          <w:trHeight w:val="579"/>
          <w:jc w:val="center"/>
        </w:trPr>
        <w:tc>
          <w:tcPr>
            <w:tcW w:w="722" w:type="pct"/>
            <w:vMerge/>
            <w:vAlign w:val="center"/>
            <w:hideMark/>
          </w:tcPr>
          <w:p w14:paraId="2438FF44" w14:textId="77777777" w:rsidR="00BC2B27" w:rsidRPr="00BC2B27" w:rsidRDefault="00BC2B27" w:rsidP="00BC2B27">
            <w:pPr>
              <w:rPr>
                <w:rFonts w:ascii="Arial" w:hAnsi="Arial" w:cs="Arial"/>
                <w:color w:val="000000"/>
                <w:sz w:val="16"/>
                <w:szCs w:val="16"/>
              </w:rPr>
            </w:pPr>
          </w:p>
        </w:tc>
        <w:tc>
          <w:tcPr>
            <w:tcW w:w="1790" w:type="pct"/>
            <w:shd w:val="clear" w:color="auto" w:fill="auto"/>
            <w:vAlign w:val="center"/>
            <w:hideMark/>
          </w:tcPr>
          <w:p w14:paraId="39A5992A"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xml:space="preserve">E. Distribución de Cartillas, </w:t>
            </w:r>
            <w:r w:rsidRPr="00BC2B27">
              <w:rPr>
                <w:rFonts w:ascii="Arial" w:hAnsi="Arial" w:cs="Arial"/>
                <w:b/>
                <w:bCs/>
                <w:color w:val="000000"/>
                <w:sz w:val="16"/>
                <w:szCs w:val="16"/>
              </w:rPr>
              <w:t>Diseño, edición y distribución de Cartillas, periódico, boletines y afiches por municipio (anual)</w:t>
            </w:r>
            <w:r w:rsidRPr="00BC2B27">
              <w:rPr>
                <w:rFonts w:ascii="Arial" w:hAnsi="Arial" w:cs="Arial"/>
                <w:color w:val="000000"/>
                <w:sz w:val="16"/>
                <w:szCs w:val="16"/>
              </w:rPr>
              <w:t xml:space="preserve"> por municipio (anual)</w:t>
            </w:r>
          </w:p>
        </w:tc>
        <w:tc>
          <w:tcPr>
            <w:tcW w:w="458" w:type="pct"/>
            <w:shd w:val="clear" w:color="auto" w:fill="auto"/>
            <w:vAlign w:val="center"/>
            <w:hideMark/>
          </w:tcPr>
          <w:p w14:paraId="20F1A259" w14:textId="77777777" w:rsidR="00BC2B27" w:rsidRPr="00BC2B27" w:rsidRDefault="00BC2B27" w:rsidP="00BC2B27">
            <w:pPr>
              <w:jc w:val="center"/>
              <w:rPr>
                <w:rFonts w:ascii="Arial" w:hAnsi="Arial" w:cs="Arial"/>
                <w:color w:val="000000"/>
                <w:sz w:val="16"/>
                <w:szCs w:val="16"/>
              </w:rPr>
            </w:pPr>
            <w:r w:rsidRPr="00BC2B27">
              <w:rPr>
                <w:rFonts w:ascii="Arial" w:hAnsi="Arial" w:cs="Arial"/>
                <w:color w:val="000000"/>
                <w:sz w:val="16"/>
                <w:szCs w:val="16"/>
              </w:rPr>
              <w:t>1000</w:t>
            </w:r>
          </w:p>
        </w:tc>
        <w:tc>
          <w:tcPr>
            <w:tcW w:w="686" w:type="pct"/>
            <w:shd w:val="clear" w:color="auto" w:fill="auto"/>
            <w:vAlign w:val="center"/>
            <w:hideMark/>
          </w:tcPr>
          <w:p w14:paraId="70EDEBBF"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Unidades</w:t>
            </w:r>
          </w:p>
        </w:tc>
        <w:tc>
          <w:tcPr>
            <w:tcW w:w="610" w:type="pct"/>
            <w:shd w:val="clear" w:color="auto" w:fill="auto"/>
            <w:vAlign w:val="center"/>
            <w:hideMark/>
          </w:tcPr>
          <w:p w14:paraId="727A0029" w14:textId="77777777" w:rsidR="00BC2B27" w:rsidRPr="00BC2B27" w:rsidRDefault="00BC2B27" w:rsidP="00BC2B27">
            <w:pPr>
              <w:rPr>
                <w:rFonts w:ascii="Arial" w:hAnsi="Arial" w:cs="Arial"/>
                <w:color w:val="000000"/>
                <w:sz w:val="16"/>
                <w:szCs w:val="16"/>
              </w:rPr>
            </w:pPr>
            <w:r w:rsidRPr="00BC2B27">
              <w:rPr>
                <w:rFonts w:ascii="Arial" w:hAnsi="Arial" w:cs="Arial"/>
                <w:color w:val="000000"/>
                <w:sz w:val="16"/>
                <w:szCs w:val="16"/>
              </w:rPr>
              <w:t>$ 25.000,00</w:t>
            </w:r>
          </w:p>
        </w:tc>
        <w:tc>
          <w:tcPr>
            <w:tcW w:w="734" w:type="pct"/>
            <w:shd w:val="clear" w:color="auto" w:fill="auto"/>
            <w:noWrap/>
            <w:vAlign w:val="bottom"/>
            <w:hideMark/>
          </w:tcPr>
          <w:p w14:paraId="4D6515D0" w14:textId="38D7CDE5" w:rsidR="00BC2B27" w:rsidRPr="00BC2B27" w:rsidRDefault="00BC2B27" w:rsidP="00BC2B27">
            <w:pPr>
              <w:jc w:val="both"/>
              <w:rPr>
                <w:rFonts w:ascii="Arial" w:hAnsi="Arial" w:cs="Arial"/>
                <w:color w:val="000000"/>
                <w:sz w:val="16"/>
                <w:szCs w:val="16"/>
              </w:rPr>
            </w:pPr>
            <w:r w:rsidRPr="7A20C1C4">
              <w:rPr>
                <w:rFonts w:ascii="Arial" w:hAnsi="Arial" w:cs="Arial"/>
                <w:color w:val="000000" w:themeColor="text1"/>
                <w:sz w:val="16"/>
                <w:szCs w:val="16"/>
              </w:rPr>
              <w:t xml:space="preserve">$ 30.000 </w:t>
            </w:r>
          </w:p>
        </w:tc>
      </w:tr>
      <w:tr w:rsidR="000A6BCA" w:rsidRPr="00BC2B27" w14:paraId="21C5E34D" w14:textId="77777777" w:rsidTr="00150BD6">
        <w:trPr>
          <w:trHeight w:val="276"/>
          <w:jc w:val="center"/>
        </w:trPr>
        <w:tc>
          <w:tcPr>
            <w:tcW w:w="722" w:type="pct"/>
            <w:vMerge/>
            <w:vAlign w:val="center"/>
            <w:hideMark/>
          </w:tcPr>
          <w:p w14:paraId="6B33FD9D" w14:textId="77777777" w:rsidR="00BC2B27" w:rsidRPr="00BC2B27" w:rsidRDefault="00BC2B27" w:rsidP="00BC2B27">
            <w:pPr>
              <w:rPr>
                <w:rFonts w:ascii="Arial" w:hAnsi="Arial" w:cs="Arial"/>
                <w:color w:val="000000"/>
                <w:sz w:val="16"/>
                <w:szCs w:val="16"/>
              </w:rPr>
            </w:pPr>
          </w:p>
        </w:tc>
        <w:tc>
          <w:tcPr>
            <w:tcW w:w="3544" w:type="pct"/>
            <w:gridSpan w:val="4"/>
            <w:shd w:val="clear" w:color="auto" w:fill="0070C0"/>
            <w:vAlign w:val="center"/>
            <w:hideMark/>
          </w:tcPr>
          <w:p w14:paraId="44955809" w14:textId="77777777" w:rsidR="00BC2B27" w:rsidRPr="00BC2B27" w:rsidRDefault="00BC2B27" w:rsidP="00BC2B27">
            <w:pPr>
              <w:rPr>
                <w:rFonts w:ascii="Arial" w:hAnsi="Arial" w:cs="Arial"/>
                <w:b/>
                <w:bCs/>
                <w:color w:val="FFFFFF"/>
                <w:sz w:val="16"/>
                <w:szCs w:val="16"/>
              </w:rPr>
            </w:pPr>
            <w:r w:rsidRPr="00BC2B27">
              <w:rPr>
                <w:rFonts w:ascii="Arial" w:hAnsi="Arial" w:cs="Arial"/>
                <w:b/>
                <w:bCs/>
                <w:color w:val="FFFFFF"/>
                <w:sz w:val="16"/>
                <w:szCs w:val="16"/>
              </w:rPr>
              <w:t>Costos del servicio de extensión (A+B+C+D+E) por UF</w:t>
            </w:r>
          </w:p>
        </w:tc>
        <w:tc>
          <w:tcPr>
            <w:tcW w:w="734" w:type="pct"/>
            <w:shd w:val="clear" w:color="auto" w:fill="auto"/>
            <w:noWrap/>
            <w:vAlign w:val="bottom"/>
            <w:hideMark/>
          </w:tcPr>
          <w:p w14:paraId="305F2F9B" w14:textId="70509FC6" w:rsidR="00BC2B27" w:rsidRPr="00BC2B27" w:rsidRDefault="00BC2B27" w:rsidP="00BC2B27">
            <w:pPr>
              <w:jc w:val="both"/>
              <w:rPr>
                <w:rFonts w:ascii="Arial" w:hAnsi="Arial" w:cs="Arial"/>
                <w:color w:val="000000"/>
                <w:sz w:val="16"/>
                <w:szCs w:val="16"/>
              </w:rPr>
            </w:pPr>
            <w:r w:rsidRPr="7A20C1C4">
              <w:rPr>
                <w:rFonts w:ascii="Arial" w:hAnsi="Arial" w:cs="Arial"/>
                <w:color w:val="000000" w:themeColor="text1"/>
                <w:sz w:val="16"/>
                <w:szCs w:val="16"/>
              </w:rPr>
              <w:t xml:space="preserve">$ 949.806 </w:t>
            </w:r>
          </w:p>
        </w:tc>
      </w:tr>
    </w:tbl>
    <w:p w14:paraId="083E7D6D" w14:textId="753B95C7" w:rsidR="42382D96" w:rsidRPr="0086351C" w:rsidRDefault="42382D96" w:rsidP="00DEA33A">
      <w:pPr>
        <w:jc w:val="both"/>
        <w:rPr>
          <w:rFonts w:ascii="Arial" w:eastAsia="Arial" w:hAnsi="Arial" w:cs="Arial"/>
          <w:sz w:val="22"/>
          <w:szCs w:val="22"/>
        </w:rPr>
      </w:pPr>
    </w:p>
    <w:p w14:paraId="3E5C1B63" w14:textId="77777777" w:rsidR="008A5A2E" w:rsidRPr="0086351C" w:rsidRDefault="008A5A2E" w:rsidP="008A5A2E">
      <w:pPr>
        <w:jc w:val="center"/>
        <w:rPr>
          <w:rFonts w:ascii="Arial" w:eastAsia="Arial Narrow" w:hAnsi="Arial" w:cs="Arial"/>
          <w:color w:val="000000" w:themeColor="text1"/>
          <w:sz w:val="18"/>
          <w:szCs w:val="18"/>
          <w:lang w:eastAsia="en-US"/>
        </w:rPr>
      </w:pPr>
      <w:r w:rsidRPr="0086351C">
        <w:rPr>
          <w:rFonts w:ascii="Arial" w:eastAsia="Arial MT" w:hAnsi="Arial" w:cs="Arial"/>
          <w:i/>
          <w:iCs/>
          <w:sz w:val="18"/>
          <w:szCs w:val="18"/>
          <w:lang w:val="es-ES" w:eastAsia="en-US"/>
        </w:rPr>
        <w:t xml:space="preserve">Tabla </w:t>
      </w:r>
      <w:r w:rsidRPr="0086351C">
        <w:rPr>
          <w:rFonts w:ascii="Arial" w:eastAsia="Arial MT" w:hAnsi="Arial" w:cs="Arial"/>
          <w:i/>
          <w:iCs/>
          <w:sz w:val="18"/>
          <w:szCs w:val="18"/>
          <w:lang w:val="es-ES" w:eastAsia="en-US"/>
        </w:rPr>
        <w:fldChar w:fldCharType="begin"/>
      </w:r>
      <w:r w:rsidRPr="0086351C">
        <w:rPr>
          <w:rFonts w:ascii="Arial" w:eastAsia="Arial MT" w:hAnsi="Arial" w:cs="Arial"/>
          <w:i/>
          <w:iCs/>
          <w:sz w:val="18"/>
          <w:szCs w:val="18"/>
          <w:lang w:val="es-ES" w:eastAsia="en-US"/>
        </w:rPr>
        <w:instrText xml:space="preserve"> SEQ Tabla \* ARABIC </w:instrText>
      </w:r>
      <w:r w:rsidRPr="0086351C">
        <w:rPr>
          <w:rFonts w:ascii="Arial" w:eastAsia="Arial MT" w:hAnsi="Arial" w:cs="Arial"/>
          <w:i/>
          <w:iCs/>
          <w:sz w:val="18"/>
          <w:szCs w:val="18"/>
          <w:lang w:val="es-ES" w:eastAsia="en-US"/>
        </w:rPr>
        <w:fldChar w:fldCharType="separate"/>
      </w:r>
      <w:r w:rsidRPr="0086351C">
        <w:rPr>
          <w:rFonts w:ascii="Arial" w:eastAsia="Arial MT" w:hAnsi="Arial" w:cs="Arial"/>
          <w:i/>
          <w:iCs/>
          <w:noProof/>
          <w:sz w:val="18"/>
          <w:szCs w:val="18"/>
          <w:lang w:val="es-ES" w:eastAsia="en-US"/>
        </w:rPr>
        <w:t>13</w:t>
      </w:r>
      <w:r w:rsidRPr="0086351C">
        <w:rPr>
          <w:rFonts w:ascii="Arial" w:eastAsia="Arial MT" w:hAnsi="Arial" w:cs="Arial"/>
          <w:i/>
          <w:iCs/>
          <w:sz w:val="18"/>
          <w:szCs w:val="18"/>
          <w:lang w:val="es-ES" w:eastAsia="en-US"/>
        </w:rPr>
        <w:fldChar w:fldCharType="end"/>
      </w:r>
      <w:r w:rsidRPr="0086351C">
        <w:rPr>
          <w:rFonts w:ascii="Arial" w:eastAsia="Arial MT" w:hAnsi="Arial" w:cs="Arial"/>
          <w:i/>
          <w:iCs/>
          <w:sz w:val="18"/>
          <w:szCs w:val="18"/>
          <w:lang w:val="es-ES" w:eastAsia="en-US"/>
        </w:rPr>
        <w:t>. Supuestos y bases de cálculo para el costeo del servicio de extensión agropecuaria</w:t>
      </w:r>
    </w:p>
    <w:p w14:paraId="6E938D7D" w14:textId="77777777" w:rsidR="008A5A2E" w:rsidRPr="0086351C" w:rsidRDefault="008A5A2E" w:rsidP="008A5A2E">
      <w:pPr>
        <w:jc w:val="center"/>
        <w:rPr>
          <w:rFonts w:ascii="Arial" w:eastAsia="Arial Narrow" w:hAnsi="Arial" w:cs="Arial"/>
          <w:color w:val="000000" w:themeColor="text1"/>
          <w:sz w:val="18"/>
          <w:szCs w:val="18"/>
          <w:lang w:eastAsia="en-US"/>
        </w:rPr>
      </w:pPr>
      <w:r w:rsidRPr="0086351C">
        <w:rPr>
          <w:rFonts w:ascii="Arial" w:eastAsia="Arial Narrow" w:hAnsi="Arial" w:cs="Arial"/>
          <w:color w:val="000000" w:themeColor="text1"/>
          <w:sz w:val="18"/>
          <w:szCs w:val="18"/>
          <w:lang w:eastAsia="en-US"/>
        </w:rPr>
        <w:t>Fuente: Resolución 00321 del 2022 en la que se adopta el “Plan Nacional de Asistencia Integral Técnica, Tecnológica y de Impulso a la Investigación (Plan AT), Plan Nacional para la Reforma Rural Integral”. Costos ajustados a 2024 por la Dirección de Asistencia Técnica.</w:t>
      </w:r>
    </w:p>
    <w:p w14:paraId="706DAAEF" w14:textId="77777777" w:rsidR="00571026" w:rsidRPr="0086351C" w:rsidRDefault="00571026" w:rsidP="00571026">
      <w:pPr>
        <w:ind w:left="1582" w:right="1616"/>
        <w:jc w:val="both"/>
        <w:rPr>
          <w:rFonts w:ascii="Arial" w:hAnsi="Arial" w:cs="Arial"/>
          <w:spacing w:val="-1"/>
          <w:w w:val="85"/>
          <w:sz w:val="22"/>
          <w:szCs w:val="22"/>
        </w:rPr>
      </w:pPr>
    </w:p>
    <w:p w14:paraId="4EE2102B" w14:textId="77EE131C" w:rsidR="00600D56" w:rsidRPr="00036D0D" w:rsidRDefault="00600D56" w:rsidP="00150BD6">
      <w:pPr>
        <w:pStyle w:val="Textoindependiente"/>
        <w:spacing w:line="276" w:lineRule="auto"/>
        <w:ind w:right="49"/>
        <w:jc w:val="both"/>
        <w:rPr>
          <w:rFonts w:ascii="Arial" w:eastAsiaTheme="minorEastAsia" w:hAnsi="Arial" w:cs="Arial"/>
          <w:color w:val="000000" w:themeColor="text1"/>
          <w:lang w:val="es-CO"/>
        </w:rPr>
      </w:pPr>
      <w:bookmarkStart w:id="27" w:name="_Hlk165835292"/>
      <w:r w:rsidRPr="00036D0D">
        <w:rPr>
          <w:rFonts w:ascii="Arial" w:hAnsi="Arial" w:cs="Arial"/>
          <w:color w:val="000000" w:themeColor="text1"/>
          <w:lang w:val="es-CO"/>
        </w:rPr>
        <w:t xml:space="preserve">Como se evidencia en las bases de cálculo del anexo técnico de la resolución 132/22 precedente, dentro de los componentes utilizados como insumo para la </w:t>
      </w:r>
      <w:r w:rsidRPr="00036D0D">
        <w:rPr>
          <w:rFonts w:ascii="Arial" w:eastAsiaTheme="minorEastAsia" w:hAnsi="Arial" w:cs="Arial"/>
          <w:color w:val="000000" w:themeColor="text1"/>
          <w:lang w:val="es-CO"/>
        </w:rPr>
        <w:t>definición del valor referente por usuario a nivel nacional se encuentran elementos correspondientes a aspectos administrativos, logísticos y de soporte del servicio público de extensión, tales como arrendamientos, tiempos de atención al público por parte del extensionista y labores en oficina, papelería, arrendamiento, servicios públicos, apoyos de comunicación; además de pruebas de apoyo como análisis de suelos y materiales de consumo para el desarrollo de actividades prácticas, ent</w:t>
      </w:r>
      <w:r w:rsidR="00446E51" w:rsidRPr="00036D0D">
        <w:rPr>
          <w:rFonts w:ascii="Arial" w:eastAsiaTheme="minorEastAsia" w:hAnsi="Arial" w:cs="Arial"/>
          <w:color w:val="000000" w:themeColor="text1"/>
          <w:lang w:val="es-CO"/>
        </w:rPr>
        <w:t>r</w:t>
      </w:r>
      <w:r w:rsidRPr="00036D0D">
        <w:rPr>
          <w:rFonts w:ascii="Arial" w:eastAsiaTheme="minorEastAsia" w:hAnsi="Arial" w:cs="Arial"/>
          <w:color w:val="000000" w:themeColor="text1"/>
          <w:lang w:val="es-CO"/>
        </w:rPr>
        <w:t>e otros.</w:t>
      </w:r>
    </w:p>
    <w:p w14:paraId="08E5F88D" w14:textId="77777777" w:rsidR="00DF3B88" w:rsidRPr="00036D0D" w:rsidRDefault="00DF3B88" w:rsidP="00150BD6">
      <w:pPr>
        <w:pStyle w:val="Textoindependiente"/>
        <w:spacing w:line="276" w:lineRule="auto"/>
        <w:ind w:right="49"/>
        <w:jc w:val="both"/>
        <w:rPr>
          <w:rFonts w:ascii="Arial" w:hAnsi="Arial" w:cs="Arial"/>
          <w:color w:val="000000" w:themeColor="text1"/>
          <w:lang w:val="es-CO"/>
        </w:rPr>
      </w:pPr>
    </w:p>
    <w:bookmarkEnd w:id="27"/>
    <w:p w14:paraId="177F2247" w14:textId="6A918734" w:rsidR="1BFC7AE5" w:rsidRPr="00036D0D" w:rsidRDefault="1BFC7AE5" w:rsidP="00150BD6">
      <w:pPr>
        <w:spacing w:line="276" w:lineRule="auto"/>
        <w:ind w:right="49"/>
        <w:jc w:val="both"/>
        <w:rPr>
          <w:rFonts w:ascii="Arial" w:hAnsi="Arial" w:cs="Arial"/>
          <w:sz w:val="22"/>
          <w:szCs w:val="22"/>
        </w:rPr>
      </w:pPr>
      <w:r w:rsidRPr="00036D0D">
        <w:rPr>
          <w:rFonts w:ascii="Arial" w:eastAsia="Arial" w:hAnsi="Arial" w:cs="Arial"/>
          <w:color w:val="000000" w:themeColor="text1"/>
          <w:sz w:val="22"/>
          <w:szCs w:val="22"/>
        </w:rPr>
        <w:t>El porcentaje de estos componentes dentro del valor máximo a reconocer por usuario en el 2024 llega hasta un 40% del recurso disponible, referente desde el cual la DAT ha logrado establecer que es viable orientar este porcentaje del recurso asignado a cubrir el costo de elaboración de productos, consolidación de información, adquisición de los insumos y gestión del personal directamente relacionados con los entregables y productos identificados como parte del servicio de extensión agropecuaria en cada una de las fases del convenio interadministrativo (alistamiento, planeación y evaluación del SPEA).</w:t>
      </w:r>
    </w:p>
    <w:p w14:paraId="666210EC" w14:textId="7ED6EC51" w:rsidR="25956B64" w:rsidRPr="00036D0D" w:rsidRDefault="25956B64" w:rsidP="25956B64">
      <w:pPr>
        <w:pStyle w:val="Textoindependiente"/>
        <w:ind w:right="49"/>
        <w:jc w:val="both"/>
        <w:rPr>
          <w:rFonts w:ascii="Arial" w:eastAsiaTheme="minorEastAsia" w:hAnsi="Arial" w:cs="Arial"/>
          <w:color w:val="000000" w:themeColor="text1"/>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4836"/>
        <w:gridCol w:w="467"/>
        <w:gridCol w:w="900"/>
        <w:gridCol w:w="1921"/>
      </w:tblGrid>
      <w:tr w:rsidR="00571026" w:rsidRPr="00150BD6" w14:paraId="688F3F2B" w14:textId="77777777" w:rsidTr="00150BD6">
        <w:trPr>
          <w:trHeight w:val="272"/>
          <w:jc w:val="center"/>
        </w:trPr>
        <w:tc>
          <w:tcPr>
            <w:tcW w:w="3667" w:type="pct"/>
            <w:gridSpan w:val="4"/>
            <w:shd w:val="clear" w:color="auto" w:fill="auto"/>
            <w:noWrap/>
            <w:vAlign w:val="center"/>
            <w:hideMark/>
          </w:tcPr>
          <w:p w14:paraId="51B79EF3" w14:textId="77777777" w:rsidR="00571026" w:rsidRPr="00150BD6" w:rsidRDefault="00571026">
            <w:pPr>
              <w:rPr>
                <w:rFonts w:ascii="Arial" w:hAnsi="Arial" w:cs="Arial"/>
                <w:b/>
                <w:bCs/>
                <w:color w:val="000000"/>
                <w:sz w:val="18"/>
                <w:szCs w:val="18"/>
              </w:rPr>
            </w:pPr>
            <w:r w:rsidRPr="00150BD6">
              <w:rPr>
                <w:rFonts w:ascii="Arial" w:hAnsi="Arial" w:cs="Arial"/>
                <w:b/>
                <w:bCs/>
                <w:color w:val="000000" w:themeColor="text1"/>
                <w:sz w:val="18"/>
                <w:szCs w:val="18"/>
              </w:rPr>
              <w:t>Estimado actividades SPEA Nacional Anexo Técnico Res. 132/22</w:t>
            </w:r>
          </w:p>
        </w:tc>
        <w:tc>
          <w:tcPr>
            <w:tcW w:w="1333" w:type="pct"/>
            <w:shd w:val="clear" w:color="auto" w:fill="auto"/>
            <w:noWrap/>
            <w:vAlign w:val="center"/>
            <w:hideMark/>
          </w:tcPr>
          <w:p w14:paraId="0C59B55C"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Valor unitario por actividad</w:t>
            </w:r>
          </w:p>
        </w:tc>
      </w:tr>
      <w:tr w:rsidR="00571026" w:rsidRPr="00150BD6" w14:paraId="60F9B655" w14:textId="77777777" w:rsidTr="00150BD6">
        <w:trPr>
          <w:trHeight w:val="260"/>
          <w:jc w:val="center"/>
        </w:trPr>
        <w:tc>
          <w:tcPr>
            <w:tcW w:w="1000" w:type="pct"/>
            <w:shd w:val="clear" w:color="auto" w:fill="auto"/>
            <w:vAlign w:val="center"/>
            <w:hideMark/>
          </w:tcPr>
          <w:p w14:paraId="5A775007"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Visitas a la UF</w:t>
            </w:r>
          </w:p>
        </w:tc>
        <w:tc>
          <w:tcPr>
            <w:tcW w:w="1309" w:type="pct"/>
            <w:shd w:val="clear" w:color="auto" w:fill="auto"/>
            <w:noWrap/>
            <w:vAlign w:val="center"/>
            <w:hideMark/>
          </w:tcPr>
          <w:p w14:paraId="2E45FC9A"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A. Cada UF recibiría 4 visitas/año</w:t>
            </w:r>
          </w:p>
        </w:tc>
        <w:tc>
          <w:tcPr>
            <w:tcW w:w="374" w:type="pct"/>
            <w:shd w:val="clear" w:color="auto" w:fill="auto"/>
            <w:vAlign w:val="center"/>
            <w:hideMark/>
          </w:tcPr>
          <w:p w14:paraId="4DF8748A"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4</w:t>
            </w:r>
          </w:p>
        </w:tc>
        <w:tc>
          <w:tcPr>
            <w:tcW w:w="985" w:type="pct"/>
            <w:shd w:val="clear" w:color="auto" w:fill="auto"/>
            <w:vAlign w:val="center"/>
            <w:hideMark/>
          </w:tcPr>
          <w:p w14:paraId="4F9BAEBE"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Costo/visita</w:t>
            </w:r>
          </w:p>
        </w:tc>
        <w:tc>
          <w:tcPr>
            <w:tcW w:w="1333" w:type="pct"/>
            <w:shd w:val="clear" w:color="auto" w:fill="auto"/>
            <w:noWrap/>
            <w:vAlign w:val="center"/>
            <w:hideMark/>
          </w:tcPr>
          <w:p w14:paraId="228B9C59" w14:textId="2D693A19"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 $ 129.383 (*4)</w:t>
            </w:r>
          </w:p>
        </w:tc>
      </w:tr>
      <w:tr w:rsidR="00571026" w:rsidRPr="00150BD6" w14:paraId="4E0FFA5B" w14:textId="77777777" w:rsidTr="00150BD6">
        <w:trPr>
          <w:trHeight w:val="512"/>
          <w:jc w:val="center"/>
        </w:trPr>
        <w:tc>
          <w:tcPr>
            <w:tcW w:w="1000" w:type="pct"/>
            <w:vMerge w:val="restart"/>
            <w:shd w:val="clear" w:color="auto" w:fill="auto"/>
            <w:vAlign w:val="center"/>
            <w:hideMark/>
          </w:tcPr>
          <w:p w14:paraId="66D4B6F7"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Métodos grupales</w:t>
            </w:r>
          </w:p>
        </w:tc>
        <w:tc>
          <w:tcPr>
            <w:tcW w:w="1309" w:type="pct"/>
            <w:shd w:val="clear" w:color="auto" w:fill="auto"/>
            <w:vAlign w:val="center"/>
            <w:hideMark/>
          </w:tcPr>
          <w:p w14:paraId="097C04A4"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B. Eventos grupales: Cada productor que representa una UF participaría en 6 actividades /año</w:t>
            </w:r>
          </w:p>
        </w:tc>
        <w:tc>
          <w:tcPr>
            <w:tcW w:w="374" w:type="pct"/>
            <w:shd w:val="clear" w:color="auto" w:fill="auto"/>
            <w:vAlign w:val="center"/>
            <w:hideMark/>
          </w:tcPr>
          <w:p w14:paraId="75CAB20F"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6</w:t>
            </w:r>
          </w:p>
        </w:tc>
        <w:tc>
          <w:tcPr>
            <w:tcW w:w="985" w:type="pct"/>
            <w:shd w:val="clear" w:color="auto" w:fill="auto"/>
            <w:vAlign w:val="center"/>
            <w:hideMark/>
          </w:tcPr>
          <w:p w14:paraId="7C1DE946"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Actividades</w:t>
            </w:r>
          </w:p>
        </w:tc>
        <w:tc>
          <w:tcPr>
            <w:tcW w:w="1333" w:type="pct"/>
            <w:shd w:val="clear" w:color="auto" w:fill="auto"/>
            <w:noWrap/>
            <w:vAlign w:val="center"/>
            <w:hideMark/>
          </w:tcPr>
          <w:p w14:paraId="228B1E23" w14:textId="02D0A193"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 $</w:t>
            </w:r>
            <w:r w:rsidR="00150BD6">
              <w:rPr>
                <w:rFonts w:ascii="Arial" w:hAnsi="Arial" w:cs="Arial"/>
                <w:color w:val="000000" w:themeColor="text1"/>
                <w:sz w:val="18"/>
                <w:szCs w:val="18"/>
              </w:rPr>
              <w:t xml:space="preserve"> </w:t>
            </w:r>
            <w:r w:rsidRPr="00150BD6">
              <w:rPr>
                <w:rFonts w:ascii="Arial" w:hAnsi="Arial" w:cs="Arial"/>
                <w:color w:val="000000" w:themeColor="text1"/>
                <w:sz w:val="18"/>
                <w:szCs w:val="18"/>
              </w:rPr>
              <w:t>37.218 (*6)</w:t>
            </w:r>
          </w:p>
        </w:tc>
      </w:tr>
      <w:tr w:rsidR="00571026" w:rsidRPr="00150BD6" w14:paraId="48E4B3C3" w14:textId="77777777" w:rsidTr="00150BD6">
        <w:trPr>
          <w:trHeight w:val="260"/>
          <w:jc w:val="center"/>
        </w:trPr>
        <w:tc>
          <w:tcPr>
            <w:tcW w:w="1000" w:type="pct"/>
            <w:vMerge/>
            <w:vAlign w:val="center"/>
            <w:hideMark/>
          </w:tcPr>
          <w:p w14:paraId="56046680" w14:textId="77777777" w:rsidR="00571026" w:rsidRPr="00150BD6" w:rsidRDefault="00571026">
            <w:pPr>
              <w:rPr>
                <w:rFonts w:ascii="Arial" w:hAnsi="Arial" w:cs="Arial"/>
                <w:color w:val="000000"/>
                <w:sz w:val="18"/>
                <w:szCs w:val="18"/>
              </w:rPr>
            </w:pPr>
          </w:p>
        </w:tc>
        <w:tc>
          <w:tcPr>
            <w:tcW w:w="1309" w:type="pct"/>
            <w:shd w:val="clear" w:color="auto" w:fill="auto"/>
            <w:noWrap/>
            <w:vAlign w:val="center"/>
            <w:hideMark/>
          </w:tcPr>
          <w:p w14:paraId="01DD167E"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C. Giras para identificación de casos exitosos.</w:t>
            </w:r>
          </w:p>
        </w:tc>
        <w:tc>
          <w:tcPr>
            <w:tcW w:w="374" w:type="pct"/>
            <w:shd w:val="clear" w:color="auto" w:fill="auto"/>
            <w:vAlign w:val="center"/>
            <w:hideMark/>
          </w:tcPr>
          <w:p w14:paraId="19B49905"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1</w:t>
            </w:r>
          </w:p>
        </w:tc>
        <w:tc>
          <w:tcPr>
            <w:tcW w:w="985" w:type="pct"/>
            <w:shd w:val="clear" w:color="auto" w:fill="auto"/>
            <w:vAlign w:val="center"/>
            <w:hideMark/>
          </w:tcPr>
          <w:p w14:paraId="405F25F7"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Giras</w:t>
            </w:r>
          </w:p>
        </w:tc>
        <w:tc>
          <w:tcPr>
            <w:tcW w:w="1333" w:type="pct"/>
            <w:shd w:val="clear" w:color="auto" w:fill="auto"/>
            <w:noWrap/>
            <w:vAlign w:val="center"/>
            <w:hideMark/>
          </w:tcPr>
          <w:p w14:paraId="1D405AB6" w14:textId="7C77C8DD"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 $</w:t>
            </w:r>
            <w:r w:rsidR="00150BD6">
              <w:rPr>
                <w:rFonts w:ascii="Arial" w:hAnsi="Arial" w:cs="Arial"/>
                <w:color w:val="000000" w:themeColor="text1"/>
                <w:sz w:val="18"/>
                <w:szCs w:val="18"/>
              </w:rPr>
              <w:t xml:space="preserve"> </w:t>
            </w:r>
            <w:r w:rsidRPr="00150BD6">
              <w:rPr>
                <w:rFonts w:ascii="Arial" w:hAnsi="Arial" w:cs="Arial"/>
                <w:color w:val="000000" w:themeColor="text1"/>
                <w:sz w:val="18"/>
                <w:szCs w:val="18"/>
              </w:rPr>
              <w:t xml:space="preserve">169.638 </w:t>
            </w:r>
          </w:p>
        </w:tc>
      </w:tr>
      <w:tr w:rsidR="00571026" w:rsidRPr="00150BD6" w14:paraId="43611B00" w14:textId="77777777" w:rsidTr="00150BD6">
        <w:trPr>
          <w:trHeight w:val="511"/>
          <w:jc w:val="center"/>
        </w:trPr>
        <w:tc>
          <w:tcPr>
            <w:tcW w:w="1000" w:type="pct"/>
            <w:vMerge w:val="restart"/>
            <w:shd w:val="clear" w:color="auto" w:fill="auto"/>
            <w:vAlign w:val="center"/>
            <w:hideMark/>
          </w:tcPr>
          <w:p w14:paraId="08D109CC"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Masivos</w:t>
            </w:r>
          </w:p>
        </w:tc>
        <w:tc>
          <w:tcPr>
            <w:tcW w:w="1309" w:type="pct"/>
            <w:shd w:val="clear" w:color="auto" w:fill="auto"/>
            <w:noWrap/>
            <w:vAlign w:val="center"/>
            <w:hideMark/>
          </w:tcPr>
          <w:p w14:paraId="5671954C"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D. Programa de radio semanal con alcance para más de 1000 personas</w:t>
            </w:r>
          </w:p>
        </w:tc>
        <w:tc>
          <w:tcPr>
            <w:tcW w:w="374" w:type="pct"/>
            <w:shd w:val="clear" w:color="auto" w:fill="auto"/>
            <w:vAlign w:val="center"/>
            <w:hideMark/>
          </w:tcPr>
          <w:p w14:paraId="5E797BAB"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52</w:t>
            </w:r>
          </w:p>
        </w:tc>
        <w:tc>
          <w:tcPr>
            <w:tcW w:w="985" w:type="pct"/>
            <w:shd w:val="clear" w:color="auto" w:fill="auto"/>
            <w:vAlign w:val="center"/>
            <w:hideMark/>
          </w:tcPr>
          <w:p w14:paraId="758A4102"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programas/ 1000 oyentes</w:t>
            </w:r>
          </w:p>
        </w:tc>
        <w:tc>
          <w:tcPr>
            <w:tcW w:w="1333" w:type="pct"/>
            <w:shd w:val="clear" w:color="auto" w:fill="auto"/>
            <w:noWrap/>
            <w:vAlign w:val="center"/>
            <w:hideMark/>
          </w:tcPr>
          <w:p w14:paraId="53ECED86" w14:textId="1A61BB40"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 $ 9.328 </w:t>
            </w:r>
          </w:p>
        </w:tc>
      </w:tr>
      <w:tr w:rsidR="00571026" w:rsidRPr="00150BD6" w14:paraId="7EE14C98" w14:textId="77777777" w:rsidTr="00150BD6">
        <w:trPr>
          <w:trHeight w:val="512"/>
          <w:jc w:val="center"/>
        </w:trPr>
        <w:tc>
          <w:tcPr>
            <w:tcW w:w="1000" w:type="pct"/>
            <w:vMerge/>
            <w:vAlign w:val="center"/>
            <w:hideMark/>
          </w:tcPr>
          <w:p w14:paraId="7F55A95C" w14:textId="77777777" w:rsidR="00571026" w:rsidRPr="00150BD6" w:rsidRDefault="00571026">
            <w:pPr>
              <w:rPr>
                <w:rFonts w:ascii="Arial" w:hAnsi="Arial" w:cs="Arial"/>
                <w:color w:val="000000"/>
                <w:sz w:val="18"/>
                <w:szCs w:val="18"/>
              </w:rPr>
            </w:pPr>
          </w:p>
        </w:tc>
        <w:tc>
          <w:tcPr>
            <w:tcW w:w="1309" w:type="pct"/>
            <w:shd w:val="clear" w:color="auto" w:fill="auto"/>
            <w:vAlign w:val="center"/>
            <w:hideMark/>
          </w:tcPr>
          <w:p w14:paraId="144F30E0"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E. Distribución de Cartillas, Diseño, edición y distribución de Cartillas, periódico, boletines y afiches por municipio (anual) </w:t>
            </w:r>
          </w:p>
        </w:tc>
        <w:tc>
          <w:tcPr>
            <w:tcW w:w="374" w:type="pct"/>
            <w:shd w:val="clear" w:color="auto" w:fill="auto"/>
            <w:vAlign w:val="center"/>
            <w:hideMark/>
          </w:tcPr>
          <w:p w14:paraId="3D12BDFE"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1000</w:t>
            </w:r>
          </w:p>
        </w:tc>
        <w:tc>
          <w:tcPr>
            <w:tcW w:w="985" w:type="pct"/>
            <w:shd w:val="clear" w:color="auto" w:fill="auto"/>
            <w:vAlign w:val="center"/>
            <w:hideMark/>
          </w:tcPr>
          <w:p w14:paraId="130F9118" w14:textId="77777777"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Unidades</w:t>
            </w:r>
          </w:p>
        </w:tc>
        <w:tc>
          <w:tcPr>
            <w:tcW w:w="1333" w:type="pct"/>
            <w:shd w:val="clear" w:color="auto" w:fill="auto"/>
            <w:noWrap/>
            <w:vAlign w:val="center"/>
            <w:hideMark/>
          </w:tcPr>
          <w:p w14:paraId="573DF4B3" w14:textId="32594E8F" w:rsidR="00571026" w:rsidRPr="00150BD6" w:rsidRDefault="00571026">
            <w:pPr>
              <w:rPr>
                <w:rFonts w:ascii="Arial" w:hAnsi="Arial" w:cs="Arial"/>
                <w:color w:val="000000"/>
                <w:sz w:val="18"/>
                <w:szCs w:val="18"/>
              </w:rPr>
            </w:pPr>
            <w:r w:rsidRPr="00150BD6">
              <w:rPr>
                <w:rFonts w:ascii="Arial" w:hAnsi="Arial" w:cs="Arial"/>
                <w:color w:val="000000" w:themeColor="text1"/>
                <w:sz w:val="18"/>
                <w:szCs w:val="18"/>
              </w:rPr>
              <w:t xml:space="preserve"> $ 30.000 </w:t>
            </w:r>
          </w:p>
        </w:tc>
      </w:tr>
      <w:tr w:rsidR="00571026" w:rsidRPr="00150BD6" w14:paraId="2AC04440" w14:textId="77777777" w:rsidTr="00150BD6">
        <w:trPr>
          <w:trHeight w:val="337"/>
          <w:jc w:val="center"/>
        </w:trPr>
        <w:tc>
          <w:tcPr>
            <w:tcW w:w="3667" w:type="pct"/>
            <w:gridSpan w:val="4"/>
            <w:shd w:val="clear" w:color="auto" w:fill="auto"/>
            <w:noWrap/>
            <w:vAlign w:val="center"/>
            <w:hideMark/>
          </w:tcPr>
          <w:p w14:paraId="24444DB2" w14:textId="77777777" w:rsidR="00571026" w:rsidRPr="00150BD6" w:rsidRDefault="00571026">
            <w:pPr>
              <w:rPr>
                <w:rFonts w:ascii="Arial" w:hAnsi="Arial" w:cs="Arial"/>
                <w:b/>
                <w:bCs/>
                <w:color w:val="000000"/>
                <w:sz w:val="18"/>
                <w:szCs w:val="18"/>
              </w:rPr>
            </w:pPr>
            <w:r w:rsidRPr="00150BD6">
              <w:rPr>
                <w:rFonts w:ascii="Arial" w:hAnsi="Arial" w:cs="Arial"/>
                <w:b/>
                <w:bCs/>
                <w:color w:val="000000" w:themeColor="text1"/>
                <w:sz w:val="18"/>
                <w:szCs w:val="18"/>
              </w:rPr>
              <w:t>Valor tope por Usuario 2024</w:t>
            </w:r>
          </w:p>
        </w:tc>
        <w:tc>
          <w:tcPr>
            <w:tcW w:w="1333" w:type="pct"/>
            <w:shd w:val="clear" w:color="auto" w:fill="auto"/>
            <w:noWrap/>
            <w:vAlign w:val="center"/>
            <w:hideMark/>
          </w:tcPr>
          <w:p w14:paraId="6B655D7C" w14:textId="2727824B" w:rsidR="00571026" w:rsidRPr="00150BD6" w:rsidRDefault="00571026">
            <w:pPr>
              <w:rPr>
                <w:rFonts w:ascii="Arial" w:hAnsi="Arial" w:cs="Arial"/>
                <w:b/>
                <w:bCs/>
                <w:color w:val="000000"/>
                <w:sz w:val="18"/>
                <w:szCs w:val="18"/>
              </w:rPr>
            </w:pPr>
            <w:r w:rsidRPr="00150BD6">
              <w:rPr>
                <w:rFonts w:ascii="Arial" w:hAnsi="Arial" w:cs="Arial"/>
                <w:b/>
                <w:bCs/>
                <w:color w:val="000000" w:themeColor="text1"/>
                <w:sz w:val="18"/>
                <w:szCs w:val="18"/>
              </w:rPr>
              <w:t xml:space="preserve"> $ 949.806 </w:t>
            </w:r>
          </w:p>
        </w:tc>
      </w:tr>
    </w:tbl>
    <w:p w14:paraId="2D071BCD" w14:textId="77777777" w:rsidR="00571026" w:rsidRPr="0086351C" w:rsidRDefault="00571026" w:rsidP="00571026">
      <w:pPr>
        <w:ind w:left="1582" w:right="1616"/>
        <w:rPr>
          <w:rFonts w:ascii="Arial" w:eastAsiaTheme="minorHAnsi" w:hAnsi="Arial" w:cs="Arial"/>
          <w:sz w:val="22"/>
          <w:szCs w:val="22"/>
          <w:lang w:val="en-US"/>
        </w:rPr>
      </w:pPr>
      <w:r w:rsidRPr="0086351C">
        <w:rPr>
          <w:rFonts w:ascii="Arial" w:hAnsi="Arial" w:cs="Arial"/>
          <w:w w:val="85"/>
          <w:sz w:val="22"/>
          <w:szCs w:val="22"/>
          <w:highlight w:val="yellow"/>
        </w:rPr>
        <w:fldChar w:fldCharType="begin"/>
      </w:r>
      <w:r w:rsidRPr="0086351C">
        <w:rPr>
          <w:rFonts w:ascii="Arial" w:hAnsi="Arial" w:cs="Arial"/>
          <w:w w:val="85"/>
          <w:sz w:val="22"/>
          <w:szCs w:val="22"/>
          <w:highlight w:val="yellow"/>
        </w:rPr>
        <w:instrText xml:space="preserve"> LINK Excel.Sheet.12 "https://d.docs.live.net/3b9a9b589c0cc0a9/Escritorio/PRESTACION SPEA/20032024 Proyeccion zonificacion SPEA 2024.xlsx" "Proyeccion 2024!F1C1:F31C8" \a \f 4 \h  \* MERGEFORMAT </w:instrText>
      </w:r>
      <w:r w:rsidRPr="0086351C">
        <w:rPr>
          <w:rFonts w:ascii="Arial" w:hAnsi="Arial" w:cs="Arial"/>
          <w:w w:val="85"/>
          <w:sz w:val="22"/>
          <w:szCs w:val="22"/>
          <w:highlight w:val="yellow"/>
        </w:rPr>
        <w:fldChar w:fldCharType="separate"/>
      </w:r>
    </w:p>
    <w:p w14:paraId="2D5C3AFE" w14:textId="1F52B8CD" w:rsidR="009332A4" w:rsidRPr="00036D0D" w:rsidRDefault="00571026" w:rsidP="00150BD6">
      <w:pPr>
        <w:spacing w:before="240" w:after="240" w:line="276" w:lineRule="auto"/>
        <w:jc w:val="both"/>
        <w:rPr>
          <w:rFonts w:ascii="Arial" w:hAnsi="Arial" w:cs="Arial"/>
          <w:sz w:val="22"/>
          <w:szCs w:val="22"/>
        </w:rPr>
      </w:pPr>
      <w:r w:rsidRPr="0086351C">
        <w:rPr>
          <w:rFonts w:ascii="Arial" w:hAnsi="Arial" w:cs="Arial"/>
          <w:sz w:val="22"/>
          <w:szCs w:val="22"/>
          <w:highlight w:val="yellow"/>
        </w:rPr>
        <w:lastRenderedPageBreak/>
        <w:fldChar w:fldCharType="end"/>
      </w:r>
      <w:r w:rsidR="009332A4" w:rsidRPr="00036D0D">
        <w:rPr>
          <w:rFonts w:ascii="Arial" w:hAnsi="Arial" w:cs="Arial"/>
          <w:sz w:val="22"/>
          <w:szCs w:val="22"/>
        </w:rPr>
        <w:t>Los costos asociados para la vigencia 2024 se ajustan a un valor tope por usuario de $949.806, lo que representa un incremento del 7,9% respecto al valor máximo por usuario de 2023, que era por valor de $879.819, esto con el objetivo de desarrollar un proceso de extensión adaptado a las condiciones y necesidades del territorio, y cumpliendo con los principios de continuidad y gradualidad dispuestos en la ley 1876/17, por tanto, la Dirección de Asistencia Técnica ha decidido adelantar el ajuste en la cantidad de métodos a desarrollar y el valor de las acciones de extensión a cumplir en un periodo de 2,5 meses.</w:t>
      </w:r>
    </w:p>
    <w:p w14:paraId="464FE855" w14:textId="4CA818C4" w:rsidR="009332A4" w:rsidRPr="00036D0D" w:rsidRDefault="009332A4" w:rsidP="00150BD6">
      <w:pPr>
        <w:spacing w:before="240" w:after="240" w:line="276" w:lineRule="auto"/>
        <w:jc w:val="both"/>
        <w:rPr>
          <w:rFonts w:ascii="Arial" w:hAnsi="Arial" w:cs="Arial"/>
          <w:sz w:val="22"/>
          <w:szCs w:val="22"/>
        </w:rPr>
      </w:pPr>
      <w:r w:rsidRPr="00036D0D">
        <w:rPr>
          <w:rFonts w:ascii="Arial" w:hAnsi="Arial" w:cs="Arial"/>
          <w:sz w:val="22"/>
          <w:szCs w:val="22"/>
        </w:rPr>
        <w:t>Todos los aportes incluyen impuestos, tasas, descuentos, contribuciones, gastos para la suscripción y legalización del convenio y los demás a que haya lugar, previa presentación del informe de actividades y expedición del certificado de cumplimiento por parte del supervisor. LA UNIVERSIDAD DE SUCRE deberá dar cumplimiento a las obligaciones adquiridas y aportar el informe debidamente legalizado por el supervisor y demás documentación requerida por la Agencia para hacer efectivo el desembolso</w:t>
      </w:r>
      <w:r w:rsidRPr="00036D0D">
        <w:rPr>
          <w:rFonts w:ascii="Arial" w:hAnsi="Arial" w:cs="Arial"/>
          <w:b/>
          <w:bCs/>
          <w:i/>
          <w:iCs/>
          <w:sz w:val="22"/>
          <w:szCs w:val="22"/>
        </w:rPr>
        <w:t>.</w:t>
      </w:r>
    </w:p>
    <w:p w14:paraId="0290D85A" w14:textId="6C1BC6EB" w:rsidR="009332A4" w:rsidRDefault="009332A4" w:rsidP="00150BD6">
      <w:pPr>
        <w:spacing w:before="240" w:after="240" w:line="276" w:lineRule="auto"/>
        <w:jc w:val="both"/>
        <w:rPr>
          <w:rFonts w:ascii="Arial" w:hAnsi="Arial" w:cs="Arial"/>
        </w:rPr>
      </w:pPr>
      <w:r w:rsidRPr="00036D0D">
        <w:rPr>
          <w:rFonts w:ascii="Arial" w:hAnsi="Arial" w:cs="Arial"/>
          <w:sz w:val="22"/>
          <w:szCs w:val="22"/>
        </w:rPr>
        <w:t>Considerando las particularidades de los territorios y las condiciones de movilidad y trasporte de las macrorregiones, se ha adelantado la reorganización de los métodos a desarrollar y sus valores, en los 2,5 meses disponibles de la vigencia de la siguiente forma</w:t>
      </w:r>
      <w:r w:rsidRPr="0086351C">
        <w:rPr>
          <w:rFonts w:ascii="Arial" w:hAnsi="Arial" w:cs="Arial"/>
        </w:rPr>
        <w:t>:</w:t>
      </w:r>
    </w:p>
    <w:tbl>
      <w:tblPr>
        <w:tblW w:w="863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
        <w:gridCol w:w="659"/>
        <w:gridCol w:w="659"/>
        <w:gridCol w:w="659"/>
        <w:gridCol w:w="659"/>
        <w:gridCol w:w="659"/>
        <w:gridCol w:w="659"/>
        <w:gridCol w:w="659"/>
        <w:gridCol w:w="659"/>
        <w:gridCol w:w="659"/>
        <w:gridCol w:w="659"/>
        <w:gridCol w:w="750"/>
        <w:gridCol w:w="681"/>
        <w:gridCol w:w="295"/>
      </w:tblGrid>
      <w:tr w:rsidR="002F2F4A" w:rsidRPr="00272EA1" w14:paraId="63711327" w14:textId="77777777" w:rsidTr="00272EA1">
        <w:trPr>
          <w:trHeight w:val="344"/>
        </w:trPr>
        <w:tc>
          <w:tcPr>
            <w:tcW w:w="318" w:type="dxa"/>
            <w:shd w:val="clear" w:color="auto" w:fill="auto"/>
            <w:vAlign w:val="center"/>
            <w:hideMark/>
          </w:tcPr>
          <w:p w14:paraId="21450A96"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1318" w:type="dxa"/>
            <w:gridSpan w:val="2"/>
            <w:shd w:val="clear" w:color="auto" w:fill="auto"/>
            <w:vAlign w:val="center"/>
            <w:hideMark/>
          </w:tcPr>
          <w:p w14:paraId="70B3E58B"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Semana</w:t>
            </w:r>
          </w:p>
        </w:tc>
        <w:tc>
          <w:tcPr>
            <w:tcW w:w="659" w:type="dxa"/>
            <w:shd w:val="clear" w:color="auto" w:fill="FFF2CC" w:themeFill="accent4" w:themeFillTint="33"/>
            <w:vAlign w:val="center"/>
            <w:hideMark/>
          </w:tcPr>
          <w:p w14:paraId="407A0985"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1</w:t>
            </w:r>
          </w:p>
        </w:tc>
        <w:tc>
          <w:tcPr>
            <w:tcW w:w="659" w:type="dxa"/>
            <w:shd w:val="clear" w:color="auto" w:fill="FFF2CC" w:themeFill="accent4" w:themeFillTint="33"/>
            <w:vAlign w:val="center"/>
            <w:hideMark/>
          </w:tcPr>
          <w:p w14:paraId="24CC0F41"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2</w:t>
            </w:r>
          </w:p>
        </w:tc>
        <w:tc>
          <w:tcPr>
            <w:tcW w:w="659" w:type="dxa"/>
            <w:shd w:val="clear" w:color="auto" w:fill="FFF2CC" w:themeFill="accent4" w:themeFillTint="33"/>
            <w:vAlign w:val="center"/>
            <w:hideMark/>
          </w:tcPr>
          <w:p w14:paraId="43720595"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3</w:t>
            </w:r>
          </w:p>
        </w:tc>
        <w:tc>
          <w:tcPr>
            <w:tcW w:w="659" w:type="dxa"/>
            <w:shd w:val="clear" w:color="auto" w:fill="FFF2CC" w:themeFill="accent4" w:themeFillTint="33"/>
            <w:vAlign w:val="center"/>
            <w:hideMark/>
          </w:tcPr>
          <w:p w14:paraId="084CFE39"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4</w:t>
            </w:r>
          </w:p>
        </w:tc>
        <w:tc>
          <w:tcPr>
            <w:tcW w:w="659" w:type="dxa"/>
            <w:shd w:val="clear" w:color="auto" w:fill="E2EFDA"/>
            <w:vAlign w:val="center"/>
            <w:hideMark/>
          </w:tcPr>
          <w:p w14:paraId="0CC18310"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5</w:t>
            </w:r>
          </w:p>
        </w:tc>
        <w:tc>
          <w:tcPr>
            <w:tcW w:w="659" w:type="dxa"/>
            <w:shd w:val="clear" w:color="auto" w:fill="E2EFDA"/>
            <w:vAlign w:val="center"/>
            <w:hideMark/>
          </w:tcPr>
          <w:p w14:paraId="76CDB2A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6</w:t>
            </w:r>
          </w:p>
        </w:tc>
        <w:tc>
          <w:tcPr>
            <w:tcW w:w="659" w:type="dxa"/>
            <w:shd w:val="clear" w:color="auto" w:fill="E2EFDA"/>
            <w:vAlign w:val="center"/>
            <w:hideMark/>
          </w:tcPr>
          <w:p w14:paraId="4C4CD46A"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7</w:t>
            </w:r>
          </w:p>
        </w:tc>
        <w:tc>
          <w:tcPr>
            <w:tcW w:w="659" w:type="dxa"/>
            <w:shd w:val="clear" w:color="auto" w:fill="E2EFDA"/>
            <w:vAlign w:val="center"/>
            <w:hideMark/>
          </w:tcPr>
          <w:p w14:paraId="3A7DD5A1"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8</w:t>
            </w:r>
          </w:p>
        </w:tc>
        <w:tc>
          <w:tcPr>
            <w:tcW w:w="750" w:type="dxa"/>
            <w:shd w:val="clear" w:color="auto" w:fill="FCE4D6"/>
            <w:vAlign w:val="center"/>
            <w:hideMark/>
          </w:tcPr>
          <w:p w14:paraId="08794347"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9</w:t>
            </w:r>
          </w:p>
        </w:tc>
        <w:tc>
          <w:tcPr>
            <w:tcW w:w="681" w:type="dxa"/>
            <w:shd w:val="clear" w:color="auto" w:fill="FCE4D6"/>
            <w:vAlign w:val="center"/>
            <w:hideMark/>
          </w:tcPr>
          <w:p w14:paraId="2F16C0B4"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10</w:t>
            </w:r>
          </w:p>
        </w:tc>
        <w:tc>
          <w:tcPr>
            <w:tcW w:w="295" w:type="dxa"/>
            <w:shd w:val="clear" w:color="auto" w:fill="auto"/>
            <w:vAlign w:val="center"/>
            <w:hideMark/>
          </w:tcPr>
          <w:p w14:paraId="16EB7EED"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676BBBFD" w14:textId="77777777" w:rsidTr="00272EA1">
        <w:trPr>
          <w:trHeight w:val="328"/>
        </w:trPr>
        <w:tc>
          <w:tcPr>
            <w:tcW w:w="318" w:type="dxa"/>
            <w:shd w:val="clear" w:color="auto" w:fill="auto"/>
            <w:vAlign w:val="center"/>
            <w:hideMark/>
          </w:tcPr>
          <w:p w14:paraId="03F89CD5"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FFC000" w:themeFill="accent4"/>
            <w:vAlign w:val="center"/>
            <w:hideMark/>
          </w:tcPr>
          <w:p w14:paraId="73A54CCD"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VUF</w:t>
            </w:r>
          </w:p>
        </w:tc>
        <w:tc>
          <w:tcPr>
            <w:tcW w:w="659" w:type="dxa"/>
            <w:shd w:val="clear" w:color="auto" w:fill="auto"/>
            <w:vAlign w:val="center"/>
            <w:hideMark/>
          </w:tcPr>
          <w:p w14:paraId="278041DF"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3</w:t>
            </w:r>
          </w:p>
        </w:tc>
        <w:tc>
          <w:tcPr>
            <w:tcW w:w="659" w:type="dxa"/>
            <w:shd w:val="clear" w:color="auto" w:fill="auto"/>
            <w:vAlign w:val="center"/>
            <w:hideMark/>
          </w:tcPr>
          <w:p w14:paraId="7E6BC2FA"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auto"/>
            <w:vAlign w:val="center"/>
            <w:hideMark/>
          </w:tcPr>
          <w:p w14:paraId="0723EF27"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1318" w:type="dxa"/>
            <w:gridSpan w:val="2"/>
            <w:shd w:val="clear" w:color="auto" w:fill="auto"/>
            <w:vAlign w:val="center"/>
            <w:hideMark/>
          </w:tcPr>
          <w:p w14:paraId="089A683D"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Día de campo</w:t>
            </w:r>
          </w:p>
        </w:tc>
        <w:tc>
          <w:tcPr>
            <w:tcW w:w="659" w:type="dxa"/>
            <w:shd w:val="clear" w:color="auto" w:fill="auto"/>
            <w:vAlign w:val="center"/>
            <w:hideMark/>
          </w:tcPr>
          <w:p w14:paraId="269DA110" w14:textId="77777777" w:rsidR="002F2F4A" w:rsidRPr="00272EA1" w:rsidRDefault="002F2F4A">
            <w:pPr>
              <w:jc w:val="center"/>
              <w:rPr>
                <w:rFonts w:ascii="Arial" w:hAnsi="Arial" w:cs="Arial"/>
                <w:color w:val="000000"/>
                <w:sz w:val="14"/>
                <w:szCs w:val="14"/>
              </w:rPr>
            </w:pPr>
          </w:p>
        </w:tc>
        <w:tc>
          <w:tcPr>
            <w:tcW w:w="1318" w:type="dxa"/>
            <w:gridSpan w:val="2"/>
            <w:shd w:val="clear" w:color="auto" w:fill="auto"/>
            <w:vAlign w:val="center"/>
            <w:hideMark/>
          </w:tcPr>
          <w:p w14:paraId="08389F6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Día de campo</w:t>
            </w:r>
          </w:p>
        </w:tc>
        <w:tc>
          <w:tcPr>
            <w:tcW w:w="659" w:type="dxa"/>
            <w:shd w:val="clear" w:color="auto" w:fill="FFFFFF" w:themeFill="background1"/>
            <w:vAlign w:val="center"/>
            <w:hideMark/>
          </w:tcPr>
          <w:p w14:paraId="7F4916C6"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750" w:type="dxa"/>
            <w:vMerge w:val="restart"/>
            <w:shd w:val="clear" w:color="auto" w:fill="FFFFFF" w:themeFill="background1"/>
            <w:vAlign w:val="center"/>
            <w:hideMark/>
          </w:tcPr>
          <w:p w14:paraId="31FBA5A3"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81" w:type="dxa"/>
            <w:shd w:val="clear" w:color="auto" w:fill="FFFFFF" w:themeFill="background1"/>
            <w:vAlign w:val="center"/>
            <w:hideMark/>
          </w:tcPr>
          <w:p w14:paraId="1E0E33DC"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295" w:type="dxa"/>
            <w:shd w:val="clear" w:color="auto" w:fill="auto"/>
            <w:vAlign w:val="center"/>
            <w:hideMark/>
          </w:tcPr>
          <w:p w14:paraId="21E84A01"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72812CDD" w14:textId="77777777" w:rsidTr="00272EA1">
        <w:trPr>
          <w:trHeight w:val="297"/>
        </w:trPr>
        <w:tc>
          <w:tcPr>
            <w:tcW w:w="318" w:type="dxa"/>
            <w:shd w:val="clear" w:color="auto" w:fill="auto"/>
            <w:vAlign w:val="center"/>
            <w:hideMark/>
          </w:tcPr>
          <w:p w14:paraId="2B17B885"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FFC000" w:themeFill="accent4"/>
            <w:vAlign w:val="center"/>
            <w:hideMark/>
          </w:tcPr>
          <w:p w14:paraId="480E9777"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MG</w:t>
            </w:r>
          </w:p>
        </w:tc>
        <w:tc>
          <w:tcPr>
            <w:tcW w:w="659" w:type="dxa"/>
            <w:shd w:val="clear" w:color="auto" w:fill="auto"/>
            <w:vAlign w:val="center"/>
            <w:hideMark/>
          </w:tcPr>
          <w:p w14:paraId="72D57F34"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5</w:t>
            </w:r>
          </w:p>
        </w:tc>
        <w:tc>
          <w:tcPr>
            <w:tcW w:w="659" w:type="dxa"/>
            <w:vMerge w:val="restart"/>
            <w:shd w:val="clear" w:color="auto" w:fill="00B0F0"/>
            <w:vAlign w:val="center"/>
            <w:hideMark/>
          </w:tcPr>
          <w:p w14:paraId="037DD8F8"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CTP</w:t>
            </w:r>
          </w:p>
        </w:tc>
        <w:tc>
          <w:tcPr>
            <w:tcW w:w="659" w:type="dxa"/>
            <w:shd w:val="clear" w:color="auto" w:fill="auto"/>
            <w:vAlign w:val="center"/>
            <w:hideMark/>
          </w:tcPr>
          <w:p w14:paraId="0DF944F0" w14:textId="77777777" w:rsidR="002F2F4A" w:rsidRPr="00272EA1" w:rsidRDefault="002F2F4A">
            <w:pPr>
              <w:rPr>
                <w:rFonts w:ascii="Arial" w:hAnsi="Arial" w:cs="Arial"/>
                <w:b/>
                <w:bCs/>
                <w:color w:val="000000"/>
                <w:sz w:val="14"/>
                <w:szCs w:val="14"/>
              </w:rPr>
            </w:pPr>
            <w:r w:rsidRPr="00272EA1">
              <w:rPr>
                <w:rFonts w:ascii="Arial" w:hAnsi="Arial" w:cs="Arial"/>
                <w:b/>
                <w:bCs/>
                <w:color w:val="000000"/>
                <w:sz w:val="14"/>
                <w:szCs w:val="14"/>
              </w:rPr>
              <w:t>MM</w:t>
            </w:r>
          </w:p>
        </w:tc>
        <w:tc>
          <w:tcPr>
            <w:tcW w:w="1318" w:type="dxa"/>
            <w:gridSpan w:val="2"/>
            <w:shd w:val="clear" w:color="auto" w:fill="4EA72E"/>
            <w:vAlign w:val="center"/>
            <w:hideMark/>
          </w:tcPr>
          <w:p w14:paraId="2ED6706C"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ECA</w:t>
            </w:r>
          </w:p>
        </w:tc>
        <w:tc>
          <w:tcPr>
            <w:tcW w:w="659" w:type="dxa"/>
            <w:shd w:val="clear" w:color="auto" w:fill="auto"/>
            <w:vAlign w:val="center"/>
            <w:hideMark/>
          </w:tcPr>
          <w:p w14:paraId="73A3B2C7" w14:textId="77777777" w:rsidR="002F2F4A" w:rsidRPr="00272EA1" w:rsidRDefault="002F2F4A">
            <w:pPr>
              <w:jc w:val="center"/>
              <w:rPr>
                <w:rFonts w:ascii="Arial" w:hAnsi="Arial" w:cs="Arial"/>
                <w:color w:val="000000"/>
                <w:sz w:val="14"/>
                <w:szCs w:val="14"/>
              </w:rPr>
            </w:pPr>
          </w:p>
        </w:tc>
        <w:tc>
          <w:tcPr>
            <w:tcW w:w="1318" w:type="dxa"/>
            <w:gridSpan w:val="2"/>
            <w:shd w:val="clear" w:color="auto" w:fill="4EA72E"/>
            <w:vAlign w:val="center"/>
            <w:hideMark/>
          </w:tcPr>
          <w:p w14:paraId="6A0E6A6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ECA</w:t>
            </w:r>
          </w:p>
        </w:tc>
        <w:tc>
          <w:tcPr>
            <w:tcW w:w="659" w:type="dxa"/>
            <w:shd w:val="clear" w:color="auto" w:fill="FFFFFF" w:themeFill="background1"/>
            <w:vAlign w:val="center"/>
            <w:hideMark/>
          </w:tcPr>
          <w:p w14:paraId="46162520"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750" w:type="dxa"/>
            <w:vMerge/>
            <w:vAlign w:val="center"/>
            <w:hideMark/>
          </w:tcPr>
          <w:p w14:paraId="5A9B1FAE" w14:textId="77777777" w:rsidR="002F2F4A" w:rsidRPr="00272EA1" w:rsidRDefault="002F2F4A">
            <w:pPr>
              <w:rPr>
                <w:rFonts w:ascii="Arial" w:hAnsi="Arial" w:cs="Arial"/>
                <w:color w:val="000000"/>
                <w:sz w:val="14"/>
                <w:szCs w:val="14"/>
              </w:rPr>
            </w:pPr>
          </w:p>
        </w:tc>
        <w:tc>
          <w:tcPr>
            <w:tcW w:w="681" w:type="dxa"/>
            <w:shd w:val="clear" w:color="auto" w:fill="FFFFFF" w:themeFill="background1"/>
            <w:vAlign w:val="center"/>
            <w:hideMark/>
          </w:tcPr>
          <w:p w14:paraId="0C1B3500"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295" w:type="dxa"/>
            <w:shd w:val="clear" w:color="auto" w:fill="auto"/>
            <w:vAlign w:val="center"/>
            <w:hideMark/>
          </w:tcPr>
          <w:p w14:paraId="0ACCEBDD"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5D455DD2" w14:textId="77777777" w:rsidTr="00272EA1">
        <w:trPr>
          <w:trHeight w:val="328"/>
        </w:trPr>
        <w:tc>
          <w:tcPr>
            <w:tcW w:w="318" w:type="dxa"/>
            <w:shd w:val="clear" w:color="auto" w:fill="auto"/>
            <w:vAlign w:val="center"/>
            <w:hideMark/>
          </w:tcPr>
          <w:p w14:paraId="60A3013C"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FFC000" w:themeFill="accent4"/>
            <w:vAlign w:val="center"/>
            <w:hideMark/>
          </w:tcPr>
          <w:p w14:paraId="68734AD0"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MM</w:t>
            </w:r>
          </w:p>
        </w:tc>
        <w:tc>
          <w:tcPr>
            <w:tcW w:w="659" w:type="dxa"/>
            <w:shd w:val="clear" w:color="auto" w:fill="auto"/>
            <w:vAlign w:val="center"/>
            <w:hideMark/>
          </w:tcPr>
          <w:p w14:paraId="2A09FC9C"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2</w:t>
            </w:r>
          </w:p>
        </w:tc>
        <w:tc>
          <w:tcPr>
            <w:tcW w:w="659" w:type="dxa"/>
            <w:vMerge/>
            <w:vAlign w:val="center"/>
            <w:hideMark/>
          </w:tcPr>
          <w:p w14:paraId="5C2CA77D" w14:textId="77777777" w:rsidR="002F2F4A" w:rsidRPr="00272EA1" w:rsidRDefault="002F2F4A">
            <w:pPr>
              <w:rPr>
                <w:rFonts w:ascii="Arial" w:hAnsi="Arial" w:cs="Arial"/>
                <w:color w:val="000000"/>
                <w:sz w:val="14"/>
                <w:szCs w:val="14"/>
              </w:rPr>
            </w:pPr>
          </w:p>
        </w:tc>
        <w:tc>
          <w:tcPr>
            <w:tcW w:w="659" w:type="dxa"/>
            <w:shd w:val="clear" w:color="auto" w:fill="E49EDD"/>
            <w:vAlign w:val="center"/>
            <w:hideMark/>
          </w:tcPr>
          <w:p w14:paraId="382256CE"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VUF</w:t>
            </w:r>
          </w:p>
        </w:tc>
        <w:tc>
          <w:tcPr>
            <w:tcW w:w="1318" w:type="dxa"/>
            <w:gridSpan w:val="2"/>
            <w:shd w:val="clear" w:color="auto" w:fill="FFC000" w:themeFill="accent4"/>
            <w:vAlign w:val="center"/>
            <w:hideMark/>
          </w:tcPr>
          <w:p w14:paraId="1868E1F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ECA</w:t>
            </w:r>
          </w:p>
        </w:tc>
        <w:tc>
          <w:tcPr>
            <w:tcW w:w="659" w:type="dxa"/>
            <w:shd w:val="clear" w:color="auto" w:fill="auto"/>
            <w:vAlign w:val="center"/>
            <w:hideMark/>
          </w:tcPr>
          <w:p w14:paraId="0AB2C038" w14:textId="77777777" w:rsidR="002F2F4A" w:rsidRPr="00272EA1" w:rsidRDefault="002F2F4A">
            <w:pPr>
              <w:jc w:val="center"/>
              <w:rPr>
                <w:rFonts w:ascii="Arial" w:hAnsi="Arial" w:cs="Arial"/>
                <w:color w:val="000000"/>
                <w:sz w:val="14"/>
                <w:szCs w:val="14"/>
              </w:rPr>
            </w:pPr>
          </w:p>
        </w:tc>
        <w:tc>
          <w:tcPr>
            <w:tcW w:w="1318" w:type="dxa"/>
            <w:gridSpan w:val="2"/>
            <w:shd w:val="clear" w:color="auto" w:fill="FFC000" w:themeFill="accent4"/>
            <w:vAlign w:val="center"/>
            <w:hideMark/>
          </w:tcPr>
          <w:p w14:paraId="0684C9E3"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ECA</w:t>
            </w:r>
          </w:p>
        </w:tc>
        <w:tc>
          <w:tcPr>
            <w:tcW w:w="659" w:type="dxa"/>
            <w:shd w:val="clear" w:color="auto" w:fill="FFFFFF" w:themeFill="background1"/>
            <w:vAlign w:val="center"/>
            <w:hideMark/>
          </w:tcPr>
          <w:p w14:paraId="2F41BD04"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750" w:type="dxa"/>
            <w:vMerge/>
            <w:vAlign w:val="center"/>
            <w:hideMark/>
          </w:tcPr>
          <w:p w14:paraId="07FD1B19" w14:textId="77777777" w:rsidR="002F2F4A" w:rsidRPr="00272EA1" w:rsidRDefault="002F2F4A">
            <w:pPr>
              <w:rPr>
                <w:rFonts w:ascii="Arial" w:hAnsi="Arial" w:cs="Arial"/>
                <w:color w:val="000000"/>
                <w:sz w:val="14"/>
                <w:szCs w:val="14"/>
              </w:rPr>
            </w:pPr>
          </w:p>
        </w:tc>
        <w:tc>
          <w:tcPr>
            <w:tcW w:w="681" w:type="dxa"/>
            <w:shd w:val="clear" w:color="auto" w:fill="FFFFFF" w:themeFill="background1"/>
            <w:vAlign w:val="center"/>
            <w:hideMark/>
          </w:tcPr>
          <w:p w14:paraId="14053CFD"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295" w:type="dxa"/>
            <w:shd w:val="clear" w:color="auto" w:fill="auto"/>
            <w:vAlign w:val="center"/>
            <w:hideMark/>
          </w:tcPr>
          <w:p w14:paraId="28018483"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59E9D2B1" w14:textId="77777777" w:rsidTr="00272EA1">
        <w:trPr>
          <w:trHeight w:val="328"/>
        </w:trPr>
        <w:tc>
          <w:tcPr>
            <w:tcW w:w="318" w:type="dxa"/>
            <w:shd w:val="clear" w:color="auto" w:fill="auto"/>
            <w:vAlign w:val="center"/>
            <w:hideMark/>
          </w:tcPr>
          <w:p w14:paraId="492D1F06"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FFC000" w:themeFill="accent4"/>
            <w:vAlign w:val="center"/>
            <w:hideMark/>
          </w:tcPr>
          <w:p w14:paraId="630C0BE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GT *</w:t>
            </w:r>
          </w:p>
        </w:tc>
        <w:tc>
          <w:tcPr>
            <w:tcW w:w="659" w:type="dxa"/>
            <w:shd w:val="clear" w:color="auto" w:fill="auto"/>
            <w:vAlign w:val="center"/>
            <w:hideMark/>
          </w:tcPr>
          <w:p w14:paraId="6032B919"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1</w:t>
            </w:r>
          </w:p>
        </w:tc>
        <w:tc>
          <w:tcPr>
            <w:tcW w:w="1318" w:type="dxa"/>
            <w:gridSpan w:val="2"/>
            <w:shd w:val="clear" w:color="auto" w:fill="auto"/>
            <w:vAlign w:val="center"/>
            <w:hideMark/>
          </w:tcPr>
          <w:p w14:paraId="14F3D5CB"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auto"/>
            <w:vAlign w:val="center"/>
            <w:hideMark/>
          </w:tcPr>
          <w:p w14:paraId="695D7AD3"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1318" w:type="dxa"/>
            <w:gridSpan w:val="2"/>
            <w:shd w:val="clear" w:color="auto" w:fill="E49EDD"/>
            <w:vAlign w:val="center"/>
            <w:hideMark/>
          </w:tcPr>
          <w:p w14:paraId="423DE5B1"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VUF</w:t>
            </w:r>
          </w:p>
        </w:tc>
        <w:tc>
          <w:tcPr>
            <w:tcW w:w="659" w:type="dxa"/>
            <w:shd w:val="clear" w:color="auto" w:fill="auto"/>
            <w:vAlign w:val="center"/>
            <w:hideMark/>
          </w:tcPr>
          <w:p w14:paraId="5BA18680"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2068" w:type="dxa"/>
            <w:gridSpan w:val="3"/>
            <w:shd w:val="clear" w:color="auto" w:fill="E49EDD"/>
            <w:vAlign w:val="center"/>
            <w:hideMark/>
          </w:tcPr>
          <w:p w14:paraId="5EB1B61D"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VUF</w:t>
            </w:r>
          </w:p>
        </w:tc>
        <w:tc>
          <w:tcPr>
            <w:tcW w:w="681" w:type="dxa"/>
            <w:shd w:val="clear" w:color="auto" w:fill="E49EDD"/>
            <w:vAlign w:val="center"/>
            <w:hideMark/>
          </w:tcPr>
          <w:p w14:paraId="62A459AA"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295" w:type="dxa"/>
            <w:shd w:val="clear" w:color="auto" w:fill="auto"/>
            <w:vAlign w:val="center"/>
            <w:hideMark/>
          </w:tcPr>
          <w:p w14:paraId="5610B482"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67AFB61D" w14:textId="77777777" w:rsidTr="00272EA1">
        <w:trPr>
          <w:trHeight w:val="262"/>
        </w:trPr>
        <w:tc>
          <w:tcPr>
            <w:tcW w:w="318" w:type="dxa"/>
            <w:shd w:val="clear" w:color="auto" w:fill="FFFFFF" w:themeFill="background1"/>
            <w:vAlign w:val="center"/>
            <w:hideMark/>
          </w:tcPr>
          <w:p w14:paraId="7A44A69D"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36B8DED4"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6D49465A"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 </w:t>
            </w:r>
          </w:p>
        </w:tc>
        <w:tc>
          <w:tcPr>
            <w:tcW w:w="659" w:type="dxa"/>
            <w:shd w:val="clear" w:color="auto" w:fill="FFFFFF" w:themeFill="background1"/>
            <w:vAlign w:val="center"/>
            <w:hideMark/>
          </w:tcPr>
          <w:p w14:paraId="2F1CD4A5"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001691CA"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7CE3AFAC"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45D749A7"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6F316FFF"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56A26BCB"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300E22CA"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659" w:type="dxa"/>
            <w:shd w:val="clear" w:color="auto" w:fill="FFFFFF" w:themeFill="background1"/>
            <w:vAlign w:val="center"/>
            <w:hideMark/>
          </w:tcPr>
          <w:p w14:paraId="29596345"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 </w:t>
            </w:r>
          </w:p>
        </w:tc>
        <w:tc>
          <w:tcPr>
            <w:tcW w:w="750" w:type="dxa"/>
            <w:shd w:val="clear" w:color="auto" w:fill="A9D08E"/>
            <w:vAlign w:val="center"/>
            <w:hideMark/>
          </w:tcPr>
          <w:p w14:paraId="65421745"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 xml:space="preserve">GT </w:t>
            </w:r>
          </w:p>
        </w:tc>
        <w:tc>
          <w:tcPr>
            <w:tcW w:w="681" w:type="dxa"/>
            <w:shd w:val="clear" w:color="auto" w:fill="A9D08E"/>
            <w:vAlign w:val="center"/>
            <w:hideMark/>
          </w:tcPr>
          <w:p w14:paraId="33839DAA" w14:textId="77777777" w:rsidR="002F2F4A" w:rsidRPr="00272EA1" w:rsidRDefault="002F2F4A">
            <w:pPr>
              <w:jc w:val="center"/>
              <w:rPr>
                <w:rFonts w:ascii="Arial" w:hAnsi="Arial" w:cs="Arial"/>
                <w:b/>
                <w:bCs/>
                <w:color w:val="000000"/>
                <w:sz w:val="14"/>
                <w:szCs w:val="14"/>
              </w:rPr>
            </w:pPr>
            <w:r w:rsidRPr="00272EA1">
              <w:rPr>
                <w:rFonts w:ascii="Arial" w:hAnsi="Arial" w:cs="Arial"/>
                <w:b/>
                <w:bCs/>
                <w:color w:val="000000"/>
                <w:sz w:val="14"/>
                <w:szCs w:val="14"/>
              </w:rPr>
              <w:t> </w:t>
            </w:r>
          </w:p>
        </w:tc>
        <w:tc>
          <w:tcPr>
            <w:tcW w:w="295" w:type="dxa"/>
            <w:shd w:val="clear" w:color="auto" w:fill="auto"/>
            <w:vAlign w:val="center"/>
            <w:hideMark/>
          </w:tcPr>
          <w:p w14:paraId="5B44564D"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r>
      <w:tr w:rsidR="002F2F4A" w:rsidRPr="00272EA1" w14:paraId="3F2C01D5" w14:textId="77777777" w:rsidTr="00272EA1">
        <w:trPr>
          <w:trHeight w:val="328"/>
        </w:trPr>
        <w:tc>
          <w:tcPr>
            <w:tcW w:w="977" w:type="dxa"/>
            <w:gridSpan w:val="2"/>
            <w:shd w:val="clear" w:color="auto" w:fill="auto"/>
            <w:vAlign w:val="center"/>
            <w:hideMark/>
          </w:tcPr>
          <w:p w14:paraId="5AEA7730"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6FEB418E"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2636" w:type="dxa"/>
            <w:gridSpan w:val="4"/>
            <w:shd w:val="clear" w:color="auto" w:fill="FFF2CC" w:themeFill="accent4" w:themeFillTint="33"/>
            <w:vAlign w:val="center"/>
            <w:hideMark/>
          </w:tcPr>
          <w:p w14:paraId="2F3ECB9D"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OCTUBRE</w:t>
            </w:r>
          </w:p>
        </w:tc>
        <w:tc>
          <w:tcPr>
            <w:tcW w:w="2636" w:type="dxa"/>
            <w:gridSpan w:val="4"/>
            <w:shd w:val="clear" w:color="auto" w:fill="E2EFDA"/>
            <w:vAlign w:val="center"/>
            <w:hideMark/>
          </w:tcPr>
          <w:p w14:paraId="17161696"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NOVIEMBRE</w:t>
            </w:r>
          </w:p>
        </w:tc>
        <w:tc>
          <w:tcPr>
            <w:tcW w:w="1431" w:type="dxa"/>
            <w:gridSpan w:val="2"/>
            <w:shd w:val="clear" w:color="auto" w:fill="FCE4D6"/>
            <w:vAlign w:val="center"/>
            <w:hideMark/>
          </w:tcPr>
          <w:p w14:paraId="456D3615" w14:textId="77777777" w:rsidR="002F2F4A" w:rsidRPr="00272EA1" w:rsidRDefault="002F2F4A">
            <w:pPr>
              <w:jc w:val="center"/>
              <w:rPr>
                <w:rFonts w:ascii="Arial" w:hAnsi="Arial" w:cs="Arial"/>
                <w:color w:val="000000"/>
                <w:sz w:val="14"/>
                <w:szCs w:val="14"/>
              </w:rPr>
            </w:pPr>
            <w:r w:rsidRPr="00272EA1">
              <w:rPr>
                <w:rFonts w:ascii="Arial" w:hAnsi="Arial" w:cs="Arial"/>
                <w:color w:val="000000"/>
                <w:sz w:val="14"/>
                <w:szCs w:val="14"/>
              </w:rPr>
              <w:t>DICIEMBRE</w:t>
            </w:r>
          </w:p>
        </w:tc>
        <w:tc>
          <w:tcPr>
            <w:tcW w:w="295" w:type="dxa"/>
            <w:shd w:val="clear" w:color="auto" w:fill="auto"/>
            <w:vAlign w:val="center"/>
            <w:hideMark/>
          </w:tcPr>
          <w:p w14:paraId="09C0A94F"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r>
      <w:tr w:rsidR="002F2F4A" w:rsidRPr="00272EA1" w14:paraId="408DBDA7" w14:textId="77777777" w:rsidTr="00272EA1">
        <w:trPr>
          <w:trHeight w:val="176"/>
        </w:trPr>
        <w:tc>
          <w:tcPr>
            <w:tcW w:w="977" w:type="dxa"/>
            <w:gridSpan w:val="2"/>
            <w:shd w:val="clear" w:color="auto" w:fill="auto"/>
            <w:vAlign w:val="center"/>
            <w:hideMark/>
          </w:tcPr>
          <w:p w14:paraId="164F22D2"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74F78EFA"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1318" w:type="dxa"/>
            <w:gridSpan w:val="2"/>
            <w:shd w:val="clear" w:color="auto" w:fill="auto"/>
            <w:vAlign w:val="center"/>
            <w:hideMark/>
          </w:tcPr>
          <w:p w14:paraId="583511F7"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1318" w:type="dxa"/>
            <w:gridSpan w:val="2"/>
            <w:shd w:val="clear" w:color="auto" w:fill="auto"/>
            <w:vAlign w:val="center"/>
            <w:hideMark/>
          </w:tcPr>
          <w:p w14:paraId="06FF2865"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05BD613E"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4D4843FD"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68653127"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659" w:type="dxa"/>
            <w:shd w:val="clear" w:color="auto" w:fill="auto"/>
            <w:vAlign w:val="center"/>
            <w:hideMark/>
          </w:tcPr>
          <w:p w14:paraId="0D1B82C2"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xml:space="preserve"> </w:t>
            </w:r>
          </w:p>
        </w:tc>
        <w:tc>
          <w:tcPr>
            <w:tcW w:w="750" w:type="dxa"/>
            <w:shd w:val="clear" w:color="auto" w:fill="auto"/>
            <w:vAlign w:val="center"/>
            <w:hideMark/>
          </w:tcPr>
          <w:p w14:paraId="7373FAEE"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681" w:type="dxa"/>
            <w:shd w:val="clear" w:color="auto" w:fill="auto"/>
            <w:vAlign w:val="center"/>
            <w:hideMark/>
          </w:tcPr>
          <w:p w14:paraId="436E6DFA"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c>
          <w:tcPr>
            <w:tcW w:w="295" w:type="dxa"/>
            <w:shd w:val="clear" w:color="auto" w:fill="auto"/>
            <w:vAlign w:val="center"/>
            <w:hideMark/>
          </w:tcPr>
          <w:p w14:paraId="7E7DF0D9" w14:textId="77777777" w:rsidR="002F2F4A" w:rsidRPr="00272EA1" w:rsidRDefault="002F2F4A">
            <w:pPr>
              <w:rPr>
                <w:rFonts w:ascii="Arial" w:hAnsi="Arial" w:cs="Arial"/>
                <w:color w:val="000000"/>
                <w:sz w:val="14"/>
                <w:szCs w:val="14"/>
              </w:rPr>
            </w:pPr>
            <w:r w:rsidRPr="00272EA1">
              <w:rPr>
                <w:rFonts w:ascii="Arial" w:hAnsi="Arial" w:cs="Arial"/>
                <w:color w:val="000000"/>
                <w:sz w:val="14"/>
                <w:szCs w:val="14"/>
              </w:rPr>
              <w:t> </w:t>
            </w:r>
          </w:p>
        </w:tc>
      </w:tr>
    </w:tbl>
    <w:p w14:paraId="2BFAA3A0" w14:textId="77777777" w:rsidR="00A448BD" w:rsidRPr="0086351C" w:rsidRDefault="00A448BD" w:rsidP="00A448BD">
      <w:pPr>
        <w:pStyle w:val="Descripcin"/>
        <w:spacing w:after="0"/>
        <w:jc w:val="center"/>
        <w:rPr>
          <w:rFonts w:ascii="Arial" w:hAnsi="Arial" w:cs="Arial"/>
          <w:color w:val="auto"/>
          <w:sz w:val="20"/>
          <w:szCs w:val="20"/>
        </w:rPr>
      </w:pPr>
      <w:r w:rsidRPr="0086351C">
        <w:rPr>
          <w:rFonts w:ascii="Arial" w:hAnsi="Arial" w:cs="Arial"/>
          <w:color w:val="auto"/>
        </w:rPr>
        <w:t xml:space="preserve">Figura </w:t>
      </w:r>
      <w:r w:rsidRPr="0086351C">
        <w:rPr>
          <w:rFonts w:ascii="Arial" w:hAnsi="Arial" w:cs="Arial"/>
          <w:color w:val="auto"/>
        </w:rPr>
        <w:fldChar w:fldCharType="begin"/>
      </w:r>
      <w:r w:rsidRPr="0086351C">
        <w:rPr>
          <w:rFonts w:ascii="Arial" w:hAnsi="Arial" w:cs="Arial"/>
          <w:color w:val="auto"/>
        </w:rPr>
        <w:instrText xml:space="preserve"> SEQ Figura \* ARABIC </w:instrText>
      </w:r>
      <w:r w:rsidRPr="0086351C">
        <w:rPr>
          <w:rFonts w:ascii="Arial" w:hAnsi="Arial" w:cs="Arial"/>
          <w:color w:val="auto"/>
        </w:rPr>
        <w:fldChar w:fldCharType="separate"/>
      </w:r>
      <w:r w:rsidRPr="0086351C">
        <w:rPr>
          <w:rFonts w:ascii="Arial" w:hAnsi="Arial" w:cs="Arial"/>
          <w:noProof/>
          <w:color w:val="auto"/>
        </w:rPr>
        <w:t>1</w:t>
      </w:r>
      <w:r w:rsidRPr="0086351C">
        <w:rPr>
          <w:rFonts w:ascii="Arial" w:hAnsi="Arial" w:cs="Arial"/>
          <w:color w:val="auto"/>
        </w:rPr>
        <w:fldChar w:fldCharType="end"/>
      </w:r>
      <w:r w:rsidRPr="0086351C">
        <w:rPr>
          <w:rFonts w:ascii="Arial" w:hAnsi="Arial" w:cs="Arial"/>
          <w:color w:val="auto"/>
          <w:sz w:val="20"/>
          <w:szCs w:val="20"/>
        </w:rPr>
        <w:t>.</w:t>
      </w:r>
      <w:r w:rsidRPr="0086351C">
        <w:rPr>
          <w:rFonts w:ascii="Arial" w:hAnsi="Arial" w:cs="Arial"/>
          <w:color w:val="auto"/>
        </w:rPr>
        <w:t xml:space="preserve"> Proyección de cantidad de métodos mínimos de extensión a desarrollar en la vigencia</w:t>
      </w:r>
    </w:p>
    <w:p w14:paraId="4963F622" w14:textId="77777777" w:rsidR="00A448BD" w:rsidRPr="0086351C" w:rsidRDefault="00A448BD" w:rsidP="00A448BD">
      <w:pPr>
        <w:pStyle w:val="Descripcin"/>
        <w:spacing w:after="0"/>
        <w:jc w:val="center"/>
        <w:rPr>
          <w:rFonts w:ascii="Arial" w:eastAsiaTheme="majorEastAsia" w:hAnsi="Arial" w:cs="Arial"/>
          <w:bCs/>
          <w:sz w:val="20"/>
          <w:szCs w:val="20"/>
        </w:rPr>
      </w:pPr>
      <w:r w:rsidRPr="0086351C">
        <w:rPr>
          <w:rFonts w:ascii="Arial" w:eastAsiaTheme="majorEastAsia" w:hAnsi="Arial" w:cs="Arial"/>
          <w:bCs/>
          <w:color w:val="auto"/>
          <w:sz w:val="20"/>
          <w:szCs w:val="20"/>
        </w:rPr>
        <w:t>Fuente: Dirección de Asistencia Técnica, Agencia de Desarrollo Rural, 2024</w:t>
      </w:r>
      <w:r w:rsidRPr="0086351C">
        <w:rPr>
          <w:rFonts w:ascii="Arial" w:eastAsiaTheme="majorEastAsia" w:hAnsi="Arial" w:cs="Arial"/>
          <w:bCs/>
          <w:sz w:val="20"/>
          <w:szCs w:val="20"/>
        </w:rPr>
        <w:t>.</w:t>
      </w:r>
    </w:p>
    <w:p w14:paraId="7CA5520E" w14:textId="2A943033" w:rsidR="008A1330" w:rsidRPr="00036D0D" w:rsidRDefault="008A1330" w:rsidP="00150BD6">
      <w:pPr>
        <w:spacing w:before="240" w:after="240" w:line="276" w:lineRule="auto"/>
        <w:jc w:val="both"/>
        <w:rPr>
          <w:rFonts w:ascii="Arial" w:eastAsiaTheme="majorEastAsia" w:hAnsi="Arial" w:cs="Arial"/>
          <w:bCs/>
          <w:sz w:val="22"/>
          <w:szCs w:val="22"/>
        </w:rPr>
      </w:pPr>
      <w:r w:rsidRPr="00036D0D">
        <w:rPr>
          <w:rFonts w:ascii="Arial" w:eastAsiaTheme="majorEastAsia" w:hAnsi="Arial" w:cs="Arial"/>
          <w:bCs/>
          <w:sz w:val="22"/>
          <w:szCs w:val="22"/>
        </w:rPr>
        <w:t xml:space="preserve">A partir de lo anteriormente expuesto, la Agencia de Desarrollo Rural considera como parte de los elementos mínimos a contemplar dentro de la propuesta técnica a desarrollar en el marco del convenio, los métodos descritos para cada zona del país y los entregables de cada fase de la prestación del servicio público de extensión agropecuaria, para un periodo de </w:t>
      </w:r>
      <w:r w:rsidR="009332A4" w:rsidRPr="00036D0D">
        <w:rPr>
          <w:rFonts w:ascii="Arial" w:eastAsiaTheme="majorEastAsia" w:hAnsi="Arial" w:cs="Arial"/>
          <w:bCs/>
          <w:sz w:val="22"/>
          <w:szCs w:val="22"/>
        </w:rPr>
        <w:t>2</w:t>
      </w:r>
      <w:r w:rsidR="00DF0B28" w:rsidRPr="00036D0D">
        <w:rPr>
          <w:rFonts w:ascii="Arial" w:eastAsiaTheme="majorEastAsia" w:hAnsi="Arial" w:cs="Arial"/>
          <w:bCs/>
          <w:sz w:val="22"/>
          <w:szCs w:val="22"/>
        </w:rPr>
        <w:t xml:space="preserve">,5 </w:t>
      </w:r>
      <w:r w:rsidRPr="00036D0D">
        <w:rPr>
          <w:rFonts w:ascii="Arial" w:eastAsiaTheme="majorEastAsia" w:hAnsi="Arial" w:cs="Arial"/>
          <w:bCs/>
          <w:sz w:val="22"/>
          <w:szCs w:val="22"/>
        </w:rPr>
        <w:t>meses de atención a los usuarios priorizados, estableciendo dentro de la propuesta los plazos adecuados para el cumplimiento de cada fase.</w:t>
      </w:r>
    </w:p>
    <w:p w14:paraId="6D49D606" w14:textId="77777777" w:rsidR="008A1330" w:rsidRPr="00036D0D" w:rsidRDefault="008A1330" w:rsidP="00150BD6">
      <w:pPr>
        <w:pStyle w:val="Textoindependiente"/>
        <w:spacing w:line="276" w:lineRule="auto"/>
        <w:jc w:val="both"/>
        <w:rPr>
          <w:rFonts w:ascii="Arial" w:eastAsiaTheme="majorEastAsia" w:hAnsi="Arial" w:cs="Arial"/>
          <w:bCs/>
          <w:lang w:val="es-CO" w:eastAsia="es-CO"/>
        </w:rPr>
      </w:pPr>
      <w:r w:rsidRPr="00036D0D">
        <w:rPr>
          <w:rFonts w:ascii="Arial" w:eastAsiaTheme="majorEastAsia" w:hAnsi="Arial" w:cs="Arial"/>
          <w:bCs/>
          <w:lang w:val="es-CO" w:eastAsia="es-CO"/>
        </w:rPr>
        <w:t>Lo anterior resulta en una distribución del tiempo de prestación del servicio de extensión y de los recursos de las dos vigencias, aproximados a lo proyectado en los siguientes gráficos: </w:t>
      </w:r>
    </w:p>
    <w:p w14:paraId="582BD2A1" w14:textId="77777777" w:rsidR="009332A4" w:rsidRPr="0086351C" w:rsidRDefault="009332A4" w:rsidP="009332A4">
      <w:pPr>
        <w:rPr>
          <w:rFonts w:ascii="Arial" w:hAnsi="Arial" w:cs="Arial"/>
          <w:noProof/>
        </w:rPr>
      </w:pPr>
    </w:p>
    <w:p w14:paraId="1145EC62" w14:textId="77777777" w:rsidR="009332A4" w:rsidRPr="0086351C" w:rsidRDefault="009332A4" w:rsidP="009332A4">
      <w:pPr>
        <w:jc w:val="center"/>
        <w:rPr>
          <w:rFonts w:ascii="Arial" w:hAnsi="Arial" w:cs="Arial"/>
          <w:sz w:val="20"/>
          <w:szCs w:val="20"/>
        </w:rPr>
      </w:pPr>
    </w:p>
    <w:p w14:paraId="615493A3" w14:textId="77777777" w:rsidR="00472B96" w:rsidRPr="0086351C" w:rsidRDefault="001C07F8" w:rsidP="00472B96">
      <w:pPr>
        <w:pStyle w:val="Descripcin"/>
        <w:spacing w:after="0"/>
        <w:jc w:val="center"/>
        <w:rPr>
          <w:rFonts w:ascii="Arial" w:hAnsi="Arial" w:cs="Arial"/>
          <w:color w:val="auto"/>
          <w:sz w:val="20"/>
          <w:szCs w:val="20"/>
        </w:rPr>
      </w:pPr>
      <w:r w:rsidRPr="0086351C">
        <w:rPr>
          <w:rFonts w:ascii="Arial" w:hAnsi="Arial" w:cs="Arial"/>
          <w:noProof/>
          <w:lang w:val="en-US"/>
        </w:rPr>
        <w:lastRenderedPageBreak/>
        <w:drawing>
          <wp:inline distT="0" distB="0" distL="0" distR="0" wp14:anchorId="0D6D8E17" wp14:editId="584689D5">
            <wp:extent cx="5193030" cy="2336805"/>
            <wp:effectExtent l="0" t="0" r="7620" b="6350"/>
            <wp:docPr id="707863048"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863048" name="Imagen 1" descr="Interfaz de usuario gráfica&#10;&#10;Descripción generada automáticamente"/>
                    <pic:cNvPicPr/>
                  </pic:nvPicPr>
                  <pic:blipFill>
                    <a:blip r:embed="rId49"/>
                    <a:stretch>
                      <a:fillRect/>
                    </a:stretch>
                  </pic:blipFill>
                  <pic:spPr>
                    <a:xfrm>
                      <a:off x="0" y="0"/>
                      <a:ext cx="5194717" cy="2337564"/>
                    </a:xfrm>
                    <a:prstGeom prst="rect">
                      <a:avLst/>
                    </a:prstGeom>
                  </pic:spPr>
                </pic:pic>
              </a:graphicData>
            </a:graphic>
          </wp:inline>
        </w:drawing>
      </w:r>
      <w:r w:rsidR="008A1330" w:rsidRPr="0086351C">
        <w:rPr>
          <w:rFonts w:ascii="Arial" w:hAnsi="Arial" w:cs="Arial"/>
        </w:rPr>
        <w:br/>
      </w:r>
      <w:r w:rsidR="00472B96" w:rsidRPr="0086351C">
        <w:rPr>
          <w:rFonts w:ascii="Arial" w:hAnsi="Arial" w:cs="Arial"/>
          <w:color w:val="auto"/>
        </w:rPr>
        <w:t xml:space="preserve">Figura </w:t>
      </w:r>
      <w:r w:rsidR="00472B96" w:rsidRPr="0086351C">
        <w:rPr>
          <w:rFonts w:ascii="Arial" w:hAnsi="Arial" w:cs="Arial"/>
          <w:color w:val="auto"/>
        </w:rPr>
        <w:fldChar w:fldCharType="begin"/>
      </w:r>
      <w:r w:rsidR="00472B96" w:rsidRPr="0086351C">
        <w:rPr>
          <w:rFonts w:ascii="Arial" w:hAnsi="Arial" w:cs="Arial"/>
          <w:color w:val="auto"/>
        </w:rPr>
        <w:instrText xml:space="preserve"> SEQ Figura \* ARABIC </w:instrText>
      </w:r>
      <w:r w:rsidR="00472B96" w:rsidRPr="0086351C">
        <w:rPr>
          <w:rFonts w:ascii="Arial" w:hAnsi="Arial" w:cs="Arial"/>
          <w:color w:val="auto"/>
        </w:rPr>
        <w:fldChar w:fldCharType="separate"/>
      </w:r>
      <w:r w:rsidR="00472B96" w:rsidRPr="0086351C">
        <w:rPr>
          <w:rFonts w:ascii="Arial" w:hAnsi="Arial" w:cs="Arial"/>
          <w:noProof/>
          <w:color w:val="auto"/>
        </w:rPr>
        <w:t>2</w:t>
      </w:r>
      <w:r w:rsidR="00472B96" w:rsidRPr="0086351C">
        <w:rPr>
          <w:rFonts w:ascii="Arial" w:hAnsi="Arial" w:cs="Arial"/>
          <w:color w:val="auto"/>
        </w:rPr>
        <w:fldChar w:fldCharType="end"/>
      </w:r>
      <w:r w:rsidR="00472B96" w:rsidRPr="0086351C">
        <w:rPr>
          <w:rFonts w:ascii="Arial" w:hAnsi="Arial" w:cs="Arial"/>
          <w:color w:val="auto"/>
          <w:sz w:val="20"/>
          <w:szCs w:val="20"/>
        </w:rPr>
        <w:t>. Línea de tiempo para la prestación del servicio público de extensión</w:t>
      </w:r>
    </w:p>
    <w:p w14:paraId="04B0B181" w14:textId="77777777" w:rsidR="00472B96" w:rsidRPr="0086351C" w:rsidRDefault="00472B96" w:rsidP="00472B96">
      <w:pPr>
        <w:pStyle w:val="Descripcin"/>
        <w:spacing w:after="0"/>
        <w:jc w:val="center"/>
        <w:rPr>
          <w:rFonts w:ascii="Arial" w:eastAsiaTheme="majorEastAsia" w:hAnsi="Arial" w:cs="Arial"/>
          <w:bCs/>
          <w:sz w:val="20"/>
          <w:szCs w:val="20"/>
        </w:rPr>
      </w:pPr>
      <w:r w:rsidRPr="0086351C">
        <w:rPr>
          <w:rFonts w:ascii="Arial" w:eastAsiaTheme="majorEastAsia" w:hAnsi="Arial" w:cs="Arial"/>
          <w:bCs/>
          <w:color w:val="auto"/>
          <w:sz w:val="20"/>
          <w:szCs w:val="20"/>
        </w:rPr>
        <w:t>Fuente: Dirección de Asistencia Técnica, Agencia de Desarrollo Rural, 2024</w:t>
      </w:r>
      <w:r w:rsidRPr="0086351C">
        <w:rPr>
          <w:rFonts w:ascii="Arial" w:eastAsiaTheme="majorEastAsia" w:hAnsi="Arial" w:cs="Arial"/>
          <w:bCs/>
          <w:sz w:val="20"/>
          <w:szCs w:val="20"/>
        </w:rPr>
        <w:t>.</w:t>
      </w:r>
    </w:p>
    <w:p w14:paraId="0EC99B31" w14:textId="09965AD0" w:rsidR="008A1330" w:rsidRPr="0086351C" w:rsidRDefault="008A1330" w:rsidP="00472B96">
      <w:pPr>
        <w:jc w:val="center"/>
        <w:rPr>
          <w:rFonts w:ascii="Arial" w:eastAsiaTheme="majorEastAsia" w:hAnsi="Arial" w:cs="Arial"/>
          <w:bCs/>
          <w:sz w:val="20"/>
          <w:szCs w:val="20"/>
        </w:rPr>
      </w:pPr>
    </w:p>
    <w:p w14:paraId="67536510" w14:textId="77777777" w:rsidR="008A1330" w:rsidRPr="00036D0D" w:rsidRDefault="008A1330" w:rsidP="00150BD6">
      <w:pPr>
        <w:spacing w:line="276" w:lineRule="auto"/>
        <w:jc w:val="both"/>
        <w:rPr>
          <w:rFonts w:ascii="Arial" w:eastAsiaTheme="majorEastAsia" w:hAnsi="Arial" w:cs="Arial"/>
          <w:sz w:val="22"/>
          <w:szCs w:val="22"/>
        </w:rPr>
      </w:pPr>
      <w:r w:rsidRPr="00036D0D">
        <w:rPr>
          <w:rFonts w:ascii="Arial" w:eastAsiaTheme="majorEastAsia" w:hAnsi="Arial" w:cs="Arial"/>
          <w:sz w:val="22"/>
          <w:szCs w:val="22"/>
        </w:rPr>
        <w:t>Esta la línea de tiempo ofrece una representación visual de cómo se distribuyen las actividades necesarias para el desarrollo del servicio de extensión agropecuaria a lo largo del plazo de ejecución del convenio, desde el alistamiento y la planificación inicial hasta la implementación y evaluación, destacando la importancia de un enfoque sistemático y progresivo para lograr resultados efectivos y sostenibles.</w:t>
      </w:r>
    </w:p>
    <w:p w14:paraId="055914D9" w14:textId="77777777" w:rsidR="008A1330" w:rsidRPr="00036D0D" w:rsidRDefault="008A1330" w:rsidP="00150BD6">
      <w:pPr>
        <w:spacing w:line="276" w:lineRule="auto"/>
        <w:jc w:val="both"/>
        <w:rPr>
          <w:rFonts w:ascii="Arial" w:eastAsiaTheme="majorEastAsia" w:hAnsi="Arial" w:cs="Arial"/>
          <w:sz w:val="22"/>
          <w:szCs w:val="22"/>
        </w:rPr>
      </w:pPr>
    </w:p>
    <w:p w14:paraId="458169E0" w14:textId="77777777" w:rsidR="008A1330" w:rsidRPr="00036D0D" w:rsidRDefault="008A1330" w:rsidP="00150BD6">
      <w:pPr>
        <w:spacing w:line="276" w:lineRule="auto"/>
        <w:jc w:val="both"/>
        <w:rPr>
          <w:rFonts w:ascii="Arial" w:eastAsiaTheme="majorEastAsia" w:hAnsi="Arial" w:cs="Arial"/>
          <w:sz w:val="22"/>
          <w:szCs w:val="22"/>
        </w:rPr>
      </w:pPr>
      <w:r w:rsidRPr="00036D0D">
        <w:rPr>
          <w:rFonts w:ascii="Arial" w:eastAsiaTheme="majorEastAsia" w:hAnsi="Arial" w:cs="Arial"/>
          <w:sz w:val="22"/>
          <w:szCs w:val="22"/>
        </w:rPr>
        <w:t>Se observa un enfoque inicial en acciones de alistamiento y planeación, lo que sugiere un periodo destinado a establecer las bases para una prestación de servicio de mayor calidad. Esta fase incluye la identificación de necesidades, el diseño de estrategias y la preparación de recursos necesarios para la implementación. Se encuentra que el enfoque hacia la implementación de acciones identificadas en los proyectos de extensión está orientado en la ejecución de actividades destinadas a desarrollar capacidades en los productores y a cumplir con los indicadores previstos para el servicio. Se espera que durante este periodo se vean resultados tangibles derivados de las acciones implementadas, lo que contribuirá al fortalecimiento de la extensión agropecuaria y al beneficio de los beneficiarios finales.</w:t>
      </w:r>
    </w:p>
    <w:p w14:paraId="10C79430" w14:textId="77777777" w:rsidR="008A1330" w:rsidRPr="00036D0D" w:rsidRDefault="008A1330" w:rsidP="00150BD6">
      <w:pPr>
        <w:spacing w:line="276" w:lineRule="auto"/>
        <w:jc w:val="both"/>
        <w:rPr>
          <w:rFonts w:ascii="Arial" w:eastAsiaTheme="majorEastAsia" w:hAnsi="Arial" w:cs="Arial"/>
          <w:sz w:val="22"/>
          <w:szCs w:val="22"/>
        </w:rPr>
      </w:pPr>
    </w:p>
    <w:p w14:paraId="538CB8CC" w14:textId="77777777" w:rsidR="008A1330" w:rsidRPr="00036D0D" w:rsidRDefault="008A1330" w:rsidP="00150BD6">
      <w:pPr>
        <w:spacing w:after="240" w:line="276" w:lineRule="auto"/>
        <w:jc w:val="both"/>
        <w:rPr>
          <w:rFonts w:ascii="Arial" w:eastAsiaTheme="majorEastAsia" w:hAnsi="Arial" w:cs="Arial"/>
          <w:sz w:val="22"/>
          <w:szCs w:val="22"/>
        </w:rPr>
      </w:pPr>
      <w:r w:rsidRPr="00036D0D">
        <w:rPr>
          <w:rFonts w:ascii="Arial" w:eastAsiaTheme="majorEastAsia" w:hAnsi="Arial" w:cs="Arial"/>
          <w:sz w:val="22"/>
          <w:szCs w:val="22"/>
        </w:rPr>
        <w:t>Finalmente, se destina una etapa posterior a la evaluación del servicio, la cual permite analizar el impacto de las intervenciones realizadas. Esta fase de evaluación es crucial para medir la efectividad del servicio, identificar áreas de mejora y realizar ajustes necesarios para garantizar su eficacia a largo plazo. Además, proporciona retroalimentación valiosa que puede informar la planificación y ejecución de futuras intervenciones en el servicio de extensión agropecuaria.</w:t>
      </w:r>
    </w:p>
    <w:p w14:paraId="589A4F43" w14:textId="303E9CC2" w:rsidR="008A1330" w:rsidRPr="00036D0D" w:rsidRDefault="008A1330" w:rsidP="00150BD6">
      <w:pPr>
        <w:spacing w:after="240" w:line="276" w:lineRule="auto"/>
        <w:jc w:val="both"/>
        <w:rPr>
          <w:rFonts w:ascii="Arial" w:eastAsiaTheme="majorEastAsia" w:hAnsi="Arial" w:cs="Arial"/>
          <w:sz w:val="22"/>
          <w:szCs w:val="22"/>
        </w:rPr>
      </w:pPr>
      <w:r w:rsidRPr="00036D0D">
        <w:rPr>
          <w:rFonts w:ascii="Arial" w:eastAsiaTheme="majorEastAsia" w:hAnsi="Arial" w:cs="Arial"/>
          <w:sz w:val="22"/>
          <w:szCs w:val="22"/>
        </w:rPr>
        <w:t>Al desarrollar un proyecto alineado a cumplimiento de fases de desarrollo del servicio público de extensión agropecuaria, se debe enfocar la propuesta</w:t>
      </w:r>
      <w:r w:rsidR="00150BD6">
        <w:rPr>
          <w:rFonts w:ascii="Arial" w:eastAsiaTheme="majorEastAsia" w:hAnsi="Arial" w:cs="Arial"/>
          <w:sz w:val="22"/>
          <w:szCs w:val="22"/>
        </w:rPr>
        <w:t xml:space="preserve"> de la</w:t>
      </w:r>
      <w:r w:rsidRPr="00036D0D">
        <w:rPr>
          <w:rFonts w:ascii="Arial" w:eastAsiaTheme="majorEastAsia" w:hAnsi="Arial" w:cs="Arial"/>
          <w:sz w:val="22"/>
          <w:szCs w:val="22"/>
        </w:rPr>
        <w:t xml:space="preserve"> </w:t>
      </w:r>
      <w:r w:rsidR="00150BD6">
        <w:rPr>
          <w:rFonts w:ascii="Arial" w:eastAsiaTheme="majorEastAsia" w:hAnsi="Arial" w:cs="Arial"/>
          <w:bCs/>
          <w:sz w:val="22"/>
          <w:szCs w:val="22"/>
        </w:rPr>
        <w:t>UNIVERSIDAD DE SUCRE</w:t>
      </w:r>
      <w:r w:rsidRPr="00036D0D">
        <w:rPr>
          <w:rFonts w:ascii="Arial" w:eastAsiaTheme="majorEastAsia" w:hAnsi="Arial" w:cs="Arial"/>
          <w:sz w:val="22"/>
          <w:szCs w:val="22"/>
        </w:rPr>
        <w:t xml:space="preserve"> en definir los entregables correspondientes a cada fase, su mecanismo de verificación, el flujo de los aportes en efectivo de la Agencia y los tiempos establecidos. </w:t>
      </w:r>
      <w:r w:rsidRPr="00036D0D">
        <w:rPr>
          <w:rFonts w:ascii="Arial" w:eastAsiaTheme="majorEastAsia" w:hAnsi="Arial" w:cs="Arial"/>
          <w:sz w:val="22"/>
          <w:szCs w:val="22"/>
        </w:rPr>
        <w:lastRenderedPageBreak/>
        <w:t>Adicionalmente en cada fase de convenio deben darse cuenta del avance de la contrapartida del aliado estratégico concertado con la Agencia con sus correspondientes soportes.</w:t>
      </w:r>
    </w:p>
    <w:p w14:paraId="043C546D" w14:textId="41DD33AC" w:rsidR="00CB485A" w:rsidRPr="00036D0D" w:rsidRDefault="00CB485A" w:rsidP="00150BD6">
      <w:pPr>
        <w:spacing w:after="240" w:line="276" w:lineRule="auto"/>
        <w:jc w:val="both"/>
        <w:rPr>
          <w:rFonts w:ascii="Arial" w:eastAsiaTheme="majorEastAsia" w:hAnsi="Arial" w:cs="Arial"/>
          <w:bCs/>
          <w:sz w:val="22"/>
          <w:szCs w:val="22"/>
        </w:rPr>
      </w:pPr>
      <w:r w:rsidRPr="00036D0D">
        <w:rPr>
          <w:rFonts w:ascii="Arial" w:eastAsiaTheme="majorEastAsia" w:hAnsi="Arial" w:cs="Arial"/>
          <w:bCs/>
          <w:sz w:val="22"/>
          <w:szCs w:val="22"/>
        </w:rPr>
        <w:t xml:space="preserve">Para dar cumplimiento a lo anterior, </w:t>
      </w:r>
      <w:r w:rsidR="00150BD6">
        <w:rPr>
          <w:rFonts w:ascii="Arial" w:eastAsiaTheme="majorEastAsia" w:hAnsi="Arial" w:cs="Arial"/>
          <w:bCs/>
          <w:sz w:val="22"/>
          <w:szCs w:val="22"/>
        </w:rPr>
        <w:t>la UNIVERSIDAD DE SUCRE</w:t>
      </w:r>
      <w:r w:rsidRPr="00036D0D">
        <w:rPr>
          <w:rFonts w:ascii="Arial" w:eastAsiaTheme="majorEastAsia" w:hAnsi="Arial" w:cs="Arial"/>
          <w:bCs/>
          <w:sz w:val="22"/>
          <w:szCs w:val="22"/>
        </w:rPr>
        <w:t xml:space="preserve"> desarrollará la propuesta técnica presentada en el anexo denominado (FORMATO TÉCNICO - FINANCIERO - DEPARTAMENTO DE</w:t>
      </w:r>
      <w:r w:rsidR="00A65329" w:rsidRPr="00036D0D">
        <w:rPr>
          <w:rFonts w:ascii="Arial" w:eastAsiaTheme="majorEastAsia" w:hAnsi="Arial" w:cs="Arial"/>
          <w:bCs/>
          <w:sz w:val="22"/>
          <w:szCs w:val="22"/>
        </w:rPr>
        <w:t xml:space="preserve"> SUCRE</w:t>
      </w:r>
      <w:r w:rsidRPr="00036D0D">
        <w:rPr>
          <w:rFonts w:ascii="Arial" w:eastAsiaTheme="majorEastAsia" w:hAnsi="Arial" w:cs="Arial"/>
          <w:bCs/>
          <w:sz w:val="22"/>
          <w:szCs w:val="22"/>
        </w:rPr>
        <w:t xml:space="preserve">), el cual </w:t>
      </w:r>
      <w:r w:rsidR="007F121C" w:rsidRPr="00036D0D">
        <w:rPr>
          <w:rFonts w:ascii="Arial" w:eastAsiaTheme="majorEastAsia" w:hAnsi="Arial" w:cs="Arial"/>
          <w:bCs/>
          <w:sz w:val="22"/>
          <w:szCs w:val="22"/>
        </w:rPr>
        <w:t>viene</w:t>
      </w:r>
      <w:r w:rsidRPr="00036D0D">
        <w:rPr>
          <w:rFonts w:ascii="Arial" w:eastAsiaTheme="majorEastAsia" w:hAnsi="Arial" w:cs="Arial"/>
          <w:bCs/>
          <w:sz w:val="22"/>
          <w:szCs w:val="22"/>
        </w:rPr>
        <w:t xml:space="preserve"> acompañando de la Información de la EPSEA, </w:t>
      </w:r>
      <w:r w:rsidR="007F121C" w:rsidRPr="00036D0D">
        <w:rPr>
          <w:rFonts w:ascii="Arial" w:eastAsiaTheme="majorEastAsia" w:hAnsi="Arial" w:cs="Arial"/>
          <w:bCs/>
          <w:sz w:val="22"/>
          <w:szCs w:val="22"/>
        </w:rPr>
        <w:t xml:space="preserve">el </w:t>
      </w:r>
      <w:r w:rsidRPr="00036D0D">
        <w:rPr>
          <w:rFonts w:ascii="Arial" w:eastAsiaTheme="majorEastAsia" w:hAnsi="Arial" w:cs="Arial"/>
          <w:bCs/>
          <w:sz w:val="22"/>
          <w:szCs w:val="22"/>
        </w:rPr>
        <w:t>Equipo Ejecutor del Proyecto de extensión agropecuaria como adjunto a este documento, lo cual identifica lo siguiente:</w:t>
      </w:r>
    </w:p>
    <w:p w14:paraId="197F959E" w14:textId="77777777" w:rsidR="00CB485A" w:rsidRPr="0086351C" w:rsidRDefault="00CB485A" w:rsidP="00150BD6">
      <w:pPr>
        <w:pStyle w:val="Prrafodelista"/>
        <w:widowControl w:val="0"/>
        <w:numPr>
          <w:ilvl w:val="0"/>
          <w:numId w:val="39"/>
        </w:numPr>
        <w:autoSpaceDE w:val="0"/>
        <w:autoSpaceDN w:val="0"/>
        <w:spacing w:after="240" w:line="276" w:lineRule="auto"/>
        <w:ind w:left="360"/>
        <w:contextualSpacing w:val="0"/>
        <w:jc w:val="both"/>
        <w:rPr>
          <w:rFonts w:ascii="Arial" w:eastAsiaTheme="majorEastAsia" w:hAnsi="Arial" w:cs="Arial"/>
          <w:szCs w:val="26"/>
        </w:rPr>
      </w:pPr>
      <w:r w:rsidRPr="0086351C">
        <w:rPr>
          <w:rFonts w:ascii="Arial" w:eastAsiaTheme="majorEastAsia" w:hAnsi="Arial" w:cs="Arial"/>
          <w:b/>
          <w:i/>
          <w:szCs w:val="26"/>
        </w:rPr>
        <w:t>Metodología de Extensión</w:t>
      </w:r>
      <w:r w:rsidRPr="0086351C">
        <w:rPr>
          <w:rFonts w:ascii="Arial" w:eastAsiaTheme="majorEastAsia" w:hAnsi="Arial" w:cs="Arial"/>
          <w:szCs w:val="26"/>
        </w:rPr>
        <w:t>: implica la descripción detallada en cada fase del SPEA de los procedimientos y técnicas que serán aplicados en cada fase del SPEA para proporcionar acompañamiento, facilitar el aprendizaje, la construcción participativa del conocimiento y brindar un servicio de extensión pertinente, respetuoso, oportuno y de calidad a los usuarios.</w:t>
      </w:r>
    </w:p>
    <w:p w14:paraId="4E9B94D5" w14:textId="77777777" w:rsidR="00CB485A" w:rsidRPr="0086351C" w:rsidRDefault="00CB485A" w:rsidP="00150BD6">
      <w:pPr>
        <w:pStyle w:val="Prrafodelista"/>
        <w:spacing w:after="240" w:line="276" w:lineRule="auto"/>
        <w:ind w:left="360"/>
        <w:rPr>
          <w:rFonts w:ascii="Arial" w:eastAsiaTheme="majorEastAsia" w:hAnsi="Arial" w:cs="Arial"/>
          <w:szCs w:val="26"/>
        </w:rPr>
      </w:pPr>
      <w:r w:rsidRPr="0086351C">
        <w:rPr>
          <w:rFonts w:ascii="Arial" w:eastAsiaTheme="majorEastAsia" w:hAnsi="Arial" w:cs="Arial"/>
          <w:szCs w:val="26"/>
        </w:rPr>
        <w:t>Para lograrlo, es importante considerar los tres (3) métodos de extensión descritos en el Plan Nacional de Asistencia Integral Técnica, Tecnológica y de Impulso a la Innovación (Res 0132 de 2022).</w:t>
      </w:r>
    </w:p>
    <w:p w14:paraId="41A97F54" w14:textId="77777777" w:rsidR="00CB485A" w:rsidRPr="0086351C" w:rsidRDefault="00CB485A" w:rsidP="00150BD6">
      <w:pPr>
        <w:pStyle w:val="Prrafodelista"/>
        <w:widowControl w:val="0"/>
        <w:numPr>
          <w:ilvl w:val="0"/>
          <w:numId w:val="39"/>
        </w:numPr>
        <w:autoSpaceDE w:val="0"/>
        <w:autoSpaceDN w:val="0"/>
        <w:spacing w:after="240" w:line="276" w:lineRule="auto"/>
        <w:ind w:left="360"/>
        <w:contextualSpacing w:val="0"/>
        <w:jc w:val="both"/>
        <w:rPr>
          <w:rFonts w:ascii="Arial" w:eastAsiaTheme="majorEastAsia" w:hAnsi="Arial" w:cs="Arial"/>
          <w:szCs w:val="26"/>
        </w:rPr>
      </w:pPr>
      <w:r w:rsidRPr="0086351C">
        <w:rPr>
          <w:rFonts w:ascii="Arial" w:eastAsiaTheme="majorEastAsia" w:hAnsi="Arial" w:cs="Arial"/>
          <w:b/>
          <w:i/>
          <w:szCs w:val="26"/>
        </w:rPr>
        <w:t>Métodos individuales:</w:t>
      </w:r>
      <w:r w:rsidRPr="0086351C">
        <w:rPr>
          <w:rFonts w:ascii="Arial" w:eastAsiaTheme="majorEastAsia" w:hAnsi="Arial" w:cs="Arial"/>
          <w:i/>
          <w:szCs w:val="26"/>
        </w:rPr>
        <w:t xml:space="preserve"> </w:t>
      </w:r>
      <w:r w:rsidRPr="0086351C">
        <w:rPr>
          <w:rFonts w:ascii="Arial" w:eastAsiaTheme="majorEastAsia" w:hAnsi="Arial" w:cs="Arial"/>
          <w:szCs w:val="26"/>
        </w:rPr>
        <w:t>acciones de acompañamiento a usuarios en sus predios, para adelantar intervenciones que promuevan el mejoramiento integral de sus sistemas productivos, acordes con lo programado en el plan de acompañamiento.</w:t>
      </w:r>
    </w:p>
    <w:p w14:paraId="1E868C17" w14:textId="77777777" w:rsidR="00CB485A" w:rsidRPr="0086351C" w:rsidRDefault="00CB485A" w:rsidP="00150BD6">
      <w:pPr>
        <w:pStyle w:val="Prrafodelista"/>
        <w:widowControl w:val="0"/>
        <w:numPr>
          <w:ilvl w:val="0"/>
          <w:numId w:val="39"/>
        </w:numPr>
        <w:autoSpaceDE w:val="0"/>
        <w:autoSpaceDN w:val="0"/>
        <w:spacing w:after="240" w:line="276" w:lineRule="auto"/>
        <w:ind w:left="360"/>
        <w:contextualSpacing w:val="0"/>
        <w:jc w:val="both"/>
        <w:rPr>
          <w:rFonts w:ascii="Arial" w:eastAsiaTheme="majorEastAsia" w:hAnsi="Arial" w:cs="Arial"/>
          <w:szCs w:val="26"/>
        </w:rPr>
      </w:pPr>
      <w:r w:rsidRPr="0086351C">
        <w:rPr>
          <w:rFonts w:ascii="Arial" w:eastAsiaTheme="majorEastAsia" w:hAnsi="Arial" w:cs="Arial"/>
          <w:b/>
          <w:i/>
          <w:szCs w:val="26"/>
        </w:rPr>
        <w:t>Métodos grupales:</w:t>
      </w:r>
      <w:r w:rsidRPr="0086351C">
        <w:rPr>
          <w:rFonts w:ascii="Arial" w:eastAsiaTheme="majorEastAsia" w:hAnsi="Arial" w:cs="Arial"/>
          <w:szCs w:val="26"/>
        </w:rPr>
        <w:t xml:space="preserve"> actividades prácticas de orden comunitario focalizadas en el desarrollo de temáticas específicas que permitan la identificación de problemáticas colectivas y la identificación de alternativas de solución,  la caracterización de procesos de co-innovación en la comunidad, la transferencia de técnicas y tecnologías validadas, la construcción colectiva de conocimiento y la interacción de los usuarios para solucionar problemas comunes, tales como talleres, demostraciones de método y de resultado, días de campo, Escuelas de Campo para Agricultores- ECAs, giras técnicas, entre otros.</w:t>
      </w:r>
    </w:p>
    <w:p w14:paraId="2AB90847" w14:textId="77777777" w:rsidR="00CB485A" w:rsidRPr="0086351C" w:rsidRDefault="00CB485A" w:rsidP="00150BD6">
      <w:pPr>
        <w:pStyle w:val="Prrafodelista"/>
        <w:widowControl w:val="0"/>
        <w:numPr>
          <w:ilvl w:val="0"/>
          <w:numId w:val="39"/>
        </w:numPr>
        <w:autoSpaceDE w:val="0"/>
        <w:autoSpaceDN w:val="0"/>
        <w:spacing w:after="240" w:line="276" w:lineRule="auto"/>
        <w:ind w:left="360"/>
        <w:contextualSpacing w:val="0"/>
        <w:jc w:val="both"/>
        <w:rPr>
          <w:rFonts w:ascii="Arial" w:eastAsiaTheme="majorEastAsia" w:hAnsi="Arial" w:cs="Arial"/>
          <w:szCs w:val="26"/>
        </w:rPr>
      </w:pPr>
      <w:r w:rsidRPr="0086351C">
        <w:rPr>
          <w:rFonts w:ascii="Arial" w:eastAsiaTheme="majorEastAsia" w:hAnsi="Arial" w:cs="Arial"/>
          <w:b/>
          <w:i/>
          <w:szCs w:val="26"/>
        </w:rPr>
        <w:t>Métodos Masivos:</w:t>
      </w:r>
      <w:r w:rsidRPr="0086351C">
        <w:rPr>
          <w:rFonts w:ascii="Arial" w:eastAsiaTheme="majorEastAsia" w:hAnsi="Arial" w:cs="Arial"/>
          <w:szCs w:val="26"/>
        </w:rPr>
        <w:t xml:space="preserve"> estrategias de gestión o divulgación masiva de información elaborada por el equipo técnico que atiende las necesidades de cada productor, que deben ser coherentes con los métodos individuales y grupales, al reforzar conceptos a través de los medios de comunicación y divulgación en cada territorio. Esto puede incluir programas radiales, podcast, audios por redes sociales y medios impresos; el planeador de finca y el IPPTA sean parte de la estrategia a desarrollar en este componente.</w:t>
      </w:r>
    </w:p>
    <w:p w14:paraId="177F4EEE" w14:textId="77777777" w:rsidR="00CB485A" w:rsidRPr="00036D0D" w:rsidRDefault="00CB485A" w:rsidP="00150BD6">
      <w:pPr>
        <w:spacing w:after="240" w:line="276" w:lineRule="auto"/>
        <w:jc w:val="both"/>
        <w:rPr>
          <w:rFonts w:ascii="Arial" w:eastAsiaTheme="majorEastAsia" w:hAnsi="Arial" w:cs="Arial"/>
          <w:bCs/>
          <w:sz w:val="22"/>
          <w:szCs w:val="22"/>
        </w:rPr>
      </w:pPr>
      <w:r w:rsidRPr="00036D0D">
        <w:rPr>
          <w:rFonts w:ascii="Arial" w:eastAsiaTheme="majorEastAsia" w:hAnsi="Arial" w:cs="Arial"/>
          <w:bCs/>
          <w:sz w:val="22"/>
          <w:szCs w:val="22"/>
        </w:rPr>
        <w:t>Los anteriores métodos de extensión, en el marco de la estrategia de mejora del servicio para responder a los desafíos de la Reforma Agraria, incorporan las siguientes características: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955"/>
        <w:gridCol w:w="2020"/>
        <w:gridCol w:w="5853"/>
      </w:tblGrid>
      <w:tr w:rsidR="00CB485A" w:rsidRPr="00150BD6" w14:paraId="3202D355" w14:textId="77777777" w:rsidTr="00150BD6">
        <w:trPr>
          <w:trHeight w:val="300"/>
          <w:tblHeader/>
          <w:jc w:val="center"/>
        </w:trPr>
        <w:tc>
          <w:tcPr>
            <w:tcW w:w="541" w:type="pct"/>
            <w:shd w:val="clear" w:color="auto" w:fill="D9D9D9" w:themeFill="background1" w:themeFillShade="D9"/>
            <w:vAlign w:val="center"/>
          </w:tcPr>
          <w:p w14:paraId="4F6A9E33" w14:textId="77777777" w:rsidR="00CB485A" w:rsidRPr="00150BD6" w:rsidRDefault="00CB485A">
            <w:pPr>
              <w:spacing w:line="254" w:lineRule="auto"/>
              <w:ind w:left="-20" w:right="-20"/>
              <w:jc w:val="center"/>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lastRenderedPageBreak/>
              <w:t>MÉTODO</w:t>
            </w:r>
          </w:p>
        </w:tc>
        <w:tc>
          <w:tcPr>
            <w:tcW w:w="1144" w:type="pct"/>
            <w:shd w:val="clear" w:color="auto" w:fill="D9D9D9" w:themeFill="background1" w:themeFillShade="D9"/>
            <w:vAlign w:val="center"/>
          </w:tcPr>
          <w:p w14:paraId="4843DA53" w14:textId="77777777" w:rsidR="00CB485A" w:rsidRPr="00150BD6" w:rsidRDefault="00CB485A">
            <w:pPr>
              <w:spacing w:line="254" w:lineRule="auto"/>
              <w:ind w:left="-20" w:right="-20"/>
              <w:jc w:val="center"/>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ACTIVIDAD</w:t>
            </w:r>
          </w:p>
        </w:tc>
        <w:tc>
          <w:tcPr>
            <w:tcW w:w="3315" w:type="pct"/>
            <w:shd w:val="clear" w:color="auto" w:fill="D9D9D9" w:themeFill="background1" w:themeFillShade="D9"/>
            <w:vAlign w:val="center"/>
          </w:tcPr>
          <w:p w14:paraId="6E1B8D26" w14:textId="77777777" w:rsidR="00CB485A" w:rsidRPr="00150BD6" w:rsidRDefault="00CB485A">
            <w:pPr>
              <w:spacing w:line="254" w:lineRule="auto"/>
              <w:ind w:left="-20" w:right="-20"/>
              <w:jc w:val="center"/>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DESCRIPCIÓN</w:t>
            </w:r>
          </w:p>
        </w:tc>
      </w:tr>
      <w:tr w:rsidR="00CB485A" w:rsidRPr="00150BD6" w14:paraId="074670F0" w14:textId="77777777" w:rsidTr="00150BD6">
        <w:trPr>
          <w:trHeight w:val="1155"/>
          <w:jc w:val="center"/>
        </w:trPr>
        <w:tc>
          <w:tcPr>
            <w:tcW w:w="541" w:type="pct"/>
            <w:vMerge w:val="restart"/>
            <w:vAlign w:val="center"/>
          </w:tcPr>
          <w:p w14:paraId="31722657"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Grupal</w:t>
            </w:r>
          </w:p>
        </w:tc>
        <w:tc>
          <w:tcPr>
            <w:tcW w:w="1144" w:type="pct"/>
            <w:vAlign w:val="center"/>
          </w:tcPr>
          <w:p w14:paraId="0335B5DF"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Caracterización Territorial Participativo – inicial</w:t>
            </w:r>
          </w:p>
        </w:tc>
        <w:tc>
          <w:tcPr>
            <w:tcW w:w="3315" w:type="pct"/>
          </w:tcPr>
          <w:p w14:paraId="3E8ECC75"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 xml:space="preserve">Es el espacio para identificar las potencialidades, necesidades, actores y la posible ruta de acción territorial para mejorar las condiciones de vida de la comunidad, el producto de este espacio es un </w:t>
            </w:r>
            <w:r w:rsidRPr="00150BD6">
              <w:rPr>
                <w:rFonts w:ascii="Arial" w:eastAsia="Arial" w:hAnsi="Arial" w:cs="Arial"/>
                <w:b/>
                <w:bCs/>
                <w:color w:val="000000" w:themeColor="text1"/>
                <w:sz w:val="16"/>
                <w:szCs w:val="16"/>
              </w:rPr>
              <w:t>Plan de Gestión Comunitaria del Territorio</w:t>
            </w:r>
            <w:r w:rsidRPr="00150BD6">
              <w:rPr>
                <w:rFonts w:ascii="Arial" w:eastAsia="Arial" w:hAnsi="Arial" w:cs="Arial"/>
                <w:color w:val="000000" w:themeColor="text1"/>
                <w:sz w:val="16"/>
                <w:szCs w:val="16"/>
              </w:rPr>
              <w:t xml:space="preserve">, en sus debidos tiempos, el cual debe comprender los ocho componentes de los cinco enfoques la estrategia de SPEA para la Reforma Agraria. </w:t>
            </w:r>
          </w:p>
        </w:tc>
      </w:tr>
      <w:tr w:rsidR="00CB485A" w:rsidRPr="00150BD6" w14:paraId="76C473BD" w14:textId="77777777" w:rsidTr="00150BD6">
        <w:trPr>
          <w:trHeight w:val="1215"/>
          <w:jc w:val="center"/>
        </w:trPr>
        <w:tc>
          <w:tcPr>
            <w:tcW w:w="541" w:type="pct"/>
            <w:vMerge/>
            <w:vAlign w:val="center"/>
          </w:tcPr>
          <w:p w14:paraId="346755CB" w14:textId="77777777" w:rsidR="00CB485A" w:rsidRPr="00150BD6" w:rsidRDefault="00CB485A">
            <w:pPr>
              <w:rPr>
                <w:rFonts w:ascii="Arial" w:hAnsi="Arial" w:cs="Arial"/>
                <w:sz w:val="16"/>
                <w:szCs w:val="16"/>
              </w:rPr>
            </w:pPr>
          </w:p>
        </w:tc>
        <w:tc>
          <w:tcPr>
            <w:tcW w:w="1144" w:type="pct"/>
            <w:vAlign w:val="center"/>
          </w:tcPr>
          <w:p w14:paraId="7B5325D5"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Escuelas de campo comunitarias (ECAs)</w:t>
            </w:r>
          </w:p>
        </w:tc>
        <w:tc>
          <w:tcPr>
            <w:tcW w:w="3315" w:type="pct"/>
          </w:tcPr>
          <w:p w14:paraId="3FDF5B75"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Espacios colectivos dirigidos a motivar el diálogo y la participación de la comunidad en la construcción de conocimiento y planificación del territorio. Algunos de los temas de reflexión serán:</w:t>
            </w:r>
            <w:r w:rsidRPr="00150BD6">
              <w:rPr>
                <w:rFonts w:ascii="Arial" w:eastAsia="Arial" w:hAnsi="Arial" w:cs="Arial"/>
                <w:b/>
                <w:bCs/>
                <w:color w:val="000000" w:themeColor="text1"/>
                <w:sz w:val="16"/>
                <w:szCs w:val="16"/>
              </w:rPr>
              <w:t xml:space="preserve"> liderazgo comunitario, gestión colectiva de los bienes comunes, economía solidaria, soberanía alimentaria y derecho humano a la alimentación, y género.</w:t>
            </w:r>
          </w:p>
        </w:tc>
      </w:tr>
      <w:tr w:rsidR="00CB485A" w:rsidRPr="00150BD6" w14:paraId="67F6FF21" w14:textId="77777777" w:rsidTr="00150BD6">
        <w:trPr>
          <w:trHeight w:val="1740"/>
          <w:jc w:val="center"/>
        </w:trPr>
        <w:tc>
          <w:tcPr>
            <w:tcW w:w="541" w:type="pct"/>
            <w:vMerge/>
            <w:vAlign w:val="center"/>
          </w:tcPr>
          <w:p w14:paraId="69990A80" w14:textId="77777777" w:rsidR="00CB485A" w:rsidRPr="00150BD6" w:rsidRDefault="00CB485A">
            <w:pPr>
              <w:rPr>
                <w:rFonts w:ascii="Arial" w:hAnsi="Arial" w:cs="Arial"/>
                <w:sz w:val="16"/>
                <w:szCs w:val="16"/>
              </w:rPr>
            </w:pPr>
          </w:p>
        </w:tc>
        <w:tc>
          <w:tcPr>
            <w:tcW w:w="1144" w:type="pct"/>
            <w:vAlign w:val="center"/>
          </w:tcPr>
          <w:p w14:paraId="2F34BF9F"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Escuelas de campo técnicas (ECAs)</w:t>
            </w:r>
          </w:p>
        </w:tc>
        <w:tc>
          <w:tcPr>
            <w:tcW w:w="3315" w:type="pct"/>
          </w:tcPr>
          <w:p w14:paraId="15A7F88D"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Son encuentros de diálogo entre grupos pequeños de familias focalizadas. En estos grupos de aprendizaje y trabajo, el promotor/extensionista motivará a los usuarios, usuarias y sus familias a dialogar e intercambiar experiencias sobre las dificultades y fortalezas de las unidades productivas reflejadas en el</w:t>
            </w:r>
            <w:r w:rsidRPr="00150BD6">
              <w:rPr>
                <w:rFonts w:ascii="Arial" w:eastAsia="Arial" w:hAnsi="Arial" w:cs="Arial"/>
                <w:b/>
                <w:bCs/>
                <w:color w:val="000000" w:themeColor="text1"/>
                <w:sz w:val="16"/>
                <w:szCs w:val="16"/>
              </w:rPr>
              <w:t xml:space="preserve"> Instrumento de Planificación Predial para la Transición Agroecológica - IPPTA.</w:t>
            </w:r>
            <w:r w:rsidRPr="00150BD6">
              <w:rPr>
                <w:rFonts w:ascii="Arial" w:eastAsia="Arial" w:hAnsi="Arial" w:cs="Arial"/>
                <w:color w:val="000000" w:themeColor="text1"/>
                <w:sz w:val="16"/>
                <w:szCs w:val="16"/>
              </w:rPr>
              <w:t xml:space="preserve"> Para identificar elementos en común y soluciones conjuntas que, a partir de la experimentación, adaptación y apropiación colectiva de prácticas, se fortalezcan los Planes de Acción hacía la Transición Agroecológica.  </w:t>
            </w:r>
          </w:p>
        </w:tc>
      </w:tr>
      <w:tr w:rsidR="00CB485A" w:rsidRPr="00150BD6" w14:paraId="7096869B" w14:textId="77777777" w:rsidTr="00150BD6">
        <w:trPr>
          <w:trHeight w:val="1395"/>
          <w:jc w:val="center"/>
        </w:trPr>
        <w:tc>
          <w:tcPr>
            <w:tcW w:w="541" w:type="pct"/>
            <w:vMerge/>
            <w:vAlign w:val="center"/>
          </w:tcPr>
          <w:p w14:paraId="09A680E3" w14:textId="77777777" w:rsidR="00CB485A" w:rsidRPr="00150BD6" w:rsidRDefault="00CB485A">
            <w:pPr>
              <w:rPr>
                <w:rFonts w:ascii="Arial" w:hAnsi="Arial" w:cs="Arial"/>
                <w:sz w:val="16"/>
                <w:szCs w:val="16"/>
              </w:rPr>
            </w:pPr>
          </w:p>
        </w:tc>
        <w:tc>
          <w:tcPr>
            <w:tcW w:w="1144" w:type="pct"/>
            <w:vAlign w:val="center"/>
          </w:tcPr>
          <w:p w14:paraId="53AB4D85"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Giras</w:t>
            </w:r>
          </w:p>
        </w:tc>
        <w:tc>
          <w:tcPr>
            <w:tcW w:w="3315" w:type="pct"/>
          </w:tcPr>
          <w:p w14:paraId="6DC9C4F9"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 xml:space="preserve">Están dirigidas al intercambio de experiencias organizativas que son referentes en agroecología, agregación de valor, sostenibilidad ambiental, prácticas organizativas y comercialización; entre comunidades de diferentes provincias y/o regiones. Estas giras deben estar directamente relacionadas a aportar al cierre de brechas identificadas en el </w:t>
            </w:r>
            <w:r w:rsidRPr="00150BD6">
              <w:rPr>
                <w:rFonts w:ascii="Arial" w:eastAsia="Arial" w:hAnsi="Arial" w:cs="Arial"/>
                <w:b/>
                <w:bCs/>
                <w:color w:val="000000" w:themeColor="text1"/>
                <w:sz w:val="16"/>
                <w:szCs w:val="16"/>
              </w:rPr>
              <w:t xml:space="preserve">Caracterización Territorial Participativo - inicial </w:t>
            </w:r>
            <w:r w:rsidRPr="00150BD6">
              <w:rPr>
                <w:rFonts w:ascii="Arial" w:eastAsia="Arial" w:hAnsi="Arial" w:cs="Arial"/>
                <w:color w:val="000000" w:themeColor="text1"/>
                <w:sz w:val="16"/>
                <w:szCs w:val="16"/>
              </w:rPr>
              <w:t xml:space="preserve">y se debe garantizar la participación de mínimo 40% de las y los usuarios, promoviendo la participación de mujeres y jóvenes. </w:t>
            </w:r>
          </w:p>
        </w:tc>
      </w:tr>
      <w:tr w:rsidR="00CB485A" w:rsidRPr="00150BD6" w14:paraId="7A1F355B" w14:textId="77777777" w:rsidTr="00150BD6">
        <w:trPr>
          <w:trHeight w:val="855"/>
          <w:jc w:val="center"/>
        </w:trPr>
        <w:tc>
          <w:tcPr>
            <w:tcW w:w="541" w:type="pct"/>
            <w:vMerge/>
            <w:vAlign w:val="center"/>
          </w:tcPr>
          <w:p w14:paraId="59B6D5C7" w14:textId="77777777" w:rsidR="00CB485A" w:rsidRPr="00150BD6" w:rsidRDefault="00CB485A">
            <w:pPr>
              <w:rPr>
                <w:rFonts w:ascii="Arial" w:hAnsi="Arial" w:cs="Arial"/>
                <w:sz w:val="16"/>
                <w:szCs w:val="16"/>
              </w:rPr>
            </w:pPr>
          </w:p>
        </w:tc>
        <w:tc>
          <w:tcPr>
            <w:tcW w:w="1144" w:type="pct"/>
            <w:vAlign w:val="center"/>
          </w:tcPr>
          <w:p w14:paraId="56341BAB"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Informe plan de gestión comunitaria del territorio (CTP)</w:t>
            </w:r>
          </w:p>
        </w:tc>
        <w:tc>
          <w:tcPr>
            <w:tcW w:w="3315" w:type="pct"/>
          </w:tcPr>
          <w:p w14:paraId="281649F0"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Acción de cierre del SPEA en la que, desde una dimensión comunitaria y desde cada aspecto del enfoque del proyecto, se valorará la percepción de las actividades desarrolladas por el equipo de trabajo en el territorio de parte de cada usuaria o usuario. Se realizará una valoración del avance del plan comunitario de gestión del territorio y la proyección de acciones de mediano y largo plazo.</w:t>
            </w:r>
          </w:p>
        </w:tc>
      </w:tr>
      <w:tr w:rsidR="00CB485A" w:rsidRPr="00150BD6" w14:paraId="6E84624F" w14:textId="77777777" w:rsidTr="00150BD6">
        <w:trPr>
          <w:trHeight w:val="540"/>
          <w:jc w:val="center"/>
        </w:trPr>
        <w:tc>
          <w:tcPr>
            <w:tcW w:w="541" w:type="pct"/>
            <w:vMerge w:val="restart"/>
            <w:vAlign w:val="center"/>
          </w:tcPr>
          <w:p w14:paraId="1A4ED49B"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Individual</w:t>
            </w:r>
          </w:p>
        </w:tc>
        <w:tc>
          <w:tcPr>
            <w:tcW w:w="1144" w:type="pct"/>
            <w:vMerge w:val="restart"/>
            <w:vAlign w:val="center"/>
          </w:tcPr>
          <w:p w14:paraId="5D3EEB30"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Acompañamiento individual a la unidad productiva familiar (AI)</w:t>
            </w:r>
          </w:p>
        </w:tc>
        <w:tc>
          <w:tcPr>
            <w:tcW w:w="3315" w:type="pct"/>
          </w:tcPr>
          <w:p w14:paraId="51D18912"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 xml:space="preserve">En el desarrollo de las visitas a los predios de los usuarios debe estar armonizado con los problemas identificados en el Caracterización inicial participativo, </w:t>
            </w:r>
          </w:p>
        </w:tc>
      </w:tr>
      <w:tr w:rsidR="00CB485A" w:rsidRPr="00150BD6" w14:paraId="65B6E748" w14:textId="77777777" w:rsidTr="00150BD6">
        <w:trPr>
          <w:trHeight w:val="1313"/>
          <w:jc w:val="center"/>
        </w:trPr>
        <w:tc>
          <w:tcPr>
            <w:tcW w:w="541" w:type="pct"/>
            <w:vMerge/>
            <w:vAlign w:val="center"/>
          </w:tcPr>
          <w:p w14:paraId="67BC6AAE" w14:textId="77777777" w:rsidR="00CB485A" w:rsidRPr="00150BD6" w:rsidRDefault="00CB485A">
            <w:pPr>
              <w:rPr>
                <w:rFonts w:ascii="Arial" w:hAnsi="Arial" w:cs="Arial"/>
                <w:sz w:val="16"/>
                <w:szCs w:val="16"/>
              </w:rPr>
            </w:pPr>
          </w:p>
        </w:tc>
        <w:tc>
          <w:tcPr>
            <w:tcW w:w="1144" w:type="pct"/>
            <w:vMerge/>
            <w:vAlign w:val="center"/>
          </w:tcPr>
          <w:p w14:paraId="42558A53" w14:textId="77777777" w:rsidR="00CB485A" w:rsidRPr="00150BD6" w:rsidRDefault="00CB485A">
            <w:pPr>
              <w:rPr>
                <w:rFonts w:ascii="Arial" w:hAnsi="Arial" w:cs="Arial"/>
                <w:sz w:val="16"/>
                <w:szCs w:val="16"/>
              </w:rPr>
            </w:pPr>
          </w:p>
        </w:tc>
        <w:tc>
          <w:tcPr>
            <w:tcW w:w="3315" w:type="pct"/>
          </w:tcPr>
          <w:p w14:paraId="66A86851" w14:textId="77777777" w:rsidR="00CB485A" w:rsidRPr="00150BD6" w:rsidRDefault="00CB485A">
            <w:pPr>
              <w:spacing w:line="254"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Aplicación del IPPTA en la primera visita, de la cual se concertar un Plan de Acción para la Transición a la agroecología entre el extensionista/promotor y la familia; y en la última visita para medir el impacto del SPEA en la unidad productiva familiar, su aplicación está sujeta al proceso metodológico definido entre la ADR y las organizaciones sociales de base agroecológica; para tal fin se entregará y socializará oportunamente. Este método debe estar en sincronizado con (EAF)</w:t>
            </w:r>
          </w:p>
        </w:tc>
      </w:tr>
      <w:tr w:rsidR="00CB485A" w:rsidRPr="00150BD6" w14:paraId="3C9B0326" w14:textId="77777777" w:rsidTr="00150BD6">
        <w:trPr>
          <w:trHeight w:val="1473"/>
          <w:jc w:val="center"/>
        </w:trPr>
        <w:tc>
          <w:tcPr>
            <w:tcW w:w="541" w:type="pct"/>
            <w:vAlign w:val="center"/>
          </w:tcPr>
          <w:p w14:paraId="34D398A9"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Masivos</w:t>
            </w:r>
          </w:p>
        </w:tc>
        <w:tc>
          <w:tcPr>
            <w:tcW w:w="1144" w:type="pct"/>
            <w:vAlign w:val="center"/>
          </w:tcPr>
          <w:p w14:paraId="34946DA0" w14:textId="77777777" w:rsidR="00CB485A" w:rsidRPr="00150BD6" w:rsidRDefault="00CB485A">
            <w:pPr>
              <w:spacing w:line="254" w:lineRule="auto"/>
              <w:ind w:left="-20" w:right="-20"/>
              <w:rPr>
                <w:rFonts w:ascii="Arial" w:eastAsia="Arial" w:hAnsi="Arial" w:cs="Arial"/>
                <w:color w:val="000000" w:themeColor="text1"/>
                <w:sz w:val="16"/>
                <w:szCs w:val="16"/>
              </w:rPr>
            </w:pPr>
            <w:r w:rsidRPr="00150BD6">
              <w:rPr>
                <w:rFonts w:ascii="Arial" w:eastAsia="Arial" w:hAnsi="Arial" w:cs="Arial"/>
                <w:b/>
                <w:bCs/>
                <w:color w:val="000000" w:themeColor="text1"/>
                <w:sz w:val="16"/>
                <w:szCs w:val="16"/>
              </w:rPr>
              <w:t>Uso de estrategias impresas, digitales, radiales, entre otras.</w:t>
            </w:r>
          </w:p>
        </w:tc>
        <w:tc>
          <w:tcPr>
            <w:tcW w:w="3315" w:type="pct"/>
          </w:tcPr>
          <w:p w14:paraId="3D3E71FC" w14:textId="77777777" w:rsidR="00CB485A" w:rsidRPr="00150BD6" w:rsidRDefault="00CB485A">
            <w:pPr>
              <w:spacing w:line="252"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 xml:space="preserve">Impresión y entrega a los usuarios del IPPTA, como elemento fundamental para la medición de indicadores y la definición de acciones para la transición o fortalecimiento a la agroecología en los predios. </w:t>
            </w:r>
          </w:p>
          <w:p w14:paraId="1FA7A8BD" w14:textId="77777777" w:rsidR="00CB485A" w:rsidRPr="00150BD6" w:rsidRDefault="00CB485A">
            <w:pPr>
              <w:spacing w:line="252"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Diseño, edición y distribución del Planeador de finca. La Impresión debe hacerse en propalcote de 150 gramos, plastificado brillante o mate 1 cara</w:t>
            </w:r>
          </w:p>
          <w:p w14:paraId="7E012C7A" w14:textId="77777777" w:rsidR="00CB485A" w:rsidRPr="00150BD6" w:rsidRDefault="00CB485A">
            <w:pPr>
              <w:spacing w:line="252" w:lineRule="auto"/>
              <w:ind w:left="-20"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plegado en 18 cuerpos, Tamaño 70*100.</w:t>
            </w:r>
          </w:p>
          <w:p w14:paraId="0E145203" w14:textId="77777777" w:rsidR="00CB485A" w:rsidRPr="00150BD6" w:rsidRDefault="00CB485A">
            <w:pPr>
              <w:spacing w:line="254" w:lineRule="auto"/>
              <w:ind w:right="-20"/>
              <w:jc w:val="both"/>
              <w:rPr>
                <w:rFonts w:ascii="Arial" w:eastAsia="Arial" w:hAnsi="Arial" w:cs="Arial"/>
                <w:color w:val="000000" w:themeColor="text1"/>
                <w:sz w:val="16"/>
                <w:szCs w:val="16"/>
              </w:rPr>
            </w:pPr>
            <w:r w:rsidRPr="00150BD6">
              <w:rPr>
                <w:rFonts w:ascii="Arial" w:eastAsia="Arial" w:hAnsi="Arial" w:cs="Arial"/>
                <w:color w:val="000000" w:themeColor="text1"/>
                <w:sz w:val="16"/>
                <w:szCs w:val="16"/>
              </w:rPr>
              <w:t>La calidad del material de impresión del planeador de finca debe ser igual o superior.</w:t>
            </w:r>
          </w:p>
        </w:tc>
      </w:tr>
    </w:tbl>
    <w:p w14:paraId="4AA6CB2D" w14:textId="77777777" w:rsidR="00605CD3" w:rsidRPr="0086351C" w:rsidRDefault="00605CD3" w:rsidP="00605CD3">
      <w:pPr>
        <w:pStyle w:val="Descripcin"/>
        <w:keepNext/>
        <w:spacing w:after="0"/>
        <w:jc w:val="center"/>
        <w:rPr>
          <w:rFonts w:ascii="Arial" w:hAnsi="Arial" w:cs="Arial"/>
          <w:b/>
          <w:bCs/>
          <w:color w:val="auto"/>
          <w:sz w:val="20"/>
          <w:szCs w:val="20"/>
        </w:rPr>
      </w:pPr>
      <w:r w:rsidRPr="0086351C">
        <w:rPr>
          <w:rFonts w:ascii="Arial" w:hAnsi="Arial" w:cs="Arial"/>
          <w:color w:val="auto"/>
        </w:rPr>
        <w:t xml:space="preserve">Tabla </w:t>
      </w:r>
      <w:r w:rsidRPr="0086351C">
        <w:rPr>
          <w:rFonts w:ascii="Arial" w:hAnsi="Arial" w:cs="Arial"/>
          <w:color w:val="auto"/>
        </w:rPr>
        <w:fldChar w:fldCharType="begin"/>
      </w:r>
      <w:r w:rsidRPr="0086351C">
        <w:rPr>
          <w:rFonts w:ascii="Arial" w:hAnsi="Arial" w:cs="Arial"/>
          <w:color w:val="auto"/>
        </w:rPr>
        <w:instrText xml:space="preserve"> SEQ Tabla \* ARABIC </w:instrText>
      </w:r>
      <w:r w:rsidRPr="0086351C">
        <w:rPr>
          <w:rFonts w:ascii="Arial" w:hAnsi="Arial" w:cs="Arial"/>
          <w:color w:val="auto"/>
        </w:rPr>
        <w:fldChar w:fldCharType="separate"/>
      </w:r>
      <w:r w:rsidRPr="0086351C">
        <w:rPr>
          <w:rFonts w:ascii="Arial" w:hAnsi="Arial" w:cs="Arial"/>
          <w:noProof/>
          <w:color w:val="auto"/>
        </w:rPr>
        <w:t>14</w:t>
      </w:r>
      <w:r w:rsidRPr="0086351C">
        <w:rPr>
          <w:rFonts w:ascii="Arial" w:hAnsi="Arial" w:cs="Arial"/>
          <w:color w:val="auto"/>
        </w:rPr>
        <w:fldChar w:fldCharType="end"/>
      </w:r>
      <w:r w:rsidRPr="0086351C">
        <w:rPr>
          <w:rFonts w:ascii="Arial" w:hAnsi="Arial" w:cs="Arial"/>
          <w:color w:val="auto"/>
        </w:rPr>
        <w:t xml:space="preserve">. </w:t>
      </w:r>
      <w:r w:rsidRPr="0086351C">
        <w:rPr>
          <w:rFonts w:ascii="Arial" w:hAnsi="Arial" w:cs="Arial"/>
          <w:color w:val="auto"/>
          <w:sz w:val="20"/>
          <w:szCs w:val="20"/>
        </w:rPr>
        <w:t>Descripción de métodos de extensión a implementar en el marco del convenio.</w:t>
      </w:r>
    </w:p>
    <w:p w14:paraId="7BCD492C" w14:textId="77777777" w:rsidR="00605CD3" w:rsidRPr="0086351C" w:rsidRDefault="00605CD3" w:rsidP="00605CD3">
      <w:pPr>
        <w:jc w:val="center"/>
        <w:rPr>
          <w:rFonts w:ascii="Arial" w:eastAsia="Arial MT" w:hAnsi="Arial" w:cs="Arial"/>
          <w:i/>
          <w:iCs/>
          <w:sz w:val="20"/>
          <w:szCs w:val="20"/>
          <w:lang w:val="es-ES" w:eastAsia="en-US"/>
        </w:rPr>
      </w:pPr>
      <w:r w:rsidRPr="0086351C">
        <w:rPr>
          <w:rFonts w:ascii="Arial" w:eastAsia="Arial MT" w:hAnsi="Arial" w:cs="Arial"/>
          <w:i/>
          <w:iCs/>
          <w:sz w:val="20"/>
          <w:szCs w:val="20"/>
          <w:lang w:val="es-ES" w:eastAsia="en-US"/>
        </w:rPr>
        <w:t>Fuente: Dirección de Asistencia Técnica, 2024.</w:t>
      </w:r>
    </w:p>
    <w:p w14:paraId="67BEA7E5" w14:textId="77777777" w:rsidR="007F121C" w:rsidRPr="0086351C" w:rsidRDefault="007F121C" w:rsidP="007F121C">
      <w:pPr>
        <w:jc w:val="both"/>
        <w:rPr>
          <w:rFonts w:ascii="Arial" w:hAnsi="Arial" w:cs="Arial"/>
        </w:rPr>
      </w:pPr>
    </w:p>
    <w:p w14:paraId="747C109A" w14:textId="0B8BB67F" w:rsidR="00CB485A" w:rsidRPr="00036D0D" w:rsidRDefault="007F121C" w:rsidP="00150BD6">
      <w:pPr>
        <w:spacing w:line="276" w:lineRule="auto"/>
        <w:jc w:val="both"/>
        <w:rPr>
          <w:rFonts w:ascii="Arial" w:eastAsiaTheme="majorEastAsia" w:hAnsi="Arial" w:cs="Arial"/>
          <w:sz w:val="22"/>
          <w:szCs w:val="22"/>
        </w:rPr>
      </w:pPr>
      <w:r w:rsidRPr="00036D0D">
        <w:rPr>
          <w:rFonts w:ascii="Arial" w:hAnsi="Arial" w:cs="Arial"/>
          <w:sz w:val="22"/>
          <w:szCs w:val="22"/>
        </w:rPr>
        <w:t>A</w:t>
      </w:r>
      <w:r w:rsidR="00CB485A" w:rsidRPr="00036D0D">
        <w:rPr>
          <w:rFonts w:ascii="Arial" w:eastAsiaTheme="majorEastAsia" w:hAnsi="Arial" w:cs="Arial"/>
          <w:sz w:val="22"/>
          <w:szCs w:val="22"/>
        </w:rPr>
        <w:t>l momento de diseñar la Metodología de Extensión, se garanti</w:t>
      </w:r>
      <w:r w:rsidRPr="00036D0D">
        <w:rPr>
          <w:rFonts w:ascii="Arial" w:eastAsiaTheme="majorEastAsia" w:hAnsi="Arial" w:cs="Arial"/>
          <w:sz w:val="22"/>
          <w:szCs w:val="22"/>
        </w:rPr>
        <w:t>za</w:t>
      </w:r>
      <w:r w:rsidR="00CB485A" w:rsidRPr="00036D0D">
        <w:rPr>
          <w:rFonts w:ascii="Arial" w:eastAsiaTheme="majorEastAsia" w:hAnsi="Arial" w:cs="Arial"/>
          <w:sz w:val="22"/>
          <w:szCs w:val="22"/>
        </w:rPr>
        <w:t xml:space="preserve"> que cada una de las actividades est</w:t>
      </w:r>
      <w:r w:rsidRPr="00036D0D">
        <w:rPr>
          <w:rFonts w:ascii="Arial" w:eastAsiaTheme="majorEastAsia" w:hAnsi="Arial" w:cs="Arial"/>
          <w:sz w:val="22"/>
          <w:szCs w:val="22"/>
        </w:rPr>
        <w:t>á</w:t>
      </w:r>
      <w:r w:rsidR="00CB485A" w:rsidRPr="00036D0D">
        <w:rPr>
          <w:rFonts w:ascii="Arial" w:eastAsiaTheme="majorEastAsia" w:hAnsi="Arial" w:cs="Arial"/>
          <w:sz w:val="22"/>
          <w:szCs w:val="22"/>
        </w:rPr>
        <w:t xml:space="preserve">n planeadas de forma que evidencien articulación y coherencia en el logro de objetivos y en la práctica no resulten aisladas entre sí, con lo anterior se busca adelantar un proceso continuo y armonizado de generación de capacidades a los miembros de la </w:t>
      </w:r>
      <w:r w:rsidR="00CB485A" w:rsidRPr="00036D0D">
        <w:rPr>
          <w:rFonts w:ascii="Arial" w:eastAsiaTheme="majorEastAsia" w:hAnsi="Arial" w:cs="Arial"/>
          <w:sz w:val="22"/>
          <w:szCs w:val="22"/>
        </w:rPr>
        <w:lastRenderedPageBreak/>
        <w:t xml:space="preserve">unidad productiva familiar. Para ilustrar lo que se busca, se presenta en la figura </w:t>
      </w:r>
      <w:r w:rsidR="00150BD6">
        <w:rPr>
          <w:rFonts w:ascii="Arial" w:eastAsiaTheme="majorEastAsia" w:hAnsi="Arial" w:cs="Arial"/>
          <w:sz w:val="22"/>
          <w:szCs w:val="22"/>
        </w:rPr>
        <w:t>3</w:t>
      </w:r>
      <w:r w:rsidR="00CB485A" w:rsidRPr="00036D0D">
        <w:rPr>
          <w:rFonts w:ascii="Arial" w:eastAsiaTheme="majorEastAsia" w:hAnsi="Arial" w:cs="Arial"/>
          <w:sz w:val="22"/>
          <w:szCs w:val="22"/>
        </w:rPr>
        <w:t>, el diagrama de flujo de las actividades de los métodos de Extensión.</w:t>
      </w:r>
    </w:p>
    <w:p w14:paraId="783B0706" w14:textId="77777777" w:rsidR="009332A4" w:rsidRPr="0086351C" w:rsidRDefault="009332A4" w:rsidP="007F121C">
      <w:pPr>
        <w:jc w:val="both"/>
        <w:rPr>
          <w:rFonts w:ascii="Arial" w:eastAsiaTheme="majorEastAsia" w:hAnsi="Arial" w:cs="Arial"/>
        </w:rPr>
      </w:pPr>
    </w:p>
    <w:p w14:paraId="79474A5F" w14:textId="30DD287D" w:rsidR="009332A4" w:rsidRPr="0086351C" w:rsidRDefault="009332A4" w:rsidP="009332A4">
      <w:pPr>
        <w:jc w:val="center"/>
        <w:rPr>
          <w:rFonts w:ascii="Arial" w:hAnsi="Arial" w:cs="Arial"/>
          <w:i/>
          <w:iCs/>
          <w:sz w:val="20"/>
          <w:szCs w:val="20"/>
        </w:rPr>
      </w:pPr>
    </w:p>
    <w:p w14:paraId="5695E8B8" w14:textId="77777777" w:rsidR="00CB485A" w:rsidRPr="0086351C" w:rsidRDefault="00CB485A" w:rsidP="00CB485A">
      <w:pPr>
        <w:spacing w:before="240" w:after="240"/>
        <w:jc w:val="both"/>
        <w:rPr>
          <w:rFonts w:ascii="Arial" w:eastAsiaTheme="majorEastAsia" w:hAnsi="Arial" w:cs="Arial"/>
        </w:rPr>
      </w:pPr>
      <w:r w:rsidRPr="0086351C">
        <w:rPr>
          <w:rFonts w:ascii="Arial" w:eastAsiaTheme="majorEastAsia" w:hAnsi="Arial" w:cs="Arial"/>
          <w:noProof/>
          <w:lang w:val="en-US"/>
        </w:rPr>
        <w:drawing>
          <wp:inline distT="0" distB="0" distL="0" distR="0" wp14:anchorId="5B922D3B" wp14:editId="11DE057B">
            <wp:extent cx="5912103" cy="2880360"/>
            <wp:effectExtent l="0" t="0" r="0" b="0"/>
            <wp:docPr id="55697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97397" name=""/>
                    <pic:cNvPicPr/>
                  </pic:nvPicPr>
                  <pic:blipFill>
                    <a:blip r:embed="rId50"/>
                    <a:stretch>
                      <a:fillRect/>
                    </a:stretch>
                  </pic:blipFill>
                  <pic:spPr>
                    <a:xfrm>
                      <a:off x="0" y="0"/>
                      <a:ext cx="5930840" cy="2889489"/>
                    </a:xfrm>
                    <a:prstGeom prst="rect">
                      <a:avLst/>
                    </a:prstGeom>
                  </pic:spPr>
                </pic:pic>
              </a:graphicData>
            </a:graphic>
          </wp:inline>
        </w:drawing>
      </w:r>
    </w:p>
    <w:p w14:paraId="42A89391" w14:textId="77777777" w:rsidR="009A674F" w:rsidRPr="0086351C" w:rsidRDefault="009A674F" w:rsidP="009A674F">
      <w:pPr>
        <w:jc w:val="center"/>
        <w:rPr>
          <w:rFonts w:ascii="Arial" w:hAnsi="Arial" w:cs="Arial"/>
          <w:i/>
          <w:iCs/>
        </w:rPr>
      </w:pPr>
      <w:r w:rsidRPr="0086351C">
        <w:rPr>
          <w:rFonts w:ascii="Arial" w:hAnsi="Arial" w:cs="Arial"/>
          <w:i/>
          <w:iCs/>
          <w:sz w:val="20"/>
          <w:szCs w:val="20"/>
        </w:rPr>
        <w:t xml:space="preserve">Figura </w:t>
      </w:r>
      <w:r w:rsidRPr="0086351C">
        <w:rPr>
          <w:rFonts w:ascii="Arial" w:hAnsi="Arial" w:cs="Arial"/>
          <w:i/>
          <w:iCs/>
          <w:sz w:val="20"/>
          <w:szCs w:val="20"/>
        </w:rPr>
        <w:fldChar w:fldCharType="begin"/>
      </w:r>
      <w:r w:rsidRPr="0086351C">
        <w:rPr>
          <w:rFonts w:ascii="Arial" w:hAnsi="Arial" w:cs="Arial"/>
          <w:i/>
          <w:iCs/>
          <w:sz w:val="20"/>
          <w:szCs w:val="20"/>
        </w:rPr>
        <w:instrText xml:space="preserve"> SEQ Figura \* ARABIC </w:instrText>
      </w:r>
      <w:r w:rsidRPr="0086351C">
        <w:rPr>
          <w:rFonts w:ascii="Arial" w:hAnsi="Arial" w:cs="Arial"/>
          <w:i/>
          <w:iCs/>
          <w:sz w:val="20"/>
          <w:szCs w:val="20"/>
        </w:rPr>
        <w:fldChar w:fldCharType="separate"/>
      </w:r>
      <w:r w:rsidRPr="0086351C">
        <w:rPr>
          <w:rFonts w:ascii="Arial" w:hAnsi="Arial" w:cs="Arial"/>
          <w:i/>
          <w:iCs/>
          <w:noProof/>
          <w:sz w:val="20"/>
          <w:szCs w:val="20"/>
        </w:rPr>
        <w:t>3</w:t>
      </w:r>
      <w:r w:rsidRPr="0086351C">
        <w:rPr>
          <w:rFonts w:ascii="Arial" w:hAnsi="Arial" w:cs="Arial"/>
          <w:i/>
          <w:iCs/>
          <w:sz w:val="20"/>
          <w:szCs w:val="20"/>
        </w:rPr>
        <w:fldChar w:fldCharType="end"/>
      </w:r>
      <w:r w:rsidRPr="0086351C">
        <w:rPr>
          <w:rFonts w:ascii="Arial" w:hAnsi="Arial" w:cs="Arial"/>
          <w:i/>
          <w:iCs/>
          <w:sz w:val="20"/>
          <w:szCs w:val="20"/>
        </w:rPr>
        <w:t>. Fases para la Prestación del Servicio Público de Extensión Agropecuaria</w:t>
      </w:r>
    </w:p>
    <w:p w14:paraId="5831F273" w14:textId="77777777" w:rsidR="009A674F" w:rsidRPr="0086351C" w:rsidRDefault="009A674F" w:rsidP="009A674F">
      <w:pPr>
        <w:jc w:val="center"/>
        <w:rPr>
          <w:rFonts w:ascii="Arial" w:hAnsi="Arial" w:cs="Arial"/>
          <w:i/>
          <w:iCs/>
          <w:sz w:val="22"/>
          <w:szCs w:val="22"/>
        </w:rPr>
      </w:pPr>
      <w:r w:rsidRPr="0086351C">
        <w:rPr>
          <w:rFonts w:ascii="Arial" w:hAnsi="Arial" w:cs="Arial"/>
          <w:i/>
          <w:iCs/>
          <w:sz w:val="18"/>
          <w:szCs w:val="18"/>
        </w:rPr>
        <w:t>Fuente: Dirección de Asistencia Técnica, Agencia de Desarrollo Rural, 2024.</w:t>
      </w:r>
    </w:p>
    <w:p w14:paraId="5DFDA782" w14:textId="7C43D6DD" w:rsidR="00036D0D" w:rsidRPr="0086351C" w:rsidRDefault="00036D0D" w:rsidP="1C5DF8D6">
      <w:pPr>
        <w:autoSpaceDE w:val="0"/>
        <w:autoSpaceDN w:val="0"/>
        <w:adjustRightInd w:val="0"/>
        <w:jc w:val="both"/>
        <w:rPr>
          <w:rFonts w:ascii="Arial" w:eastAsia="Tahoma" w:hAnsi="Arial" w:cs="Arial"/>
          <w:sz w:val="22"/>
          <w:szCs w:val="22"/>
        </w:rPr>
      </w:pPr>
    </w:p>
    <w:p w14:paraId="52E5F45C" w14:textId="77777777" w:rsidR="007620F4" w:rsidRPr="0086351C" w:rsidRDefault="007620F4" w:rsidP="00195179">
      <w:pPr>
        <w:pStyle w:val="Ttulo1"/>
        <w:framePr w:w="8642" w:wrap="around" w:hAnchor="page" w:x="1809" w:y="80"/>
        <w:spacing w:line="240" w:lineRule="auto"/>
        <w:ind w:left="0" w:firstLine="0"/>
        <w:rPr>
          <w:rFonts w:ascii="Arial" w:eastAsia="Tahoma" w:hAnsi="Arial" w:cs="Arial"/>
          <w:b w:val="0"/>
          <w:bCs w:val="0"/>
          <w:sz w:val="22"/>
          <w:szCs w:val="22"/>
        </w:rPr>
      </w:pPr>
      <w:bookmarkStart w:id="28" w:name="_Toc178847902"/>
      <w:r w:rsidRPr="0086351C">
        <w:rPr>
          <w:rFonts w:ascii="Arial" w:eastAsia="Tahoma" w:hAnsi="Arial" w:cs="Arial"/>
          <w:sz w:val="22"/>
          <w:szCs w:val="22"/>
        </w:rPr>
        <w:t>CONCLUSIÓN</w:t>
      </w:r>
      <w:bookmarkEnd w:id="28"/>
      <w:r w:rsidRPr="0086351C">
        <w:rPr>
          <w:rFonts w:ascii="Arial" w:eastAsia="Tahoma" w:hAnsi="Arial" w:cs="Arial"/>
          <w:sz w:val="22"/>
          <w:szCs w:val="22"/>
        </w:rPr>
        <w:t xml:space="preserve"> </w:t>
      </w:r>
    </w:p>
    <w:p w14:paraId="2253BC39" w14:textId="77777777" w:rsidR="007D7433" w:rsidRPr="0086351C" w:rsidRDefault="007D7433" w:rsidP="1C5DF8D6">
      <w:pPr>
        <w:autoSpaceDE w:val="0"/>
        <w:autoSpaceDN w:val="0"/>
        <w:adjustRightInd w:val="0"/>
        <w:jc w:val="both"/>
        <w:rPr>
          <w:rFonts w:ascii="Arial" w:eastAsia="Tahoma" w:hAnsi="Arial" w:cs="Arial"/>
          <w:sz w:val="22"/>
          <w:szCs w:val="22"/>
        </w:rPr>
      </w:pPr>
    </w:p>
    <w:p w14:paraId="5D992102" w14:textId="3F5CC265" w:rsidR="00667508" w:rsidRPr="00150BD6" w:rsidRDefault="00667508" w:rsidP="00150BD6">
      <w:pPr>
        <w:spacing w:after="240" w:line="276" w:lineRule="auto"/>
        <w:jc w:val="both"/>
        <w:rPr>
          <w:rFonts w:ascii="Arial" w:hAnsi="Arial" w:cs="Arial"/>
          <w:sz w:val="22"/>
          <w:szCs w:val="22"/>
        </w:rPr>
      </w:pPr>
      <w:r w:rsidRPr="39B1CA44">
        <w:rPr>
          <w:rFonts w:ascii="Arial" w:hAnsi="Arial" w:cs="Arial"/>
          <w:sz w:val="22"/>
          <w:szCs w:val="22"/>
        </w:rPr>
        <w:t>En resumen, la extensión agropecuaria responde a los problemas de</w:t>
      </w:r>
      <w:r w:rsidR="00613B02" w:rsidRPr="39B1CA44">
        <w:rPr>
          <w:rFonts w:ascii="Arial" w:hAnsi="Arial" w:cs="Arial"/>
          <w:sz w:val="22"/>
          <w:szCs w:val="22"/>
        </w:rPr>
        <w:t xml:space="preserve"> la población rural</w:t>
      </w:r>
      <w:r w:rsidRPr="39B1CA44">
        <w:rPr>
          <w:rFonts w:ascii="Arial" w:hAnsi="Arial" w:cs="Arial"/>
          <w:sz w:val="22"/>
          <w:szCs w:val="22"/>
        </w:rPr>
        <w:t xml:space="preserve"> al brindar conocimientos, capacitación, asesoramiento y acceso a recursos y servicios que ayudan a los agricultores y ganaderos a abordar los desafíos específicos de sus actividades</w:t>
      </w:r>
      <w:r w:rsidR="00613B02" w:rsidRPr="39B1CA44">
        <w:rPr>
          <w:rFonts w:ascii="Arial" w:hAnsi="Arial" w:cs="Arial"/>
          <w:sz w:val="22"/>
          <w:szCs w:val="22"/>
        </w:rPr>
        <w:t xml:space="preserve">; </w:t>
      </w:r>
      <w:r w:rsidRPr="39B1CA44">
        <w:rPr>
          <w:rFonts w:ascii="Arial" w:hAnsi="Arial" w:cs="Arial"/>
          <w:sz w:val="22"/>
          <w:szCs w:val="22"/>
        </w:rPr>
        <w:t xml:space="preserve"> </w:t>
      </w:r>
      <w:r w:rsidR="00613B02" w:rsidRPr="39B1CA44">
        <w:rPr>
          <w:rFonts w:ascii="Arial" w:hAnsi="Arial" w:cs="Arial"/>
          <w:sz w:val="22"/>
          <w:szCs w:val="22"/>
        </w:rPr>
        <w:t>p</w:t>
      </w:r>
      <w:r w:rsidRPr="39B1CA44">
        <w:rPr>
          <w:rFonts w:ascii="Arial" w:hAnsi="Arial" w:cs="Arial"/>
          <w:sz w:val="22"/>
          <w:szCs w:val="22"/>
        </w:rPr>
        <w:t>rom</w:t>
      </w:r>
      <w:r w:rsidR="00613B02" w:rsidRPr="39B1CA44">
        <w:rPr>
          <w:rFonts w:ascii="Arial" w:hAnsi="Arial" w:cs="Arial"/>
          <w:sz w:val="22"/>
          <w:szCs w:val="22"/>
        </w:rPr>
        <w:t>ueve</w:t>
      </w:r>
      <w:r w:rsidRPr="39B1CA44">
        <w:rPr>
          <w:rFonts w:ascii="Arial" w:hAnsi="Arial" w:cs="Arial"/>
          <w:sz w:val="22"/>
          <w:szCs w:val="22"/>
        </w:rPr>
        <w:t xml:space="preserve"> la adopción de buenas prácticas y la implementación de tecnologías adecuadas, </w:t>
      </w:r>
      <w:r w:rsidR="00432DEC" w:rsidRPr="39B1CA44">
        <w:rPr>
          <w:rFonts w:ascii="Arial" w:hAnsi="Arial" w:cs="Arial"/>
          <w:sz w:val="22"/>
          <w:szCs w:val="22"/>
        </w:rPr>
        <w:t xml:space="preserve">el desarrollo de capacidades humanas y </w:t>
      </w:r>
      <w:r w:rsidRPr="39B1CA44">
        <w:rPr>
          <w:rFonts w:ascii="Arial" w:hAnsi="Arial" w:cs="Arial"/>
          <w:sz w:val="22"/>
          <w:szCs w:val="22"/>
        </w:rPr>
        <w:t>contribuye a mejorar la</w:t>
      </w:r>
      <w:r w:rsidR="00432DEC" w:rsidRPr="39B1CA44">
        <w:rPr>
          <w:rFonts w:ascii="Arial" w:hAnsi="Arial" w:cs="Arial"/>
          <w:sz w:val="22"/>
          <w:szCs w:val="22"/>
        </w:rPr>
        <w:t xml:space="preserve"> </w:t>
      </w:r>
      <w:r w:rsidR="00A55162" w:rsidRPr="39B1CA44">
        <w:rPr>
          <w:rFonts w:ascii="Arial" w:hAnsi="Arial" w:cs="Arial"/>
          <w:sz w:val="22"/>
          <w:szCs w:val="22"/>
        </w:rPr>
        <w:t>economía</w:t>
      </w:r>
      <w:r w:rsidR="00432DEC" w:rsidRPr="39B1CA44">
        <w:rPr>
          <w:rFonts w:ascii="Arial" w:hAnsi="Arial" w:cs="Arial"/>
          <w:sz w:val="22"/>
          <w:szCs w:val="22"/>
        </w:rPr>
        <w:t xml:space="preserve"> de las familias campesinas </w:t>
      </w:r>
      <w:r w:rsidR="00A55162" w:rsidRPr="39B1CA44">
        <w:rPr>
          <w:rFonts w:ascii="Arial" w:hAnsi="Arial" w:cs="Arial"/>
          <w:sz w:val="22"/>
          <w:szCs w:val="22"/>
        </w:rPr>
        <w:t>por la vía de la asociatividad y la</w:t>
      </w:r>
      <w:r w:rsidRPr="39B1CA44">
        <w:rPr>
          <w:rFonts w:ascii="Arial" w:hAnsi="Arial" w:cs="Arial"/>
          <w:sz w:val="22"/>
          <w:szCs w:val="22"/>
        </w:rPr>
        <w:t xml:space="preserve"> productividad</w:t>
      </w:r>
      <w:r w:rsidR="6B3AF5A3" w:rsidRPr="39B1CA44">
        <w:rPr>
          <w:rFonts w:ascii="Arial" w:hAnsi="Arial" w:cs="Arial"/>
          <w:sz w:val="22"/>
          <w:szCs w:val="22"/>
        </w:rPr>
        <w:t>.</w:t>
      </w:r>
      <w:r w:rsidRPr="39B1CA44">
        <w:rPr>
          <w:rFonts w:ascii="Arial" w:hAnsi="Arial" w:cs="Arial"/>
          <w:sz w:val="22"/>
          <w:szCs w:val="22"/>
        </w:rPr>
        <w:t xml:space="preserve"> </w:t>
      </w:r>
    </w:p>
    <w:p w14:paraId="39DCEFE7" w14:textId="77777777" w:rsidR="001D7FAB" w:rsidRPr="00150BD6" w:rsidRDefault="001D7FAB" w:rsidP="00150BD6">
      <w:pPr>
        <w:spacing w:after="240" w:line="276" w:lineRule="auto"/>
        <w:jc w:val="both"/>
        <w:rPr>
          <w:rFonts w:ascii="Arial" w:hAnsi="Arial" w:cs="Arial"/>
          <w:sz w:val="22"/>
          <w:szCs w:val="22"/>
        </w:rPr>
      </w:pPr>
      <w:r w:rsidRPr="00150BD6">
        <w:rPr>
          <w:rFonts w:ascii="Arial" w:hAnsi="Arial" w:cs="Arial"/>
          <w:sz w:val="22"/>
          <w:szCs w:val="22"/>
        </w:rPr>
        <w:t xml:space="preserve">Así las cosas, y de acuerdo con el artículo 22 de la Ley 1876 de 2017, se identifican actores del Subsistema Nacional de Extensión Agropecuaria, dentro de los cuales se destacan, “1.) el Departamento Nacional de Planeación (DNP). 2. El Ministerio de Agricultura y Desarrollo Rural (MADR). 3. La Agencia de Desarrollo Rural (ADR) (…) </w:t>
      </w:r>
      <w:r w:rsidRPr="00150BD6">
        <w:rPr>
          <w:rFonts w:ascii="Arial" w:hAnsi="Arial" w:cs="Arial"/>
          <w:b/>
          <w:bCs/>
          <w:sz w:val="22"/>
          <w:szCs w:val="22"/>
          <w:u w:val="single"/>
        </w:rPr>
        <w:t>15. Las Instituciones de Educación Superior y los colegios agropecuarios</w:t>
      </w:r>
      <w:r w:rsidRPr="00150BD6">
        <w:rPr>
          <w:rFonts w:ascii="Arial" w:hAnsi="Arial" w:cs="Arial"/>
          <w:sz w:val="22"/>
          <w:szCs w:val="22"/>
        </w:rPr>
        <w:t>. (…)”.</w:t>
      </w:r>
    </w:p>
    <w:p w14:paraId="0F867C6C" w14:textId="2A153BD3" w:rsidR="00667508" w:rsidRPr="00150BD6" w:rsidRDefault="00725906" w:rsidP="00150BD6">
      <w:pPr>
        <w:spacing w:after="240" w:line="276" w:lineRule="auto"/>
        <w:jc w:val="both"/>
        <w:rPr>
          <w:rFonts w:ascii="Arial" w:hAnsi="Arial" w:cs="Arial"/>
          <w:sz w:val="22"/>
          <w:szCs w:val="22"/>
        </w:rPr>
      </w:pPr>
      <w:r w:rsidRPr="00150BD6">
        <w:rPr>
          <w:rFonts w:ascii="Arial" w:hAnsi="Arial" w:cs="Arial"/>
          <w:sz w:val="22"/>
          <w:szCs w:val="22"/>
        </w:rPr>
        <w:t xml:space="preserve">En ese orden de ideas se identifica un actor clave en las Instituciones de Educación Superior para el fortalecimiento de los procesos de Extensión Agropecuaria, estas poseen gran capacidad de generar y transferir conocimiento técnico y científico a las comunidades rurales y al sector agropecuario en general, son entidades del orden público de amplio </w:t>
      </w:r>
      <w:r w:rsidRPr="00150BD6">
        <w:rPr>
          <w:rFonts w:ascii="Arial" w:hAnsi="Arial" w:cs="Arial"/>
          <w:sz w:val="22"/>
          <w:szCs w:val="22"/>
        </w:rPr>
        <w:lastRenderedPageBreak/>
        <w:t>reconocimiento en los departamentos y territorios, con funciones claras  en el SNIA haciendo parte de las mesas de Ciencia, Tecnología e Innovación Agropecuaria de su departamento, cuyo objetivo principal es promover el desarrollo de los Sistemas Territoriales de Innovación en el marco de las Comisiones Regional de Competitividad y en los tres subsistemas descritos por la Ley 1876/17, que se señalan a continuación</w:t>
      </w:r>
      <w:r w:rsidR="00667508" w:rsidRPr="00150BD6">
        <w:rPr>
          <w:rFonts w:ascii="Arial" w:hAnsi="Arial" w:cs="Arial"/>
          <w:sz w:val="22"/>
          <w:szCs w:val="22"/>
        </w:rPr>
        <w:t>.</w:t>
      </w:r>
    </w:p>
    <w:p w14:paraId="51CCF9A2" w14:textId="0AF4C6FE" w:rsidR="00CB1178" w:rsidRPr="00150BD6" w:rsidRDefault="00CB1178" w:rsidP="00150BD6">
      <w:pPr>
        <w:spacing w:line="276" w:lineRule="auto"/>
        <w:jc w:val="both"/>
        <w:rPr>
          <w:rFonts w:ascii="Arial" w:hAnsi="Arial" w:cs="Arial"/>
          <w:sz w:val="22"/>
          <w:szCs w:val="22"/>
        </w:rPr>
      </w:pPr>
      <w:r w:rsidRPr="00150BD6">
        <w:rPr>
          <w:rFonts w:ascii="Arial" w:hAnsi="Arial" w:cs="Arial"/>
          <w:sz w:val="22"/>
          <w:szCs w:val="22"/>
        </w:rPr>
        <w:t xml:space="preserve">Teniendo en cuenta lo anterior, la </w:t>
      </w:r>
      <w:r w:rsidRPr="00150BD6">
        <w:rPr>
          <w:rFonts w:ascii="Arial" w:hAnsi="Arial" w:cs="Arial"/>
          <w:b/>
          <w:bCs/>
          <w:sz w:val="22"/>
          <w:szCs w:val="22"/>
        </w:rPr>
        <w:t>EPSEA UNIVERSIDAD DE SUCRE</w:t>
      </w:r>
      <w:r w:rsidRPr="00150BD6">
        <w:rPr>
          <w:rFonts w:ascii="Arial" w:hAnsi="Arial" w:cs="Arial"/>
          <w:sz w:val="22"/>
          <w:szCs w:val="22"/>
        </w:rPr>
        <w:t xml:space="preserve"> presenta experiencia de </w:t>
      </w:r>
      <w:r w:rsidR="00506C6C" w:rsidRPr="00150BD6">
        <w:rPr>
          <w:rFonts w:ascii="Arial" w:hAnsi="Arial" w:cs="Arial"/>
          <w:sz w:val="22"/>
          <w:szCs w:val="22"/>
        </w:rPr>
        <w:t>13</w:t>
      </w:r>
      <w:r w:rsidRPr="00150BD6">
        <w:rPr>
          <w:rFonts w:ascii="Arial" w:hAnsi="Arial" w:cs="Arial"/>
          <w:sz w:val="22"/>
          <w:szCs w:val="22"/>
        </w:rPr>
        <w:t xml:space="preserve"> años, </w:t>
      </w:r>
      <w:r w:rsidR="00506C6C" w:rsidRPr="00150BD6">
        <w:rPr>
          <w:rFonts w:ascii="Arial" w:hAnsi="Arial" w:cs="Arial"/>
          <w:sz w:val="22"/>
          <w:szCs w:val="22"/>
        </w:rPr>
        <w:t>9</w:t>
      </w:r>
      <w:r w:rsidRPr="00150BD6">
        <w:rPr>
          <w:rFonts w:ascii="Arial" w:hAnsi="Arial" w:cs="Arial"/>
          <w:sz w:val="22"/>
          <w:szCs w:val="22"/>
        </w:rPr>
        <w:t xml:space="preserve"> meses y </w:t>
      </w:r>
      <w:r w:rsidR="00506C6C" w:rsidRPr="00150BD6">
        <w:rPr>
          <w:rFonts w:ascii="Arial" w:hAnsi="Arial" w:cs="Arial"/>
          <w:sz w:val="22"/>
          <w:szCs w:val="22"/>
        </w:rPr>
        <w:t>10</w:t>
      </w:r>
      <w:r w:rsidRPr="00150BD6">
        <w:rPr>
          <w:rFonts w:ascii="Arial" w:hAnsi="Arial" w:cs="Arial"/>
          <w:sz w:val="22"/>
          <w:szCs w:val="22"/>
        </w:rPr>
        <w:t xml:space="preserve"> días, en aspectos relacionados con los códigos 70141600</w:t>
      </w:r>
      <w:r w:rsidR="00506C6C" w:rsidRPr="00150BD6">
        <w:rPr>
          <w:rFonts w:ascii="Arial" w:hAnsi="Arial" w:cs="Arial"/>
          <w:sz w:val="22"/>
          <w:szCs w:val="22"/>
        </w:rPr>
        <w:t xml:space="preserve"> y</w:t>
      </w:r>
      <w:r w:rsidRPr="00150BD6">
        <w:rPr>
          <w:rFonts w:ascii="Arial" w:hAnsi="Arial" w:cs="Arial"/>
          <w:sz w:val="22"/>
          <w:szCs w:val="22"/>
        </w:rPr>
        <w:t xml:space="preserve"> 70141500,</w:t>
      </w:r>
      <w:r w:rsidR="00506C6C" w:rsidRPr="00150BD6">
        <w:rPr>
          <w:rFonts w:ascii="Arial" w:hAnsi="Arial" w:cs="Arial"/>
          <w:sz w:val="22"/>
          <w:szCs w:val="22"/>
        </w:rPr>
        <w:t xml:space="preserve"> </w:t>
      </w:r>
      <w:r w:rsidRPr="00150BD6">
        <w:rPr>
          <w:rFonts w:ascii="Arial" w:hAnsi="Arial" w:cs="Arial"/>
          <w:sz w:val="22"/>
          <w:szCs w:val="22"/>
        </w:rPr>
        <w:t>los cuales se relacionan directamente con el concepto de extensión agropecuaria contemplado en la Ley 1876 de 201</w:t>
      </w:r>
      <w:r w:rsidR="00506C6C" w:rsidRPr="00150BD6">
        <w:rPr>
          <w:rFonts w:ascii="Arial" w:hAnsi="Arial" w:cs="Arial"/>
          <w:sz w:val="22"/>
          <w:szCs w:val="22"/>
        </w:rPr>
        <w:t>7</w:t>
      </w:r>
      <w:r w:rsidRPr="00150BD6">
        <w:rPr>
          <w:rFonts w:ascii="Arial" w:hAnsi="Arial" w:cs="Arial"/>
          <w:sz w:val="22"/>
          <w:szCs w:val="22"/>
        </w:rPr>
        <w:t xml:space="preserve">; razón por la cual se considera que la EPSEA UNIVERSIDAD DE SUCRE demuestra la experiencia técnica e idoneidad para el desarrollo del presente convenio interadministrativo para la prestación del SPEA. </w:t>
      </w:r>
    </w:p>
    <w:p w14:paraId="4B20B442" w14:textId="77777777" w:rsidR="00CB1178" w:rsidRPr="00150BD6" w:rsidRDefault="00CB1178" w:rsidP="00150BD6">
      <w:pPr>
        <w:spacing w:line="276" w:lineRule="auto"/>
        <w:jc w:val="both"/>
        <w:rPr>
          <w:rFonts w:ascii="Arial" w:hAnsi="Arial" w:cs="Arial"/>
          <w:sz w:val="22"/>
          <w:szCs w:val="22"/>
        </w:rPr>
      </w:pPr>
    </w:p>
    <w:p w14:paraId="239449BC" w14:textId="7FE598B0"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w:t>
      </w:r>
      <w:r w:rsidR="00506C6C" w:rsidRPr="00150BD6">
        <w:rPr>
          <w:rFonts w:ascii="Arial" w:hAnsi="Arial" w:cs="Arial"/>
          <w:sz w:val="22"/>
          <w:szCs w:val="22"/>
        </w:rPr>
        <w:t>Universidad de Sucre</w:t>
      </w:r>
      <w:r w:rsidRPr="00150BD6">
        <w:rPr>
          <w:rFonts w:ascii="Arial" w:hAnsi="Arial" w:cs="Arial"/>
          <w:sz w:val="22"/>
          <w:szCs w:val="22"/>
        </w:rPr>
        <w:t xml:space="preserve"> fue creada según ordenanza No. 001 de 1977, expedida por la Asamblea Departamental de Sucre, con Personería Jurídica, autonomía administrativa y patrimonio independiente, ente vinculado al Ministerio de Educación Nacional, sin ánimo de lucro, regida por la Ley 30 de 1992; y la Resolución 1064 del 03 de abril de 1995 expedida por el Ministerio de Educación Nacional “por la cual se reconoce institucionalmente como universidad a una entidad de Educación Superior Oficial, del orden Departamental. Se rige por la Constitución Política, la Ley 30 de 1992 y demás normas que la complementen, adicionen o reemplacen, así como por las disposiciones que le sean aplicables de acuerdo con su régimen especial y, las normas internas expedidas en ejercicio de su autonomía.</w:t>
      </w:r>
    </w:p>
    <w:p w14:paraId="577D406B" w14:textId="77777777" w:rsidR="009332A4" w:rsidRPr="00150BD6" w:rsidRDefault="009332A4" w:rsidP="00150BD6">
      <w:pPr>
        <w:spacing w:line="276" w:lineRule="auto"/>
        <w:jc w:val="both"/>
        <w:rPr>
          <w:rFonts w:ascii="Arial" w:hAnsi="Arial" w:cs="Arial"/>
          <w:sz w:val="22"/>
          <w:szCs w:val="22"/>
        </w:rPr>
      </w:pPr>
    </w:p>
    <w:p w14:paraId="0ADD7D34"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Ley 489 de 1998 señala: “(…) los entes universitarios hacen parte integral de la Administración pública, catalogándolos como entidades públicas de carácter autónomo a las que aplica un régimen especial (…)” “(...) pues las universidades estatales por su carácter de entes autónomos no conforman ninguna de las ramas del poder ni pueden formar parte de la administración nacional (…)”; de esta manera se pretende preservar a las universidades públicas y oficiales, de las injerencias e interferencias arbitrarias e indebidas del poder político. </w:t>
      </w:r>
    </w:p>
    <w:p w14:paraId="6E18E770" w14:textId="77777777" w:rsidR="00692E07" w:rsidRPr="00150BD6" w:rsidRDefault="00692E07" w:rsidP="00150BD6">
      <w:pPr>
        <w:spacing w:line="276" w:lineRule="auto"/>
        <w:jc w:val="both"/>
        <w:rPr>
          <w:rFonts w:ascii="Arial" w:hAnsi="Arial" w:cs="Arial"/>
          <w:sz w:val="22"/>
          <w:szCs w:val="22"/>
        </w:rPr>
      </w:pPr>
    </w:p>
    <w:p w14:paraId="0F346083" w14:textId="24789646"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w:t>
      </w:r>
      <w:r w:rsidR="00506C6C" w:rsidRPr="00150BD6">
        <w:rPr>
          <w:rFonts w:ascii="Arial" w:hAnsi="Arial" w:cs="Arial"/>
          <w:sz w:val="22"/>
          <w:szCs w:val="22"/>
        </w:rPr>
        <w:t>Universidad de Sucre</w:t>
      </w:r>
      <w:r w:rsidRPr="00150BD6">
        <w:rPr>
          <w:rFonts w:ascii="Arial" w:hAnsi="Arial" w:cs="Arial"/>
          <w:sz w:val="22"/>
          <w:szCs w:val="22"/>
        </w:rPr>
        <w:t xml:space="preserve"> es una institución de educación superior de derecho público, identificada con Nit: 892.200.323-9, representada legalmente por JAIME LEÓN DE LA OSSA VELASQUEZ, identificado con la Cedula de Ciudadanía No. 10.534.276 expedida en Popayán – Cauca, con Acta de Posesión No. 01 de 2022 de fecha 20 de mayo de 2022, emitida por el Consejo Superior, por la cual toma posesión del cargo de Rector Titular de la Universidad de Sucre para el periodo 2022-2025, designación hecha de acuerdo a la Resolución No. 08 de 2022 expedida por el Consejo Superior Universitario, teniendo como funciones las otorgadas por el Acuerdo No. 01 de 2012 “Por el cual se modifica el Manual de Funciones, Requisitos, equivalencias y Competencias Laborales para los empleos públicos de la Planta de Personal de la Universidad de Sucre”, las siguientes:</w:t>
      </w:r>
    </w:p>
    <w:p w14:paraId="676745B3" w14:textId="77777777" w:rsidR="00692E07" w:rsidRPr="00150BD6" w:rsidRDefault="00692E07" w:rsidP="00150BD6">
      <w:pPr>
        <w:spacing w:line="276" w:lineRule="auto"/>
        <w:jc w:val="both"/>
        <w:rPr>
          <w:rFonts w:ascii="Arial" w:hAnsi="Arial" w:cs="Arial"/>
          <w:sz w:val="22"/>
          <w:szCs w:val="22"/>
        </w:rPr>
      </w:pPr>
    </w:p>
    <w:p w14:paraId="7247C39C"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lastRenderedPageBreak/>
        <w:t>Cumplir y hacer cumplir las normas legales, estatutarias y reglamentarias vigentes.</w:t>
      </w:r>
    </w:p>
    <w:p w14:paraId="34AF4814"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Evaluar, impulsar y controlar el funcionamiento general de la Institución tanto internamente como en sus relaciones con entidades externas. </w:t>
      </w:r>
    </w:p>
    <w:p w14:paraId="04D4DD96"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Presentar ante el Consejo Superior la adopción y las actualizaciones del Manual de Funciones, Requisitos, Equivalencias y Competencias Laborales para los empleos Públicos de la Planta de Personal de la Universidad de Sucre, para su aprobación. </w:t>
      </w:r>
    </w:p>
    <w:p w14:paraId="51488124"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Presentar ante el Consejo Superior el Plan de acción Institucional, para su aprobación.</w:t>
      </w:r>
    </w:p>
    <w:p w14:paraId="0DF708F6"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Someter el proyecto de Presupuesto a consideración del Consejo Superior y ejecutarlo una vez aprobado. </w:t>
      </w:r>
    </w:p>
    <w:p w14:paraId="79098CDA"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Con arreglo a las disposiciones pertinentes de la Institución, nombrar y remover al personal de la Universidad, conceder licencias y designar interinos. </w:t>
      </w:r>
    </w:p>
    <w:p w14:paraId="768C1883"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Aplicar las sanciones disciplinarias que le corresponden por ley o por reglamentos. </w:t>
      </w:r>
    </w:p>
    <w:p w14:paraId="4D223E44"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Hacer las previsiones que permitan armonizar los planes generales de desarrollo con los planes y proyectos particulares. </w:t>
      </w:r>
    </w:p>
    <w:p w14:paraId="5BED7C13"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Presentar al Consejo Superior ternas de candidatos para nombramientos de Decanos. </w:t>
      </w:r>
    </w:p>
    <w:p w14:paraId="5713D752"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Dar posesión a todos los empleados de la Universidad.</w:t>
      </w:r>
    </w:p>
    <w:p w14:paraId="35015A79"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Expedir las Resoluciones de grado y autorizar con su firma los títulos y grados que la Universidad confiere.</w:t>
      </w:r>
    </w:p>
    <w:p w14:paraId="5E1F89EC"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Autorizar las comisiones del personal adscrito al área académica y administrativa. </w:t>
      </w:r>
    </w:p>
    <w:p w14:paraId="0EEAB1A5"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Reglamentar la elección de egresados, estudiantes, profesores y demás miembros que de conformidad con las normas estatutarias, hacer parte de las diferentes corporaciones de la Institución y efectuar oportunamente las correspondientes convocatorias. </w:t>
      </w:r>
    </w:p>
    <w:p w14:paraId="7ECF69A9"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Aceptar las donaciones y legados a la Institución, previa autorización del Consejo Superior cuando haya lugar.</w:t>
      </w:r>
    </w:p>
    <w:p w14:paraId="21624CA0"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Someter al Consejo Superior cada mes un informe sobre ejecución presupuestal y anualmente los estaos financieros de la Institución. </w:t>
      </w:r>
    </w:p>
    <w:p w14:paraId="0001D42F"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Ejecutar las decisiones del Consejo Superior. </w:t>
      </w:r>
    </w:p>
    <w:p w14:paraId="321A0200" w14:textId="77777777" w:rsidR="00CB1178"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Celebrar contratos para la prestación de servicios o construcción de obras, o efectuar las compras de bienes. </w:t>
      </w:r>
    </w:p>
    <w:p w14:paraId="7D3897EE" w14:textId="59CD3FEB" w:rsidR="00692E07" w:rsidRPr="00150BD6" w:rsidRDefault="00692E07" w:rsidP="00150BD6">
      <w:pPr>
        <w:pStyle w:val="Prrafodelista"/>
        <w:numPr>
          <w:ilvl w:val="0"/>
          <w:numId w:val="44"/>
        </w:numPr>
        <w:spacing w:line="276" w:lineRule="auto"/>
        <w:jc w:val="both"/>
        <w:rPr>
          <w:rFonts w:ascii="Arial" w:hAnsi="Arial" w:cs="Arial"/>
        </w:rPr>
      </w:pPr>
      <w:r w:rsidRPr="00150BD6">
        <w:rPr>
          <w:rFonts w:ascii="Arial" w:hAnsi="Arial" w:cs="Arial"/>
        </w:rPr>
        <w:t xml:space="preserve">Proponer mejoras continuas y acciones preventivas para el buen desempeño de las actividades de la institución. </w:t>
      </w:r>
    </w:p>
    <w:p w14:paraId="75E2C91F"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El artículo X del Acuerdo No. 028 de 1994 “Por el cual se expide el Estatuto GENERAL DE LA Universidad de Sucre” establece dentro de sus objetivos descritos en su artículo 5°, literal a) “profundizar en la formación integral de los colombianos dentro de las modalidades y calidades de la Educación Superior, capacitándolos para cumplir las funciones profesionales, investigativas y de servicio social que requiere el país”, desarrollados en el artículo 6° en su literal a) que trata sobre “promover el desarrollo cultural, social y económico </w:t>
      </w:r>
      <w:r w:rsidRPr="00150BD6">
        <w:rPr>
          <w:rFonts w:ascii="Arial" w:hAnsi="Arial" w:cs="Arial"/>
          <w:sz w:val="22"/>
          <w:szCs w:val="22"/>
        </w:rPr>
        <w:lastRenderedPageBreak/>
        <w:t>del Departamento de Sucre, como centro de investigación científica y tecnológica, orientada hacia la discusión y solución de los problemas regionales y nacionales”.”</w:t>
      </w:r>
    </w:p>
    <w:p w14:paraId="184AA1C6" w14:textId="77777777" w:rsidR="00692E07" w:rsidRPr="00150BD6" w:rsidRDefault="00692E07" w:rsidP="00150BD6">
      <w:pPr>
        <w:spacing w:line="276" w:lineRule="auto"/>
        <w:jc w:val="both"/>
        <w:rPr>
          <w:rFonts w:ascii="Arial" w:hAnsi="Arial" w:cs="Arial"/>
          <w:sz w:val="22"/>
          <w:szCs w:val="22"/>
        </w:rPr>
      </w:pPr>
    </w:p>
    <w:p w14:paraId="022CF7FC"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En el Plan de Acción Institucional de la Universidad de Sucre 2023-2032. La nueva apuesta de visión de la institución se plantea en cuatro estrategias esenciales, estructuradas en el fortalecimiento del territorio y que ampara las funciones sustantivas de la Universidad de Sucre, en materia de Gobernanza, Educación, Investigación, Extensión y Proyección Social. </w:t>
      </w:r>
    </w:p>
    <w:p w14:paraId="123223DD" w14:textId="77777777" w:rsidR="00692E07" w:rsidRPr="00150BD6" w:rsidRDefault="00692E07" w:rsidP="00150BD6">
      <w:pPr>
        <w:spacing w:line="276" w:lineRule="auto"/>
        <w:jc w:val="both"/>
        <w:rPr>
          <w:rFonts w:ascii="Arial" w:hAnsi="Arial" w:cs="Arial"/>
          <w:sz w:val="22"/>
          <w:szCs w:val="22"/>
        </w:rPr>
      </w:pPr>
    </w:p>
    <w:p w14:paraId="28969A4C"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b/>
          <w:bCs/>
          <w:sz w:val="22"/>
          <w:szCs w:val="22"/>
        </w:rPr>
        <w:t>CAMPOS DE ACCION</w:t>
      </w:r>
      <w:r w:rsidRPr="00150BD6">
        <w:rPr>
          <w:rFonts w:ascii="Arial" w:hAnsi="Arial" w:cs="Arial"/>
          <w:sz w:val="22"/>
          <w:szCs w:val="22"/>
        </w:rPr>
        <w:t>: La Universidad de Sucre tendrá como domicilio principal la ciudad de Sincelejo.; departamento de Sucre y por disposición del Consejo Superior, en ejercicio de su autonomía, podrá crear y establecer sedes, seccionales y dependencias en cualquier lugar del territorio departamental para el cumplimiento de su objeto, fines, misión y funciones, con arreglo a la Constitución y la ley.</w:t>
      </w:r>
    </w:p>
    <w:p w14:paraId="34AA2B41" w14:textId="77777777" w:rsidR="00692E07" w:rsidRPr="00150BD6" w:rsidRDefault="00692E07" w:rsidP="00150BD6">
      <w:pPr>
        <w:spacing w:line="276" w:lineRule="auto"/>
        <w:jc w:val="both"/>
        <w:rPr>
          <w:rFonts w:ascii="Arial" w:hAnsi="Arial" w:cs="Arial"/>
          <w:sz w:val="22"/>
          <w:szCs w:val="22"/>
        </w:rPr>
      </w:pPr>
    </w:p>
    <w:p w14:paraId="7F4A27B0"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Universidad de Sucre se ha propuesto como reto ser una Institución líder a nivel nacional en aportes desde la ciencia, la tecnología y la innovación en el fortalecimiento del sector agropecuario y agroindustrial y para ello ha impulsado una serie de estrategias que le ha permitido consolidar una agenda de trabajo, con el propósito de generar espacios en la construcción de propuestas y alianzas que permita identificar las necesidades y posibles soluciones en los territorios rurales (en asociatividad, producción, agroindustria, comercialización, instrumentos financieros, uso de tic, sostenibilidad ambiental y autogestión entre otras ) en conjunto con instituciones del orden nacional y regional. </w:t>
      </w:r>
    </w:p>
    <w:p w14:paraId="5AE18B4A" w14:textId="77777777" w:rsidR="00692E07" w:rsidRPr="00150BD6" w:rsidRDefault="00692E07" w:rsidP="00150BD6">
      <w:pPr>
        <w:spacing w:line="276" w:lineRule="auto"/>
        <w:jc w:val="both"/>
        <w:rPr>
          <w:rFonts w:ascii="Arial" w:hAnsi="Arial" w:cs="Arial"/>
          <w:sz w:val="22"/>
          <w:szCs w:val="22"/>
        </w:rPr>
      </w:pPr>
    </w:p>
    <w:p w14:paraId="19A97592"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b/>
          <w:bCs/>
          <w:sz w:val="22"/>
          <w:szCs w:val="22"/>
        </w:rPr>
        <w:t>PRINCIPIOS:</w:t>
      </w:r>
      <w:r w:rsidRPr="00150BD6">
        <w:rPr>
          <w:rFonts w:ascii="Arial" w:hAnsi="Arial" w:cs="Arial"/>
          <w:sz w:val="22"/>
          <w:szCs w:val="22"/>
        </w:rPr>
        <w:t xml:space="preserve"> La Universidad de Sucre tiene como principio fundamental que la Educación Superior será accesible a quienes demuestran poseer las capacidades requeridas y cumplan con las condiciones académicas exigidas en cada caso. En desarrollo de los principios y objetivos generales a que se refiere el artículo anterior, la Universidad tendrá los siguientes objetivos específicos:  </w:t>
      </w:r>
    </w:p>
    <w:p w14:paraId="151013CB" w14:textId="77777777" w:rsidR="00692E07" w:rsidRPr="00150BD6" w:rsidRDefault="00692E07" w:rsidP="00150BD6">
      <w:pPr>
        <w:spacing w:line="276" w:lineRule="auto"/>
        <w:jc w:val="both"/>
        <w:rPr>
          <w:rFonts w:ascii="Arial" w:hAnsi="Arial" w:cs="Arial"/>
          <w:sz w:val="22"/>
          <w:szCs w:val="22"/>
        </w:rPr>
      </w:pPr>
    </w:p>
    <w:p w14:paraId="609FC0D5" w14:textId="77777777" w:rsidR="00CB1178"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t xml:space="preserve">Promover el desarrollo cultural, social y económico del Departamento de Sucre, como centro de libre investigación científica y tecnología, orientada hacia la discusión y solución de los problemas regionales y nacionales. </w:t>
      </w:r>
    </w:p>
    <w:p w14:paraId="43499833" w14:textId="77777777" w:rsidR="00CB1178"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t xml:space="preserve">Formar integralmente al estudiante dentro de los valores en que se funda nuestra nacionalidad, promoviendo una conciencia cívica responsable, orientada hacia el servicio comunitario, a la defensa y perfeccionamiento de la democracia y a la unidad del pueblo colombiano. </w:t>
      </w:r>
    </w:p>
    <w:p w14:paraId="52B488D2" w14:textId="77777777" w:rsidR="00CB1178"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t xml:space="preserve">Preparar profesionales, tecnólogos e investigadores que puedan participar en la planeación, ejecución, control y evaluación del desarrollo social, económico y cultural del Departamento y la Nación.  </w:t>
      </w:r>
    </w:p>
    <w:p w14:paraId="1724D88F" w14:textId="77777777" w:rsidR="00CB1178"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lastRenderedPageBreak/>
        <w:t xml:space="preserve">Prestar un concurso técnico y cultural a los centros de enseñanza secundaria y a los organismos educativos del Departamento de Sucre y a la comunidad en general.  </w:t>
      </w:r>
    </w:p>
    <w:p w14:paraId="41F6BA22" w14:textId="77777777" w:rsidR="00CB1178"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t xml:space="preserve">Fomentar y prestar su colaboración en aquellas acciones Departamentales y Regionales que propicien la incorporación efectiva de todas las Regiones del Departamento de Sucre al desarrollo de éste. </w:t>
      </w:r>
    </w:p>
    <w:p w14:paraId="3712DA36" w14:textId="76D41A02" w:rsidR="00692E07" w:rsidRPr="00150BD6" w:rsidRDefault="00692E07" w:rsidP="00150BD6">
      <w:pPr>
        <w:pStyle w:val="Prrafodelista"/>
        <w:numPr>
          <w:ilvl w:val="6"/>
          <w:numId w:val="34"/>
        </w:numPr>
        <w:spacing w:line="276" w:lineRule="auto"/>
        <w:ind w:left="851" w:hanging="284"/>
        <w:jc w:val="both"/>
        <w:rPr>
          <w:rFonts w:ascii="Arial" w:hAnsi="Arial" w:cs="Arial"/>
        </w:rPr>
      </w:pPr>
      <w:r w:rsidRPr="00150BD6">
        <w:rPr>
          <w:rFonts w:ascii="Arial" w:hAnsi="Arial" w:cs="Arial"/>
        </w:rPr>
        <w:t xml:space="preserve">Vincularse a la vida nacional en internacional de la ciencia, la cultura y la tecnología, mediante el estudio y la investigación de todas sus manifestaciones. </w:t>
      </w:r>
    </w:p>
    <w:p w14:paraId="59ACCECA" w14:textId="77777777" w:rsidR="00692E07" w:rsidRPr="00150BD6" w:rsidRDefault="00692E07" w:rsidP="00150BD6">
      <w:pPr>
        <w:spacing w:line="276" w:lineRule="auto"/>
        <w:jc w:val="both"/>
        <w:rPr>
          <w:rFonts w:ascii="Arial" w:hAnsi="Arial" w:cs="Arial"/>
          <w:sz w:val="22"/>
          <w:szCs w:val="22"/>
        </w:rPr>
      </w:pPr>
    </w:p>
    <w:p w14:paraId="55860BC6" w14:textId="2ACB757F" w:rsidR="00692E07" w:rsidRPr="00150BD6" w:rsidRDefault="00692E07" w:rsidP="00150BD6">
      <w:pPr>
        <w:spacing w:line="276" w:lineRule="auto"/>
        <w:jc w:val="both"/>
        <w:rPr>
          <w:rFonts w:ascii="Arial" w:hAnsi="Arial" w:cs="Arial"/>
          <w:b/>
          <w:bCs/>
          <w:sz w:val="22"/>
          <w:szCs w:val="22"/>
        </w:rPr>
      </w:pPr>
      <w:r w:rsidRPr="00150BD6">
        <w:rPr>
          <w:rFonts w:ascii="Arial" w:hAnsi="Arial" w:cs="Arial"/>
          <w:b/>
          <w:bCs/>
          <w:sz w:val="22"/>
          <w:szCs w:val="22"/>
        </w:rPr>
        <w:t>POLITICAS DE FOMENTO DE INVESTIGACION DE LA UNIVERSIDAD</w:t>
      </w:r>
    </w:p>
    <w:p w14:paraId="127E9674" w14:textId="77777777" w:rsidR="00692E07" w:rsidRPr="00150BD6" w:rsidRDefault="00692E07" w:rsidP="00150BD6">
      <w:pPr>
        <w:spacing w:line="276" w:lineRule="auto"/>
        <w:jc w:val="both"/>
        <w:rPr>
          <w:rFonts w:ascii="Arial" w:hAnsi="Arial" w:cs="Arial"/>
          <w:sz w:val="22"/>
          <w:szCs w:val="22"/>
        </w:rPr>
      </w:pPr>
    </w:p>
    <w:p w14:paraId="1D5EACB8" w14:textId="79E24C86"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w:t>
      </w:r>
      <w:r w:rsidR="00506C6C" w:rsidRPr="00150BD6">
        <w:rPr>
          <w:rFonts w:ascii="Arial" w:hAnsi="Arial" w:cs="Arial"/>
          <w:sz w:val="22"/>
          <w:szCs w:val="22"/>
        </w:rPr>
        <w:t>Universidad de Sucre</w:t>
      </w:r>
      <w:r w:rsidRPr="00150BD6">
        <w:rPr>
          <w:rFonts w:ascii="Arial" w:hAnsi="Arial" w:cs="Arial"/>
          <w:sz w:val="22"/>
          <w:szCs w:val="22"/>
        </w:rPr>
        <w:t xml:space="preserve"> es una Universidad Pública departamental cuya sede principal está ubicada en la ciudad de Sincelejo, Colombia. Posee uno de los campus más grandes de la región; allí se forman profesionales integrales y de gran valor para el sector agropecuario del país, mediante los programas de zootecnia, ingeniería agrícola, ingeniería agroindustrial, biología, maestría en ciencias ambientales que confluyen en las necesidades actuales de nuevos esquemas de producción integral y sostenible, bajo una articulación consolidada con las empresas del sector agropecuario más importantes de la región</w:t>
      </w:r>
      <w:r w:rsidR="00CB1178" w:rsidRPr="00150BD6">
        <w:rPr>
          <w:rFonts w:ascii="Arial" w:hAnsi="Arial" w:cs="Arial"/>
          <w:sz w:val="22"/>
          <w:szCs w:val="22"/>
        </w:rPr>
        <w:t>.</w:t>
      </w:r>
    </w:p>
    <w:p w14:paraId="6E2134AD" w14:textId="77777777" w:rsidR="00CB1178" w:rsidRPr="00150BD6" w:rsidRDefault="00CB1178" w:rsidP="00150BD6">
      <w:pPr>
        <w:spacing w:line="276" w:lineRule="auto"/>
        <w:jc w:val="both"/>
        <w:rPr>
          <w:rFonts w:ascii="Arial" w:hAnsi="Arial" w:cs="Arial"/>
          <w:sz w:val="22"/>
          <w:szCs w:val="22"/>
        </w:rPr>
      </w:pPr>
    </w:p>
    <w:p w14:paraId="5414DABF"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La formación de estos profesionales está basada en la excelencia académica, razón por la cual los programas de ingeniería agrícola, ingeniería agroindustrial, zootecnia,  cuentan con acreditación por alta calidad, lo que garantiza que pequeños, medianos y grandes productores cuenten con el mejor personal para el desarrollo agropecuario territorial, acompañado de un sistema de laboratorios de formación y experimentación en ciencias básicas, edafología y sanidad vegetal, desarrollo empresarial y granja experimental agrícola (Granja “El Perico”); infraestructura que permite a los estudiantes profundizar en estas áreas de profundización profesional.</w:t>
      </w:r>
    </w:p>
    <w:p w14:paraId="05BFDE18" w14:textId="77777777" w:rsidR="00CB1178" w:rsidRPr="00150BD6" w:rsidRDefault="00CB1178" w:rsidP="00150BD6">
      <w:pPr>
        <w:spacing w:line="276" w:lineRule="auto"/>
        <w:jc w:val="both"/>
        <w:rPr>
          <w:rFonts w:ascii="Arial" w:hAnsi="Arial" w:cs="Arial"/>
          <w:sz w:val="22"/>
          <w:szCs w:val="22"/>
        </w:rPr>
      </w:pPr>
    </w:p>
    <w:p w14:paraId="3F18AB4D"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La Universidad de Sucre recibió la acreditación institucional de alta calidad del Ministerio de Educación Nacional en el año 2022 siendo de las primeras de la región caribe en recibir dicha distinción, lo que evidencia la calidad de la infraestructura educativa, el personal académico, los procesos administrativos y jurídicos que se adelantan al interior de la institución.</w:t>
      </w:r>
    </w:p>
    <w:p w14:paraId="2682E8F8" w14:textId="77777777" w:rsidR="00CB1178" w:rsidRPr="00150BD6" w:rsidRDefault="00CB1178" w:rsidP="00150BD6">
      <w:pPr>
        <w:spacing w:line="276" w:lineRule="auto"/>
        <w:jc w:val="both"/>
        <w:rPr>
          <w:rFonts w:ascii="Arial" w:hAnsi="Arial" w:cs="Arial"/>
          <w:sz w:val="22"/>
          <w:szCs w:val="22"/>
        </w:rPr>
      </w:pPr>
    </w:p>
    <w:p w14:paraId="3070819D"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La Universidad de Sucre lidera para el departamento y la región caribe, iniciativas de sus diversos grupos de investigación en asocio con entidades nacionales e internacionales, en el sector agrícola, especialmente sobre estrategias ambientales frente al cambio climático y los aspectos necesarios para lograr un efecto real sobre su mitigación entre los que se pueden destacar las estrategias de educación ambiental que aportan conocimientos sobre el cambio climático y sus efectos en la salud humana.</w:t>
      </w:r>
    </w:p>
    <w:p w14:paraId="60515EDA" w14:textId="77777777" w:rsidR="00CB1178" w:rsidRPr="00150BD6" w:rsidRDefault="00CB1178" w:rsidP="00150BD6">
      <w:pPr>
        <w:spacing w:line="276" w:lineRule="auto"/>
        <w:jc w:val="both"/>
        <w:rPr>
          <w:rFonts w:ascii="Arial" w:hAnsi="Arial" w:cs="Arial"/>
          <w:sz w:val="22"/>
          <w:szCs w:val="22"/>
        </w:rPr>
      </w:pPr>
    </w:p>
    <w:p w14:paraId="6729394D" w14:textId="574B076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lastRenderedPageBreak/>
        <w:t xml:space="preserve">Para la </w:t>
      </w:r>
      <w:r w:rsidR="00506C6C" w:rsidRPr="00150BD6">
        <w:rPr>
          <w:rFonts w:ascii="Arial" w:hAnsi="Arial" w:cs="Arial"/>
          <w:sz w:val="22"/>
          <w:szCs w:val="22"/>
        </w:rPr>
        <w:t>Universidad de Sucre</w:t>
      </w:r>
      <w:r w:rsidRPr="00150BD6">
        <w:rPr>
          <w:rFonts w:ascii="Arial" w:hAnsi="Arial" w:cs="Arial"/>
          <w:sz w:val="22"/>
          <w:szCs w:val="22"/>
        </w:rPr>
        <w:t xml:space="preserve"> es fundamental dinamizar el proceso de integración de la docencia con la investigación y la proyección social. Para lograrlo, se debe crear y mantener un ambiente de trabajo académico propicio para que profesores y estudiantes desarrollen sus capacidades investigativas y generen y difundan los conocimientos adquiridos en el proceso investigativo a través del ejercicio docente. En este orden de ideas, la vicerrectoría académica realiza un ejercicio permanente de revisión y actualización de políticas, que garanticen la pertinencia con los cambios en el contexto. Las políticas de fomento son:</w:t>
      </w:r>
    </w:p>
    <w:p w14:paraId="338833F0" w14:textId="77777777" w:rsidR="00692E07" w:rsidRPr="00150BD6" w:rsidRDefault="00692E07" w:rsidP="00150BD6">
      <w:pPr>
        <w:spacing w:line="276" w:lineRule="auto"/>
        <w:jc w:val="both"/>
        <w:rPr>
          <w:rFonts w:ascii="Arial" w:hAnsi="Arial" w:cs="Arial"/>
          <w:sz w:val="22"/>
          <w:szCs w:val="22"/>
        </w:rPr>
      </w:pPr>
    </w:p>
    <w:p w14:paraId="0B3D466C"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Investigación</w:t>
      </w:r>
    </w:p>
    <w:p w14:paraId="48C3549B"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Extensión</w:t>
      </w:r>
    </w:p>
    <w:p w14:paraId="0891A111"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Prácticas universitarias</w:t>
      </w:r>
    </w:p>
    <w:p w14:paraId="55DCCC16"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Propiedad intelectual</w:t>
      </w:r>
    </w:p>
    <w:p w14:paraId="128E49B4"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Editorial</w:t>
      </w:r>
    </w:p>
    <w:p w14:paraId="77AE2C78"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Emprendimiento e innovación</w:t>
      </w:r>
    </w:p>
    <w:p w14:paraId="6FECECA1" w14:textId="77777777" w:rsidR="00692E07" w:rsidRPr="00150BD6" w:rsidRDefault="00692E07" w:rsidP="00150BD6">
      <w:pPr>
        <w:spacing w:line="276" w:lineRule="auto"/>
        <w:jc w:val="both"/>
        <w:rPr>
          <w:rFonts w:ascii="Arial" w:hAnsi="Arial" w:cs="Arial"/>
          <w:sz w:val="22"/>
          <w:szCs w:val="22"/>
        </w:rPr>
      </w:pPr>
    </w:p>
    <w:p w14:paraId="6F3ED233" w14:textId="5029A3EC"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La </w:t>
      </w:r>
      <w:r w:rsidR="00506C6C" w:rsidRPr="00150BD6">
        <w:rPr>
          <w:rFonts w:ascii="Arial" w:hAnsi="Arial" w:cs="Arial"/>
          <w:sz w:val="22"/>
          <w:szCs w:val="22"/>
        </w:rPr>
        <w:t>Universidad de Sucre</w:t>
      </w:r>
      <w:r w:rsidRPr="00150BD6">
        <w:rPr>
          <w:rFonts w:ascii="Arial" w:hAnsi="Arial" w:cs="Arial"/>
          <w:sz w:val="22"/>
          <w:szCs w:val="22"/>
        </w:rPr>
        <w:t xml:space="preserve"> desarrolla las políticas de fomento de investigación, innovación y extensión en articulación con entidades de capacitación y formación, con otras Instituciones de Educación Superior a nivel nacional e internacional, el SENA entre otras instituciones y además cuenta con las siguientes facultades: Facultad de Ciencias Agropecuarias:</w:t>
      </w:r>
    </w:p>
    <w:p w14:paraId="5812D627" w14:textId="77777777" w:rsidR="00692E07" w:rsidRPr="00150BD6" w:rsidRDefault="00692E07" w:rsidP="00150BD6">
      <w:pPr>
        <w:spacing w:line="276" w:lineRule="auto"/>
        <w:jc w:val="both"/>
        <w:rPr>
          <w:rFonts w:ascii="Arial" w:hAnsi="Arial" w:cs="Arial"/>
          <w:sz w:val="22"/>
          <w:szCs w:val="22"/>
        </w:rPr>
      </w:pPr>
    </w:p>
    <w:p w14:paraId="65AE7819"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Zootecnia.</w:t>
      </w:r>
    </w:p>
    <w:p w14:paraId="7142406E"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Maestría en Ciencia Animal.</w:t>
      </w:r>
    </w:p>
    <w:p w14:paraId="15AEA4A4" w14:textId="77777777" w:rsidR="00692E07" w:rsidRPr="00150BD6" w:rsidRDefault="00692E07" w:rsidP="00150BD6">
      <w:pPr>
        <w:spacing w:line="276" w:lineRule="auto"/>
        <w:jc w:val="both"/>
        <w:rPr>
          <w:rFonts w:ascii="Arial" w:hAnsi="Arial" w:cs="Arial"/>
          <w:sz w:val="22"/>
          <w:szCs w:val="22"/>
        </w:rPr>
      </w:pPr>
    </w:p>
    <w:p w14:paraId="67EED19C"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Facultad de Ingeniería es ofertando programas de pregrado y posgrado a nivel de especialización y maestría:</w:t>
      </w:r>
    </w:p>
    <w:p w14:paraId="4FEC4A0D" w14:textId="77777777" w:rsidR="00692E07" w:rsidRPr="00150BD6" w:rsidRDefault="00692E07" w:rsidP="00150BD6">
      <w:pPr>
        <w:spacing w:line="276" w:lineRule="auto"/>
        <w:jc w:val="both"/>
        <w:rPr>
          <w:rFonts w:ascii="Arial" w:hAnsi="Arial" w:cs="Arial"/>
          <w:sz w:val="22"/>
          <w:szCs w:val="22"/>
        </w:rPr>
      </w:pPr>
    </w:p>
    <w:p w14:paraId="36E1C2A5"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ingeniería agroindustrial.</w:t>
      </w:r>
    </w:p>
    <w:p w14:paraId="0DF4F954" w14:textId="77777777" w:rsidR="00692E07" w:rsidRPr="00150BD6" w:rsidRDefault="00692E07" w:rsidP="00150BD6">
      <w:pPr>
        <w:spacing w:line="276" w:lineRule="auto"/>
        <w:jc w:val="both"/>
        <w:rPr>
          <w:rFonts w:ascii="Arial" w:hAnsi="Arial" w:cs="Arial"/>
          <w:sz w:val="22"/>
          <w:szCs w:val="22"/>
        </w:rPr>
      </w:pPr>
    </w:p>
    <w:p w14:paraId="0A0DC6A3"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Facultad de Educación y Ciencias es ofertando programas de pregrado y posgrado a nivel de especialización y maestría:</w:t>
      </w:r>
    </w:p>
    <w:p w14:paraId="4D8A1AC1" w14:textId="77777777" w:rsidR="00692E07" w:rsidRPr="00150BD6" w:rsidRDefault="00692E07" w:rsidP="00150BD6">
      <w:pPr>
        <w:spacing w:line="276" w:lineRule="auto"/>
        <w:jc w:val="both"/>
        <w:rPr>
          <w:rFonts w:ascii="Arial" w:hAnsi="Arial" w:cs="Arial"/>
          <w:sz w:val="22"/>
          <w:szCs w:val="22"/>
        </w:rPr>
      </w:pPr>
    </w:p>
    <w:p w14:paraId="46313927"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 xml:space="preserve">Biología. </w:t>
      </w:r>
    </w:p>
    <w:p w14:paraId="696A5B3E"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w:t>
      </w:r>
      <w:r w:rsidRPr="00150BD6">
        <w:rPr>
          <w:rFonts w:ascii="Arial" w:hAnsi="Arial" w:cs="Arial"/>
          <w:sz w:val="22"/>
          <w:szCs w:val="22"/>
        </w:rPr>
        <w:tab/>
        <w:t>Maestría en Ciencias Ambientales.</w:t>
      </w:r>
    </w:p>
    <w:p w14:paraId="303B3DB4" w14:textId="77777777" w:rsidR="00692E07" w:rsidRPr="00150BD6" w:rsidRDefault="00692E07" w:rsidP="00150BD6">
      <w:pPr>
        <w:spacing w:line="276" w:lineRule="auto"/>
        <w:jc w:val="both"/>
        <w:rPr>
          <w:rFonts w:ascii="Arial" w:hAnsi="Arial" w:cs="Arial"/>
          <w:sz w:val="22"/>
          <w:szCs w:val="22"/>
        </w:rPr>
      </w:pPr>
    </w:p>
    <w:p w14:paraId="74E94682" w14:textId="77777777" w:rsidR="00CB1178"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En investigación, cuenta con grupos de investigación reconocidos por el Ministerio de Ciencia, Tecnología e Innovación y a nivel institucional; entre estos los de mayor enfoque y pertinencia con el sector agropecuario y agroindustrial se concentra en los siguientes grupos:</w:t>
      </w:r>
    </w:p>
    <w:p w14:paraId="01E5E20C" w14:textId="77777777" w:rsidR="00CB1178" w:rsidRPr="00150BD6" w:rsidRDefault="00CB1178" w:rsidP="00150BD6">
      <w:pPr>
        <w:spacing w:line="276" w:lineRule="auto"/>
        <w:jc w:val="both"/>
        <w:rPr>
          <w:rFonts w:ascii="Arial" w:hAnsi="Arial" w:cs="Arial"/>
          <w:sz w:val="22"/>
          <w:szCs w:val="22"/>
        </w:rPr>
      </w:pPr>
    </w:p>
    <w:p w14:paraId="5D40FBD1" w14:textId="0CF0F4DB" w:rsidR="00CB1178"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t>REPRODUCCIÓN Y MEJORAMIENTO GENETICO ANIMAL</w:t>
      </w:r>
      <w:r w:rsidR="00CB1178" w:rsidRPr="00150BD6">
        <w:rPr>
          <w:rFonts w:ascii="Arial" w:hAnsi="Arial" w:cs="Arial"/>
        </w:rPr>
        <w:t>.</w:t>
      </w:r>
      <w:r w:rsidRPr="00150BD6">
        <w:rPr>
          <w:rFonts w:ascii="Arial" w:hAnsi="Arial" w:cs="Arial"/>
        </w:rPr>
        <w:t xml:space="preserve"> </w:t>
      </w:r>
    </w:p>
    <w:p w14:paraId="4F038A4C" w14:textId="77777777" w:rsidR="00CB1178"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t>PROCESOS AGROINDUSTRIALES Y DESARROLLO SOSTENIBLE (PADES)</w:t>
      </w:r>
      <w:r w:rsidR="00CB1178" w:rsidRPr="00150BD6">
        <w:rPr>
          <w:rFonts w:ascii="Arial" w:hAnsi="Arial" w:cs="Arial"/>
        </w:rPr>
        <w:t>.</w:t>
      </w:r>
    </w:p>
    <w:p w14:paraId="7F8ADA98" w14:textId="12EE1DF3" w:rsidR="00CB1178"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t>BIOPROSPECCION AGROPECUARIA</w:t>
      </w:r>
      <w:r w:rsidR="00CB1178" w:rsidRPr="00150BD6">
        <w:rPr>
          <w:rFonts w:ascii="Arial" w:hAnsi="Arial" w:cs="Arial"/>
        </w:rPr>
        <w:t>.</w:t>
      </w:r>
    </w:p>
    <w:p w14:paraId="007A0EF2" w14:textId="77777777" w:rsidR="00CB1178"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lastRenderedPageBreak/>
        <w:t>GRUPO DE INVESTIGACIÓN EN BIOTECNOLOGÍA VEGETAL DE LA UNIVERSIDAD DE SUCRE</w:t>
      </w:r>
      <w:r w:rsidR="00CB1178" w:rsidRPr="00150BD6">
        <w:rPr>
          <w:rFonts w:ascii="Arial" w:hAnsi="Arial" w:cs="Arial"/>
        </w:rPr>
        <w:t>.</w:t>
      </w:r>
    </w:p>
    <w:p w14:paraId="142D14A5" w14:textId="207DB205" w:rsidR="00CB1178"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t>GESTIÓN INTEGRAL DE PROCESOS, MEDIO AMBIENTE Y CALIDAD - GIMAC</w:t>
      </w:r>
      <w:r w:rsidR="00CB1178" w:rsidRPr="00150BD6">
        <w:rPr>
          <w:rFonts w:ascii="Arial" w:hAnsi="Arial" w:cs="Arial"/>
        </w:rPr>
        <w:t>.</w:t>
      </w:r>
    </w:p>
    <w:p w14:paraId="7ADECF2A" w14:textId="11232683" w:rsidR="00692E07" w:rsidRPr="00150BD6" w:rsidRDefault="00692E07" w:rsidP="00150BD6">
      <w:pPr>
        <w:pStyle w:val="Prrafodelista"/>
        <w:numPr>
          <w:ilvl w:val="0"/>
          <w:numId w:val="45"/>
        </w:numPr>
        <w:spacing w:line="276" w:lineRule="auto"/>
        <w:jc w:val="both"/>
        <w:rPr>
          <w:rFonts w:ascii="Arial" w:hAnsi="Arial" w:cs="Arial"/>
        </w:rPr>
      </w:pPr>
      <w:r w:rsidRPr="00150BD6">
        <w:rPr>
          <w:rFonts w:ascii="Arial" w:hAnsi="Arial" w:cs="Arial"/>
        </w:rPr>
        <w:t>GRUPO DE INVESTIGACIÓN EN ZOOLOGÍA Y ECOLOGÍA</w:t>
      </w:r>
      <w:r w:rsidR="00CB1178" w:rsidRPr="00150BD6">
        <w:rPr>
          <w:rFonts w:ascii="Arial" w:hAnsi="Arial" w:cs="Arial"/>
        </w:rPr>
        <w:t>.</w:t>
      </w:r>
      <w:r w:rsidRPr="00150BD6">
        <w:rPr>
          <w:rFonts w:ascii="Arial" w:hAnsi="Arial" w:cs="Arial"/>
        </w:rPr>
        <w:t xml:space="preserve"> </w:t>
      </w:r>
    </w:p>
    <w:p w14:paraId="34A4E208"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Estos grupos, entre otros, dan cuenta de los procesos investigativos que se implementan en la Universidad, portadores de conocimiento para la solución de problemas identificados y focalizados en cadenas productivas del sector agropecuario y empresarial de la región y del país. Con relación a la proyección social o extensión, la Universidad de Sucre se ha interesado en ser parte activa en la promoción e implementación de la extensión agropecuaria.</w:t>
      </w:r>
    </w:p>
    <w:p w14:paraId="34802493" w14:textId="77777777" w:rsidR="00692E07" w:rsidRPr="00150BD6" w:rsidRDefault="00692E07" w:rsidP="00150BD6">
      <w:pPr>
        <w:spacing w:line="276" w:lineRule="auto"/>
        <w:jc w:val="both"/>
        <w:rPr>
          <w:rFonts w:ascii="Arial" w:hAnsi="Arial" w:cs="Arial"/>
          <w:sz w:val="22"/>
          <w:szCs w:val="22"/>
        </w:rPr>
      </w:pPr>
    </w:p>
    <w:p w14:paraId="3307E2CF" w14:textId="6E8852B1" w:rsidR="00692E07" w:rsidRPr="00150BD6" w:rsidRDefault="00692E07" w:rsidP="00150BD6">
      <w:pPr>
        <w:spacing w:line="276" w:lineRule="auto"/>
        <w:jc w:val="both"/>
        <w:rPr>
          <w:rFonts w:ascii="Arial" w:hAnsi="Arial" w:cs="Arial"/>
          <w:b/>
          <w:bCs/>
          <w:sz w:val="22"/>
          <w:szCs w:val="22"/>
        </w:rPr>
      </w:pPr>
      <w:r w:rsidRPr="00150BD6">
        <w:rPr>
          <w:rFonts w:ascii="Arial" w:hAnsi="Arial" w:cs="Arial"/>
          <w:b/>
          <w:bCs/>
          <w:sz w:val="22"/>
          <w:szCs w:val="22"/>
        </w:rPr>
        <w:t>FORTALEZA ADMINISTRATIVA Y FINANCIERA DE LA EPSEA-</w:t>
      </w:r>
      <w:r w:rsidR="00506C6C" w:rsidRPr="00150BD6">
        <w:rPr>
          <w:rFonts w:ascii="Arial" w:hAnsi="Arial" w:cs="Arial"/>
          <w:b/>
          <w:bCs/>
          <w:sz w:val="22"/>
          <w:szCs w:val="22"/>
        </w:rPr>
        <w:t>UNIVERSIDAD DE SUCRE</w:t>
      </w:r>
      <w:r w:rsidRPr="00150BD6">
        <w:rPr>
          <w:rFonts w:ascii="Arial" w:hAnsi="Arial" w:cs="Arial"/>
          <w:b/>
          <w:bCs/>
          <w:sz w:val="22"/>
          <w:szCs w:val="22"/>
        </w:rPr>
        <w:t>.</w:t>
      </w:r>
    </w:p>
    <w:p w14:paraId="5094FD02" w14:textId="77777777" w:rsidR="00692E07" w:rsidRPr="00150BD6" w:rsidRDefault="00692E07" w:rsidP="00150BD6">
      <w:pPr>
        <w:spacing w:line="276" w:lineRule="auto"/>
        <w:jc w:val="both"/>
        <w:rPr>
          <w:rFonts w:ascii="Arial" w:hAnsi="Arial" w:cs="Arial"/>
          <w:sz w:val="22"/>
          <w:szCs w:val="22"/>
        </w:rPr>
      </w:pPr>
    </w:p>
    <w:p w14:paraId="7EBB1F72" w14:textId="71EC76DE"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Dentro del proyecto de desarrollo institucional la EPSEA-</w:t>
      </w:r>
      <w:r w:rsidR="00506C6C" w:rsidRPr="00150BD6">
        <w:rPr>
          <w:rFonts w:ascii="Arial" w:hAnsi="Arial" w:cs="Arial"/>
          <w:sz w:val="22"/>
          <w:szCs w:val="22"/>
        </w:rPr>
        <w:t>UNIVERSIDAD DE SUCRE</w:t>
      </w:r>
      <w:r w:rsidRPr="00150BD6">
        <w:rPr>
          <w:rFonts w:ascii="Arial" w:hAnsi="Arial" w:cs="Arial"/>
          <w:sz w:val="22"/>
          <w:szCs w:val="22"/>
        </w:rPr>
        <w:t>, se encuentra anclada en el despacho de la rectoría y de la División de Investigación  y la División de Extensión y Proyección Social, lo cual hace que se cuente con el respaldo administrativo, jurídico y financiero que le permite con gran solidez atender los requerimientos de la operación y el compromiso oportuno con los proveedores y de esta misma manera los profesionales que se vinculen al proyecto gozan de todos los beneficios que brinda la Universidad Pública para sus colaboradores.</w:t>
      </w:r>
    </w:p>
    <w:p w14:paraId="6BB263EE" w14:textId="77777777" w:rsidR="00692E07" w:rsidRPr="00150BD6" w:rsidRDefault="00692E07" w:rsidP="00150BD6">
      <w:pPr>
        <w:spacing w:line="276" w:lineRule="auto"/>
        <w:jc w:val="both"/>
        <w:rPr>
          <w:rFonts w:ascii="Arial" w:hAnsi="Arial" w:cs="Arial"/>
          <w:sz w:val="22"/>
          <w:szCs w:val="22"/>
        </w:rPr>
      </w:pPr>
    </w:p>
    <w:p w14:paraId="35B083B1" w14:textId="77777777"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De igual manera, se ha destacado por su compromiso con la investigación y la generación de conocimiento, ha sido reconocida como una institución líder en la producción de investigación en Colombia y ha contribuido significativamente al desarrollo científico y tecnológico del país; además de su enfoque dirigido a la investigación científica y la innovación, fomentando la generación de conocimiento a través de grupos de investigación y proyectos de investigación aplicada que abordan problemáticas relevantes para la región y el país.</w:t>
      </w:r>
    </w:p>
    <w:p w14:paraId="4FB8FC3C" w14:textId="77777777" w:rsidR="00692E07" w:rsidRPr="00150BD6" w:rsidRDefault="00692E07" w:rsidP="00150BD6">
      <w:pPr>
        <w:spacing w:line="276" w:lineRule="auto"/>
        <w:jc w:val="both"/>
        <w:rPr>
          <w:rFonts w:ascii="Arial" w:hAnsi="Arial" w:cs="Arial"/>
          <w:sz w:val="22"/>
          <w:szCs w:val="22"/>
        </w:rPr>
      </w:pPr>
    </w:p>
    <w:p w14:paraId="06B168F6" w14:textId="761F781C" w:rsidR="00692E07" w:rsidRPr="00150BD6" w:rsidRDefault="00692E07" w:rsidP="00150BD6">
      <w:pPr>
        <w:spacing w:line="276" w:lineRule="auto"/>
        <w:jc w:val="both"/>
        <w:rPr>
          <w:rFonts w:ascii="Arial" w:hAnsi="Arial" w:cs="Arial"/>
          <w:sz w:val="22"/>
          <w:szCs w:val="22"/>
        </w:rPr>
      </w:pPr>
      <w:r w:rsidRPr="00150BD6">
        <w:rPr>
          <w:rFonts w:ascii="Arial" w:hAnsi="Arial" w:cs="Arial"/>
          <w:sz w:val="22"/>
          <w:szCs w:val="22"/>
        </w:rPr>
        <w:t xml:space="preserve">Desde el punto de vista jurídico, la </w:t>
      </w:r>
      <w:r w:rsidR="00506C6C" w:rsidRPr="00150BD6">
        <w:rPr>
          <w:rFonts w:ascii="Arial" w:hAnsi="Arial" w:cs="Arial"/>
          <w:sz w:val="22"/>
          <w:szCs w:val="22"/>
        </w:rPr>
        <w:t>Universidad de Sucre</w:t>
      </w:r>
      <w:r w:rsidRPr="00150BD6">
        <w:rPr>
          <w:rFonts w:ascii="Arial" w:hAnsi="Arial" w:cs="Arial"/>
          <w:sz w:val="22"/>
          <w:szCs w:val="22"/>
        </w:rPr>
        <w:t xml:space="preserve"> es idónea para la prestación del servicio de extensión agropecuaria en atención a que su naturaleza jurídica es de una institución de educación superior oficial y su carácter académico es el de Universidad, con acreditación institucional del MEN a través de la Resolución Ministerial No. 015153 de 2021, con vigencia de 6 años, goza de personería jurídica, autonomía académica, administrativa, financiera y presupuestal, y gobierno, rentas y patrimonio propios e independientes; se rige por la Constitución Política, la Ley 30 de 1992, las demás disposiciones que le sean aplicables de acuerdo con su régimen especial y las normas internas dictadas en ejercicio de su autonomía.</w:t>
      </w:r>
    </w:p>
    <w:p w14:paraId="5F144CB4" w14:textId="77777777" w:rsidR="00692E07" w:rsidRPr="00150BD6" w:rsidRDefault="00692E07" w:rsidP="00150BD6">
      <w:pPr>
        <w:spacing w:line="276" w:lineRule="auto"/>
        <w:jc w:val="both"/>
        <w:rPr>
          <w:rFonts w:ascii="Arial" w:hAnsi="Arial" w:cs="Arial"/>
          <w:sz w:val="22"/>
          <w:szCs w:val="22"/>
        </w:rPr>
      </w:pPr>
    </w:p>
    <w:p w14:paraId="42BEFCAD" w14:textId="636F526B" w:rsidR="58650887" w:rsidRPr="00150BD6" w:rsidRDefault="681DC9F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lastRenderedPageBreak/>
        <w:t>De otra parte, es necesario reiterar que</w:t>
      </w:r>
      <w:r w:rsidR="7558B90A" w:rsidRPr="00150BD6">
        <w:rPr>
          <w:rFonts w:ascii="Arial" w:eastAsia="Arial" w:hAnsi="Arial" w:cs="Arial"/>
          <w:sz w:val="22"/>
          <w:szCs w:val="22"/>
          <w:lang w:val="es-ES"/>
        </w:rPr>
        <w:t xml:space="preserve"> LA UNIVERSIDAD DE SUCRE</w:t>
      </w:r>
      <w:r w:rsidRPr="00150BD6">
        <w:rPr>
          <w:rFonts w:ascii="Arial" w:eastAsia="Arial" w:hAnsi="Arial" w:cs="Arial"/>
          <w:sz w:val="22"/>
          <w:szCs w:val="22"/>
          <w:lang w:val="es-ES"/>
        </w:rPr>
        <w:t xml:space="preserve"> </w:t>
      </w:r>
      <w:r w:rsidRPr="00150BD6">
        <w:rPr>
          <w:rFonts w:ascii="Arial" w:eastAsia="Arial" w:hAnsi="Arial" w:cs="Arial"/>
          <w:sz w:val="22"/>
          <w:szCs w:val="22"/>
          <w:lang w:val="es"/>
        </w:rPr>
        <w:t>fue reconocida con la calidad de EPSEA mediante R</w:t>
      </w:r>
      <w:r w:rsidRPr="00150BD6">
        <w:rPr>
          <w:rFonts w:ascii="Arial" w:eastAsia="Arial" w:hAnsi="Arial" w:cs="Arial"/>
          <w:b/>
          <w:bCs/>
          <w:sz w:val="22"/>
          <w:szCs w:val="22"/>
        </w:rPr>
        <w:t xml:space="preserve"> Resolución No. 451 de 31 de julio de 2024</w:t>
      </w:r>
      <w:r w:rsidRPr="00150BD6">
        <w:rPr>
          <w:rFonts w:ascii="Arial" w:eastAsia="Arial" w:hAnsi="Arial" w:cs="Arial"/>
          <w:sz w:val="22"/>
          <w:szCs w:val="22"/>
          <w:lang w:val="es-ES"/>
        </w:rPr>
        <w:t>, por haber cumplido los requisitos previstos en el artículo 33 de la Ley 1876 de 2017, que le permiten válidamente la suscripción y ejecución de este tipo de Convenios, requisitos a saber:</w:t>
      </w:r>
    </w:p>
    <w:p w14:paraId="4B0BFB47" w14:textId="00187E19"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1</w:t>
      </w:r>
      <w:r w:rsidR="61F50C77" w:rsidRPr="00150BD6">
        <w:rPr>
          <w:rFonts w:ascii="Arial" w:eastAsia="Arial" w:hAnsi="Arial" w:cs="Arial"/>
          <w:sz w:val="22"/>
          <w:szCs w:val="22"/>
          <w:lang w:val="es-ES"/>
        </w:rPr>
        <w:t>.</w:t>
      </w:r>
      <w:r w:rsidRPr="00150BD6">
        <w:rPr>
          <w:rFonts w:ascii="Arial" w:eastAsia="Arial" w:hAnsi="Arial" w:cs="Arial"/>
          <w:sz w:val="22"/>
          <w:szCs w:val="22"/>
          <w:lang w:val="es-ES"/>
        </w:rPr>
        <w:t xml:space="preserve"> Idoneidad del recurso humano, formación profesional y desarrollo de competencias; </w:t>
      </w:r>
    </w:p>
    <w:p w14:paraId="33AA8977" w14:textId="1A6A1ECE"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 xml:space="preserve">2. Experiencia relacionada con la prestación del servicio, </w:t>
      </w:r>
    </w:p>
    <w:p w14:paraId="56175754" w14:textId="5D1D4770"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 xml:space="preserve">3. Capacidades para desarrollar los planes de extensión agropecuaria — PDEA, según los enfoques establecidos para los mismos, de acuerdo con el artículo 25 de la Ley 1876 de 2017; </w:t>
      </w:r>
    </w:p>
    <w:p w14:paraId="4A0C34C7" w14:textId="01B0EB82"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 xml:space="preserve">4. Vinculo comprobable con organizaciones de formación, capacitación, ciencia, tecnología e innovación; </w:t>
      </w:r>
    </w:p>
    <w:p w14:paraId="07B69EE0" w14:textId="48380E23"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5</w:t>
      </w:r>
      <w:r w:rsidR="011B6437" w:rsidRPr="00150BD6">
        <w:rPr>
          <w:rFonts w:ascii="Arial" w:eastAsia="Arial" w:hAnsi="Arial" w:cs="Arial"/>
          <w:sz w:val="22"/>
          <w:szCs w:val="22"/>
          <w:lang w:val="es-ES"/>
        </w:rPr>
        <w:t>.</w:t>
      </w:r>
      <w:r w:rsidRPr="00150BD6">
        <w:rPr>
          <w:rFonts w:ascii="Arial" w:eastAsia="Arial" w:hAnsi="Arial" w:cs="Arial"/>
          <w:sz w:val="22"/>
          <w:szCs w:val="22"/>
          <w:lang w:val="es-ES"/>
        </w:rPr>
        <w:t xml:space="preserve"> Capacidad financiera; y </w:t>
      </w:r>
    </w:p>
    <w:p w14:paraId="1B63974E" w14:textId="0929B62F"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 xml:space="preserve">6. Constitución y situación legal conforme'. </w:t>
      </w:r>
    </w:p>
    <w:p w14:paraId="47F0549A" w14:textId="7BE17BAB" w:rsidR="58650887" w:rsidRPr="00150BD6" w:rsidRDefault="58650887" w:rsidP="00150BD6">
      <w:pPr>
        <w:spacing w:after="240" w:line="276" w:lineRule="auto"/>
        <w:jc w:val="both"/>
        <w:rPr>
          <w:rFonts w:ascii="Arial" w:eastAsia="Arial" w:hAnsi="Arial" w:cs="Arial"/>
          <w:sz w:val="22"/>
          <w:szCs w:val="22"/>
          <w:lang w:val="es-ES"/>
        </w:rPr>
      </w:pPr>
      <w:r w:rsidRPr="00150BD6">
        <w:rPr>
          <w:rFonts w:ascii="Arial" w:eastAsia="Arial" w:hAnsi="Arial" w:cs="Arial"/>
          <w:sz w:val="22"/>
          <w:szCs w:val="22"/>
          <w:lang w:val="es-ES"/>
        </w:rPr>
        <w:t xml:space="preserve">De acuerdo con lo anterior, la Vicepresidencia de Integración Productiva identificó desde el punto de vista técnico, legal y financiero la conveniencia de realizar un convenio interadministrativo mediante la modalidad de contratación directa con la </w:t>
      </w:r>
      <w:r w:rsidR="053C5BF8" w:rsidRPr="00150BD6">
        <w:rPr>
          <w:rFonts w:ascii="Arial" w:eastAsia="Arial" w:hAnsi="Arial" w:cs="Arial"/>
          <w:sz w:val="22"/>
          <w:szCs w:val="22"/>
        </w:rPr>
        <w:t>UNIVERSIDAD SUCRE</w:t>
      </w:r>
      <w:r w:rsidRPr="00150BD6">
        <w:rPr>
          <w:rFonts w:ascii="Arial" w:eastAsia="Arial" w:hAnsi="Arial" w:cs="Arial"/>
          <w:sz w:val="22"/>
          <w:szCs w:val="22"/>
          <w:lang w:val="es-ES"/>
        </w:rPr>
        <w:t>, justificada al estar habilitada como EPSEA, en las ventajas atribuibles a la representativa experiencia e idoneidad materializada en la capacidad técnica, conocimiento del territorio, capacidad de articulación con los actores territoriales y la competencia atribuida por norma citada, además en la propuesta técnica presentada se puede establecer en términos de costo beneficio una mejora sustancial en los valores asociados a la prestación del servicio que se reflejan en los aspectos ya señalados y el desarrollo de acciones que hacen más enriquecedor el proceso de extensión agropecuaria para el cumplimiento de las metas previstas en el Plan Nacional de Asistencia Técnica.</w:t>
      </w:r>
    </w:p>
    <w:p w14:paraId="307BDF0C" w14:textId="0F2664C3" w:rsidR="09109147" w:rsidRPr="00150BD6" w:rsidRDefault="09109147" w:rsidP="00150BD6">
      <w:pPr>
        <w:widowControl w:val="0"/>
        <w:spacing w:line="276" w:lineRule="auto"/>
        <w:jc w:val="both"/>
        <w:rPr>
          <w:rFonts w:ascii="Arial" w:eastAsia="Arial" w:hAnsi="Arial" w:cs="Arial"/>
          <w:color w:val="000000" w:themeColor="text1"/>
          <w:sz w:val="22"/>
          <w:szCs w:val="22"/>
        </w:rPr>
      </w:pPr>
      <w:r w:rsidRPr="00150BD6">
        <w:rPr>
          <w:rFonts w:ascii="Arial" w:eastAsia="Arial" w:hAnsi="Arial" w:cs="Arial"/>
          <w:color w:val="000000" w:themeColor="text1"/>
          <w:sz w:val="22"/>
          <w:szCs w:val="22"/>
          <w:lang w:val="es-ES"/>
        </w:rPr>
        <w:t xml:space="preserve">De acuerdo con el análisis realizado, a continuación, se presenta la siguiente tabla, que destaca cada una de las experiencias acreditadas por la UNIVERSIDAD DE SUCRE, </w:t>
      </w:r>
      <w:r w:rsidRPr="00150BD6">
        <w:rPr>
          <w:rFonts w:ascii="Arial" w:eastAsia="Arial" w:hAnsi="Arial" w:cs="Arial"/>
          <w:color w:val="000000" w:themeColor="text1"/>
          <w:sz w:val="22"/>
          <w:szCs w:val="22"/>
          <w:lang w:val="es"/>
        </w:rPr>
        <w:t>en el marco de la asistencia técnica definida en la Ley 607 del 2000, la cual está incluida dentro de lo estipulado en la Ley 1876 del 2017 en el concepto de extensión agropecuaria.</w:t>
      </w:r>
      <w:r w:rsidRPr="00150BD6">
        <w:rPr>
          <w:rFonts w:ascii="Arial" w:eastAsia="Arial" w:hAnsi="Arial" w:cs="Arial"/>
          <w:color w:val="000000" w:themeColor="text1"/>
          <w:sz w:val="22"/>
          <w:szCs w:val="22"/>
          <w:lang w:val="es-ES"/>
        </w:rPr>
        <w:t xml:space="preserve"> Esta tabla facilita una visualización clara y ordenada de la experiencia, los valores y el tiempo acreditados por la entidad para la suscripción de este convenio.</w:t>
      </w:r>
    </w:p>
    <w:p w14:paraId="4DF76FBA" w14:textId="77777777" w:rsidR="003A16F4" w:rsidRDefault="003A16F4" w:rsidP="003A16F4">
      <w:pPr>
        <w:jc w:val="both"/>
        <w:rPr>
          <w:rFonts w:ascii="Arial" w:hAnsi="Arial" w:cs="Arial"/>
        </w:rPr>
      </w:pPr>
    </w:p>
    <w:tbl>
      <w:tblPr>
        <w:tblW w:w="8977" w:type="dxa"/>
        <w:tblLayout w:type="fixed"/>
        <w:tblCellMar>
          <w:left w:w="70" w:type="dxa"/>
          <w:right w:w="70" w:type="dxa"/>
        </w:tblCellMar>
        <w:tblLook w:val="04A0" w:firstRow="1" w:lastRow="0" w:firstColumn="1" w:lastColumn="0" w:noHBand="0" w:noVBand="1"/>
      </w:tblPr>
      <w:tblGrid>
        <w:gridCol w:w="281"/>
        <w:gridCol w:w="995"/>
        <w:gridCol w:w="1698"/>
        <w:gridCol w:w="854"/>
        <w:gridCol w:w="851"/>
        <w:gridCol w:w="1134"/>
        <w:gridCol w:w="1131"/>
        <w:gridCol w:w="566"/>
        <w:gridCol w:w="450"/>
        <w:gridCol w:w="515"/>
        <w:gridCol w:w="502"/>
      </w:tblGrid>
      <w:tr w:rsidR="00506C6C" w:rsidRPr="00506C6C" w14:paraId="7E5C6DD0" w14:textId="77777777" w:rsidTr="39B1CA44">
        <w:trPr>
          <w:trHeight w:val="458"/>
        </w:trPr>
        <w:tc>
          <w:tcPr>
            <w:tcW w:w="28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945C0"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ITEM</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57CE4"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CONTRATANTE</w:t>
            </w:r>
          </w:p>
        </w:tc>
        <w:tc>
          <w:tcPr>
            <w:tcW w:w="169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4FBC4"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OBJETO</w:t>
            </w:r>
          </w:p>
        </w:tc>
        <w:tc>
          <w:tcPr>
            <w:tcW w:w="85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B45DF"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INICIO</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47AA5"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FINALIZACIÓN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1BE5E"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VALOR EJECUTADO</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70FF5C"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VALOR INDEXADO</w:t>
            </w:r>
          </w:p>
        </w:tc>
        <w:tc>
          <w:tcPr>
            <w:tcW w:w="56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1236C"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VALOR EN SMMLV</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B8A626"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TOTAL AÑOS</w:t>
            </w:r>
          </w:p>
        </w:tc>
        <w:tc>
          <w:tcPr>
            <w:tcW w:w="51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CAD752"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TOTAL MESES</w:t>
            </w:r>
          </w:p>
        </w:tc>
        <w:tc>
          <w:tcPr>
            <w:tcW w:w="50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3449F"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TOTAL DIAS</w:t>
            </w:r>
          </w:p>
        </w:tc>
      </w:tr>
      <w:tr w:rsidR="00506C6C" w:rsidRPr="00506C6C" w14:paraId="7DD62417" w14:textId="77777777" w:rsidTr="39B1CA44">
        <w:trPr>
          <w:trHeight w:val="458"/>
        </w:trPr>
        <w:tc>
          <w:tcPr>
            <w:tcW w:w="281" w:type="dxa"/>
            <w:vMerge/>
            <w:vAlign w:val="center"/>
            <w:hideMark/>
          </w:tcPr>
          <w:p w14:paraId="3AEDAD8A" w14:textId="77777777" w:rsidR="00506C6C" w:rsidRPr="00506C6C" w:rsidRDefault="00506C6C">
            <w:pPr>
              <w:rPr>
                <w:rFonts w:ascii="Arial" w:hAnsi="Arial" w:cs="Arial"/>
                <w:b/>
                <w:bCs/>
                <w:color w:val="000000"/>
                <w:sz w:val="12"/>
                <w:szCs w:val="12"/>
              </w:rPr>
            </w:pPr>
          </w:p>
        </w:tc>
        <w:tc>
          <w:tcPr>
            <w:tcW w:w="995" w:type="dxa"/>
            <w:vMerge/>
            <w:vAlign w:val="center"/>
            <w:hideMark/>
          </w:tcPr>
          <w:p w14:paraId="4B274D0A" w14:textId="77777777" w:rsidR="00506C6C" w:rsidRPr="00506C6C" w:rsidRDefault="00506C6C">
            <w:pPr>
              <w:rPr>
                <w:rFonts w:ascii="Arial" w:hAnsi="Arial" w:cs="Arial"/>
                <w:b/>
                <w:bCs/>
                <w:color w:val="000000"/>
                <w:sz w:val="12"/>
                <w:szCs w:val="12"/>
              </w:rPr>
            </w:pPr>
          </w:p>
        </w:tc>
        <w:tc>
          <w:tcPr>
            <w:tcW w:w="1698" w:type="dxa"/>
            <w:vMerge/>
            <w:vAlign w:val="center"/>
            <w:hideMark/>
          </w:tcPr>
          <w:p w14:paraId="3DC36488" w14:textId="77777777" w:rsidR="00506C6C" w:rsidRPr="00506C6C" w:rsidRDefault="00506C6C">
            <w:pPr>
              <w:rPr>
                <w:rFonts w:ascii="Arial" w:hAnsi="Arial" w:cs="Arial"/>
                <w:b/>
                <w:bCs/>
                <w:color w:val="000000"/>
                <w:sz w:val="12"/>
                <w:szCs w:val="12"/>
              </w:rPr>
            </w:pPr>
          </w:p>
        </w:tc>
        <w:tc>
          <w:tcPr>
            <w:tcW w:w="854" w:type="dxa"/>
            <w:vMerge/>
            <w:vAlign w:val="center"/>
            <w:hideMark/>
          </w:tcPr>
          <w:p w14:paraId="0BF47E77" w14:textId="77777777" w:rsidR="00506C6C" w:rsidRPr="00506C6C" w:rsidRDefault="00506C6C">
            <w:pPr>
              <w:rPr>
                <w:rFonts w:ascii="Arial" w:hAnsi="Arial" w:cs="Arial"/>
                <w:b/>
                <w:bCs/>
                <w:color w:val="000000"/>
                <w:sz w:val="12"/>
                <w:szCs w:val="12"/>
              </w:rPr>
            </w:pPr>
          </w:p>
        </w:tc>
        <w:tc>
          <w:tcPr>
            <w:tcW w:w="851" w:type="dxa"/>
            <w:vMerge/>
            <w:vAlign w:val="center"/>
            <w:hideMark/>
          </w:tcPr>
          <w:p w14:paraId="3DA45287" w14:textId="77777777" w:rsidR="00506C6C" w:rsidRPr="00506C6C" w:rsidRDefault="00506C6C">
            <w:pPr>
              <w:rPr>
                <w:rFonts w:ascii="Arial" w:hAnsi="Arial" w:cs="Arial"/>
                <w:b/>
                <w:bCs/>
                <w:color w:val="000000"/>
                <w:sz w:val="12"/>
                <w:szCs w:val="12"/>
              </w:rPr>
            </w:pPr>
          </w:p>
        </w:tc>
        <w:tc>
          <w:tcPr>
            <w:tcW w:w="1134" w:type="dxa"/>
            <w:vMerge/>
            <w:vAlign w:val="center"/>
            <w:hideMark/>
          </w:tcPr>
          <w:p w14:paraId="63FEE0D4" w14:textId="77777777" w:rsidR="00506C6C" w:rsidRPr="00506C6C" w:rsidRDefault="00506C6C">
            <w:pPr>
              <w:rPr>
                <w:rFonts w:ascii="Arial" w:hAnsi="Arial" w:cs="Arial"/>
                <w:b/>
                <w:bCs/>
                <w:color w:val="000000"/>
                <w:sz w:val="12"/>
                <w:szCs w:val="12"/>
              </w:rPr>
            </w:pPr>
          </w:p>
        </w:tc>
        <w:tc>
          <w:tcPr>
            <w:tcW w:w="1131" w:type="dxa"/>
            <w:vMerge/>
            <w:vAlign w:val="center"/>
            <w:hideMark/>
          </w:tcPr>
          <w:p w14:paraId="44041269" w14:textId="77777777" w:rsidR="00506C6C" w:rsidRPr="00506C6C" w:rsidRDefault="00506C6C">
            <w:pPr>
              <w:rPr>
                <w:rFonts w:ascii="Arial" w:hAnsi="Arial" w:cs="Arial"/>
                <w:b/>
                <w:bCs/>
                <w:color w:val="000000"/>
                <w:sz w:val="12"/>
                <w:szCs w:val="12"/>
              </w:rPr>
            </w:pPr>
          </w:p>
        </w:tc>
        <w:tc>
          <w:tcPr>
            <w:tcW w:w="566" w:type="dxa"/>
            <w:vMerge/>
            <w:vAlign w:val="center"/>
            <w:hideMark/>
          </w:tcPr>
          <w:p w14:paraId="6B432779" w14:textId="77777777" w:rsidR="00506C6C" w:rsidRPr="00506C6C" w:rsidRDefault="00506C6C">
            <w:pPr>
              <w:rPr>
                <w:rFonts w:ascii="Arial" w:hAnsi="Arial" w:cs="Arial"/>
                <w:b/>
                <w:bCs/>
                <w:color w:val="000000"/>
                <w:sz w:val="12"/>
                <w:szCs w:val="12"/>
              </w:rPr>
            </w:pPr>
          </w:p>
        </w:tc>
        <w:tc>
          <w:tcPr>
            <w:tcW w:w="450" w:type="dxa"/>
            <w:vMerge/>
            <w:vAlign w:val="center"/>
            <w:hideMark/>
          </w:tcPr>
          <w:p w14:paraId="0A4E4B4A" w14:textId="77777777" w:rsidR="00506C6C" w:rsidRPr="00506C6C" w:rsidRDefault="00506C6C">
            <w:pPr>
              <w:rPr>
                <w:rFonts w:ascii="Arial" w:hAnsi="Arial" w:cs="Arial"/>
                <w:b/>
                <w:bCs/>
                <w:color w:val="000000"/>
                <w:sz w:val="12"/>
                <w:szCs w:val="12"/>
              </w:rPr>
            </w:pPr>
          </w:p>
        </w:tc>
        <w:tc>
          <w:tcPr>
            <w:tcW w:w="515" w:type="dxa"/>
            <w:vMerge/>
            <w:vAlign w:val="center"/>
            <w:hideMark/>
          </w:tcPr>
          <w:p w14:paraId="78AB12F2" w14:textId="77777777" w:rsidR="00506C6C" w:rsidRPr="00506C6C" w:rsidRDefault="00506C6C">
            <w:pPr>
              <w:rPr>
                <w:rFonts w:ascii="Arial" w:hAnsi="Arial" w:cs="Arial"/>
                <w:b/>
                <w:bCs/>
                <w:color w:val="000000"/>
                <w:sz w:val="12"/>
                <w:szCs w:val="12"/>
              </w:rPr>
            </w:pPr>
          </w:p>
        </w:tc>
        <w:tc>
          <w:tcPr>
            <w:tcW w:w="502" w:type="dxa"/>
            <w:vMerge/>
            <w:vAlign w:val="center"/>
            <w:hideMark/>
          </w:tcPr>
          <w:p w14:paraId="5602CF8A" w14:textId="77777777" w:rsidR="00506C6C" w:rsidRPr="00506C6C" w:rsidRDefault="00506C6C">
            <w:pPr>
              <w:rPr>
                <w:rFonts w:ascii="Arial" w:hAnsi="Arial" w:cs="Arial"/>
                <w:b/>
                <w:bCs/>
                <w:color w:val="000000"/>
                <w:sz w:val="12"/>
                <w:szCs w:val="12"/>
              </w:rPr>
            </w:pPr>
          </w:p>
        </w:tc>
      </w:tr>
      <w:tr w:rsidR="00506C6C" w:rsidRPr="00506C6C" w14:paraId="3F6A7B1D" w14:textId="77777777" w:rsidTr="39B1CA44">
        <w:trPr>
          <w:trHeight w:val="1200"/>
        </w:trPr>
        <w:tc>
          <w:tcPr>
            <w:tcW w:w="28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B3379D3"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lastRenderedPageBreak/>
              <w:t>1</w:t>
            </w:r>
          </w:p>
        </w:tc>
        <w:tc>
          <w:tcPr>
            <w:tcW w:w="995" w:type="dxa"/>
            <w:tcBorders>
              <w:top w:val="nil"/>
              <w:left w:val="nil"/>
              <w:bottom w:val="single" w:sz="4" w:space="0" w:color="auto"/>
              <w:right w:val="single" w:sz="4" w:space="0" w:color="auto"/>
            </w:tcBorders>
            <w:shd w:val="clear" w:color="auto" w:fill="auto"/>
            <w:vAlign w:val="center"/>
            <w:hideMark/>
          </w:tcPr>
          <w:p w14:paraId="20D543AF" w14:textId="77777777" w:rsidR="00506C6C" w:rsidRPr="00506C6C" w:rsidRDefault="00506C6C">
            <w:pPr>
              <w:rPr>
                <w:rFonts w:ascii="Arial" w:hAnsi="Arial" w:cs="Arial"/>
                <w:color w:val="000000"/>
                <w:sz w:val="12"/>
                <w:szCs w:val="12"/>
              </w:rPr>
            </w:pPr>
            <w:r w:rsidRPr="00506C6C">
              <w:rPr>
                <w:rFonts w:ascii="Arial" w:hAnsi="Arial" w:cs="Arial"/>
                <w:color w:val="000000"/>
                <w:sz w:val="12"/>
                <w:szCs w:val="12"/>
              </w:rPr>
              <w:t>Gobernación de Sucre</w:t>
            </w:r>
          </w:p>
        </w:tc>
        <w:tc>
          <w:tcPr>
            <w:tcW w:w="1698" w:type="dxa"/>
            <w:tcBorders>
              <w:top w:val="nil"/>
              <w:left w:val="nil"/>
              <w:bottom w:val="single" w:sz="4" w:space="0" w:color="auto"/>
              <w:right w:val="single" w:sz="4" w:space="0" w:color="auto"/>
            </w:tcBorders>
            <w:shd w:val="clear" w:color="auto" w:fill="auto"/>
            <w:vAlign w:val="center"/>
            <w:hideMark/>
          </w:tcPr>
          <w:p w14:paraId="3092549C" w14:textId="41B9D1E2" w:rsidR="00506C6C" w:rsidRPr="00506C6C" w:rsidRDefault="00506C6C">
            <w:pPr>
              <w:rPr>
                <w:rFonts w:ascii="Arial" w:hAnsi="Arial" w:cs="Arial"/>
                <w:color w:val="000000"/>
                <w:sz w:val="12"/>
                <w:szCs w:val="12"/>
              </w:rPr>
            </w:pPr>
            <w:r w:rsidRPr="00506C6C">
              <w:rPr>
                <w:rFonts w:ascii="Arial" w:hAnsi="Arial" w:cs="Arial"/>
                <w:color w:val="000000"/>
                <w:sz w:val="12"/>
                <w:szCs w:val="12"/>
              </w:rPr>
              <w:t xml:space="preserve">Aunar esfuerzos </w:t>
            </w:r>
            <w:r w:rsidR="00DF1082" w:rsidRPr="00506C6C">
              <w:rPr>
                <w:rFonts w:ascii="Arial" w:hAnsi="Arial" w:cs="Arial"/>
                <w:color w:val="000000"/>
                <w:sz w:val="12"/>
                <w:szCs w:val="12"/>
              </w:rPr>
              <w:t>Desarrollo Agroindustrial</w:t>
            </w:r>
            <w:r w:rsidRPr="00506C6C">
              <w:rPr>
                <w:rFonts w:ascii="Arial" w:hAnsi="Arial" w:cs="Arial"/>
                <w:color w:val="000000"/>
                <w:sz w:val="12"/>
                <w:szCs w:val="12"/>
              </w:rPr>
              <w:t xml:space="preserve"> de los Cultivos de Yuca y ñame en el Departamento de Sucre. La Universidad de Sucre dentro de este convenio suscribió las siguientes obligaciones: a) ejercer la dirección científica y financiera del proyecto, y asegurar la articulación de actividades y actores presentes en la ejecución del proyecto, b) obtener los productos establecidos en la cláusula cuarta, c) ejecutar con el apoyo de las entidades de este convenio las acciones contenidas en el proyecto y que hace parte integral de este convenio, d) consolidar informes trimestrales con los avances en la implementación y seguimiento del programa.  </w:t>
            </w:r>
          </w:p>
        </w:tc>
        <w:tc>
          <w:tcPr>
            <w:tcW w:w="854" w:type="dxa"/>
            <w:tcBorders>
              <w:top w:val="nil"/>
              <w:left w:val="nil"/>
              <w:bottom w:val="single" w:sz="4" w:space="0" w:color="auto"/>
              <w:right w:val="single" w:sz="4" w:space="0" w:color="auto"/>
            </w:tcBorders>
            <w:shd w:val="clear" w:color="auto" w:fill="auto"/>
            <w:vAlign w:val="center"/>
            <w:hideMark/>
          </w:tcPr>
          <w:p w14:paraId="78C4BBCF"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08/11/2013</w:t>
            </w:r>
          </w:p>
        </w:tc>
        <w:tc>
          <w:tcPr>
            <w:tcW w:w="851" w:type="dxa"/>
            <w:tcBorders>
              <w:top w:val="nil"/>
              <w:left w:val="nil"/>
              <w:bottom w:val="single" w:sz="4" w:space="0" w:color="auto"/>
              <w:right w:val="single" w:sz="4" w:space="0" w:color="auto"/>
            </w:tcBorders>
            <w:shd w:val="clear" w:color="auto" w:fill="auto"/>
            <w:vAlign w:val="center"/>
            <w:hideMark/>
          </w:tcPr>
          <w:p w14:paraId="2E65FDEB"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27/05/2019</w:t>
            </w:r>
          </w:p>
        </w:tc>
        <w:tc>
          <w:tcPr>
            <w:tcW w:w="1134" w:type="dxa"/>
            <w:tcBorders>
              <w:top w:val="nil"/>
              <w:left w:val="nil"/>
              <w:bottom w:val="single" w:sz="4" w:space="0" w:color="auto"/>
              <w:right w:val="single" w:sz="4" w:space="0" w:color="auto"/>
            </w:tcBorders>
            <w:shd w:val="clear" w:color="auto" w:fill="auto"/>
            <w:vAlign w:val="center"/>
            <w:hideMark/>
          </w:tcPr>
          <w:p w14:paraId="19CAF4D1" w14:textId="77777777" w:rsidR="00506C6C" w:rsidRPr="00506C6C" w:rsidRDefault="00506C6C" w:rsidP="00506C6C">
            <w:pPr>
              <w:jc w:val="center"/>
              <w:rPr>
                <w:rFonts w:ascii="Arial" w:hAnsi="Arial" w:cs="Arial"/>
                <w:color w:val="000000"/>
                <w:sz w:val="12"/>
                <w:szCs w:val="12"/>
              </w:rPr>
            </w:pPr>
            <w:r w:rsidRPr="00506C6C">
              <w:rPr>
                <w:rFonts w:ascii="Arial" w:hAnsi="Arial" w:cs="Arial"/>
                <w:color w:val="000000"/>
                <w:sz w:val="12"/>
                <w:szCs w:val="12"/>
              </w:rPr>
              <w:t>$ 3.071.624.500</w:t>
            </w:r>
          </w:p>
        </w:tc>
        <w:tc>
          <w:tcPr>
            <w:tcW w:w="1131" w:type="dxa"/>
            <w:tcBorders>
              <w:top w:val="nil"/>
              <w:left w:val="nil"/>
              <w:bottom w:val="single" w:sz="4" w:space="0" w:color="auto"/>
              <w:right w:val="single" w:sz="4" w:space="0" w:color="auto"/>
            </w:tcBorders>
            <w:shd w:val="clear" w:color="auto" w:fill="auto"/>
            <w:noWrap/>
            <w:vAlign w:val="center"/>
            <w:hideMark/>
          </w:tcPr>
          <w:p w14:paraId="1A1EC49A"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$ 5.228.258.695</w:t>
            </w:r>
          </w:p>
        </w:tc>
        <w:tc>
          <w:tcPr>
            <w:tcW w:w="566" w:type="dxa"/>
            <w:tcBorders>
              <w:top w:val="nil"/>
              <w:left w:val="nil"/>
              <w:bottom w:val="single" w:sz="4" w:space="0" w:color="auto"/>
              <w:right w:val="single" w:sz="4" w:space="0" w:color="auto"/>
            </w:tcBorders>
            <w:shd w:val="clear" w:color="auto" w:fill="auto"/>
            <w:noWrap/>
            <w:vAlign w:val="center"/>
            <w:hideMark/>
          </w:tcPr>
          <w:p w14:paraId="29691725" w14:textId="77777777" w:rsidR="00506C6C" w:rsidRPr="00506C6C" w:rsidRDefault="00506C6C">
            <w:pPr>
              <w:jc w:val="right"/>
              <w:rPr>
                <w:rFonts w:ascii="Calibri" w:hAnsi="Calibri" w:cs="Calibri"/>
                <w:color w:val="000000"/>
                <w:sz w:val="12"/>
                <w:szCs w:val="12"/>
              </w:rPr>
            </w:pPr>
            <w:r w:rsidRPr="00506C6C">
              <w:rPr>
                <w:rFonts w:ascii="Calibri" w:hAnsi="Calibri" w:cs="Calibri"/>
                <w:color w:val="000000"/>
                <w:sz w:val="12"/>
                <w:szCs w:val="12"/>
              </w:rPr>
              <w:t>4021,74</w:t>
            </w:r>
          </w:p>
        </w:tc>
        <w:tc>
          <w:tcPr>
            <w:tcW w:w="450" w:type="dxa"/>
            <w:tcBorders>
              <w:top w:val="nil"/>
              <w:left w:val="nil"/>
              <w:bottom w:val="single" w:sz="4" w:space="0" w:color="auto"/>
              <w:right w:val="single" w:sz="4" w:space="0" w:color="auto"/>
            </w:tcBorders>
            <w:shd w:val="clear" w:color="auto" w:fill="auto"/>
            <w:vAlign w:val="center"/>
            <w:hideMark/>
          </w:tcPr>
          <w:p w14:paraId="3FA9C00E"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5</w:t>
            </w:r>
          </w:p>
        </w:tc>
        <w:tc>
          <w:tcPr>
            <w:tcW w:w="515" w:type="dxa"/>
            <w:tcBorders>
              <w:top w:val="nil"/>
              <w:left w:val="nil"/>
              <w:bottom w:val="single" w:sz="4" w:space="0" w:color="auto"/>
              <w:right w:val="single" w:sz="4" w:space="0" w:color="auto"/>
            </w:tcBorders>
            <w:shd w:val="clear" w:color="auto" w:fill="auto"/>
            <w:vAlign w:val="center"/>
            <w:hideMark/>
          </w:tcPr>
          <w:p w14:paraId="6E39BC37"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6</w:t>
            </w:r>
          </w:p>
        </w:tc>
        <w:tc>
          <w:tcPr>
            <w:tcW w:w="502" w:type="dxa"/>
            <w:tcBorders>
              <w:top w:val="nil"/>
              <w:left w:val="nil"/>
              <w:bottom w:val="single" w:sz="4" w:space="0" w:color="auto"/>
              <w:right w:val="single" w:sz="4" w:space="0" w:color="auto"/>
            </w:tcBorders>
            <w:shd w:val="clear" w:color="auto" w:fill="auto"/>
            <w:vAlign w:val="center"/>
            <w:hideMark/>
          </w:tcPr>
          <w:p w14:paraId="37F66FBC"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19</w:t>
            </w:r>
          </w:p>
        </w:tc>
      </w:tr>
      <w:tr w:rsidR="00506C6C" w:rsidRPr="00506C6C" w14:paraId="6A5B7049" w14:textId="77777777" w:rsidTr="39B1CA44">
        <w:trPr>
          <w:trHeight w:val="2400"/>
        </w:trPr>
        <w:tc>
          <w:tcPr>
            <w:tcW w:w="28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301E2B8"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2</w:t>
            </w:r>
          </w:p>
        </w:tc>
        <w:tc>
          <w:tcPr>
            <w:tcW w:w="995" w:type="dxa"/>
            <w:tcBorders>
              <w:top w:val="nil"/>
              <w:left w:val="nil"/>
              <w:bottom w:val="single" w:sz="4" w:space="0" w:color="auto"/>
              <w:right w:val="single" w:sz="4" w:space="0" w:color="auto"/>
            </w:tcBorders>
            <w:shd w:val="clear" w:color="auto" w:fill="auto"/>
            <w:vAlign w:val="center"/>
            <w:hideMark/>
          </w:tcPr>
          <w:p w14:paraId="2A63AF38" w14:textId="77777777" w:rsidR="00506C6C" w:rsidRPr="00506C6C" w:rsidRDefault="00506C6C">
            <w:pPr>
              <w:rPr>
                <w:rFonts w:ascii="Arial" w:hAnsi="Arial" w:cs="Arial"/>
                <w:color w:val="000000"/>
                <w:sz w:val="12"/>
                <w:szCs w:val="12"/>
              </w:rPr>
            </w:pPr>
            <w:r w:rsidRPr="00506C6C">
              <w:rPr>
                <w:rFonts w:ascii="Arial" w:hAnsi="Arial" w:cs="Arial"/>
                <w:color w:val="000000"/>
                <w:sz w:val="12"/>
                <w:szCs w:val="12"/>
              </w:rPr>
              <w:t>Gobernación de Sucre</w:t>
            </w:r>
          </w:p>
        </w:tc>
        <w:tc>
          <w:tcPr>
            <w:tcW w:w="1698" w:type="dxa"/>
            <w:tcBorders>
              <w:top w:val="nil"/>
              <w:left w:val="nil"/>
              <w:bottom w:val="single" w:sz="4" w:space="0" w:color="auto"/>
              <w:right w:val="single" w:sz="4" w:space="0" w:color="auto"/>
            </w:tcBorders>
            <w:shd w:val="clear" w:color="auto" w:fill="auto"/>
            <w:vAlign w:val="center"/>
            <w:hideMark/>
          </w:tcPr>
          <w:p w14:paraId="4D45D348" w14:textId="4605044E" w:rsidR="00506C6C" w:rsidRPr="00506C6C" w:rsidRDefault="00506C6C">
            <w:pPr>
              <w:jc w:val="both"/>
              <w:rPr>
                <w:rFonts w:ascii="Arial" w:hAnsi="Arial" w:cs="Arial"/>
                <w:color w:val="000000"/>
                <w:sz w:val="12"/>
                <w:szCs w:val="12"/>
              </w:rPr>
            </w:pPr>
            <w:r w:rsidRPr="00506C6C">
              <w:rPr>
                <w:rFonts w:ascii="Arial" w:hAnsi="Arial" w:cs="Arial"/>
                <w:color w:val="000000"/>
                <w:sz w:val="12"/>
                <w:szCs w:val="12"/>
              </w:rPr>
              <w:t xml:space="preserve">Aunar esfuerzos para la ejecución del proyecto denominado IMPLEMENTACIÓN DE UN PROGRAMA PARA EL DESARROLLO DE PRODUCTOS BIOTECNOLOGICOS PARA EL SECTOR AGRICOLA EN EL DPTO DE SUCRE. La Universidad de Sucre dentro de este convenio suscribió las siguientes obligaciones: a) ejercer la dirección científica del proyecto y asegurar la articulación del presupuesto de acuerdo con las actividades y actores presentes en la ejecución del proyecto, b) obtener los productos establecidos en la cláusula cuarta, c) ejercer con el apoyo de las entidades de este convenio, las acciones contenidas en el proyecto y que hacen parte integral de este convenio a través de lo descrito en los siguientes anexos: Anexo 2 Ficha EBI del proyecto. Anexo 3 Propuesta Técnica del proyecto. Anexo 4. Presupuesto del Proyecto; d) consolidar informes semestrales con los avenes en la implementación y seguimiento del programa, e) desarrollar actividad: AISLAMIENTO Y EVALUACIÓN DE ACTIVIDAD BIOLOGICA DE BACTERIAS ENDÓFITAS: la cual consiste en realizar el aislamiento y evaluación de actividad biológica de microorganismos endóficos, frente a los fitopatógenos. Para la evaluación de actividad biológica de los microorganismos, se </w:t>
            </w:r>
            <w:r w:rsidR="00DF1082" w:rsidRPr="00506C6C">
              <w:rPr>
                <w:rFonts w:ascii="Arial" w:hAnsi="Arial" w:cs="Arial"/>
                <w:color w:val="000000"/>
                <w:sz w:val="12"/>
                <w:szCs w:val="12"/>
              </w:rPr>
              <w:t>emplearán</w:t>
            </w:r>
            <w:r w:rsidRPr="00506C6C">
              <w:rPr>
                <w:rFonts w:ascii="Arial" w:hAnsi="Arial" w:cs="Arial"/>
                <w:color w:val="000000"/>
                <w:sz w:val="12"/>
                <w:szCs w:val="12"/>
              </w:rPr>
              <w:t xml:space="preserve"> dos métodos: uno evaluando la actividad de la célula frente a los fitopatógenos y otra evaluando la actividad de metabolitos producidos por los microrganismos </w:t>
            </w:r>
          </w:p>
        </w:tc>
        <w:tc>
          <w:tcPr>
            <w:tcW w:w="854" w:type="dxa"/>
            <w:tcBorders>
              <w:top w:val="nil"/>
              <w:left w:val="nil"/>
              <w:bottom w:val="single" w:sz="4" w:space="0" w:color="auto"/>
              <w:right w:val="single" w:sz="4" w:space="0" w:color="auto"/>
            </w:tcBorders>
            <w:shd w:val="clear" w:color="auto" w:fill="auto"/>
            <w:vAlign w:val="center"/>
            <w:hideMark/>
          </w:tcPr>
          <w:p w14:paraId="0AC74621"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03/02/2015</w:t>
            </w:r>
          </w:p>
        </w:tc>
        <w:tc>
          <w:tcPr>
            <w:tcW w:w="851" w:type="dxa"/>
            <w:tcBorders>
              <w:top w:val="nil"/>
              <w:left w:val="nil"/>
              <w:bottom w:val="single" w:sz="4" w:space="0" w:color="auto"/>
              <w:right w:val="single" w:sz="4" w:space="0" w:color="auto"/>
            </w:tcBorders>
            <w:shd w:val="clear" w:color="auto" w:fill="auto"/>
            <w:vAlign w:val="center"/>
            <w:hideMark/>
          </w:tcPr>
          <w:p w14:paraId="19DA12B8"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23/08/2021</w:t>
            </w:r>
          </w:p>
        </w:tc>
        <w:tc>
          <w:tcPr>
            <w:tcW w:w="1134" w:type="dxa"/>
            <w:tcBorders>
              <w:top w:val="nil"/>
              <w:left w:val="nil"/>
              <w:bottom w:val="single" w:sz="4" w:space="0" w:color="auto"/>
              <w:right w:val="single" w:sz="4" w:space="0" w:color="auto"/>
            </w:tcBorders>
            <w:shd w:val="clear" w:color="auto" w:fill="auto"/>
            <w:vAlign w:val="center"/>
            <w:hideMark/>
          </w:tcPr>
          <w:p w14:paraId="5E0CCF32"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$ 2.852.277.191</w:t>
            </w:r>
          </w:p>
        </w:tc>
        <w:tc>
          <w:tcPr>
            <w:tcW w:w="1131" w:type="dxa"/>
            <w:tcBorders>
              <w:top w:val="nil"/>
              <w:left w:val="nil"/>
              <w:bottom w:val="single" w:sz="4" w:space="0" w:color="auto"/>
              <w:right w:val="single" w:sz="4" w:space="0" w:color="auto"/>
            </w:tcBorders>
            <w:shd w:val="clear" w:color="auto" w:fill="auto"/>
            <w:noWrap/>
            <w:vAlign w:val="center"/>
            <w:hideMark/>
          </w:tcPr>
          <w:p w14:paraId="2C758D67"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$ 4.615.151.794</w:t>
            </w:r>
          </w:p>
        </w:tc>
        <w:tc>
          <w:tcPr>
            <w:tcW w:w="566" w:type="dxa"/>
            <w:tcBorders>
              <w:top w:val="nil"/>
              <w:left w:val="nil"/>
              <w:bottom w:val="single" w:sz="4" w:space="0" w:color="auto"/>
              <w:right w:val="single" w:sz="4" w:space="0" w:color="auto"/>
            </w:tcBorders>
            <w:shd w:val="clear" w:color="auto" w:fill="auto"/>
            <w:noWrap/>
            <w:vAlign w:val="center"/>
            <w:hideMark/>
          </w:tcPr>
          <w:p w14:paraId="34BE72E6" w14:textId="77777777" w:rsidR="00506C6C" w:rsidRPr="00506C6C" w:rsidRDefault="00506C6C">
            <w:pPr>
              <w:jc w:val="right"/>
              <w:rPr>
                <w:rFonts w:ascii="Calibri" w:hAnsi="Calibri" w:cs="Calibri"/>
                <w:color w:val="000000"/>
                <w:sz w:val="12"/>
                <w:szCs w:val="12"/>
              </w:rPr>
            </w:pPr>
            <w:r w:rsidRPr="00506C6C">
              <w:rPr>
                <w:rFonts w:ascii="Calibri" w:hAnsi="Calibri" w:cs="Calibri"/>
                <w:color w:val="000000"/>
                <w:sz w:val="12"/>
                <w:szCs w:val="12"/>
              </w:rPr>
              <w:t>3550,12</w:t>
            </w:r>
          </w:p>
        </w:tc>
        <w:tc>
          <w:tcPr>
            <w:tcW w:w="450" w:type="dxa"/>
            <w:tcBorders>
              <w:top w:val="nil"/>
              <w:left w:val="nil"/>
              <w:bottom w:val="single" w:sz="4" w:space="0" w:color="auto"/>
              <w:right w:val="single" w:sz="4" w:space="0" w:color="auto"/>
            </w:tcBorders>
            <w:shd w:val="clear" w:color="auto" w:fill="auto"/>
            <w:vAlign w:val="center"/>
            <w:hideMark/>
          </w:tcPr>
          <w:p w14:paraId="094AAA2A"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6</w:t>
            </w:r>
          </w:p>
        </w:tc>
        <w:tc>
          <w:tcPr>
            <w:tcW w:w="515" w:type="dxa"/>
            <w:tcBorders>
              <w:top w:val="nil"/>
              <w:left w:val="nil"/>
              <w:bottom w:val="single" w:sz="4" w:space="0" w:color="auto"/>
              <w:right w:val="single" w:sz="4" w:space="0" w:color="auto"/>
            </w:tcBorders>
            <w:shd w:val="clear" w:color="auto" w:fill="auto"/>
            <w:vAlign w:val="center"/>
            <w:hideMark/>
          </w:tcPr>
          <w:p w14:paraId="106EC11D"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6</w:t>
            </w:r>
          </w:p>
        </w:tc>
        <w:tc>
          <w:tcPr>
            <w:tcW w:w="502" w:type="dxa"/>
            <w:tcBorders>
              <w:top w:val="nil"/>
              <w:left w:val="nil"/>
              <w:bottom w:val="single" w:sz="4" w:space="0" w:color="auto"/>
              <w:right w:val="single" w:sz="4" w:space="0" w:color="auto"/>
            </w:tcBorders>
            <w:shd w:val="clear" w:color="auto" w:fill="auto"/>
            <w:vAlign w:val="center"/>
            <w:hideMark/>
          </w:tcPr>
          <w:p w14:paraId="03F31D53"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20</w:t>
            </w:r>
          </w:p>
        </w:tc>
      </w:tr>
      <w:tr w:rsidR="00506C6C" w:rsidRPr="00506C6C" w14:paraId="7FFD5733" w14:textId="77777777" w:rsidTr="39B1CA44">
        <w:trPr>
          <w:trHeight w:val="1225"/>
        </w:trPr>
        <w:tc>
          <w:tcPr>
            <w:tcW w:w="28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0EF8107"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lastRenderedPageBreak/>
              <w:t>3</w:t>
            </w:r>
          </w:p>
        </w:tc>
        <w:tc>
          <w:tcPr>
            <w:tcW w:w="995" w:type="dxa"/>
            <w:tcBorders>
              <w:top w:val="nil"/>
              <w:left w:val="nil"/>
              <w:bottom w:val="single" w:sz="4" w:space="0" w:color="auto"/>
              <w:right w:val="single" w:sz="4" w:space="0" w:color="auto"/>
            </w:tcBorders>
            <w:shd w:val="clear" w:color="auto" w:fill="auto"/>
            <w:vAlign w:val="center"/>
            <w:hideMark/>
          </w:tcPr>
          <w:p w14:paraId="0F35C196" w14:textId="77777777" w:rsidR="00506C6C" w:rsidRPr="00506C6C" w:rsidRDefault="00506C6C">
            <w:pPr>
              <w:rPr>
                <w:rFonts w:ascii="Arial" w:hAnsi="Arial" w:cs="Arial"/>
                <w:color w:val="000000"/>
                <w:sz w:val="12"/>
                <w:szCs w:val="12"/>
              </w:rPr>
            </w:pPr>
            <w:r w:rsidRPr="00506C6C">
              <w:rPr>
                <w:rFonts w:ascii="Arial" w:hAnsi="Arial" w:cs="Arial"/>
                <w:color w:val="000000"/>
                <w:sz w:val="12"/>
                <w:szCs w:val="12"/>
              </w:rPr>
              <w:t>Agrosavia</w:t>
            </w:r>
          </w:p>
        </w:tc>
        <w:tc>
          <w:tcPr>
            <w:tcW w:w="1698" w:type="dxa"/>
            <w:tcBorders>
              <w:top w:val="nil"/>
              <w:left w:val="nil"/>
              <w:bottom w:val="single" w:sz="4" w:space="0" w:color="auto"/>
              <w:right w:val="single" w:sz="4" w:space="0" w:color="auto"/>
            </w:tcBorders>
            <w:shd w:val="clear" w:color="auto" w:fill="auto"/>
            <w:vAlign w:val="center"/>
            <w:hideMark/>
          </w:tcPr>
          <w:p w14:paraId="1C505B61" w14:textId="77777777" w:rsidR="00506C6C" w:rsidRPr="00506C6C" w:rsidRDefault="00506C6C">
            <w:pPr>
              <w:jc w:val="both"/>
              <w:rPr>
                <w:rFonts w:ascii="Arial" w:hAnsi="Arial" w:cs="Arial"/>
                <w:color w:val="000000"/>
                <w:sz w:val="12"/>
                <w:szCs w:val="12"/>
              </w:rPr>
            </w:pPr>
            <w:r w:rsidRPr="00506C6C">
              <w:rPr>
                <w:rFonts w:ascii="Arial" w:hAnsi="Arial" w:cs="Arial"/>
                <w:color w:val="000000"/>
                <w:sz w:val="12"/>
                <w:szCs w:val="12"/>
              </w:rPr>
              <w:t>Aunar esfuerzos técnicos, logísticos y en talento humano con el fin de ejecutar actividades del proyecto titulado "Investigación, desarrollo e innovación de cacaos especiales bajo sistemas agroforestales" identificado con el código BIPIN No. 2013000100255, financiado con recursos del Sistema General de Regalias</w:t>
            </w:r>
          </w:p>
        </w:tc>
        <w:tc>
          <w:tcPr>
            <w:tcW w:w="854" w:type="dxa"/>
            <w:tcBorders>
              <w:top w:val="nil"/>
              <w:left w:val="nil"/>
              <w:bottom w:val="single" w:sz="4" w:space="0" w:color="auto"/>
              <w:right w:val="single" w:sz="4" w:space="0" w:color="auto"/>
            </w:tcBorders>
            <w:shd w:val="clear" w:color="auto" w:fill="auto"/>
            <w:vAlign w:val="center"/>
            <w:hideMark/>
          </w:tcPr>
          <w:p w14:paraId="51CE6171"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19/04/2018</w:t>
            </w:r>
          </w:p>
        </w:tc>
        <w:tc>
          <w:tcPr>
            <w:tcW w:w="851" w:type="dxa"/>
            <w:tcBorders>
              <w:top w:val="nil"/>
              <w:left w:val="nil"/>
              <w:bottom w:val="single" w:sz="4" w:space="0" w:color="auto"/>
              <w:right w:val="single" w:sz="4" w:space="0" w:color="auto"/>
            </w:tcBorders>
            <w:shd w:val="clear" w:color="auto" w:fill="auto"/>
            <w:vAlign w:val="center"/>
            <w:hideMark/>
          </w:tcPr>
          <w:p w14:paraId="757D17A5"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20/12/2019</w:t>
            </w:r>
          </w:p>
        </w:tc>
        <w:tc>
          <w:tcPr>
            <w:tcW w:w="1134" w:type="dxa"/>
            <w:tcBorders>
              <w:top w:val="nil"/>
              <w:left w:val="nil"/>
              <w:bottom w:val="single" w:sz="4" w:space="0" w:color="auto"/>
              <w:right w:val="single" w:sz="4" w:space="0" w:color="auto"/>
            </w:tcBorders>
            <w:shd w:val="clear" w:color="auto" w:fill="auto"/>
            <w:vAlign w:val="center"/>
            <w:hideMark/>
          </w:tcPr>
          <w:p w14:paraId="5B010ED9"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$ 215.600.000</w:t>
            </w:r>
          </w:p>
        </w:tc>
        <w:tc>
          <w:tcPr>
            <w:tcW w:w="1131" w:type="dxa"/>
            <w:tcBorders>
              <w:top w:val="nil"/>
              <w:left w:val="nil"/>
              <w:bottom w:val="single" w:sz="4" w:space="0" w:color="auto"/>
              <w:right w:val="single" w:sz="4" w:space="0" w:color="auto"/>
            </w:tcBorders>
            <w:shd w:val="clear" w:color="auto" w:fill="auto"/>
            <w:noWrap/>
            <w:vAlign w:val="center"/>
            <w:hideMark/>
          </w:tcPr>
          <w:p w14:paraId="52A3890D" w14:textId="77777777" w:rsidR="00506C6C" w:rsidRPr="00506C6C" w:rsidRDefault="00506C6C">
            <w:pPr>
              <w:jc w:val="center"/>
              <w:rPr>
                <w:rFonts w:ascii="Arial" w:hAnsi="Arial" w:cs="Arial"/>
                <w:color w:val="000000"/>
                <w:sz w:val="12"/>
                <w:szCs w:val="12"/>
              </w:rPr>
            </w:pPr>
            <w:r w:rsidRPr="00506C6C">
              <w:rPr>
                <w:rFonts w:ascii="Arial" w:hAnsi="Arial" w:cs="Arial"/>
                <w:color w:val="000000"/>
                <w:sz w:val="12"/>
                <w:szCs w:val="12"/>
              </w:rPr>
              <w:t>$ 296.704.140</w:t>
            </w:r>
          </w:p>
        </w:tc>
        <w:tc>
          <w:tcPr>
            <w:tcW w:w="566" w:type="dxa"/>
            <w:tcBorders>
              <w:top w:val="nil"/>
              <w:left w:val="nil"/>
              <w:bottom w:val="single" w:sz="4" w:space="0" w:color="auto"/>
              <w:right w:val="single" w:sz="4" w:space="0" w:color="auto"/>
            </w:tcBorders>
            <w:shd w:val="clear" w:color="auto" w:fill="auto"/>
            <w:noWrap/>
            <w:vAlign w:val="center"/>
            <w:hideMark/>
          </w:tcPr>
          <w:p w14:paraId="66CD98FA" w14:textId="77777777" w:rsidR="00506C6C" w:rsidRPr="00506C6C" w:rsidRDefault="00506C6C">
            <w:pPr>
              <w:jc w:val="right"/>
              <w:rPr>
                <w:rFonts w:ascii="Calibri" w:hAnsi="Calibri" w:cs="Calibri"/>
                <w:color w:val="000000"/>
                <w:sz w:val="12"/>
                <w:szCs w:val="12"/>
              </w:rPr>
            </w:pPr>
            <w:r w:rsidRPr="00506C6C">
              <w:rPr>
                <w:rFonts w:ascii="Calibri" w:hAnsi="Calibri" w:cs="Calibri"/>
                <w:color w:val="000000"/>
                <w:sz w:val="12"/>
                <w:szCs w:val="12"/>
              </w:rPr>
              <w:t>228,23</w:t>
            </w:r>
          </w:p>
        </w:tc>
        <w:tc>
          <w:tcPr>
            <w:tcW w:w="450" w:type="dxa"/>
            <w:tcBorders>
              <w:top w:val="nil"/>
              <w:left w:val="nil"/>
              <w:bottom w:val="single" w:sz="4" w:space="0" w:color="auto"/>
              <w:right w:val="single" w:sz="4" w:space="0" w:color="auto"/>
            </w:tcBorders>
            <w:shd w:val="clear" w:color="auto" w:fill="auto"/>
            <w:vAlign w:val="center"/>
            <w:hideMark/>
          </w:tcPr>
          <w:p w14:paraId="7872A62E"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w:t>
            </w:r>
          </w:p>
        </w:tc>
        <w:tc>
          <w:tcPr>
            <w:tcW w:w="515" w:type="dxa"/>
            <w:tcBorders>
              <w:top w:val="nil"/>
              <w:left w:val="nil"/>
              <w:bottom w:val="single" w:sz="4" w:space="0" w:color="auto"/>
              <w:right w:val="single" w:sz="4" w:space="0" w:color="auto"/>
            </w:tcBorders>
            <w:shd w:val="clear" w:color="auto" w:fill="auto"/>
            <w:vAlign w:val="center"/>
            <w:hideMark/>
          </w:tcPr>
          <w:p w14:paraId="615E1A1C"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8</w:t>
            </w:r>
          </w:p>
        </w:tc>
        <w:tc>
          <w:tcPr>
            <w:tcW w:w="502" w:type="dxa"/>
            <w:tcBorders>
              <w:top w:val="nil"/>
              <w:left w:val="nil"/>
              <w:bottom w:val="single" w:sz="4" w:space="0" w:color="auto"/>
              <w:right w:val="single" w:sz="4" w:space="0" w:color="auto"/>
            </w:tcBorders>
            <w:shd w:val="clear" w:color="auto" w:fill="auto"/>
            <w:vAlign w:val="center"/>
            <w:hideMark/>
          </w:tcPr>
          <w:p w14:paraId="721C977C"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w:t>
            </w:r>
          </w:p>
        </w:tc>
      </w:tr>
      <w:tr w:rsidR="00506C6C" w:rsidRPr="00506C6C" w14:paraId="68118B43" w14:textId="77777777" w:rsidTr="39B1CA44">
        <w:trPr>
          <w:trHeight w:val="290"/>
        </w:trPr>
        <w:tc>
          <w:tcPr>
            <w:tcW w:w="4679"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074E57"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TOTAL EXPERIENCIA</w:t>
            </w:r>
          </w:p>
        </w:tc>
        <w:tc>
          <w:tcPr>
            <w:tcW w:w="1134"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4554189"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$ 6.139.501.691</w:t>
            </w:r>
          </w:p>
        </w:tc>
        <w:tc>
          <w:tcPr>
            <w:tcW w:w="1131"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5C00E1F"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$ 10.140.114.628</w:t>
            </w:r>
          </w:p>
        </w:tc>
        <w:tc>
          <w:tcPr>
            <w:tcW w:w="566" w:type="dxa"/>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3EA7DB9" w14:textId="77777777" w:rsidR="00506C6C" w:rsidRPr="00506C6C" w:rsidRDefault="00506C6C">
            <w:pPr>
              <w:jc w:val="center"/>
              <w:rPr>
                <w:rFonts w:ascii="Arial" w:hAnsi="Arial" w:cs="Arial"/>
                <w:b/>
                <w:bCs/>
                <w:color w:val="000000"/>
                <w:sz w:val="12"/>
                <w:szCs w:val="12"/>
              </w:rPr>
            </w:pPr>
            <w:r w:rsidRPr="00506C6C">
              <w:rPr>
                <w:rFonts w:ascii="Arial" w:hAnsi="Arial" w:cs="Arial"/>
                <w:b/>
                <w:bCs/>
                <w:color w:val="000000"/>
                <w:sz w:val="12"/>
                <w:szCs w:val="12"/>
              </w:rPr>
              <w:t>7800,09</w:t>
            </w:r>
          </w:p>
        </w:tc>
        <w:tc>
          <w:tcPr>
            <w:tcW w:w="450" w:type="dxa"/>
            <w:tcBorders>
              <w:top w:val="nil"/>
              <w:left w:val="nil"/>
              <w:bottom w:val="single" w:sz="4" w:space="0" w:color="auto"/>
              <w:right w:val="single" w:sz="4" w:space="0" w:color="auto"/>
            </w:tcBorders>
            <w:shd w:val="clear" w:color="auto" w:fill="D9D9D9" w:themeFill="background1" w:themeFillShade="D9"/>
            <w:vAlign w:val="center"/>
            <w:hideMark/>
          </w:tcPr>
          <w:p w14:paraId="45E60077"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12</w:t>
            </w:r>
          </w:p>
        </w:tc>
        <w:tc>
          <w:tcPr>
            <w:tcW w:w="515" w:type="dxa"/>
            <w:tcBorders>
              <w:top w:val="nil"/>
              <w:left w:val="nil"/>
              <w:bottom w:val="single" w:sz="4" w:space="0" w:color="auto"/>
              <w:right w:val="single" w:sz="4" w:space="0" w:color="auto"/>
            </w:tcBorders>
            <w:shd w:val="clear" w:color="auto" w:fill="D9D9D9" w:themeFill="background1" w:themeFillShade="D9"/>
            <w:vAlign w:val="center"/>
            <w:hideMark/>
          </w:tcPr>
          <w:p w14:paraId="23ACC267"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20</w:t>
            </w:r>
          </w:p>
        </w:tc>
        <w:tc>
          <w:tcPr>
            <w:tcW w:w="502" w:type="dxa"/>
            <w:tcBorders>
              <w:top w:val="nil"/>
              <w:left w:val="nil"/>
              <w:bottom w:val="single" w:sz="4" w:space="0" w:color="auto"/>
              <w:right w:val="single" w:sz="4" w:space="0" w:color="auto"/>
            </w:tcBorders>
            <w:shd w:val="clear" w:color="auto" w:fill="D9D9D9" w:themeFill="background1" w:themeFillShade="D9"/>
            <w:vAlign w:val="center"/>
            <w:hideMark/>
          </w:tcPr>
          <w:p w14:paraId="35AAB5D9"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40</w:t>
            </w:r>
          </w:p>
        </w:tc>
      </w:tr>
      <w:tr w:rsidR="00506C6C" w:rsidRPr="00506C6C" w14:paraId="132401B3" w14:textId="77777777" w:rsidTr="39B1CA44">
        <w:trPr>
          <w:trHeight w:val="290"/>
        </w:trPr>
        <w:tc>
          <w:tcPr>
            <w:tcW w:w="4679" w:type="dxa"/>
            <w:gridSpan w:val="5"/>
            <w:vMerge/>
            <w:vAlign w:val="center"/>
            <w:hideMark/>
          </w:tcPr>
          <w:p w14:paraId="041887BF" w14:textId="77777777" w:rsidR="00506C6C" w:rsidRPr="00506C6C" w:rsidRDefault="00506C6C">
            <w:pPr>
              <w:rPr>
                <w:rFonts w:ascii="Arial" w:hAnsi="Arial" w:cs="Arial"/>
                <w:b/>
                <w:bCs/>
                <w:color w:val="000000"/>
                <w:sz w:val="12"/>
                <w:szCs w:val="12"/>
              </w:rPr>
            </w:pPr>
          </w:p>
        </w:tc>
        <w:tc>
          <w:tcPr>
            <w:tcW w:w="1134" w:type="dxa"/>
            <w:vMerge/>
            <w:vAlign w:val="center"/>
            <w:hideMark/>
          </w:tcPr>
          <w:p w14:paraId="3C1C6E46" w14:textId="77777777" w:rsidR="00506C6C" w:rsidRPr="00506C6C" w:rsidRDefault="00506C6C">
            <w:pPr>
              <w:rPr>
                <w:rFonts w:ascii="Arial" w:hAnsi="Arial" w:cs="Arial"/>
                <w:b/>
                <w:bCs/>
                <w:color w:val="000000"/>
                <w:sz w:val="12"/>
                <w:szCs w:val="12"/>
              </w:rPr>
            </w:pPr>
          </w:p>
        </w:tc>
        <w:tc>
          <w:tcPr>
            <w:tcW w:w="1131" w:type="dxa"/>
            <w:vMerge/>
            <w:vAlign w:val="center"/>
            <w:hideMark/>
          </w:tcPr>
          <w:p w14:paraId="29BF3CA3" w14:textId="77777777" w:rsidR="00506C6C" w:rsidRPr="00506C6C" w:rsidRDefault="00506C6C">
            <w:pPr>
              <w:rPr>
                <w:rFonts w:ascii="Arial" w:hAnsi="Arial" w:cs="Arial"/>
                <w:b/>
                <w:bCs/>
                <w:color w:val="000000"/>
                <w:sz w:val="12"/>
                <w:szCs w:val="12"/>
              </w:rPr>
            </w:pPr>
          </w:p>
        </w:tc>
        <w:tc>
          <w:tcPr>
            <w:tcW w:w="566" w:type="dxa"/>
            <w:vMerge/>
            <w:vAlign w:val="center"/>
            <w:hideMark/>
          </w:tcPr>
          <w:p w14:paraId="2885FE73" w14:textId="77777777" w:rsidR="00506C6C" w:rsidRPr="00506C6C" w:rsidRDefault="00506C6C">
            <w:pPr>
              <w:rPr>
                <w:rFonts w:ascii="Arial" w:hAnsi="Arial" w:cs="Arial"/>
                <w:b/>
                <w:bCs/>
                <w:color w:val="000000"/>
                <w:sz w:val="12"/>
                <w:szCs w:val="12"/>
              </w:rPr>
            </w:pPr>
          </w:p>
        </w:tc>
        <w:tc>
          <w:tcPr>
            <w:tcW w:w="450" w:type="dxa"/>
            <w:tcBorders>
              <w:top w:val="nil"/>
              <w:left w:val="nil"/>
              <w:bottom w:val="single" w:sz="4" w:space="0" w:color="auto"/>
              <w:right w:val="single" w:sz="4" w:space="0" w:color="auto"/>
            </w:tcBorders>
            <w:shd w:val="clear" w:color="auto" w:fill="D9D9D9" w:themeFill="background1" w:themeFillShade="D9"/>
            <w:vAlign w:val="center"/>
            <w:hideMark/>
          </w:tcPr>
          <w:p w14:paraId="377F5553"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13</w:t>
            </w:r>
          </w:p>
        </w:tc>
        <w:tc>
          <w:tcPr>
            <w:tcW w:w="515" w:type="dxa"/>
            <w:tcBorders>
              <w:top w:val="nil"/>
              <w:left w:val="nil"/>
              <w:bottom w:val="single" w:sz="4" w:space="0" w:color="auto"/>
              <w:right w:val="single" w:sz="4" w:space="0" w:color="auto"/>
            </w:tcBorders>
            <w:shd w:val="clear" w:color="auto" w:fill="D9D9D9" w:themeFill="background1" w:themeFillShade="D9"/>
            <w:vAlign w:val="center"/>
            <w:hideMark/>
          </w:tcPr>
          <w:p w14:paraId="2AF918EF"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9</w:t>
            </w:r>
          </w:p>
        </w:tc>
        <w:tc>
          <w:tcPr>
            <w:tcW w:w="502" w:type="dxa"/>
            <w:tcBorders>
              <w:top w:val="nil"/>
              <w:left w:val="nil"/>
              <w:bottom w:val="single" w:sz="4" w:space="0" w:color="auto"/>
              <w:right w:val="single" w:sz="4" w:space="0" w:color="auto"/>
            </w:tcBorders>
            <w:shd w:val="clear" w:color="auto" w:fill="D9D9D9" w:themeFill="background1" w:themeFillShade="D9"/>
            <w:vAlign w:val="center"/>
            <w:hideMark/>
          </w:tcPr>
          <w:p w14:paraId="313E631D" w14:textId="77777777" w:rsidR="00506C6C" w:rsidRPr="00506C6C" w:rsidRDefault="00506C6C">
            <w:pPr>
              <w:jc w:val="right"/>
              <w:rPr>
                <w:rFonts w:ascii="Arial" w:hAnsi="Arial" w:cs="Arial"/>
                <w:color w:val="000000"/>
                <w:sz w:val="12"/>
                <w:szCs w:val="12"/>
              </w:rPr>
            </w:pPr>
            <w:r w:rsidRPr="00506C6C">
              <w:rPr>
                <w:rFonts w:ascii="Arial" w:hAnsi="Arial" w:cs="Arial"/>
                <w:color w:val="000000"/>
                <w:sz w:val="12"/>
                <w:szCs w:val="12"/>
              </w:rPr>
              <w:t>10</w:t>
            </w:r>
          </w:p>
        </w:tc>
      </w:tr>
    </w:tbl>
    <w:p w14:paraId="56766D88" w14:textId="09FDCDBA" w:rsidR="47E0F700" w:rsidRDefault="47E0F700" w:rsidP="47E0F700">
      <w:pPr>
        <w:jc w:val="both"/>
        <w:rPr>
          <w:rFonts w:ascii="Arial" w:eastAsia="Arial" w:hAnsi="Arial" w:cs="Arial"/>
        </w:rPr>
      </w:pPr>
    </w:p>
    <w:p w14:paraId="1A2074F5" w14:textId="5B369290" w:rsidR="00272EA1" w:rsidRDefault="003A16F4" w:rsidP="00150BD6">
      <w:pPr>
        <w:widowControl w:val="0"/>
        <w:spacing w:line="276" w:lineRule="auto"/>
        <w:jc w:val="both"/>
        <w:rPr>
          <w:rFonts w:ascii="Arial" w:eastAsia="Arial" w:hAnsi="Arial" w:cs="Arial"/>
          <w:color w:val="000000" w:themeColor="text1"/>
          <w:sz w:val="22"/>
          <w:szCs w:val="22"/>
          <w:lang w:val="es"/>
        </w:rPr>
      </w:pPr>
      <w:r w:rsidRPr="00C45A4A">
        <w:rPr>
          <w:rFonts w:ascii="Arial" w:eastAsia="Arial" w:hAnsi="Arial" w:cs="Arial"/>
          <w:color w:val="000000" w:themeColor="text1"/>
          <w:sz w:val="22"/>
          <w:szCs w:val="22"/>
          <w:lang w:val="es"/>
        </w:rPr>
        <w:t xml:space="preserve">Para efectos de contabilizar la experiencia se tomaron los valores de los contratos suscritos, en SMMLV, determinando un valor ejecutado y recibido a satisfacción de </w:t>
      </w:r>
      <w:r w:rsidR="00506C6C" w:rsidRPr="00506C6C">
        <w:rPr>
          <w:rFonts w:ascii="Arial" w:eastAsia="Arial" w:hAnsi="Arial" w:cs="Arial"/>
          <w:b/>
          <w:bCs/>
          <w:color w:val="000000" w:themeColor="text1"/>
          <w:sz w:val="22"/>
          <w:szCs w:val="22"/>
        </w:rPr>
        <w:t>7800,09</w:t>
      </w:r>
      <w:r w:rsidR="00506C6C" w:rsidRPr="00506C6C">
        <w:rPr>
          <w:rFonts w:ascii="Arial" w:eastAsia="Arial" w:hAnsi="Arial" w:cs="Arial"/>
          <w:color w:val="000000" w:themeColor="text1"/>
          <w:sz w:val="22"/>
          <w:szCs w:val="22"/>
        </w:rPr>
        <w:t xml:space="preserve"> </w:t>
      </w:r>
      <w:r w:rsidRPr="00C45A4A">
        <w:rPr>
          <w:rFonts w:ascii="Arial" w:eastAsia="Arial" w:hAnsi="Arial" w:cs="Arial"/>
          <w:color w:val="000000" w:themeColor="text1"/>
          <w:sz w:val="22"/>
          <w:szCs w:val="22"/>
          <w:lang w:val="es"/>
        </w:rPr>
        <w:t>en contratos relacionados con actividades de extensión agropecuaria</w:t>
      </w:r>
      <w:r w:rsidR="00C45A4A">
        <w:rPr>
          <w:rFonts w:ascii="Arial" w:eastAsia="Arial" w:hAnsi="Arial" w:cs="Arial"/>
          <w:color w:val="000000" w:themeColor="text1"/>
          <w:sz w:val="22"/>
          <w:szCs w:val="22"/>
          <w:lang w:val="es"/>
        </w:rPr>
        <w:t>.</w:t>
      </w:r>
    </w:p>
    <w:p w14:paraId="598141BA" w14:textId="77777777" w:rsidR="00C45A4A" w:rsidRPr="00C45A4A" w:rsidRDefault="00C45A4A" w:rsidP="00150BD6">
      <w:pPr>
        <w:widowControl w:val="0"/>
        <w:spacing w:line="276" w:lineRule="auto"/>
        <w:jc w:val="both"/>
        <w:rPr>
          <w:rFonts w:ascii="Arial" w:eastAsia="Arial" w:hAnsi="Arial" w:cs="Arial"/>
          <w:color w:val="000000" w:themeColor="text1"/>
          <w:sz w:val="22"/>
          <w:szCs w:val="22"/>
          <w:lang w:val="es"/>
        </w:rPr>
      </w:pPr>
    </w:p>
    <w:p w14:paraId="586FECB6" w14:textId="4FBCD411" w:rsidR="09109147" w:rsidRPr="00763AA3" w:rsidRDefault="09109147" w:rsidP="00150BD6">
      <w:pPr>
        <w:widowControl w:val="0"/>
        <w:spacing w:after="240" w:line="276" w:lineRule="auto"/>
        <w:jc w:val="both"/>
        <w:rPr>
          <w:rFonts w:ascii="Arial" w:eastAsia="Arial" w:hAnsi="Arial" w:cs="Arial"/>
          <w:color w:val="000000" w:themeColor="text1"/>
          <w:sz w:val="22"/>
          <w:szCs w:val="22"/>
          <w:lang w:val="es-ES"/>
        </w:rPr>
      </w:pPr>
      <w:r w:rsidRPr="00763AA3">
        <w:rPr>
          <w:rFonts w:ascii="Arial" w:eastAsia="Arial" w:hAnsi="Arial" w:cs="Arial"/>
          <w:color w:val="000000" w:themeColor="text1"/>
          <w:sz w:val="22"/>
          <w:szCs w:val="22"/>
          <w:lang w:val="es"/>
        </w:rPr>
        <w:t>La Extensión Agropecuaria, tal como se define en la Ley 1876 de 2017 y anteriormente en la Ley 607 de 2000, se articula con estos segmentos mediante la provisión de servicios técnicos y de asesoría que mejoran las capacidades productivas y la sostenibilidad de las actividades rurales. Estos servicios no solo facilitan la adopción de nuevas tecnologías y prácticas, sino que también fortalecen la capacidad de los productores para enfrentar desafíos económicos, sociales y ambientales.</w:t>
      </w:r>
      <w:r w:rsidRPr="00763AA3">
        <w:rPr>
          <w:rFonts w:ascii="Arial" w:eastAsia="Arial" w:hAnsi="Arial" w:cs="Arial"/>
          <w:color w:val="000000" w:themeColor="text1"/>
          <w:sz w:val="22"/>
          <w:szCs w:val="22"/>
          <w:lang w:val="es-ES"/>
        </w:rPr>
        <w:t xml:space="preserve"> </w:t>
      </w:r>
    </w:p>
    <w:p w14:paraId="416FC605" w14:textId="0F320CE3" w:rsidR="09109147" w:rsidRPr="00763AA3" w:rsidRDefault="09109147" w:rsidP="00150BD6">
      <w:pPr>
        <w:widowControl w:val="0"/>
        <w:spacing w:after="240" w:line="276" w:lineRule="auto"/>
        <w:jc w:val="both"/>
        <w:rPr>
          <w:rFonts w:ascii="Arial" w:eastAsia="Arial" w:hAnsi="Arial" w:cs="Arial"/>
          <w:color w:val="000000" w:themeColor="text1"/>
          <w:sz w:val="22"/>
          <w:szCs w:val="22"/>
          <w:lang w:val="es-ES"/>
        </w:rPr>
      </w:pPr>
      <w:r w:rsidRPr="00763AA3">
        <w:rPr>
          <w:rFonts w:ascii="Arial" w:eastAsia="Arial" w:hAnsi="Arial" w:cs="Arial"/>
          <w:color w:val="000000" w:themeColor="text1"/>
          <w:sz w:val="22"/>
          <w:szCs w:val="22"/>
          <w:lang w:val="es-ES"/>
        </w:rPr>
        <w:t>Teniendo en cuenta lo expuesto en cada uno de los acápites del presente numeral, se puede identificar que la entidad ha realizado una evaluación técnica que priorizó la coherencia de las propuestas con los objetivos de la Ley 1876 de 2017, que como se ha indicado ampliamente en el presente estudio, establece un marco integral para la prestación del SPEA. Es así como la evaluación permitió identificar elementos técnicos fundamentales como la capacidad de las entidades para fomentar el desarrollo rural integral, fortalecer el capital humano, integrar saberes científicos y ancestrales, y gestionar la creación de capacidades en las comunidades rurales.</w:t>
      </w:r>
    </w:p>
    <w:p w14:paraId="277335AA" w14:textId="5E59CBB2" w:rsidR="09109147" w:rsidRPr="00763AA3" w:rsidRDefault="09109147" w:rsidP="00150BD6">
      <w:pPr>
        <w:widowControl w:val="0"/>
        <w:spacing w:after="240" w:line="276" w:lineRule="auto"/>
        <w:jc w:val="both"/>
        <w:rPr>
          <w:rFonts w:ascii="Arial" w:eastAsia="Arial" w:hAnsi="Arial" w:cs="Arial"/>
          <w:color w:val="000000" w:themeColor="text1"/>
          <w:sz w:val="22"/>
          <w:szCs w:val="22"/>
          <w:lang w:val="es-ES"/>
        </w:rPr>
      </w:pPr>
      <w:r w:rsidRPr="00763AA3">
        <w:rPr>
          <w:rFonts w:ascii="Arial" w:eastAsia="Arial" w:hAnsi="Arial" w:cs="Arial"/>
          <w:color w:val="000000" w:themeColor="text1"/>
          <w:sz w:val="22"/>
          <w:szCs w:val="22"/>
          <w:lang w:val="es"/>
        </w:rPr>
        <w:t>Desde esta perspectiva, la idoneidad de la entidad se evaluó en función de su capacidad técnica para implementar actividades específicas, como el manejo de acuicultura, la asistencia técnica en la industria ganadera y lechera, y la protección y producción de cultivos, todo ello alineado con los códigos UNSPSC aplicables, tal como se indicó en numerales anteriores. Estos códigos no solo reflejan servicios esenciales, sino que también garantizan que las entidades seleccionadas tienen la experiencia necesaria para cumplir con los objetivos técnicos y productivos en cada uno de los territorios.</w:t>
      </w:r>
    </w:p>
    <w:p w14:paraId="1F18776C" w14:textId="29FB25DC" w:rsidR="09109147" w:rsidRPr="00763AA3" w:rsidRDefault="09109147" w:rsidP="00150BD6">
      <w:pPr>
        <w:widowControl w:val="0"/>
        <w:spacing w:after="240" w:line="276" w:lineRule="auto"/>
        <w:jc w:val="both"/>
        <w:rPr>
          <w:rFonts w:ascii="Arial" w:eastAsia="Arial" w:hAnsi="Arial" w:cs="Arial"/>
          <w:color w:val="000000" w:themeColor="text1"/>
          <w:sz w:val="22"/>
          <w:szCs w:val="22"/>
          <w:lang w:val="es-ES"/>
        </w:rPr>
      </w:pPr>
      <w:r w:rsidRPr="00763AA3">
        <w:rPr>
          <w:rFonts w:ascii="Arial" w:eastAsia="Arial" w:hAnsi="Arial" w:cs="Arial"/>
          <w:color w:val="000000" w:themeColor="text1"/>
          <w:sz w:val="22"/>
          <w:szCs w:val="22"/>
          <w:lang w:val="es"/>
        </w:rPr>
        <w:t xml:space="preserve">Además, la experiencia acreditada de las entidades en la ejecución de procesos de extensión agropecuaria y desarrollo rural integral fue cuidadosamente evaluada, asegurando que la entidad cuente con una trayectoria suficiente en proyectos que promuevan el desarrollo rural sostenible y adapten las metodologías a las particularidades de cada región. Es así como la idoneidad de la entidad se midió desde una perspectiva presupuestal, capacidad técnica para gestionar recursos, aplicar metodologías innovadoras </w:t>
      </w:r>
      <w:r w:rsidRPr="00763AA3">
        <w:rPr>
          <w:rFonts w:ascii="Arial" w:eastAsia="Arial" w:hAnsi="Arial" w:cs="Arial"/>
          <w:color w:val="000000" w:themeColor="text1"/>
          <w:sz w:val="22"/>
          <w:szCs w:val="22"/>
          <w:lang w:val="es"/>
        </w:rPr>
        <w:lastRenderedPageBreak/>
        <w:t>y asegurar la sostenibilidad de los proyectos a largo plazo.</w:t>
      </w:r>
    </w:p>
    <w:p w14:paraId="7A6D6844" w14:textId="215B9C9A" w:rsidR="09109147" w:rsidRPr="00763AA3" w:rsidRDefault="09109147" w:rsidP="00150BD6">
      <w:pPr>
        <w:widowControl w:val="0"/>
        <w:spacing w:after="240" w:line="276" w:lineRule="auto"/>
        <w:jc w:val="both"/>
        <w:rPr>
          <w:rFonts w:ascii="Arial" w:eastAsia="Arial" w:hAnsi="Arial" w:cs="Arial"/>
          <w:color w:val="000000" w:themeColor="text1"/>
          <w:sz w:val="22"/>
          <w:szCs w:val="22"/>
          <w:lang w:val="es-ES"/>
        </w:rPr>
      </w:pPr>
      <w:r w:rsidRPr="00763AA3">
        <w:rPr>
          <w:rFonts w:ascii="Arial" w:eastAsia="Arial" w:hAnsi="Arial" w:cs="Arial"/>
          <w:color w:val="000000" w:themeColor="text1"/>
          <w:sz w:val="22"/>
          <w:szCs w:val="22"/>
          <w:lang w:val="es"/>
        </w:rPr>
        <w:t xml:space="preserve">Como conclusión, el análisis técnico, jurídico y financiero garantiza que la </w:t>
      </w:r>
      <w:r w:rsidR="003B57F7" w:rsidRPr="003B57F7">
        <w:rPr>
          <w:rFonts w:ascii="Arial" w:eastAsia="Arial" w:hAnsi="Arial" w:cs="Arial"/>
          <w:color w:val="000000" w:themeColor="text1"/>
          <w:sz w:val="22"/>
          <w:szCs w:val="22"/>
          <w:lang w:val="es"/>
        </w:rPr>
        <w:t xml:space="preserve">EPSEA UNIVERSIDAD DE SUCRE cumple con los requisitos necesarios desde el punto de vista de la idoneidad para la prestación del servicio. Adicionalmente, se determinó que la </w:t>
      </w:r>
      <w:r w:rsidR="003B57F7" w:rsidRPr="00506C6C">
        <w:rPr>
          <w:rFonts w:ascii="Arial" w:eastAsia="Arial" w:hAnsi="Arial" w:cs="Arial"/>
          <w:b/>
          <w:bCs/>
          <w:color w:val="000000" w:themeColor="text1"/>
          <w:sz w:val="22"/>
          <w:szCs w:val="22"/>
          <w:lang w:val="es"/>
        </w:rPr>
        <w:t xml:space="preserve">EPSEA UNIVERSIDAD DE SUCRE </w:t>
      </w:r>
      <w:r w:rsidR="003B57F7" w:rsidRPr="00506C6C">
        <w:rPr>
          <w:rFonts w:ascii="Arial" w:eastAsia="Arial" w:hAnsi="Arial" w:cs="Arial"/>
          <w:color w:val="000000" w:themeColor="text1"/>
          <w:sz w:val="22"/>
          <w:szCs w:val="22"/>
          <w:lang w:val="es"/>
        </w:rPr>
        <w:t>acredita experiencia de</w:t>
      </w:r>
      <w:r w:rsidR="003B57F7" w:rsidRPr="00506C6C">
        <w:rPr>
          <w:rFonts w:ascii="Arial" w:eastAsia="Arial" w:hAnsi="Arial" w:cs="Arial"/>
          <w:b/>
          <w:bCs/>
          <w:color w:val="000000" w:themeColor="text1"/>
          <w:sz w:val="22"/>
          <w:szCs w:val="22"/>
          <w:lang w:val="es"/>
        </w:rPr>
        <w:t xml:space="preserve"> </w:t>
      </w:r>
      <w:r w:rsidR="00506C6C" w:rsidRPr="00506C6C">
        <w:rPr>
          <w:rFonts w:ascii="Arial" w:eastAsia="Arial" w:hAnsi="Arial" w:cs="Arial"/>
          <w:b/>
          <w:bCs/>
          <w:color w:val="000000" w:themeColor="text1"/>
          <w:sz w:val="22"/>
          <w:szCs w:val="22"/>
        </w:rPr>
        <w:t xml:space="preserve">7800,09 </w:t>
      </w:r>
      <w:r w:rsidR="003B57F7" w:rsidRPr="00506C6C">
        <w:rPr>
          <w:rFonts w:ascii="Arial" w:eastAsia="Arial" w:hAnsi="Arial" w:cs="Arial"/>
          <w:b/>
          <w:bCs/>
          <w:color w:val="000000" w:themeColor="text1"/>
          <w:sz w:val="22"/>
          <w:szCs w:val="22"/>
          <w:lang w:val="es"/>
        </w:rPr>
        <w:t>SMLV en 1</w:t>
      </w:r>
      <w:r w:rsidR="00506C6C" w:rsidRPr="00506C6C">
        <w:rPr>
          <w:rFonts w:ascii="Arial" w:eastAsia="Arial" w:hAnsi="Arial" w:cs="Arial"/>
          <w:b/>
          <w:bCs/>
          <w:color w:val="000000" w:themeColor="text1"/>
          <w:sz w:val="22"/>
          <w:szCs w:val="22"/>
          <w:lang w:val="es"/>
        </w:rPr>
        <w:t>3</w:t>
      </w:r>
      <w:r w:rsidR="003B57F7" w:rsidRPr="00506C6C">
        <w:rPr>
          <w:rFonts w:ascii="Arial" w:eastAsia="Arial" w:hAnsi="Arial" w:cs="Arial"/>
          <w:b/>
          <w:bCs/>
          <w:color w:val="000000" w:themeColor="text1"/>
          <w:sz w:val="22"/>
          <w:szCs w:val="22"/>
          <w:lang w:val="es"/>
        </w:rPr>
        <w:t xml:space="preserve"> años, </w:t>
      </w:r>
      <w:r w:rsidR="00506C6C" w:rsidRPr="00506C6C">
        <w:rPr>
          <w:rFonts w:ascii="Arial" w:eastAsia="Arial" w:hAnsi="Arial" w:cs="Arial"/>
          <w:b/>
          <w:bCs/>
          <w:color w:val="000000" w:themeColor="text1"/>
          <w:sz w:val="22"/>
          <w:szCs w:val="22"/>
          <w:lang w:val="es"/>
        </w:rPr>
        <w:t>9</w:t>
      </w:r>
      <w:r w:rsidR="003B57F7" w:rsidRPr="00506C6C">
        <w:rPr>
          <w:rFonts w:ascii="Arial" w:eastAsia="Arial" w:hAnsi="Arial" w:cs="Arial"/>
          <w:b/>
          <w:bCs/>
          <w:color w:val="000000" w:themeColor="text1"/>
          <w:sz w:val="22"/>
          <w:szCs w:val="22"/>
          <w:lang w:val="es"/>
        </w:rPr>
        <w:t xml:space="preserve"> meses y 1</w:t>
      </w:r>
      <w:r w:rsidR="00506C6C" w:rsidRPr="00506C6C">
        <w:rPr>
          <w:rFonts w:ascii="Arial" w:eastAsia="Arial" w:hAnsi="Arial" w:cs="Arial"/>
          <w:b/>
          <w:bCs/>
          <w:color w:val="000000" w:themeColor="text1"/>
          <w:sz w:val="22"/>
          <w:szCs w:val="22"/>
          <w:lang w:val="es"/>
        </w:rPr>
        <w:t>0</w:t>
      </w:r>
      <w:r w:rsidR="003B57F7" w:rsidRPr="00506C6C">
        <w:rPr>
          <w:rFonts w:ascii="Arial" w:eastAsia="Arial" w:hAnsi="Arial" w:cs="Arial"/>
          <w:b/>
          <w:bCs/>
          <w:color w:val="000000" w:themeColor="text1"/>
          <w:sz w:val="22"/>
          <w:szCs w:val="22"/>
          <w:lang w:val="es"/>
        </w:rPr>
        <w:t xml:space="preserve"> días de trabajo en 3 Contratos ejecutados y recibidos a satisfacción</w:t>
      </w:r>
      <w:r w:rsidR="003B57F7" w:rsidRPr="003B57F7">
        <w:rPr>
          <w:rFonts w:ascii="Arial" w:eastAsia="Arial" w:hAnsi="Arial" w:cs="Arial"/>
          <w:color w:val="000000" w:themeColor="text1"/>
          <w:sz w:val="22"/>
          <w:szCs w:val="22"/>
          <w:lang w:val="es"/>
        </w:rPr>
        <w:t>, relacionados  con proyectos relacionados con los códigos 70121500 y 70121600</w:t>
      </w:r>
      <w:r w:rsidRPr="00763AA3">
        <w:rPr>
          <w:rFonts w:ascii="Arial" w:eastAsia="Arial" w:hAnsi="Arial" w:cs="Arial"/>
          <w:color w:val="000000" w:themeColor="text1"/>
          <w:sz w:val="22"/>
          <w:szCs w:val="22"/>
          <w:lang w:val="es"/>
        </w:rPr>
        <w:t>, los cuales se relacionan directamente con el concepto de extensión agropecuaria contemplado en la Ley 1876 de 2018; razón por la cual se considera que la EPSEA UNIVERSIDAD DE SUCRE demuestra la experiencia técnica e idoneidad para el desarrollo del presente convenio interadministrativo para la prestación del SPEA, experiencia adquirida en los municipios del departamento del Caquetá, lo que se alinea con la necesidad de contar con aliados del territorio</w:t>
      </w:r>
      <w:r w:rsidR="00506C6C">
        <w:rPr>
          <w:rFonts w:ascii="Arial" w:eastAsia="Arial" w:hAnsi="Arial" w:cs="Arial"/>
          <w:color w:val="000000" w:themeColor="text1"/>
          <w:sz w:val="22"/>
          <w:szCs w:val="22"/>
          <w:lang w:val="es"/>
        </w:rPr>
        <w:t xml:space="preserve">, </w:t>
      </w:r>
      <w:r w:rsidRPr="00763AA3">
        <w:rPr>
          <w:rFonts w:ascii="Arial" w:eastAsia="Arial" w:hAnsi="Arial" w:cs="Arial"/>
          <w:color w:val="000000" w:themeColor="text1"/>
          <w:sz w:val="22"/>
          <w:szCs w:val="22"/>
          <w:lang w:val="es"/>
        </w:rPr>
        <w:t>razón por la cual se considera que la EPSEA UNIVERSIDAD DE SUCRE demuestra la experiencia técnica e idoneidad para el desarrollo del presente convenio interadministrativo para la prestación del SPEA.</w:t>
      </w:r>
    </w:p>
    <w:p w14:paraId="63DEF252" w14:textId="1CD00D98" w:rsidR="00667508" w:rsidRPr="00763AA3" w:rsidRDefault="00AA5B99" w:rsidP="00150BD6">
      <w:pPr>
        <w:spacing w:line="276" w:lineRule="auto"/>
        <w:jc w:val="both"/>
        <w:rPr>
          <w:rFonts w:ascii="Arial" w:eastAsia="Arial" w:hAnsi="Arial" w:cs="Arial"/>
          <w:color w:val="000000" w:themeColor="text1"/>
          <w:sz w:val="22"/>
          <w:szCs w:val="22"/>
        </w:rPr>
      </w:pPr>
      <w:r w:rsidRPr="00763AA3">
        <w:rPr>
          <w:rFonts w:ascii="Arial" w:eastAsiaTheme="minorEastAsia" w:hAnsi="Arial" w:cs="Arial"/>
          <w:color w:val="000000" w:themeColor="text1"/>
          <w:sz w:val="22"/>
          <w:szCs w:val="22"/>
        </w:rPr>
        <w:t xml:space="preserve">Dado lo anterior se concluye que </w:t>
      </w:r>
      <w:r w:rsidR="0049101A" w:rsidRPr="00763AA3">
        <w:rPr>
          <w:rFonts w:ascii="Arial" w:eastAsiaTheme="minorEastAsia" w:hAnsi="Arial" w:cs="Arial"/>
          <w:color w:val="000000" w:themeColor="text1"/>
          <w:sz w:val="22"/>
          <w:szCs w:val="22"/>
        </w:rPr>
        <w:t>UNIVERSIDAD DE SUCRE</w:t>
      </w:r>
      <w:r w:rsidRPr="00763AA3">
        <w:rPr>
          <w:rFonts w:ascii="Arial" w:eastAsiaTheme="minorEastAsia" w:hAnsi="Arial" w:cs="Arial"/>
          <w:color w:val="000000" w:themeColor="text1"/>
          <w:sz w:val="22"/>
          <w:szCs w:val="22"/>
        </w:rPr>
        <w:t xml:space="preserve"> es un aliado estratégico de la ADR para cumplir la función de prestar el servicio público de extensión agropecuaria en el Departamento de</w:t>
      </w:r>
      <w:r w:rsidR="00A65329" w:rsidRPr="00763AA3">
        <w:rPr>
          <w:rFonts w:ascii="Arial" w:eastAsiaTheme="minorEastAsia" w:hAnsi="Arial" w:cs="Arial"/>
          <w:color w:val="000000" w:themeColor="text1"/>
          <w:sz w:val="22"/>
          <w:szCs w:val="22"/>
        </w:rPr>
        <w:t xml:space="preserve"> SUCRE</w:t>
      </w:r>
      <w:r w:rsidRPr="00763AA3">
        <w:rPr>
          <w:rFonts w:ascii="Arial" w:eastAsiaTheme="minorEastAsia" w:hAnsi="Arial" w:cs="Arial"/>
          <w:color w:val="000000" w:themeColor="text1"/>
          <w:sz w:val="22"/>
          <w:szCs w:val="22"/>
        </w:rPr>
        <w:t>.</w:t>
      </w:r>
    </w:p>
    <w:p w14:paraId="425946B1" w14:textId="77777777" w:rsidR="00667508" w:rsidRPr="00763AA3" w:rsidRDefault="00667508" w:rsidP="00150BD6">
      <w:pPr>
        <w:autoSpaceDE w:val="0"/>
        <w:autoSpaceDN w:val="0"/>
        <w:adjustRightInd w:val="0"/>
        <w:spacing w:line="276" w:lineRule="auto"/>
        <w:jc w:val="both"/>
        <w:rPr>
          <w:rFonts w:ascii="Arial" w:eastAsia="Tahoma" w:hAnsi="Arial" w:cs="Arial"/>
          <w:sz w:val="22"/>
          <w:szCs w:val="22"/>
        </w:rPr>
      </w:pPr>
    </w:p>
    <w:p w14:paraId="0A2A88FE" w14:textId="10E82C4F" w:rsidR="06E0002E" w:rsidRPr="00763AA3" w:rsidRDefault="06E0002E" w:rsidP="00150BD6">
      <w:pPr>
        <w:spacing w:line="276" w:lineRule="auto"/>
        <w:jc w:val="both"/>
        <w:rPr>
          <w:rFonts w:ascii="Arial" w:eastAsiaTheme="minorEastAsia" w:hAnsi="Arial" w:cs="Arial"/>
          <w:color w:val="000000" w:themeColor="text1"/>
          <w:sz w:val="22"/>
          <w:szCs w:val="22"/>
          <w:lang w:val="es-ES"/>
        </w:rPr>
      </w:pPr>
      <w:r w:rsidRPr="00763AA3">
        <w:rPr>
          <w:rFonts w:ascii="Arial" w:eastAsiaTheme="minorEastAsia" w:hAnsi="Arial" w:cs="Arial"/>
          <w:color w:val="000000" w:themeColor="text1"/>
          <w:sz w:val="22"/>
          <w:szCs w:val="22"/>
          <w:lang w:val="es-ES"/>
        </w:rPr>
        <w:t xml:space="preserve">Se firma en Bogotá en el mes de </w:t>
      </w:r>
      <w:r w:rsidR="00150BD6">
        <w:rPr>
          <w:rFonts w:ascii="Arial" w:eastAsiaTheme="minorEastAsia" w:hAnsi="Arial" w:cs="Arial"/>
          <w:color w:val="000000" w:themeColor="text1"/>
          <w:sz w:val="22"/>
          <w:szCs w:val="22"/>
          <w:lang w:val="es-ES"/>
        </w:rPr>
        <w:t>octubre</w:t>
      </w:r>
      <w:r w:rsidRPr="00763AA3">
        <w:rPr>
          <w:rFonts w:ascii="Arial" w:eastAsiaTheme="minorEastAsia" w:hAnsi="Arial" w:cs="Arial"/>
          <w:color w:val="000000" w:themeColor="text1"/>
          <w:sz w:val="22"/>
          <w:szCs w:val="22"/>
          <w:lang w:val="es-ES"/>
        </w:rPr>
        <w:t xml:space="preserve"> de 2024.</w:t>
      </w:r>
    </w:p>
    <w:p w14:paraId="43F2E708" w14:textId="42D87210" w:rsidR="06E0002E" w:rsidRPr="00763AA3" w:rsidRDefault="06E0002E" w:rsidP="00150BD6">
      <w:pPr>
        <w:spacing w:line="276" w:lineRule="auto"/>
        <w:jc w:val="both"/>
        <w:rPr>
          <w:rFonts w:ascii="Arial" w:hAnsi="Arial" w:cs="Arial"/>
          <w:sz w:val="22"/>
          <w:szCs w:val="22"/>
        </w:rPr>
      </w:pPr>
      <w:r w:rsidRPr="00763AA3">
        <w:rPr>
          <w:rFonts w:ascii="Arial" w:eastAsia="Arial" w:hAnsi="Arial" w:cs="Arial"/>
          <w:color w:val="000000" w:themeColor="text1"/>
          <w:sz w:val="22"/>
          <w:szCs w:val="22"/>
        </w:rPr>
        <w:t xml:space="preserve"> </w:t>
      </w:r>
    </w:p>
    <w:p w14:paraId="3C953934" w14:textId="285EB9A3" w:rsidR="25956B64" w:rsidRPr="00763AA3" w:rsidRDefault="25956B64" w:rsidP="00150BD6">
      <w:pPr>
        <w:spacing w:line="276" w:lineRule="auto"/>
        <w:jc w:val="both"/>
        <w:rPr>
          <w:rFonts w:ascii="Arial" w:eastAsia="Arial" w:hAnsi="Arial" w:cs="Arial"/>
          <w:color w:val="000000" w:themeColor="text1"/>
          <w:sz w:val="22"/>
          <w:szCs w:val="22"/>
          <w:lang w:val="es"/>
        </w:rPr>
      </w:pPr>
    </w:p>
    <w:p w14:paraId="60BB596B" w14:textId="63BC7D35" w:rsidR="06E0002E" w:rsidRPr="00763AA3" w:rsidRDefault="06E0002E" w:rsidP="00150BD6">
      <w:pPr>
        <w:spacing w:line="276" w:lineRule="auto"/>
        <w:jc w:val="both"/>
        <w:rPr>
          <w:rFonts w:ascii="Arial" w:hAnsi="Arial" w:cs="Arial"/>
          <w:sz w:val="22"/>
          <w:szCs w:val="22"/>
        </w:rPr>
      </w:pPr>
      <w:r w:rsidRPr="00763AA3">
        <w:rPr>
          <w:rFonts w:ascii="Arial" w:eastAsia="Arial" w:hAnsi="Arial" w:cs="Arial"/>
          <w:color w:val="000000" w:themeColor="text1"/>
          <w:sz w:val="22"/>
          <w:szCs w:val="22"/>
          <w:lang w:val="es"/>
        </w:rPr>
        <w:t>Atentamente,</w:t>
      </w:r>
    </w:p>
    <w:p w14:paraId="6DE5D1FD" w14:textId="21C34127" w:rsidR="06E0002E" w:rsidRPr="00763AA3" w:rsidRDefault="06E0002E" w:rsidP="25956B64">
      <w:pPr>
        <w:jc w:val="both"/>
        <w:rPr>
          <w:rFonts w:ascii="Arial" w:hAnsi="Arial" w:cs="Arial"/>
          <w:sz w:val="22"/>
          <w:szCs w:val="22"/>
        </w:rPr>
      </w:pPr>
      <w:r w:rsidRPr="00763AA3">
        <w:rPr>
          <w:rFonts w:ascii="Arial" w:eastAsia="Arial" w:hAnsi="Arial" w:cs="Arial"/>
          <w:color w:val="000000" w:themeColor="text1"/>
          <w:sz w:val="22"/>
          <w:szCs w:val="22"/>
        </w:rPr>
        <w:t xml:space="preserve"> </w:t>
      </w:r>
    </w:p>
    <w:p w14:paraId="1AD1E4D5" w14:textId="6602D07D" w:rsidR="06E0002E" w:rsidRDefault="06E0002E" w:rsidP="25956B64">
      <w:pPr>
        <w:jc w:val="both"/>
        <w:rPr>
          <w:rFonts w:ascii="Arial" w:eastAsia="Arial" w:hAnsi="Arial" w:cs="Arial"/>
          <w:color w:val="000000" w:themeColor="text1"/>
          <w:sz w:val="22"/>
          <w:szCs w:val="22"/>
        </w:rPr>
      </w:pPr>
      <w:r w:rsidRPr="00763AA3">
        <w:rPr>
          <w:rFonts w:ascii="Arial" w:eastAsia="Arial" w:hAnsi="Arial" w:cs="Arial"/>
          <w:color w:val="000000" w:themeColor="text1"/>
          <w:sz w:val="22"/>
          <w:szCs w:val="22"/>
        </w:rPr>
        <w:t xml:space="preserve"> </w:t>
      </w:r>
    </w:p>
    <w:p w14:paraId="6963A285" w14:textId="77777777" w:rsidR="0064332A" w:rsidRPr="00763AA3" w:rsidRDefault="0064332A" w:rsidP="25956B64">
      <w:pPr>
        <w:jc w:val="both"/>
        <w:rPr>
          <w:rFonts w:ascii="Arial" w:hAnsi="Arial" w:cs="Arial"/>
          <w:sz w:val="22"/>
          <w:szCs w:val="22"/>
        </w:rPr>
      </w:pPr>
    </w:p>
    <w:p w14:paraId="561303A2" w14:textId="6A339A3E" w:rsidR="25956B64" w:rsidRPr="00272EA1" w:rsidRDefault="06E0002E" w:rsidP="25956B64">
      <w:pPr>
        <w:jc w:val="both"/>
        <w:rPr>
          <w:rFonts w:ascii="Arial" w:hAnsi="Arial" w:cs="Arial"/>
          <w:sz w:val="22"/>
          <w:szCs w:val="22"/>
        </w:rPr>
      </w:pPr>
      <w:r w:rsidRPr="00763AA3">
        <w:rPr>
          <w:rFonts w:ascii="Arial" w:eastAsia="Arial" w:hAnsi="Arial" w:cs="Arial"/>
          <w:color w:val="000000" w:themeColor="text1"/>
          <w:sz w:val="22"/>
          <w:szCs w:val="22"/>
        </w:rPr>
        <w:t xml:space="preserve"> </w:t>
      </w:r>
    </w:p>
    <w:p w14:paraId="53324611" w14:textId="603B66DC" w:rsidR="25956B64" w:rsidRPr="00763AA3" w:rsidRDefault="25956B64" w:rsidP="25956B64">
      <w:pPr>
        <w:jc w:val="both"/>
        <w:rPr>
          <w:rFonts w:ascii="Arial" w:eastAsia="Arial" w:hAnsi="Arial" w:cs="Arial"/>
          <w:color w:val="000000" w:themeColor="text1"/>
          <w:sz w:val="22"/>
          <w:szCs w:val="22"/>
        </w:rPr>
      </w:pPr>
    </w:p>
    <w:p w14:paraId="7B359F64" w14:textId="69E24546" w:rsidR="06E0002E" w:rsidRPr="00763AA3" w:rsidRDefault="06E0002E" w:rsidP="25956B64">
      <w:pPr>
        <w:jc w:val="both"/>
        <w:rPr>
          <w:rFonts w:ascii="Arial" w:hAnsi="Arial" w:cs="Arial"/>
          <w:sz w:val="22"/>
          <w:szCs w:val="22"/>
        </w:rPr>
      </w:pPr>
      <w:r w:rsidRPr="00763AA3">
        <w:rPr>
          <w:rFonts w:ascii="Arial" w:eastAsia="Arial" w:hAnsi="Arial" w:cs="Arial"/>
          <w:b/>
          <w:bCs/>
          <w:color w:val="000000" w:themeColor="text1"/>
          <w:sz w:val="22"/>
          <w:szCs w:val="22"/>
          <w:lang w:val="es"/>
        </w:rPr>
        <w:t>MARIO ALEXANDER MORENO ORDOÑEZ</w:t>
      </w:r>
    </w:p>
    <w:p w14:paraId="4D8F9307" w14:textId="180F74E9" w:rsidR="06E0002E" w:rsidRPr="00763AA3" w:rsidRDefault="06E0002E" w:rsidP="25956B64">
      <w:pPr>
        <w:jc w:val="both"/>
        <w:rPr>
          <w:rFonts w:ascii="Arial" w:hAnsi="Arial" w:cs="Arial"/>
          <w:sz w:val="22"/>
          <w:szCs w:val="22"/>
        </w:rPr>
      </w:pPr>
      <w:r w:rsidRPr="00763AA3">
        <w:rPr>
          <w:rFonts w:ascii="Arial" w:eastAsia="Arial" w:hAnsi="Arial" w:cs="Arial"/>
          <w:color w:val="000000" w:themeColor="text1"/>
          <w:sz w:val="22"/>
          <w:szCs w:val="22"/>
          <w:lang w:val="es"/>
        </w:rPr>
        <w:t>Vicepresidente de Integración Productiva</w:t>
      </w:r>
      <w:r w:rsidRPr="00763AA3">
        <w:rPr>
          <w:rFonts w:ascii="Arial" w:eastAsia="Arial" w:hAnsi="Arial" w:cs="Arial"/>
          <w:sz w:val="22"/>
          <w:szCs w:val="22"/>
          <w:lang w:val="es"/>
        </w:rPr>
        <w:t xml:space="preserve"> </w:t>
      </w:r>
    </w:p>
    <w:p w14:paraId="46B154FB" w14:textId="2296B941" w:rsidR="06E0002E" w:rsidRPr="0086351C" w:rsidRDefault="06E0002E" w:rsidP="25956B64">
      <w:pPr>
        <w:jc w:val="both"/>
        <w:rPr>
          <w:rFonts w:ascii="Arial" w:hAnsi="Arial" w:cs="Arial"/>
        </w:rPr>
      </w:pPr>
      <w:r w:rsidRPr="0086351C">
        <w:rPr>
          <w:rFonts w:ascii="Arial" w:eastAsia="Arial" w:hAnsi="Arial" w:cs="Arial"/>
          <w:sz w:val="22"/>
          <w:szCs w:val="22"/>
        </w:rPr>
        <w:t xml:space="preserve"> </w:t>
      </w:r>
    </w:p>
    <w:p w14:paraId="23123A96" w14:textId="343D9D82" w:rsidR="06E0002E" w:rsidRPr="0086351C" w:rsidRDefault="06E0002E" w:rsidP="25956B64">
      <w:pPr>
        <w:jc w:val="both"/>
        <w:rPr>
          <w:rFonts w:ascii="Arial" w:hAnsi="Arial" w:cs="Arial"/>
          <w:sz w:val="22"/>
          <w:szCs w:val="22"/>
        </w:rPr>
      </w:pPr>
      <w:r w:rsidRPr="0086351C">
        <w:rPr>
          <w:rFonts w:ascii="Arial" w:eastAsia="Arial" w:hAnsi="Arial" w:cs="Arial"/>
          <w:sz w:val="22"/>
          <w:szCs w:val="22"/>
        </w:rPr>
        <w:t xml:space="preserve"> </w:t>
      </w:r>
      <w:r w:rsidRPr="0086351C">
        <w:rPr>
          <w:rFonts w:ascii="Arial" w:eastAsia="Arial" w:hAnsi="Arial" w:cs="Arial"/>
          <w:color w:val="000000" w:themeColor="text1"/>
          <w:sz w:val="16"/>
          <w:szCs w:val="16"/>
        </w:rPr>
        <w:t>Proyectó y estructuró VIP: Andrea Mariana García Achury –Contratista, Dirección de Asistencia Técnica</w:t>
      </w:r>
      <w:r w:rsidRPr="00272EA1">
        <w:rPr>
          <w:rFonts w:ascii="Arial" w:eastAsia="Arial" w:hAnsi="Arial" w:cs="Arial"/>
          <w:color w:val="000000" w:themeColor="text1"/>
          <w:sz w:val="16"/>
          <w:szCs w:val="16"/>
        </w:rPr>
        <w:t xml:space="preserve"> </w:t>
      </w:r>
      <w:r w:rsidR="7EF2BACE" w:rsidRPr="0086351C">
        <w:rPr>
          <w:rFonts w:ascii="Arial" w:hAnsi="Arial" w:cs="Arial"/>
          <w:noProof/>
        </w:rPr>
        <w:drawing>
          <wp:anchor distT="0" distB="0" distL="114300" distR="114300" simplePos="0" relativeHeight="251658240" behindDoc="0" locked="0" layoutInCell="1" allowOverlap="1" wp14:anchorId="49105C1A" wp14:editId="023C3553">
            <wp:simplePos x="0" y="0"/>
            <wp:positionH relativeFrom="column">
              <wp:posOffset>4749165</wp:posOffset>
            </wp:positionH>
            <wp:positionV relativeFrom="paragraph">
              <wp:posOffset>35560</wp:posOffset>
            </wp:positionV>
            <wp:extent cx="414020" cy="121920"/>
            <wp:effectExtent l="0" t="0" r="5080" b="0"/>
            <wp:wrapNone/>
            <wp:docPr id="1229578675" name="Imagen 122957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414020" cy="121920"/>
                    </a:xfrm>
                    <a:prstGeom prst="rect">
                      <a:avLst/>
                    </a:prstGeom>
                  </pic:spPr>
                </pic:pic>
              </a:graphicData>
            </a:graphic>
          </wp:anchor>
        </w:drawing>
      </w:r>
    </w:p>
    <w:p w14:paraId="458B1C7B" w14:textId="7F5C0670" w:rsidR="06E0002E" w:rsidRPr="0086351C" w:rsidRDefault="06E0002E" w:rsidP="25956B64">
      <w:pPr>
        <w:jc w:val="both"/>
        <w:rPr>
          <w:rFonts w:ascii="Arial" w:hAnsi="Arial" w:cs="Arial"/>
          <w:sz w:val="22"/>
          <w:szCs w:val="22"/>
        </w:rPr>
      </w:pPr>
      <w:r w:rsidRPr="0086351C">
        <w:rPr>
          <w:rFonts w:ascii="Arial" w:eastAsia="Arial" w:hAnsi="Arial" w:cs="Arial"/>
          <w:color w:val="000000" w:themeColor="text1"/>
          <w:sz w:val="16"/>
          <w:szCs w:val="16"/>
        </w:rPr>
        <w:t xml:space="preserve">                                    María Antonela García Martínez – Contratista - Dirección de Asistencia Técnica </w:t>
      </w:r>
      <w:r w:rsidR="47716D85" w:rsidRPr="0086351C">
        <w:rPr>
          <w:rFonts w:ascii="Arial" w:hAnsi="Arial" w:cs="Arial"/>
          <w:noProof/>
        </w:rPr>
        <w:drawing>
          <wp:anchor distT="0" distB="0" distL="114300" distR="114300" simplePos="0" relativeHeight="251659264" behindDoc="0" locked="0" layoutInCell="1" allowOverlap="1" wp14:anchorId="41CA7187" wp14:editId="0B05E3F5">
            <wp:simplePos x="0" y="0"/>
            <wp:positionH relativeFrom="column">
              <wp:posOffset>4625340</wp:posOffset>
            </wp:positionH>
            <wp:positionV relativeFrom="paragraph">
              <wp:posOffset>23495</wp:posOffset>
            </wp:positionV>
            <wp:extent cx="219075" cy="133985"/>
            <wp:effectExtent l="0" t="0" r="9525" b="0"/>
            <wp:wrapNone/>
            <wp:docPr id="706401612" name="Imagen 70640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19075" cy="133985"/>
                    </a:xfrm>
                    <a:prstGeom prst="rect">
                      <a:avLst/>
                    </a:prstGeom>
                  </pic:spPr>
                </pic:pic>
              </a:graphicData>
            </a:graphic>
          </wp:anchor>
        </w:drawing>
      </w:r>
    </w:p>
    <w:p w14:paraId="10678D62" w14:textId="3922B57B" w:rsidR="06E0002E" w:rsidRPr="0086351C" w:rsidRDefault="06E0002E" w:rsidP="25956B64">
      <w:pPr>
        <w:jc w:val="both"/>
        <w:rPr>
          <w:rFonts w:ascii="Arial" w:hAnsi="Arial" w:cs="Arial"/>
        </w:rPr>
      </w:pPr>
      <w:r w:rsidRPr="0086351C">
        <w:rPr>
          <w:rFonts w:ascii="Arial" w:eastAsia="Arial" w:hAnsi="Arial" w:cs="Arial"/>
          <w:color w:val="000000" w:themeColor="text1"/>
          <w:sz w:val="16"/>
          <w:szCs w:val="16"/>
        </w:rPr>
        <w:t xml:space="preserve">                                   Ingrith Yineth Torres González – Contratista - Dirección de Asistencia Técnica </w:t>
      </w:r>
      <w:r w:rsidR="01CD5C76" w:rsidRPr="0086351C">
        <w:rPr>
          <w:rFonts w:ascii="Arial" w:hAnsi="Arial" w:cs="Arial"/>
          <w:noProof/>
        </w:rPr>
        <w:drawing>
          <wp:anchor distT="0" distB="0" distL="114300" distR="114300" simplePos="0" relativeHeight="251660288" behindDoc="0" locked="0" layoutInCell="1" allowOverlap="1" wp14:anchorId="317D9E0B" wp14:editId="264E6616">
            <wp:simplePos x="0" y="0"/>
            <wp:positionH relativeFrom="column">
              <wp:posOffset>4530090</wp:posOffset>
            </wp:positionH>
            <wp:positionV relativeFrom="paragraph">
              <wp:posOffset>1905</wp:posOffset>
            </wp:positionV>
            <wp:extent cx="85090" cy="164465"/>
            <wp:effectExtent l="0" t="0" r="0" b="6985"/>
            <wp:wrapNone/>
            <wp:docPr id="1056451455" name="Imagen 105645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85090" cy="164465"/>
                    </a:xfrm>
                    <a:prstGeom prst="rect">
                      <a:avLst/>
                    </a:prstGeom>
                  </pic:spPr>
                </pic:pic>
              </a:graphicData>
            </a:graphic>
          </wp:anchor>
        </w:drawing>
      </w:r>
    </w:p>
    <w:p w14:paraId="445B6832" w14:textId="110045DB" w:rsidR="06E0002E" w:rsidRPr="0086351C" w:rsidRDefault="06E0002E" w:rsidP="25956B64">
      <w:pPr>
        <w:jc w:val="both"/>
        <w:rPr>
          <w:rFonts w:ascii="Arial" w:hAnsi="Arial" w:cs="Arial"/>
        </w:rPr>
      </w:pPr>
      <w:r w:rsidRPr="0086351C">
        <w:rPr>
          <w:rFonts w:ascii="Arial" w:eastAsia="Arial" w:hAnsi="Arial" w:cs="Arial"/>
          <w:color w:val="000000" w:themeColor="text1"/>
          <w:sz w:val="16"/>
          <w:szCs w:val="16"/>
        </w:rPr>
        <w:t xml:space="preserve">                                   Ferney Andrés Díaz Bernal – Contratista - Dirección de Asistencia Técnica </w:t>
      </w:r>
      <w:r w:rsidR="09CC5C27" w:rsidRPr="0086351C">
        <w:rPr>
          <w:rFonts w:ascii="Arial" w:hAnsi="Arial" w:cs="Arial"/>
          <w:noProof/>
        </w:rPr>
        <w:drawing>
          <wp:anchor distT="0" distB="0" distL="114300" distR="114300" simplePos="0" relativeHeight="251661312" behindDoc="0" locked="0" layoutInCell="1" allowOverlap="1" wp14:anchorId="143D1ED4" wp14:editId="1231E303">
            <wp:simplePos x="0" y="0"/>
            <wp:positionH relativeFrom="column">
              <wp:posOffset>4377690</wp:posOffset>
            </wp:positionH>
            <wp:positionV relativeFrom="paragraph">
              <wp:posOffset>-635</wp:posOffset>
            </wp:positionV>
            <wp:extent cx="164465" cy="182880"/>
            <wp:effectExtent l="0" t="0" r="6985" b="7620"/>
            <wp:wrapNone/>
            <wp:docPr id="2017553665" name="Imagen 201755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164465" cy="182880"/>
                    </a:xfrm>
                    <a:prstGeom prst="rect">
                      <a:avLst/>
                    </a:prstGeom>
                  </pic:spPr>
                </pic:pic>
              </a:graphicData>
            </a:graphic>
          </wp:anchor>
        </w:drawing>
      </w:r>
    </w:p>
    <w:p w14:paraId="3C676306" w14:textId="5C8F2892" w:rsidR="06E0002E" w:rsidRPr="0086351C" w:rsidRDefault="00272EA1" w:rsidP="25956B64">
      <w:pPr>
        <w:jc w:val="both"/>
        <w:rPr>
          <w:rFonts w:ascii="Arial" w:hAnsi="Arial" w:cs="Arial"/>
        </w:rPr>
      </w:pPr>
      <w:r w:rsidRPr="0086351C">
        <w:rPr>
          <w:rFonts w:ascii="Arial" w:hAnsi="Arial" w:cs="Arial"/>
          <w:noProof/>
        </w:rPr>
        <w:drawing>
          <wp:anchor distT="0" distB="0" distL="114300" distR="114300" simplePos="0" relativeHeight="251662336" behindDoc="0" locked="0" layoutInCell="1" allowOverlap="1" wp14:anchorId="3428A3E9" wp14:editId="54B253C3">
            <wp:simplePos x="0" y="0"/>
            <wp:positionH relativeFrom="column">
              <wp:posOffset>4406265</wp:posOffset>
            </wp:positionH>
            <wp:positionV relativeFrom="paragraph">
              <wp:posOffset>34925</wp:posOffset>
            </wp:positionV>
            <wp:extent cx="219075" cy="75652"/>
            <wp:effectExtent l="0" t="0" r="0" b="635"/>
            <wp:wrapNone/>
            <wp:docPr id="1365027850" name="Imagen 1365027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19832" cy="75913"/>
                    </a:xfrm>
                    <a:prstGeom prst="rect">
                      <a:avLst/>
                    </a:prstGeom>
                  </pic:spPr>
                </pic:pic>
              </a:graphicData>
            </a:graphic>
            <wp14:sizeRelH relativeFrom="margin">
              <wp14:pctWidth>0</wp14:pctWidth>
            </wp14:sizeRelH>
            <wp14:sizeRelV relativeFrom="margin">
              <wp14:pctHeight>0</wp14:pctHeight>
            </wp14:sizeRelV>
          </wp:anchor>
        </w:drawing>
      </w:r>
      <w:r w:rsidR="06E0002E" w:rsidRPr="0086351C">
        <w:rPr>
          <w:rFonts w:ascii="Arial" w:eastAsia="Arial" w:hAnsi="Arial" w:cs="Arial"/>
          <w:color w:val="000000" w:themeColor="text1"/>
          <w:sz w:val="16"/>
          <w:szCs w:val="16"/>
        </w:rPr>
        <w:t xml:space="preserve">                                   Miguel André Pardo Cepeda - Contratista - Dirección de Asistencia Técnica </w:t>
      </w:r>
    </w:p>
    <w:p w14:paraId="23A216C8" w14:textId="339751A6" w:rsidR="06E0002E" w:rsidRPr="0086351C" w:rsidRDefault="06E0002E" w:rsidP="25956B64">
      <w:pPr>
        <w:jc w:val="both"/>
        <w:rPr>
          <w:rFonts w:ascii="Arial" w:eastAsia="Arial" w:hAnsi="Arial" w:cs="Arial"/>
          <w:color w:val="000000" w:themeColor="text1"/>
          <w:sz w:val="16"/>
          <w:szCs w:val="16"/>
        </w:rPr>
      </w:pPr>
      <w:r w:rsidRPr="0086351C">
        <w:rPr>
          <w:rFonts w:ascii="Arial" w:eastAsia="Arial" w:hAnsi="Arial" w:cs="Arial"/>
          <w:color w:val="000000" w:themeColor="text1"/>
          <w:sz w:val="16"/>
          <w:szCs w:val="16"/>
        </w:rPr>
        <w:t xml:space="preserve">                                  </w:t>
      </w:r>
      <w:r w:rsidR="00272EA1">
        <w:rPr>
          <w:rFonts w:ascii="Arial" w:eastAsia="Arial" w:hAnsi="Arial" w:cs="Arial"/>
          <w:color w:val="000000" w:themeColor="text1"/>
          <w:sz w:val="16"/>
          <w:szCs w:val="16"/>
        </w:rPr>
        <w:t xml:space="preserve"> </w:t>
      </w:r>
      <w:r w:rsidRPr="0086351C">
        <w:rPr>
          <w:rFonts w:ascii="Arial" w:eastAsia="Arial" w:hAnsi="Arial" w:cs="Arial"/>
          <w:color w:val="000000" w:themeColor="text1"/>
          <w:sz w:val="16"/>
          <w:szCs w:val="16"/>
        </w:rPr>
        <w:t>Nicolás Andrés Guzmán Padilla – Contratista, Vicepresidencia de Integración Productiva</w:t>
      </w:r>
    </w:p>
    <w:p w14:paraId="6ABEA444" w14:textId="14267037" w:rsidR="06E0002E" w:rsidRPr="0086351C" w:rsidRDefault="06E0002E" w:rsidP="25956B64">
      <w:pPr>
        <w:jc w:val="both"/>
        <w:rPr>
          <w:rFonts w:ascii="Arial" w:hAnsi="Arial" w:cs="Arial"/>
        </w:rPr>
      </w:pPr>
      <w:r w:rsidRPr="0086351C">
        <w:rPr>
          <w:rFonts w:ascii="Arial" w:eastAsia="Arial" w:hAnsi="Arial" w:cs="Arial"/>
          <w:color w:val="000000" w:themeColor="text1"/>
          <w:sz w:val="16"/>
          <w:szCs w:val="16"/>
        </w:rPr>
        <w:t xml:space="preserve">                                 </w:t>
      </w:r>
      <w:r w:rsidR="00272EA1">
        <w:rPr>
          <w:rFonts w:ascii="Arial" w:eastAsia="Arial" w:hAnsi="Arial" w:cs="Arial"/>
          <w:color w:val="000000" w:themeColor="text1"/>
          <w:sz w:val="16"/>
          <w:szCs w:val="16"/>
        </w:rPr>
        <w:t xml:space="preserve"> </w:t>
      </w:r>
      <w:r w:rsidRPr="0086351C">
        <w:rPr>
          <w:rFonts w:ascii="Arial" w:eastAsia="Arial" w:hAnsi="Arial" w:cs="Arial"/>
          <w:color w:val="000000" w:themeColor="text1"/>
          <w:sz w:val="16"/>
          <w:szCs w:val="16"/>
        </w:rPr>
        <w:t xml:space="preserve"> Claudia Luna – Contratista - Dirección de Asistencia Técnica</w:t>
      </w:r>
      <w:r w:rsidR="3FF78CCA" w:rsidRPr="0086351C">
        <w:rPr>
          <w:rFonts w:ascii="Arial" w:eastAsia="Arial" w:hAnsi="Arial" w:cs="Arial"/>
          <w:color w:val="000000" w:themeColor="text1"/>
          <w:sz w:val="16"/>
          <w:szCs w:val="16"/>
        </w:rPr>
        <w:t xml:space="preserve"> </w:t>
      </w:r>
      <w:r w:rsidR="3FF78CCA" w:rsidRPr="0086351C">
        <w:rPr>
          <w:rFonts w:ascii="Arial" w:hAnsi="Arial" w:cs="Arial"/>
          <w:noProof/>
        </w:rPr>
        <w:drawing>
          <wp:anchor distT="0" distB="0" distL="114300" distR="114300" simplePos="0" relativeHeight="251663360" behindDoc="0" locked="0" layoutInCell="1" allowOverlap="1" wp14:anchorId="32AB5BFC" wp14:editId="7CE5964B">
            <wp:simplePos x="0" y="0"/>
            <wp:positionH relativeFrom="column">
              <wp:posOffset>3720465</wp:posOffset>
            </wp:positionH>
            <wp:positionV relativeFrom="paragraph">
              <wp:posOffset>29845</wp:posOffset>
            </wp:positionV>
            <wp:extent cx="414020" cy="121920"/>
            <wp:effectExtent l="0" t="0" r="5080" b="0"/>
            <wp:wrapNone/>
            <wp:docPr id="1581693524" name="Imagen 158169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414020" cy="121920"/>
                    </a:xfrm>
                    <a:prstGeom prst="rect">
                      <a:avLst/>
                    </a:prstGeom>
                  </pic:spPr>
                </pic:pic>
              </a:graphicData>
            </a:graphic>
          </wp:anchor>
        </w:drawing>
      </w:r>
    </w:p>
    <w:p w14:paraId="7871B79E" w14:textId="413333B6" w:rsidR="06E0002E" w:rsidRPr="0086351C" w:rsidRDefault="06E0002E" w:rsidP="25956B64">
      <w:pPr>
        <w:jc w:val="both"/>
        <w:rPr>
          <w:rFonts w:ascii="Arial" w:eastAsia="Arial" w:hAnsi="Arial" w:cs="Arial"/>
          <w:color w:val="000000" w:themeColor="text1"/>
          <w:sz w:val="14"/>
          <w:szCs w:val="14"/>
        </w:rPr>
      </w:pPr>
      <w:r w:rsidRPr="0086351C">
        <w:rPr>
          <w:rFonts w:ascii="Arial" w:eastAsia="Arial" w:hAnsi="Arial" w:cs="Arial"/>
          <w:color w:val="000000" w:themeColor="text1"/>
          <w:sz w:val="16"/>
          <w:szCs w:val="16"/>
        </w:rPr>
        <w:t xml:space="preserve"> </w:t>
      </w:r>
    </w:p>
    <w:p w14:paraId="11A2228C" w14:textId="4E3A1B97" w:rsidR="06E0002E" w:rsidRPr="0086351C" w:rsidRDefault="00272EA1" w:rsidP="25956B64">
      <w:pPr>
        <w:jc w:val="both"/>
        <w:rPr>
          <w:rFonts w:ascii="Arial" w:hAnsi="Arial" w:cs="Arial"/>
        </w:rPr>
      </w:pPr>
      <w:r w:rsidRPr="0086351C">
        <w:rPr>
          <w:rFonts w:ascii="Arial" w:hAnsi="Arial" w:cs="Arial"/>
          <w:noProof/>
        </w:rPr>
        <w:drawing>
          <wp:anchor distT="0" distB="0" distL="114300" distR="114300" simplePos="0" relativeHeight="251664384" behindDoc="0" locked="0" layoutInCell="1" allowOverlap="1" wp14:anchorId="32E73D93" wp14:editId="318CC526">
            <wp:simplePos x="0" y="0"/>
            <wp:positionH relativeFrom="column">
              <wp:posOffset>4072891</wp:posOffset>
            </wp:positionH>
            <wp:positionV relativeFrom="paragraph">
              <wp:posOffset>220345</wp:posOffset>
            </wp:positionV>
            <wp:extent cx="263686" cy="114300"/>
            <wp:effectExtent l="0" t="0" r="3175" b="0"/>
            <wp:wrapNone/>
            <wp:docPr id="920073906" name="Imagen 92007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64414" cy="114616"/>
                    </a:xfrm>
                    <a:prstGeom prst="rect">
                      <a:avLst/>
                    </a:prstGeom>
                  </pic:spPr>
                </pic:pic>
              </a:graphicData>
            </a:graphic>
            <wp14:sizeRelH relativeFrom="margin">
              <wp14:pctWidth>0</wp14:pctWidth>
            </wp14:sizeRelH>
            <wp14:sizeRelV relativeFrom="margin">
              <wp14:pctHeight>0</wp14:pctHeight>
            </wp14:sizeRelV>
          </wp:anchor>
        </w:drawing>
      </w:r>
      <w:r w:rsidR="06E0002E" w:rsidRPr="0086351C">
        <w:rPr>
          <w:rFonts w:ascii="Arial" w:eastAsia="Arial" w:hAnsi="Arial" w:cs="Arial"/>
          <w:sz w:val="16"/>
          <w:szCs w:val="16"/>
        </w:rPr>
        <w:t xml:space="preserve"> Revisó:  </w:t>
      </w:r>
      <w:r>
        <w:rPr>
          <w:rFonts w:ascii="Arial" w:eastAsia="Arial" w:hAnsi="Arial" w:cs="Arial"/>
          <w:sz w:val="16"/>
          <w:szCs w:val="16"/>
        </w:rPr>
        <w:tab/>
      </w:r>
      <w:r>
        <w:rPr>
          <w:rFonts w:ascii="Arial" w:eastAsia="Arial" w:hAnsi="Arial" w:cs="Arial"/>
          <w:sz w:val="16"/>
          <w:szCs w:val="16"/>
        </w:rPr>
        <w:tab/>
        <w:t xml:space="preserve">   </w:t>
      </w:r>
      <w:r w:rsidR="06E0002E" w:rsidRPr="0086351C">
        <w:rPr>
          <w:rFonts w:ascii="Arial" w:eastAsia="Arial" w:hAnsi="Arial" w:cs="Arial"/>
          <w:sz w:val="16"/>
          <w:szCs w:val="16"/>
        </w:rPr>
        <w:t xml:space="preserve">Nelson Fabián Solorza Contratista, Dirección de Asistencia Técnica </w:t>
      </w:r>
      <w:r w:rsidR="6A52BCCB" w:rsidRPr="0086351C">
        <w:rPr>
          <w:rFonts w:ascii="Arial" w:hAnsi="Arial" w:cs="Arial"/>
          <w:noProof/>
        </w:rPr>
        <w:drawing>
          <wp:inline distT="0" distB="0" distL="0" distR="0" wp14:anchorId="63A255C0" wp14:editId="4B45B382">
            <wp:extent cx="414564" cy="201185"/>
            <wp:effectExtent l="0" t="0" r="0" b="0"/>
            <wp:docPr id="353640103" name="Imagen 35364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414564" cy="201185"/>
                    </a:xfrm>
                    <a:prstGeom prst="rect">
                      <a:avLst/>
                    </a:prstGeom>
                  </pic:spPr>
                </pic:pic>
              </a:graphicData>
            </a:graphic>
          </wp:inline>
        </w:drawing>
      </w:r>
    </w:p>
    <w:p w14:paraId="670DFFB8" w14:textId="20090378" w:rsidR="06E0002E" w:rsidRPr="00272EA1" w:rsidRDefault="06E0002E" w:rsidP="25956B64">
      <w:pPr>
        <w:jc w:val="both"/>
        <w:rPr>
          <w:rFonts w:ascii="Arial" w:hAnsi="Arial" w:cs="Arial"/>
        </w:rPr>
      </w:pPr>
      <w:r w:rsidRPr="0086351C">
        <w:rPr>
          <w:rFonts w:ascii="Arial" w:eastAsia="Arial" w:hAnsi="Arial" w:cs="Arial"/>
          <w:sz w:val="16"/>
          <w:szCs w:val="16"/>
        </w:rPr>
        <w:t xml:space="preserve">             </w:t>
      </w:r>
      <w:r w:rsidR="00272EA1">
        <w:rPr>
          <w:rFonts w:ascii="Arial" w:eastAsia="Arial" w:hAnsi="Arial" w:cs="Arial"/>
          <w:sz w:val="16"/>
          <w:szCs w:val="16"/>
        </w:rPr>
        <w:tab/>
      </w:r>
      <w:r w:rsidR="00272EA1">
        <w:rPr>
          <w:rFonts w:ascii="Arial" w:eastAsia="Arial" w:hAnsi="Arial" w:cs="Arial"/>
          <w:sz w:val="16"/>
          <w:szCs w:val="16"/>
        </w:rPr>
        <w:tab/>
        <w:t xml:space="preserve">  </w:t>
      </w:r>
      <w:r w:rsidRPr="0086351C">
        <w:rPr>
          <w:rFonts w:ascii="Arial" w:eastAsia="Arial" w:hAnsi="Arial" w:cs="Arial"/>
          <w:sz w:val="16"/>
          <w:szCs w:val="16"/>
        </w:rPr>
        <w:t xml:space="preserve"> Linda Catherine Rivera, Contratista Dirección de Asistencia Técnica </w:t>
      </w:r>
    </w:p>
    <w:p w14:paraId="43375D3C" w14:textId="7314C600" w:rsidR="00272EA1" w:rsidRPr="00272EA1" w:rsidRDefault="00272EA1" w:rsidP="00272EA1">
      <w:pPr>
        <w:ind w:left="709" w:firstLine="709"/>
        <w:jc w:val="both"/>
        <w:rPr>
          <w:rFonts w:ascii="Arial" w:eastAsia="Arial" w:hAnsi="Arial" w:cs="Arial"/>
          <w:color w:val="000000" w:themeColor="text1"/>
          <w:sz w:val="16"/>
          <w:szCs w:val="16"/>
        </w:rPr>
      </w:pPr>
      <w:r>
        <w:rPr>
          <w:rFonts w:ascii="Arial" w:hAnsi="Arial" w:cs="Arial"/>
          <w:sz w:val="18"/>
          <w:szCs w:val="18"/>
        </w:rPr>
        <w:t xml:space="preserve">   </w:t>
      </w:r>
      <w:r w:rsidRPr="00272EA1">
        <w:rPr>
          <w:rFonts w:ascii="Arial" w:eastAsia="Arial" w:hAnsi="Arial" w:cs="Arial"/>
          <w:color w:val="000000" w:themeColor="text1"/>
          <w:sz w:val="16"/>
          <w:szCs w:val="16"/>
        </w:rPr>
        <w:t>Andrea Torres, Contratista, Vicepresidencia de Integración Productiva</w:t>
      </w:r>
    </w:p>
    <w:p w14:paraId="3E00A488" w14:textId="77E6FA14" w:rsidR="00272EA1" w:rsidRPr="00272EA1" w:rsidRDefault="00272EA1" w:rsidP="00272EA1">
      <w:pPr>
        <w:ind w:left="720" w:firstLine="720"/>
        <w:jc w:val="both"/>
        <w:rPr>
          <w:rFonts w:ascii="Arial" w:eastAsia="Arial" w:hAnsi="Arial" w:cs="Arial"/>
          <w:color w:val="000000" w:themeColor="text1"/>
          <w:sz w:val="16"/>
          <w:szCs w:val="16"/>
        </w:rPr>
      </w:pPr>
      <w:r w:rsidRPr="00272EA1">
        <w:rPr>
          <w:rFonts w:ascii="Arial" w:eastAsia="Arial" w:hAnsi="Arial" w:cs="Arial"/>
          <w:color w:val="000000" w:themeColor="text1"/>
          <w:sz w:val="16"/>
          <w:szCs w:val="16"/>
        </w:rPr>
        <w:t xml:space="preserve">   Alix Amparo Acuña, Contratista Vicepresidencia de Integración Productiva</w:t>
      </w:r>
    </w:p>
    <w:p w14:paraId="39B4D82A" w14:textId="0316D7A7" w:rsidR="00272EA1" w:rsidRPr="00272EA1" w:rsidRDefault="00272EA1" w:rsidP="00272EA1">
      <w:pPr>
        <w:jc w:val="both"/>
        <w:rPr>
          <w:rFonts w:ascii="Arial" w:eastAsia="Arial" w:hAnsi="Arial" w:cs="Arial"/>
          <w:color w:val="000000" w:themeColor="text1"/>
          <w:sz w:val="16"/>
          <w:szCs w:val="16"/>
        </w:rPr>
      </w:pPr>
      <w:r w:rsidRPr="00272EA1">
        <w:rPr>
          <w:rFonts w:ascii="Arial" w:eastAsia="Arial" w:hAnsi="Arial" w:cs="Arial"/>
          <w:color w:val="000000" w:themeColor="text1"/>
          <w:sz w:val="16"/>
          <w:szCs w:val="16"/>
        </w:rPr>
        <w:tab/>
      </w:r>
      <w:r w:rsidRPr="00272EA1">
        <w:rPr>
          <w:rFonts w:ascii="Arial" w:eastAsia="Arial" w:hAnsi="Arial" w:cs="Arial"/>
          <w:color w:val="000000" w:themeColor="text1"/>
          <w:sz w:val="16"/>
          <w:szCs w:val="16"/>
        </w:rPr>
        <w:tab/>
        <w:t xml:space="preserve">    Gabriel José Moncada, Contratista Vicepresidencia de Integración Productiva</w:t>
      </w:r>
    </w:p>
    <w:p w14:paraId="43140839" w14:textId="205495F6" w:rsidR="00272EA1" w:rsidRDefault="0064332A" w:rsidP="00272EA1">
      <w:pPr>
        <w:jc w:val="both"/>
        <w:rPr>
          <w:rFonts w:ascii="Arial" w:eastAsia="Arial" w:hAnsi="Arial" w:cs="Arial"/>
          <w:sz w:val="16"/>
          <w:szCs w:val="16"/>
        </w:rPr>
      </w:pPr>
      <w:r>
        <w:rPr>
          <w:rFonts w:ascii="Arial" w:eastAsia="Arial" w:hAnsi="Arial" w:cs="Arial"/>
          <w:noProof/>
          <w:sz w:val="16"/>
          <w:szCs w:val="16"/>
          <w14:ligatures w14:val="standardContextual"/>
        </w:rPr>
        <w:drawing>
          <wp:anchor distT="0" distB="0" distL="114300" distR="114300" simplePos="0" relativeHeight="251665408" behindDoc="0" locked="0" layoutInCell="1" allowOverlap="1" wp14:anchorId="21EECD18" wp14:editId="0653429E">
            <wp:simplePos x="0" y="0"/>
            <wp:positionH relativeFrom="column">
              <wp:posOffset>3684905</wp:posOffset>
            </wp:positionH>
            <wp:positionV relativeFrom="paragraph">
              <wp:posOffset>52543</wp:posOffset>
            </wp:positionV>
            <wp:extent cx="352425" cy="255204"/>
            <wp:effectExtent l="0" t="0" r="0" b="0"/>
            <wp:wrapNone/>
            <wp:docPr id="731455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55454" name="Imagen 731455454"/>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52425" cy="255204"/>
                    </a:xfrm>
                    <a:prstGeom prst="rect">
                      <a:avLst/>
                    </a:prstGeom>
                  </pic:spPr>
                </pic:pic>
              </a:graphicData>
            </a:graphic>
            <wp14:sizeRelH relativeFrom="margin">
              <wp14:pctWidth>0</wp14:pctWidth>
            </wp14:sizeRelH>
            <wp14:sizeRelV relativeFrom="margin">
              <wp14:pctHeight>0</wp14:pctHeight>
            </wp14:sizeRelV>
          </wp:anchor>
        </w:drawing>
      </w:r>
    </w:p>
    <w:p w14:paraId="043FABB3" w14:textId="7A0EAECB" w:rsidR="00841956" w:rsidRPr="00272EA1" w:rsidRDefault="06E0002E" w:rsidP="00272EA1">
      <w:pPr>
        <w:jc w:val="both"/>
        <w:rPr>
          <w:rFonts w:ascii="Arial" w:hAnsi="Arial" w:cs="Arial"/>
        </w:rPr>
      </w:pPr>
      <w:r w:rsidRPr="0086351C">
        <w:rPr>
          <w:rFonts w:ascii="Arial" w:eastAsia="Arial" w:hAnsi="Arial" w:cs="Arial"/>
          <w:sz w:val="16"/>
          <w:szCs w:val="16"/>
        </w:rPr>
        <w:t>Aprobó: David Pulido Arredondo, Contratista, Líder Dirección Asistencia Técnica</w:t>
      </w:r>
    </w:p>
    <w:sectPr w:rsidR="00841956" w:rsidRPr="00272EA1" w:rsidSect="003C49E7">
      <w:headerReference w:type="even" r:id="rId60"/>
      <w:headerReference w:type="default" r:id="rId61"/>
      <w:headerReference w:type="first" r:id="rId62"/>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EA194" w14:textId="77777777" w:rsidR="00402313" w:rsidRDefault="00402313" w:rsidP="000C6F96">
      <w:r>
        <w:separator/>
      </w:r>
    </w:p>
  </w:endnote>
  <w:endnote w:type="continuationSeparator" w:id="0">
    <w:p w14:paraId="3AEA2220" w14:textId="77777777" w:rsidR="00402313" w:rsidRDefault="00402313" w:rsidP="000C6F96">
      <w:r>
        <w:continuationSeparator/>
      </w:r>
    </w:p>
  </w:endnote>
  <w:endnote w:type="continuationNotice" w:id="1">
    <w:p w14:paraId="0634351A" w14:textId="77777777" w:rsidR="00402313" w:rsidRDefault="00402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ordVisi_MSFontService">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4221F" w14:textId="77777777" w:rsidR="00402313" w:rsidRDefault="00402313" w:rsidP="000C6F96">
      <w:r>
        <w:separator/>
      </w:r>
    </w:p>
  </w:footnote>
  <w:footnote w:type="continuationSeparator" w:id="0">
    <w:p w14:paraId="221A7D94" w14:textId="77777777" w:rsidR="00402313" w:rsidRDefault="00402313" w:rsidP="000C6F96">
      <w:r>
        <w:continuationSeparator/>
      </w:r>
    </w:p>
  </w:footnote>
  <w:footnote w:type="continuationNotice" w:id="1">
    <w:p w14:paraId="3F0E7DBC" w14:textId="77777777" w:rsidR="00402313" w:rsidRDefault="00402313"/>
  </w:footnote>
  <w:footnote w:id="2">
    <w:p w14:paraId="1AFE666C" w14:textId="7654FA7F" w:rsidR="0041494D" w:rsidRPr="0041494D" w:rsidRDefault="0041494D">
      <w:pPr>
        <w:pStyle w:val="Textonotapie"/>
        <w:rPr>
          <w:lang w:val="es-MX"/>
        </w:rPr>
      </w:pPr>
      <w:r>
        <w:rPr>
          <w:rStyle w:val="Refdenotaalpie"/>
        </w:rPr>
        <w:footnoteRef/>
      </w:r>
      <w:r>
        <w:t xml:space="preserve"> </w:t>
      </w:r>
      <w:hyperlink r:id="rId1" w:history="1">
        <w:r w:rsidR="003C1A1F" w:rsidRPr="000A424D">
          <w:rPr>
            <w:rStyle w:val="Hipervnculo"/>
            <w:rFonts w:ascii="Arial" w:hAnsi="Arial" w:cs="Arial"/>
            <w:sz w:val="18"/>
            <w:szCs w:val="18"/>
          </w:rPr>
          <w:t>https://www.dane.gov.co/index.php/estadisticas-por-tema/cuentas-nacionales/cuentas-nacionales-trimestrales/pib-informacion-tecnica</w:t>
        </w:r>
      </w:hyperlink>
    </w:p>
  </w:footnote>
  <w:footnote w:id="3">
    <w:p w14:paraId="2A138DE8" w14:textId="77777777" w:rsidR="00A91899" w:rsidRPr="009B0664" w:rsidRDefault="00ED074A" w:rsidP="00A91899">
      <w:pPr>
        <w:pStyle w:val="Textonotapie"/>
        <w:rPr>
          <w:lang w:val="es-MX"/>
        </w:rPr>
      </w:pPr>
      <w:r>
        <w:rPr>
          <w:rStyle w:val="Refdenotaalpie"/>
        </w:rPr>
        <w:footnoteRef/>
      </w:r>
      <w:r>
        <w:t xml:space="preserve"> </w:t>
      </w:r>
      <w:r w:rsidR="00A91899" w:rsidRPr="00C77520">
        <w:rPr>
          <w:rStyle w:val="normaltextrun"/>
          <w:rFonts w:ascii="Arial" w:eastAsia="Tahoma" w:hAnsi="Arial" w:cs="Arial"/>
          <w:sz w:val="18"/>
          <w:szCs w:val="18"/>
        </w:rPr>
        <w:t>https://</w:t>
      </w:r>
      <w:hyperlink r:id="rId2">
        <w:r w:rsidR="00A91899" w:rsidRPr="00C77520">
          <w:rPr>
            <w:rStyle w:val="normaltextrun"/>
            <w:rFonts w:ascii="Arial" w:eastAsia="Tahoma" w:hAnsi="Arial" w:cs="Arial"/>
            <w:color w:val="0000FF"/>
            <w:sz w:val="18"/>
            <w:szCs w:val="18"/>
          </w:rPr>
          <w:t>www.dane.gov.co/index.php/estadisticas-por-tema/precios-y-costos/indice-de-precios-al-consumidor-ipc/ipc-informacion-tecnica</w:t>
        </w:r>
      </w:hyperlink>
      <w:r w:rsidR="00A91899" w:rsidRPr="00C77520">
        <w:rPr>
          <w:rStyle w:val="eop"/>
          <w:rFonts w:ascii="Arial" w:eastAsia="Tahoma" w:hAnsi="Arial" w:cs="Arial"/>
          <w:sz w:val="18"/>
          <w:szCs w:val="18"/>
        </w:rPr>
        <w:t> </w:t>
      </w:r>
    </w:p>
    <w:p w14:paraId="15E3D873" w14:textId="4B37B434" w:rsidR="00ED074A" w:rsidRPr="00ED074A" w:rsidRDefault="00ED074A">
      <w:pPr>
        <w:pStyle w:val="Textonotapie"/>
        <w:rPr>
          <w:lang w:val="es-MX"/>
        </w:rPr>
      </w:pPr>
    </w:p>
  </w:footnote>
  <w:footnote w:id="4">
    <w:p w14:paraId="763C5874" w14:textId="4A01EEB8" w:rsidR="00763AA3" w:rsidRDefault="00D77037">
      <w:pPr>
        <w:pStyle w:val="Textonotapie"/>
        <w:rPr>
          <w:rStyle w:val="normaltextrun"/>
          <w:rFonts w:ascii="Arial" w:eastAsia="Tahoma" w:hAnsi="Arial" w:cs="Arial"/>
          <w:sz w:val="18"/>
          <w:szCs w:val="18"/>
        </w:rPr>
      </w:pPr>
      <w:r>
        <w:rPr>
          <w:rStyle w:val="Refdenotaalpie"/>
        </w:rPr>
        <w:footnoteRef/>
      </w:r>
      <w:r w:rsidR="070EA136">
        <w:t xml:space="preserve"> </w:t>
      </w:r>
      <w:hyperlink r:id="rId3" w:history="1">
        <w:r w:rsidR="070EA136" w:rsidRPr="00805EDF">
          <w:rPr>
            <w:rStyle w:val="Hipervnculo"/>
            <w:rFonts w:ascii="Arial" w:eastAsia="Tahoma" w:hAnsi="Arial" w:cs="Arial"/>
            <w:sz w:val="18"/>
            <w:szCs w:val="18"/>
          </w:rPr>
          <w:t>https://www.dane.gov.co/files/operaciones/EMS/bol-EMS-may2024.pdf</w:t>
        </w:r>
      </w:hyperlink>
    </w:p>
    <w:p w14:paraId="55D31E7E" w14:textId="4BFB82E5" w:rsidR="00D77037" w:rsidRPr="00D77037" w:rsidRDefault="00F6537F">
      <w:pPr>
        <w:pStyle w:val="Textonotapie"/>
        <w:rPr>
          <w:lang w:val="es-MX"/>
        </w:rPr>
      </w:pPr>
      <w:r w:rsidRPr="00333A9D">
        <w:rPr>
          <w:rStyle w:val="eop"/>
          <w:rFonts w:ascii="Arial" w:eastAsia="Tahoma" w:hAnsi="Arial" w:cs="Arial"/>
          <w:sz w:val="18"/>
          <w:szCs w:val="18"/>
        </w:rPr>
        <w:t> </w:t>
      </w:r>
    </w:p>
  </w:footnote>
  <w:footnote w:id="5">
    <w:p w14:paraId="3C0858B4" w14:textId="0A34923B" w:rsidR="004319F5" w:rsidRPr="004319F5" w:rsidRDefault="004319F5">
      <w:pPr>
        <w:pStyle w:val="Textonotapie"/>
        <w:rPr>
          <w:lang w:val="es-MX"/>
        </w:rPr>
      </w:pPr>
      <w:r>
        <w:rPr>
          <w:rStyle w:val="Refdenotaalpie"/>
        </w:rPr>
        <w:footnoteRef/>
      </w:r>
      <w:r>
        <w:t xml:space="preserve"> </w:t>
      </w:r>
      <w:r w:rsidR="00116C99" w:rsidRPr="00154DD3">
        <w:rPr>
          <w:rStyle w:val="normaltextrun"/>
          <w:rFonts w:ascii="Arial" w:eastAsia="Tahoma" w:hAnsi="Arial" w:cs="Arial"/>
          <w:sz w:val="18"/>
          <w:szCs w:val="18"/>
        </w:rPr>
        <w:t>https</w:t>
      </w:r>
      <w:hyperlink r:id="rId4">
        <w:r w:rsidR="00116C99" w:rsidRPr="00154DD3">
          <w:rPr>
            <w:rStyle w:val="normaltextrun"/>
            <w:rFonts w:ascii="Arial" w:eastAsia="Tahoma" w:hAnsi="Arial" w:cs="Arial"/>
            <w:color w:val="0000FF"/>
            <w:sz w:val="18"/>
            <w:szCs w:val="18"/>
          </w:rPr>
          <w:t>://www.</w:t>
        </w:r>
      </w:hyperlink>
      <w:r w:rsidR="00116C99" w:rsidRPr="00154DD3">
        <w:rPr>
          <w:rStyle w:val="normaltextrun"/>
          <w:rFonts w:ascii="Arial" w:eastAsia="Tahoma" w:hAnsi="Arial" w:cs="Arial"/>
          <w:sz w:val="18"/>
          <w:szCs w:val="18"/>
        </w:rPr>
        <w:t>dan</w:t>
      </w:r>
      <w:hyperlink r:id="rId5">
        <w:r w:rsidR="00116C99" w:rsidRPr="00154DD3">
          <w:rPr>
            <w:rStyle w:val="normaltextrun"/>
            <w:rFonts w:ascii="Arial" w:eastAsia="Tahoma" w:hAnsi="Arial" w:cs="Arial"/>
            <w:color w:val="0000FF"/>
            <w:sz w:val="18"/>
            <w:szCs w:val="18"/>
          </w:rPr>
          <w:t>e.gov.co/index.php/estadisticas-por-tema/agropecuario/encuesta-nacional-agropecuaria-ena</w:t>
        </w:r>
      </w:hyperlink>
    </w:p>
  </w:footnote>
  <w:footnote w:id="6">
    <w:p w14:paraId="31112A93" w14:textId="04734F53" w:rsidR="008C52D5" w:rsidRPr="008C52D5" w:rsidRDefault="008C52D5">
      <w:pPr>
        <w:pStyle w:val="Textonotapie"/>
        <w:rPr>
          <w:lang w:val="es-MX"/>
        </w:rPr>
      </w:pPr>
      <w:r>
        <w:rPr>
          <w:rStyle w:val="Refdenotaalpie"/>
        </w:rPr>
        <w:footnoteRef/>
      </w:r>
      <w:r>
        <w:t xml:space="preserve"> </w:t>
      </w:r>
      <w:r w:rsidR="00BA0351">
        <w:t xml:space="preserve"> </w:t>
      </w:r>
      <w:hyperlink r:id="rId6" w:history="1">
        <w:r w:rsidR="00BA0351" w:rsidRPr="007A2C3C">
          <w:rPr>
            <w:rStyle w:val="Hipervnculo"/>
            <w:rFonts w:ascii="Arial" w:eastAsia="Tahoma" w:hAnsi="Arial" w:cs="Arial"/>
            <w:sz w:val="18"/>
            <w:szCs w:val="18"/>
          </w:rPr>
          <w:t>https://www.imf.org/es/Publications/WEO/Issues/2024/04/16/world-economic-outlook-april-2024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7BF9" w14:textId="31EB5164" w:rsidR="003075AC" w:rsidRDefault="002912F5">
    <w:pPr>
      <w:pStyle w:val="Encabezado"/>
    </w:pPr>
    <w:r>
      <w:rPr>
        <w:noProof/>
      </w:rPr>
      <w:pict w14:anchorId="1B1FE6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6416376" o:spid="_x0000_s1026" type="#_x0000_t136" style="position:absolute;margin-left:0;margin-top:0;width:563.7pt;height:59.3pt;rotation:315;z-index:-251658239;mso-position-horizontal:center;mso-position-horizontal-relative:margin;mso-position-vertical:center;mso-position-vertical-relative:margin" o:allowincell="f" fillcolor="silver" stroked="f">
          <v:fill opacity=".5"/>
          <v:textpath style="font-family:&quot;Times New Roman&quot;;font-size:1pt" string="VERSIÓN PRELIMINA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1372"/>
      <w:gridCol w:w="958"/>
      <w:gridCol w:w="649"/>
      <w:gridCol w:w="2592"/>
      <w:gridCol w:w="3615"/>
    </w:tblGrid>
    <w:tr w:rsidR="00A33E8F" w:rsidRPr="00A33E8F" w14:paraId="0D4F90AF" w14:textId="77777777" w:rsidTr="32FDD0E3">
      <w:trPr>
        <w:trHeight w:val="393"/>
        <w:jc w:val="center"/>
      </w:trPr>
      <w:tc>
        <w:tcPr>
          <w:tcW w:w="2459" w:type="dxa"/>
          <w:gridSpan w:val="2"/>
          <w:shd w:val="clear" w:color="auto" w:fill="auto"/>
          <w:vAlign w:val="center"/>
        </w:tcPr>
        <w:p w14:paraId="4A9315B4" w14:textId="77777777" w:rsidR="00A33E8F" w:rsidRPr="00A33E8F" w:rsidRDefault="32FDD0E3" w:rsidP="32FDD0E3">
          <w:pPr>
            <w:widowControl w:val="0"/>
            <w:autoSpaceDE w:val="0"/>
            <w:autoSpaceDN w:val="0"/>
            <w:spacing w:before="40" w:after="20"/>
            <w:jc w:val="center"/>
            <w:rPr>
              <w:rFonts w:ascii="Arial MT" w:eastAsia="Calibri" w:hAnsi="Arial MT" w:cs="Arial MT"/>
              <w:b/>
              <w:bCs/>
              <w:sz w:val="18"/>
              <w:szCs w:val="18"/>
              <w:lang w:val="es-ES" w:eastAsia="en-US"/>
            </w:rPr>
          </w:pPr>
          <w:r>
            <w:rPr>
              <w:noProof/>
            </w:rPr>
            <w:drawing>
              <wp:inline distT="0" distB="0" distL="0" distR="0" wp14:anchorId="5B134C64" wp14:editId="1635A6BA">
                <wp:extent cx="1172731" cy="405765"/>
                <wp:effectExtent l="0" t="0" r="889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pic:nvPicPr>
                      <pic:blipFill>
                        <a:blip r:embed="rId1">
                          <a:extLst>
                            <a:ext uri="{28A0092B-C50C-407E-A947-70E740481C1C}">
                              <a14:useLocalDpi xmlns:a14="http://schemas.microsoft.com/office/drawing/2010/main" val="0"/>
                            </a:ext>
                          </a:extLst>
                        </a:blip>
                        <a:stretch>
                          <a:fillRect/>
                        </a:stretch>
                      </pic:blipFill>
                      <pic:spPr>
                        <a:xfrm>
                          <a:off x="0" y="0"/>
                          <a:ext cx="1172731" cy="405765"/>
                        </a:xfrm>
                        <a:prstGeom prst="rect">
                          <a:avLst/>
                        </a:prstGeom>
                      </pic:spPr>
                    </pic:pic>
                  </a:graphicData>
                </a:graphic>
              </wp:inline>
            </w:drawing>
          </w:r>
        </w:p>
      </w:tc>
      <w:tc>
        <w:tcPr>
          <w:tcW w:w="4199" w:type="dxa"/>
          <w:gridSpan w:val="3"/>
          <w:shd w:val="clear" w:color="auto" w:fill="auto"/>
          <w:vAlign w:val="center"/>
        </w:tcPr>
        <w:p w14:paraId="7A5A2FA7" w14:textId="05A29537" w:rsidR="00A33E8F" w:rsidRPr="00A33E8F" w:rsidRDefault="32FDD0E3" w:rsidP="32FDD0E3">
          <w:pPr>
            <w:widowControl w:val="0"/>
            <w:tabs>
              <w:tab w:val="center" w:pos="4419"/>
              <w:tab w:val="right" w:pos="8838"/>
            </w:tabs>
            <w:autoSpaceDE w:val="0"/>
            <w:autoSpaceDN w:val="0"/>
            <w:jc w:val="center"/>
            <w:rPr>
              <w:rFonts w:ascii="Arial" w:eastAsia="Arial" w:hAnsi="Arial" w:cs="Arial"/>
              <w:b/>
              <w:bCs/>
              <w:color w:val="000000" w:themeColor="text1"/>
              <w:sz w:val="14"/>
              <w:szCs w:val="14"/>
              <w:lang w:val="es"/>
            </w:rPr>
          </w:pPr>
          <w:r w:rsidRPr="32FDD0E3">
            <w:rPr>
              <w:rFonts w:ascii="Arial" w:eastAsia="Arial" w:hAnsi="Arial" w:cs="Arial"/>
              <w:b/>
              <w:bCs/>
              <w:color w:val="000000" w:themeColor="text1"/>
              <w:sz w:val="16"/>
              <w:szCs w:val="16"/>
              <w:lang w:val="es"/>
            </w:rPr>
            <w:t>ESTUDIO DE MERCADO Y ANÁLISIS DEL SECTOR</w:t>
          </w:r>
        </w:p>
        <w:p w14:paraId="322EFDD9" w14:textId="51F46993" w:rsidR="00A33E8F" w:rsidRPr="00A33E8F" w:rsidRDefault="32FDD0E3" w:rsidP="32FDD0E3">
          <w:pPr>
            <w:widowControl w:val="0"/>
            <w:tabs>
              <w:tab w:val="center" w:pos="4419"/>
              <w:tab w:val="right" w:pos="8838"/>
            </w:tabs>
            <w:autoSpaceDE w:val="0"/>
            <w:autoSpaceDN w:val="0"/>
            <w:jc w:val="center"/>
            <w:rPr>
              <w:rFonts w:ascii="Arial" w:eastAsia="Arial" w:hAnsi="Arial" w:cs="Arial"/>
              <w:sz w:val="16"/>
              <w:szCs w:val="16"/>
              <w:lang w:val="es-ES"/>
            </w:rPr>
          </w:pPr>
          <w:r w:rsidRPr="32FDD0E3">
            <w:rPr>
              <w:rFonts w:ascii="Arial" w:eastAsia="Arial" w:hAnsi="Arial" w:cs="Arial"/>
              <w:b/>
              <w:bCs/>
              <w:color w:val="000000" w:themeColor="text1"/>
              <w:sz w:val="16"/>
              <w:szCs w:val="16"/>
              <w:lang w:val="es"/>
            </w:rPr>
            <w:t>CONVENIOS INTERADMINISTRATIVOS</w:t>
          </w:r>
        </w:p>
      </w:tc>
      <w:tc>
        <w:tcPr>
          <w:tcW w:w="3615" w:type="dxa"/>
          <w:vAlign w:val="center"/>
        </w:tcPr>
        <w:p w14:paraId="4FCD2D4C"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b/>
              <w:noProof/>
              <w:color w:val="000000"/>
              <w:sz w:val="18"/>
              <w:szCs w:val="18"/>
              <w:lang w:val="es-ES"/>
            </w:rPr>
          </w:pPr>
          <w:r w:rsidRPr="00A33E8F">
            <w:rPr>
              <w:rFonts w:ascii="Arial MT" w:eastAsia="Arial MT" w:hAnsi="Arial MT" w:cs="Arial"/>
              <w:noProof/>
              <w:sz w:val="16"/>
              <w:szCs w:val="16"/>
              <w:lang w:val="en-US" w:eastAsia="en-US"/>
            </w:rPr>
            <w:drawing>
              <wp:inline distT="0" distB="0" distL="0" distR="0" wp14:anchorId="0B33CD6D" wp14:editId="5D5C85BE">
                <wp:extent cx="1260000" cy="394670"/>
                <wp:effectExtent l="0" t="0" r="0" b="5715"/>
                <wp:docPr id="4" name="Imagen 4">
                  <a:extLst xmlns:a="http://schemas.openxmlformats.org/drawingml/2006/main">
                    <a:ext uri="{FF2B5EF4-FFF2-40B4-BE49-F238E27FC236}">
                      <a16:creationId xmlns:a16="http://schemas.microsoft.com/office/drawing/2014/main" id="{BED71CF0-8D5F-6045-9FEA-DCF8F5D715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BED71CF0-8D5F-6045-9FEA-DCF8F5D715FF}"/>
                            </a:ext>
                          </a:extLst>
                        </pic:cNvPr>
                        <pic:cNvPicPr>
                          <a:picLocks noChangeAspect="1"/>
                        </pic:cNvPicPr>
                      </pic:nvPicPr>
                      <pic:blipFill>
                        <a:blip r:embed="rId2" cstate="print">
                          <a:extLst>
                            <a:ext uri="{28A0092B-C50C-407E-A947-70E740481C1C}">
                              <a14:useLocalDpi xmlns:a14="http://schemas.microsoft.com/office/drawing/2010/main" val="0"/>
                            </a:ext>
                          </a:extLst>
                        </a:blip>
                        <a:srcRect/>
                        <a:stretch/>
                      </pic:blipFill>
                      <pic:spPr>
                        <a:xfrm>
                          <a:off x="0" y="0"/>
                          <a:ext cx="1260000" cy="394670"/>
                        </a:xfrm>
                        <a:prstGeom prst="rect">
                          <a:avLst/>
                        </a:prstGeom>
                        <a:ln>
                          <a:noFill/>
                        </a:ln>
                      </pic:spPr>
                    </pic:pic>
                  </a:graphicData>
                </a:graphic>
              </wp:inline>
            </w:drawing>
          </w:r>
        </w:p>
      </w:tc>
    </w:tr>
    <w:tr w:rsidR="00A33E8F" w:rsidRPr="00A33E8F" w14:paraId="11ADFEC3" w14:textId="77777777" w:rsidTr="32FDD0E3">
      <w:trPr>
        <w:trHeight w:val="393"/>
        <w:jc w:val="center"/>
      </w:trPr>
      <w:tc>
        <w:tcPr>
          <w:tcW w:w="1087" w:type="dxa"/>
          <w:shd w:val="clear" w:color="auto" w:fill="F2F2F2" w:themeFill="background1" w:themeFillShade="F2"/>
          <w:vAlign w:val="center"/>
        </w:tcPr>
        <w:p w14:paraId="406E3568"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b/>
              <w:sz w:val="18"/>
              <w:szCs w:val="18"/>
              <w:lang w:val="es-ES" w:eastAsia="en-US"/>
            </w:rPr>
          </w:pPr>
          <w:r w:rsidRPr="00A33E8F">
            <w:rPr>
              <w:rFonts w:ascii="Arial" w:eastAsia="Arial MT" w:hAnsi="Arial" w:cs="Arial"/>
              <w:b/>
              <w:sz w:val="18"/>
              <w:szCs w:val="18"/>
              <w:lang w:val="es-ES" w:eastAsia="en-US"/>
            </w:rPr>
            <w:t>Código</w:t>
          </w:r>
        </w:p>
      </w:tc>
      <w:tc>
        <w:tcPr>
          <w:tcW w:w="1372" w:type="dxa"/>
          <w:shd w:val="clear" w:color="auto" w:fill="auto"/>
          <w:vAlign w:val="center"/>
        </w:tcPr>
        <w:p w14:paraId="5F03BA96"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sz w:val="18"/>
              <w:szCs w:val="18"/>
              <w:lang w:val="es-ES" w:eastAsia="en-US"/>
            </w:rPr>
          </w:pPr>
          <w:r w:rsidRPr="00A33E8F">
            <w:rPr>
              <w:rFonts w:ascii="Arial" w:eastAsia="Arial MT" w:hAnsi="Arial" w:cs="Arial"/>
              <w:sz w:val="18"/>
              <w:szCs w:val="18"/>
              <w:lang w:val="es-ES" w:eastAsia="en-US"/>
            </w:rPr>
            <w:t>xxxxxxx</w:t>
          </w:r>
        </w:p>
      </w:tc>
      <w:tc>
        <w:tcPr>
          <w:tcW w:w="958" w:type="dxa"/>
          <w:shd w:val="clear" w:color="auto" w:fill="F2F2F2" w:themeFill="background1" w:themeFillShade="F2"/>
          <w:vAlign w:val="center"/>
        </w:tcPr>
        <w:p w14:paraId="2D19E43C"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b/>
              <w:sz w:val="18"/>
              <w:szCs w:val="18"/>
              <w:lang w:val="es-ES" w:eastAsia="en-US"/>
            </w:rPr>
          </w:pPr>
          <w:r w:rsidRPr="00A33E8F">
            <w:rPr>
              <w:rFonts w:ascii="Arial" w:eastAsia="Arial MT" w:hAnsi="Arial" w:cs="Arial"/>
              <w:b/>
              <w:sz w:val="18"/>
              <w:szCs w:val="18"/>
              <w:lang w:val="es-ES" w:eastAsia="en-US"/>
            </w:rPr>
            <w:t>Versión</w:t>
          </w:r>
        </w:p>
      </w:tc>
      <w:tc>
        <w:tcPr>
          <w:tcW w:w="649" w:type="dxa"/>
          <w:vAlign w:val="center"/>
        </w:tcPr>
        <w:p w14:paraId="5555A02C"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sz w:val="18"/>
              <w:szCs w:val="18"/>
              <w:lang w:val="es-ES" w:eastAsia="en-US"/>
            </w:rPr>
          </w:pPr>
          <w:r w:rsidRPr="00A33E8F">
            <w:rPr>
              <w:rFonts w:ascii="Arial" w:eastAsia="Arial MT" w:hAnsi="Arial" w:cs="Arial"/>
              <w:sz w:val="18"/>
              <w:szCs w:val="18"/>
              <w:lang w:val="es-ES" w:eastAsia="en-US"/>
            </w:rPr>
            <w:t>1</w:t>
          </w:r>
        </w:p>
      </w:tc>
      <w:tc>
        <w:tcPr>
          <w:tcW w:w="2592" w:type="dxa"/>
          <w:shd w:val="clear" w:color="auto" w:fill="F2F2F2" w:themeFill="background1" w:themeFillShade="F2"/>
          <w:vAlign w:val="center"/>
        </w:tcPr>
        <w:p w14:paraId="50EE91AC"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b/>
              <w:sz w:val="18"/>
              <w:szCs w:val="18"/>
              <w:lang w:val="es-ES" w:eastAsia="en-US"/>
            </w:rPr>
          </w:pPr>
          <w:r w:rsidRPr="00A33E8F">
            <w:rPr>
              <w:rFonts w:ascii="Arial" w:eastAsia="Arial MT" w:hAnsi="Arial" w:cs="Arial"/>
              <w:b/>
              <w:sz w:val="18"/>
              <w:szCs w:val="18"/>
              <w:lang w:val="es-ES" w:eastAsia="en-US"/>
            </w:rPr>
            <w:t>Clasificación de la Información</w:t>
          </w:r>
        </w:p>
      </w:tc>
      <w:tc>
        <w:tcPr>
          <w:tcW w:w="3615" w:type="dxa"/>
          <w:vAlign w:val="center"/>
        </w:tcPr>
        <w:p w14:paraId="6B575D95" w14:textId="77777777" w:rsidR="00A33E8F" w:rsidRPr="00A33E8F" w:rsidRDefault="00A33E8F" w:rsidP="00A33E8F">
          <w:pPr>
            <w:widowControl w:val="0"/>
            <w:tabs>
              <w:tab w:val="center" w:pos="4419"/>
              <w:tab w:val="right" w:pos="8838"/>
            </w:tabs>
            <w:autoSpaceDE w:val="0"/>
            <w:autoSpaceDN w:val="0"/>
            <w:jc w:val="center"/>
            <w:rPr>
              <w:rFonts w:ascii="Arial" w:eastAsia="Arial MT" w:hAnsi="Arial" w:cs="Arial"/>
              <w:sz w:val="18"/>
              <w:szCs w:val="18"/>
              <w:lang w:val="es-ES" w:eastAsia="en-US"/>
            </w:rPr>
          </w:pPr>
          <w:r w:rsidRPr="00A33E8F">
            <w:rPr>
              <w:rFonts w:ascii="Arial" w:eastAsia="Arial MT" w:hAnsi="Arial" w:cs="Arial"/>
              <w:sz w:val="18"/>
              <w:szCs w:val="18"/>
              <w:lang w:val="es-ES" w:eastAsia="en-US"/>
            </w:rPr>
            <w:t xml:space="preserve">Publica </w:t>
          </w:r>
          <w:sdt>
            <w:sdtPr>
              <w:rPr>
                <w:rFonts w:ascii="Arial" w:eastAsia="Arial MT" w:hAnsi="Arial" w:cs="Arial"/>
                <w:sz w:val="18"/>
                <w:szCs w:val="18"/>
                <w:lang w:val="es-ES" w:eastAsia="en-US"/>
              </w:rPr>
              <w:id w:val="1984732860"/>
              <w14:checkbox>
                <w14:checked w14:val="1"/>
                <w14:checkedState w14:val="2612" w14:font="MS Gothic"/>
                <w14:uncheckedState w14:val="2610" w14:font="MS Gothic"/>
              </w14:checkbox>
            </w:sdtPr>
            <w:sdtEndPr/>
            <w:sdtContent>
              <w:r w:rsidRPr="00A33E8F">
                <w:rPr>
                  <w:rFonts w:ascii="Segoe UI Symbol" w:eastAsia="Arial MT" w:hAnsi="Segoe UI Symbol" w:cs="Segoe UI Symbol"/>
                  <w:sz w:val="18"/>
                  <w:szCs w:val="18"/>
                  <w:lang w:val="es-ES" w:eastAsia="en-US"/>
                </w:rPr>
                <w:t>☒</w:t>
              </w:r>
            </w:sdtContent>
          </w:sdt>
          <w:r w:rsidRPr="00A33E8F">
            <w:rPr>
              <w:rFonts w:ascii="Arial" w:eastAsia="Arial MT" w:hAnsi="Arial" w:cs="Arial"/>
              <w:sz w:val="18"/>
              <w:szCs w:val="18"/>
              <w:lang w:val="es-ES" w:eastAsia="en-US"/>
            </w:rPr>
            <w:t xml:space="preserve"> Reservada </w:t>
          </w:r>
          <w:sdt>
            <w:sdtPr>
              <w:rPr>
                <w:rFonts w:ascii="Arial" w:eastAsia="Arial MT" w:hAnsi="Arial" w:cs="Arial"/>
                <w:sz w:val="18"/>
                <w:szCs w:val="18"/>
                <w:lang w:val="es-ES" w:eastAsia="en-US"/>
              </w:rPr>
              <w:id w:val="1356768088"/>
              <w14:checkbox>
                <w14:checked w14:val="0"/>
                <w14:checkedState w14:val="2612" w14:font="MS Gothic"/>
                <w14:uncheckedState w14:val="2610" w14:font="MS Gothic"/>
              </w14:checkbox>
            </w:sdtPr>
            <w:sdtEndPr/>
            <w:sdtContent>
              <w:r w:rsidRPr="00A33E8F">
                <w:rPr>
                  <w:rFonts w:ascii="Segoe UI Symbol" w:eastAsia="Arial MT" w:hAnsi="Segoe UI Symbol" w:cs="Segoe UI Symbol"/>
                  <w:sz w:val="18"/>
                  <w:szCs w:val="18"/>
                  <w:lang w:val="es-ES" w:eastAsia="en-US"/>
                </w:rPr>
                <w:t>☐</w:t>
              </w:r>
            </w:sdtContent>
          </w:sdt>
          <w:r w:rsidRPr="00A33E8F">
            <w:rPr>
              <w:rFonts w:ascii="Arial" w:eastAsia="Arial MT" w:hAnsi="Arial" w:cs="Arial"/>
              <w:sz w:val="18"/>
              <w:szCs w:val="18"/>
              <w:lang w:val="es-ES" w:eastAsia="en-US"/>
            </w:rPr>
            <w:t xml:space="preserve"> Clasificada </w:t>
          </w:r>
          <w:sdt>
            <w:sdtPr>
              <w:rPr>
                <w:rFonts w:ascii="Arial" w:eastAsia="Arial MT" w:hAnsi="Arial" w:cs="Arial"/>
                <w:sz w:val="18"/>
                <w:szCs w:val="18"/>
                <w:lang w:val="es-ES" w:eastAsia="en-US"/>
              </w:rPr>
              <w:id w:val="-1959944998"/>
              <w14:checkbox>
                <w14:checked w14:val="0"/>
                <w14:checkedState w14:val="2612" w14:font="MS Gothic"/>
                <w14:uncheckedState w14:val="2610" w14:font="MS Gothic"/>
              </w14:checkbox>
            </w:sdtPr>
            <w:sdtEndPr/>
            <w:sdtContent>
              <w:r w:rsidRPr="00A33E8F">
                <w:rPr>
                  <w:rFonts w:ascii="Segoe UI Symbol" w:eastAsia="Arial MT" w:hAnsi="Segoe UI Symbol" w:cs="Segoe UI Symbol"/>
                  <w:sz w:val="18"/>
                  <w:szCs w:val="18"/>
                  <w:lang w:val="es-ES" w:eastAsia="en-US"/>
                </w:rPr>
                <w:t>☐</w:t>
              </w:r>
            </w:sdtContent>
          </w:sdt>
        </w:p>
      </w:tc>
    </w:tr>
  </w:tbl>
  <w:p w14:paraId="37089857" w14:textId="515E7FCE" w:rsidR="00DE337B" w:rsidRDefault="00DE33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5F75B" w14:textId="2279F4CA" w:rsidR="003075AC" w:rsidRDefault="002912F5">
    <w:pPr>
      <w:pStyle w:val="Encabezado"/>
    </w:pPr>
    <w:r>
      <w:rPr>
        <w:noProof/>
      </w:rPr>
      <w:pict w14:anchorId="5B09CF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6416375" o:spid="_x0000_s1025" type="#_x0000_t136" style="position:absolute;margin-left:0;margin-top:0;width:563.7pt;height:59.3pt;rotation:315;z-index:-251658240;mso-position-horizontal:center;mso-position-horizontal-relative:margin;mso-position-vertical:center;mso-position-vertical-relative:margin" o:allowincell="f" fillcolor="silver" stroked="f">
          <v:fill opacity=".5"/>
          <v:textpath style="font-family:&quot;Times New Roman&quot;;font-size:1pt" string="VERSIÓN PRELIMINAR"/>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LriI6V8RMRfGPg" int2:id="4YH4Vt4i">
      <int2:state int2:value="Rejected" int2:type="AugLoop_Text_Critique"/>
    </int2:textHash>
    <int2:textHash int2:hashCode="evuSGU2nTzmGCh" int2:id="WZGqZ1a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D230A"/>
    <w:multiLevelType w:val="multilevel"/>
    <w:tmpl w:val="7F1CBF2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3B76DC"/>
    <w:multiLevelType w:val="multilevel"/>
    <w:tmpl w:val="69F0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9F5B7C"/>
    <w:multiLevelType w:val="hybridMultilevel"/>
    <w:tmpl w:val="C3DC4D62"/>
    <w:lvl w:ilvl="0" w:tplc="FC748FA2">
      <w:start w:val="1"/>
      <w:numFmt w:val="decimal"/>
      <w:lvlText w:val="%1."/>
      <w:lvlJc w:val="left"/>
      <w:pPr>
        <w:ind w:left="720" w:hanging="360"/>
      </w:pPr>
    </w:lvl>
    <w:lvl w:ilvl="1" w:tplc="D80A8340">
      <w:start w:val="1"/>
      <w:numFmt w:val="lowerLetter"/>
      <w:lvlText w:val="%2."/>
      <w:lvlJc w:val="left"/>
      <w:pPr>
        <w:ind w:left="1440" w:hanging="360"/>
      </w:pPr>
    </w:lvl>
    <w:lvl w:ilvl="2" w:tplc="9E28CFD0">
      <w:start w:val="1"/>
      <w:numFmt w:val="lowerRoman"/>
      <w:lvlText w:val="%3."/>
      <w:lvlJc w:val="right"/>
      <w:pPr>
        <w:ind w:left="2160" w:hanging="180"/>
      </w:pPr>
    </w:lvl>
    <w:lvl w:ilvl="3" w:tplc="1D00D7B4">
      <w:start w:val="1"/>
      <w:numFmt w:val="decimal"/>
      <w:lvlText w:val="%4."/>
      <w:lvlJc w:val="left"/>
      <w:pPr>
        <w:ind w:left="2880" w:hanging="360"/>
      </w:pPr>
    </w:lvl>
    <w:lvl w:ilvl="4" w:tplc="BAE209F4">
      <w:start w:val="1"/>
      <w:numFmt w:val="lowerLetter"/>
      <w:lvlText w:val="%5."/>
      <w:lvlJc w:val="left"/>
      <w:pPr>
        <w:ind w:left="3600" w:hanging="360"/>
      </w:pPr>
    </w:lvl>
    <w:lvl w:ilvl="5" w:tplc="417CACDA">
      <w:start w:val="1"/>
      <w:numFmt w:val="lowerRoman"/>
      <w:lvlText w:val="%6."/>
      <w:lvlJc w:val="right"/>
      <w:pPr>
        <w:ind w:left="4320" w:hanging="180"/>
      </w:pPr>
    </w:lvl>
    <w:lvl w:ilvl="6" w:tplc="D5C6A2E8">
      <w:start w:val="1"/>
      <w:numFmt w:val="decimal"/>
      <w:lvlText w:val="%7."/>
      <w:lvlJc w:val="left"/>
      <w:pPr>
        <w:ind w:left="5040" w:hanging="360"/>
      </w:pPr>
    </w:lvl>
    <w:lvl w:ilvl="7" w:tplc="34D6546A">
      <w:start w:val="1"/>
      <w:numFmt w:val="lowerLetter"/>
      <w:lvlText w:val="%8."/>
      <w:lvlJc w:val="left"/>
      <w:pPr>
        <w:ind w:left="5760" w:hanging="360"/>
      </w:pPr>
    </w:lvl>
    <w:lvl w:ilvl="8" w:tplc="C7B86E08">
      <w:start w:val="1"/>
      <w:numFmt w:val="lowerRoman"/>
      <w:lvlText w:val="%9."/>
      <w:lvlJc w:val="right"/>
      <w:pPr>
        <w:ind w:left="6480" w:hanging="180"/>
      </w:pPr>
    </w:lvl>
  </w:abstractNum>
  <w:abstractNum w:abstractNumId="3" w15:restartNumberingAfterBreak="0">
    <w:nsid w:val="0B305ECC"/>
    <w:multiLevelType w:val="multilevel"/>
    <w:tmpl w:val="2498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831496"/>
    <w:multiLevelType w:val="hybridMultilevel"/>
    <w:tmpl w:val="52948586"/>
    <w:lvl w:ilvl="0" w:tplc="0028537E">
      <w:start w:val="1"/>
      <w:numFmt w:val="decimal"/>
      <w:lvlText w:val="%1."/>
      <w:lvlJc w:val="left"/>
      <w:pPr>
        <w:ind w:left="360" w:hanging="360"/>
      </w:pPr>
      <w:rPr>
        <w:rFonts w:ascii="Arial" w:eastAsia="Times New Roman" w:hAnsi="Arial" w:cs="Times New Roman"/>
        <w:w w:val="81"/>
        <w:sz w:val="20"/>
        <w:szCs w:val="20"/>
        <w:lang w:val="es-ES" w:eastAsia="en-US" w:bidi="ar-SA"/>
      </w:rPr>
    </w:lvl>
    <w:lvl w:ilvl="1" w:tplc="A83EF5D6">
      <w:numFmt w:val="bullet"/>
      <w:lvlText w:val="•"/>
      <w:lvlJc w:val="left"/>
      <w:pPr>
        <w:ind w:left="1328" w:hanging="360"/>
      </w:pPr>
      <w:rPr>
        <w:rFonts w:hint="default"/>
        <w:lang w:val="es-ES" w:eastAsia="en-US" w:bidi="ar-SA"/>
      </w:rPr>
    </w:lvl>
    <w:lvl w:ilvl="2" w:tplc="99443496">
      <w:numFmt w:val="bullet"/>
      <w:lvlText w:val="•"/>
      <w:lvlJc w:val="left"/>
      <w:pPr>
        <w:ind w:left="2298" w:hanging="360"/>
      </w:pPr>
      <w:rPr>
        <w:rFonts w:hint="default"/>
        <w:lang w:val="es-ES" w:eastAsia="en-US" w:bidi="ar-SA"/>
      </w:rPr>
    </w:lvl>
    <w:lvl w:ilvl="3" w:tplc="C986A718">
      <w:numFmt w:val="bullet"/>
      <w:lvlText w:val="•"/>
      <w:lvlJc w:val="left"/>
      <w:pPr>
        <w:ind w:left="3268" w:hanging="360"/>
      </w:pPr>
      <w:rPr>
        <w:rFonts w:hint="default"/>
        <w:lang w:val="es-ES" w:eastAsia="en-US" w:bidi="ar-SA"/>
      </w:rPr>
    </w:lvl>
    <w:lvl w:ilvl="4" w:tplc="BF467C50">
      <w:numFmt w:val="bullet"/>
      <w:lvlText w:val="•"/>
      <w:lvlJc w:val="left"/>
      <w:pPr>
        <w:ind w:left="4238" w:hanging="360"/>
      </w:pPr>
      <w:rPr>
        <w:rFonts w:hint="default"/>
        <w:lang w:val="es-ES" w:eastAsia="en-US" w:bidi="ar-SA"/>
      </w:rPr>
    </w:lvl>
    <w:lvl w:ilvl="5" w:tplc="805CAFCA">
      <w:numFmt w:val="bullet"/>
      <w:lvlText w:val="•"/>
      <w:lvlJc w:val="left"/>
      <w:pPr>
        <w:ind w:left="5208" w:hanging="360"/>
      </w:pPr>
      <w:rPr>
        <w:rFonts w:hint="default"/>
        <w:lang w:val="es-ES" w:eastAsia="en-US" w:bidi="ar-SA"/>
      </w:rPr>
    </w:lvl>
    <w:lvl w:ilvl="6" w:tplc="7F56A5D4">
      <w:numFmt w:val="bullet"/>
      <w:lvlText w:val="•"/>
      <w:lvlJc w:val="left"/>
      <w:pPr>
        <w:ind w:left="6178" w:hanging="360"/>
      </w:pPr>
      <w:rPr>
        <w:rFonts w:hint="default"/>
        <w:lang w:val="es-ES" w:eastAsia="en-US" w:bidi="ar-SA"/>
      </w:rPr>
    </w:lvl>
    <w:lvl w:ilvl="7" w:tplc="54A4A3CE">
      <w:numFmt w:val="bullet"/>
      <w:lvlText w:val="•"/>
      <w:lvlJc w:val="left"/>
      <w:pPr>
        <w:ind w:left="7148" w:hanging="360"/>
      </w:pPr>
      <w:rPr>
        <w:rFonts w:hint="default"/>
        <w:lang w:val="es-ES" w:eastAsia="en-US" w:bidi="ar-SA"/>
      </w:rPr>
    </w:lvl>
    <w:lvl w:ilvl="8" w:tplc="BBDCA12E">
      <w:numFmt w:val="bullet"/>
      <w:lvlText w:val="•"/>
      <w:lvlJc w:val="left"/>
      <w:pPr>
        <w:ind w:left="8118" w:hanging="360"/>
      </w:pPr>
      <w:rPr>
        <w:rFonts w:hint="default"/>
        <w:lang w:val="es-ES" w:eastAsia="en-US" w:bidi="ar-SA"/>
      </w:rPr>
    </w:lvl>
  </w:abstractNum>
  <w:abstractNum w:abstractNumId="5" w15:restartNumberingAfterBreak="0">
    <w:nsid w:val="13456BDF"/>
    <w:multiLevelType w:val="hybridMultilevel"/>
    <w:tmpl w:val="10DC1D62"/>
    <w:lvl w:ilvl="0" w:tplc="240A000D">
      <w:start w:val="1"/>
      <w:numFmt w:val="bullet"/>
      <w:lvlText w:val=""/>
      <w:lvlJc w:val="left"/>
      <w:pPr>
        <w:ind w:left="860" w:hanging="360"/>
      </w:pPr>
      <w:rPr>
        <w:rFonts w:ascii="Wingdings" w:hAnsi="Wingdings" w:hint="default"/>
      </w:rPr>
    </w:lvl>
    <w:lvl w:ilvl="1" w:tplc="240A0003" w:tentative="1">
      <w:start w:val="1"/>
      <w:numFmt w:val="bullet"/>
      <w:lvlText w:val="o"/>
      <w:lvlJc w:val="left"/>
      <w:pPr>
        <w:ind w:left="1580" w:hanging="360"/>
      </w:pPr>
      <w:rPr>
        <w:rFonts w:ascii="Courier New" w:hAnsi="Courier New" w:cs="Courier New" w:hint="default"/>
      </w:rPr>
    </w:lvl>
    <w:lvl w:ilvl="2" w:tplc="240A0005" w:tentative="1">
      <w:start w:val="1"/>
      <w:numFmt w:val="bullet"/>
      <w:lvlText w:val=""/>
      <w:lvlJc w:val="left"/>
      <w:pPr>
        <w:ind w:left="2300" w:hanging="360"/>
      </w:pPr>
      <w:rPr>
        <w:rFonts w:ascii="Wingdings" w:hAnsi="Wingdings" w:hint="default"/>
      </w:rPr>
    </w:lvl>
    <w:lvl w:ilvl="3" w:tplc="240A0001" w:tentative="1">
      <w:start w:val="1"/>
      <w:numFmt w:val="bullet"/>
      <w:lvlText w:val=""/>
      <w:lvlJc w:val="left"/>
      <w:pPr>
        <w:ind w:left="3020" w:hanging="360"/>
      </w:pPr>
      <w:rPr>
        <w:rFonts w:ascii="Symbol" w:hAnsi="Symbol" w:hint="default"/>
      </w:rPr>
    </w:lvl>
    <w:lvl w:ilvl="4" w:tplc="240A0003" w:tentative="1">
      <w:start w:val="1"/>
      <w:numFmt w:val="bullet"/>
      <w:lvlText w:val="o"/>
      <w:lvlJc w:val="left"/>
      <w:pPr>
        <w:ind w:left="3740" w:hanging="360"/>
      </w:pPr>
      <w:rPr>
        <w:rFonts w:ascii="Courier New" w:hAnsi="Courier New" w:cs="Courier New" w:hint="default"/>
      </w:rPr>
    </w:lvl>
    <w:lvl w:ilvl="5" w:tplc="240A0005" w:tentative="1">
      <w:start w:val="1"/>
      <w:numFmt w:val="bullet"/>
      <w:lvlText w:val=""/>
      <w:lvlJc w:val="left"/>
      <w:pPr>
        <w:ind w:left="4460" w:hanging="360"/>
      </w:pPr>
      <w:rPr>
        <w:rFonts w:ascii="Wingdings" w:hAnsi="Wingdings" w:hint="default"/>
      </w:rPr>
    </w:lvl>
    <w:lvl w:ilvl="6" w:tplc="240A0001" w:tentative="1">
      <w:start w:val="1"/>
      <w:numFmt w:val="bullet"/>
      <w:lvlText w:val=""/>
      <w:lvlJc w:val="left"/>
      <w:pPr>
        <w:ind w:left="5180" w:hanging="360"/>
      </w:pPr>
      <w:rPr>
        <w:rFonts w:ascii="Symbol" w:hAnsi="Symbol" w:hint="default"/>
      </w:rPr>
    </w:lvl>
    <w:lvl w:ilvl="7" w:tplc="240A0003" w:tentative="1">
      <w:start w:val="1"/>
      <w:numFmt w:val="bullet"/>
      <w:lvlText w:val="o"/>
      <w:lvlJc w:val="left"/>
      <w:pPr>
        <w:ind w:left="5900" w:hanging="360"/>
      </w:pPr>
      <w:rPr>
        <w:rFonts w:ascii="Courier New" w:hAnsi="Courier New" w:cs="Courier New" w:hint="default"/>
      </w:rPr>
    </w:lvl>
    <w:lvl w:ilvl="8" w:tplc="240A0005" w:tentative="1">
      <w:start w:val="1"/>
      <w:numFmt w:val="bullet"/>
      <w:lvlText w:val=""/>
      <w:lvlJc w:val="left"/>
      <w:pPr>
        <w:ind w:left="6620" w:hanging="360"/>
      </w:pPr>
      <w:rPr>
        <w:rFonts w:ascii="Wingdings" w:hAnsi="Wingdings" w:hint="default"/>
      </w:rPr>
    </w:lvl>
  </w:abstractNum>
  <w:abstractNum w:abstractNumId="6" w15:restartNumberingAfterBreak="0">
    <w:nsid w:val="13C47C2E"/>
    <w:multiLevelType w:val="hybridMultilevel"/>
    <w:tmpl w:val="96189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D21AE6"/>
    <w:multiLevelType w:val="multilevel"/>
    <w:tmpl w:val="571A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166798"/>
    <w:multiLevelType w:val="multilevel"/>
    <w:tmpl w:val="0BE4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38AA"/>
    <w:multiLevelType w:val="multilevel"/>
    <w:tmpl w:val="284E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646BC6"/>
    <w:multiLevelType w:val="multilevel"/>
    <w:tmpl w:val="BE10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902C21"/>
    <w:multiLevelType w:val="multilevel"/>
    <w:tmpl w:val="4B1CDF34"/>
    <w:lvl w:ilvl="0">
      <w:start w:val="1"/>
      <w:numFmt w:val="decimal"/>
      <w:lvlText w:val="%1."/>
      <w:lvlJc w:val="left"/>
      <w:pPr>
        <w:ind w:left="2345"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1F8853CD"/>
    <w:multiLevelType w:val="hybridMultilevel"/>
    <w:tmpl w:val="5CD60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780957"/>
    <w:multiLevelType w:val="multilevel"/>
    <w:tmpl w:val="0798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E44ECA"/>
    <w:multiLevelType w:val="multilevel"/>
    <w:tmpl w:val="E40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1F62C6"/>
    <w:multiLevelType w:val="multilevel"/>
    <w:tmpl w:val="284435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3F220F"/>
    <w:multiLevelType w:val="multilevel"/>
    <w:tmpl w:val="B998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E46DC2"/>
    <w:multiLevelType w:val="hybridMultilevel"/>
    <w:tmpl w:val="1ADE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E5A6DCB"/>
    <w:multiLevelType w:val="multilevel"/>
    <w:tmpl w:val="D5BE5D22"/>
    <w:lvl w:ilvl="0">
      <w:start w:val="1"/>
      <w:numFmt w:val="bullet"/>
      <w:lvlText w:val=""/>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4CC44CE"/>
    <w:multiLevelType w:val="hybridMultilevel"/>
    <w:tmpl w:val="4C247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676502"/>
    <w:multiLevelType w:val="multilevel"/>
    <w:tmpl w:val="8518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8D7E50"/>
    <w:multiLevelType w:val="multilevel"/>
    <w:tmpl w:val="240A001D"/>
    <w:lvl w:ilvl="0">
      <w:start w:val="1"/>
      <w:numFmt w:val="decimal"/>
      <w:lvlText w:val="%1)"/>
      <w:lvlJc w:val="left"/>
      <w:pPr>
        <w:ind w:left="720" w:hanging="360"/>
      </w:pPr>
      <w:rPr>
        <w:sz w:val="24"/>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2" w15:restartNumberingAfterBreak="0">
    <w:nsid w:val="3E0D4427"/>
    <w:multiLevelType w:val="multilevel"/>
    <w:tmpl w:val="6A6071CE"/>
    <w:lvl w:ilvl="0">
      <w:start w:val="1"/>
      <w:numFmt w:val="decimal"/>
      <w:lvlText w:val="%1."/>
      <w:lvlJc w:val="left"/>
      <w:pPr>
        <w:ind w:left="720" w:hanging="360"/>
      </w:pPr>
      <w:rPr>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eastAsiaTheme="minorHAnsi" w:cstheme="majorBidi" w:hint="default"/>
      </w:rPr>
    </w:lvl>
    <w:lvl w:ilvl="3">
      <w:start w:val="1"/>
      <w:numFmt w:val="decimal"/>
      <w:isLgl/>
      <w:lvlText w:val="%1.%2.%3.%4."/>
      <w:lvlJc w:val="left"/>
      <w:pPr>
        <w:ind w:left="1440" w:hanging="1080"/>
      </w:pPr>
      <w:rPr>
        <w:rFonts w:eastAsiaTheme="minorHAnsi" w:cstheme="majorBidi" w:hint="default"/>
      </w:rPr>
    </w:lvl>
    <w:lvl w:ilvl="4">
      <w:start w:val="1"/>
      <w:numFmt w:val="decimal"/>
      <w:isLgl/>
      <w:lvlText w:val="%1.%2.%3.%4.%5."/>
      <w:lvlJc w:val="left"/>
      <w:pPr>
        <w:ind w:left="1440" w:hanging="1080"/>
      </w:pPr>
      <w:rPr>
        <w:rFonts w:eastAsiaTheme="minorHAnsi" w:cstheme="majorBidi" w:hint="default"/>
      </w:rPr>
    </w:lvl>
    <w:lvl w:ilvl="5">
      <w:start w:val="1"/>
      <w:numFmt w:val="decimal"/>
      <w:isLgl/>
      <w:lvlText w:val="%1.%2.%3.%4.%5.%6."/>
      <w:lvlJc w:val="left"/>
      <w:pPr>
        <w:ind w:left="1800" w:hanging="1440"/>
      </w:pPr>
      <w:rPr>
        <w:rFonts w:eastAsiaTheme="minorHAnsi" w:cstheme="majorBidi" w:hint="default"/>
      </w:rPr>
    </w:lvl>
    <w:lvl w:ilvl="6">
      <w:start w:val="1"/>
      <w:numFmt w:val="decimal"/>
      <w:isLgl/>
      <w:lvlText w:val="%1.%2.%3.%4.%5.%6.%7."/>
      <w:lvlJc w:val="left"/>
      <w:pPr>
        <w:ind w:left="1800" w:hanging="1440"/>
      </w:pPr>
      <w:rPr>
        <w:rFonts w:eastAsiaTheme="minorHAnsi" w:cstheme="majorBidi" w:hint="default"/>
      </w:rPr>
    </w:lvl>
    <w:lvl w:ilvl="7">
      <w:start w:val="1"/>
      <w:numFmt w:val="decimal"/>
      <w:isLgl/>
      <w:lvlText w:val="%1.%2.%3.%4.%5.%6.%7.%8."/>
      <w:lvlJc w:val="left"/>
      <w:pPr>
        <w:ind w:left="2160" w:hanging="1800"/>
      </w:pPr>
      <w:rPr>
        <w:rFonts w:eastAsiaTheme="minorHAnsi" w:cstheme="majorBidi" w:hint="default"/>
      </w:rPr>
    </w:lvl>
    <w:lvl w:ilvl="8">
      <w:start w:val="1"/>
      <w:numFmt w:val="decimal"/>
      <w:isLgl/>
      <w:lvlText w:val="%1.%2.%3.%4.%5.%6.%7.%8.%9."/>
      <w:lvlJc w:val="left"/>
      <w:pPr>
        <w:ind w:left="2160" w:hanging="1800"/>
      </w:pPr>
      <w:rPr>
        <w:rFonts w:eastAsiaTheme="minorHAnsi" w:cstheme="majorBidi" w:hint="default"/>
      </w:rPr>
    </w:lvl>
  </w:abstractNum>
  <w:abstractNum w:abstractNumId="23" w15:restartNumberingAfterBreak="0">
    <w:nsid w:val="3F670227"/>
    <w:multiLevelType w:val="hybridMultilevel"/>
    <w:tmpl w:val="9CF0142E"/>
    <w:lvl w:ilvl="0" w:tplc="B7D4C0B0">
      <w:numFmt w:val="bullet"/>
      <w:lvlText w:val="•"/>
      <w:lvlJc w:val="left"/>
      <w:pPr>
        <w:ind w:left="644" w:hanging="360"/>
      </w:pPr>
      <w:rPr>
        <w:rFonts w:ascii="Arial" w:eastAsia="Tahoma" w:hAnsi="Aria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4" w15:restartNumberingAfterBreak="0">
    <w:nsid w:val="4009DBEE"/>
    <w:multiLevelType w:val="hybridMultilevel"/>
    <w:tmpl w:val="B6820870"/>
    <w:lvl w:ilvl="0" w:tplc="146CC128">
      <w:numFmt w:val="decimal"/>
      <w:lvlText w:val="%1."/>
      <w:lvlJc w:val="left"/>
      <w:pPr>
        <w:ind w:left="720" w:hanging="360"/>
      </w:pPr>
    </w:lvl>
    <w:lvl w:ilvl="1" w:tplc="97B208B8">
      <w:start w:val="1"/>
      <w:numFmt w:val="lowerLetter"/>
      <w:lvlText w:val="%2."/>
      <w:lvlJc w:val="left"/>
      <w:pPr>
        <w:ind w:left="1440" w:hanging="360"/>
      </w:pPr>
    </w:lvl>
    <w:lvl w:ilvl="2" w:tplc="C9EE3A14">
      <w:start w:val="1"/>
      <w:numFmt w:val="lowerRoman"/>
      <w:lvlText w:val="%3."/>
      <w:lvlJc w:val="right"/>
      <w:pPr>
        <w:ind w:left="2160" w:hanging="180"/>
      </w:pPr>
    </w:lvl>
    <w:lvl w:ilvl="3" w:tplc="88D86208">
      <w:start w:val="1"/>
      <w:numFmt w:val="decimal"/>
      <w:lvlText w:val="%4."/>
      <w:lvlJc w:val="left"/>
      <w:pPr>
        <w:ind w:left="2880" w:hanging="360"/>
      </w:pPr>
    </w:lvl>
    <w:lvl w:ilvl="4" w:tplc="20D4A9C0">
      <w:start w:val="1"/>
      <w:numFmt w:val="lowerLetter"/>
      <w:lvlText w:val="%5."/>
      <w:lvlJc w:val="left"/>
      <w:pPr>
        <w:ind w:left="3600" w:hanging="360"/>
      </w:pPr>
    </w:lvl>
    <w:lvl w:ilvl="5" w:tplc="D69008F6">
      <w:start w:val="1"/>
      <w:numFmt w:val="lowerRoman"/>
      <w:lvlText w:val="%6."/>
      <w:lvlJc w:val="right"/>
      <w:pPr>
        <w:ind w:left="4320" w:hanging="180"/>
      </w:pPr>
    </w:lvl>
    <w:lvl w:ilvl="6" w:tplc="108AF65E">
      <w:start w:val="1"/>
      <w:numFmt w:val="decimal"/>
      <w:lvlText w:val="%7."/>
      <w:lvlJc w:val="left"/>
      <w:pPr>
        <w:ind w:left="5040" w:hanging="360"/>
      </w:pPr>
    </w:lvl>
    <w:lvl w:ilvl="7" w:tplc="3960AB66">
      <w:start w:val="1"/>
      <w:numFmt w:val="lowerLetter"/>
      <w:lvlText w:val="%8."/>
      <w:lvlJc w:val="left"/>
      <w:pPr>
        <w:ind w:left="5760" w:hanging="360"/>
      </w:pPr>
    </w:lvl>
    <w:lvl w:ilvl="8" w:tplc="D9C88F56">
      <w:start w:val="1"/>
      <w:numFmt w:val="lowerRoman"/>
      <w:lvlText w:val="%9."/>
      <w:lvlJc w:val="right"/>
      <w:pPr>
        <w:ind w:left="6480" w:hanging="180"/>
      </w:pPr>
    </w:lvl>
  </w:abstractNum>
  <w:abstractNum w:abstractNumId="25" w15:restartNumberingAfterBreak="0">
    <w:nsid w:val="40BA591E"/>
    <w:multiLevelType w:val="hybridMultilevel"/>
    <w:tmpl w:val="331287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59C3020"/>
    <w:multiLevelType w:val="multilevel"/>
    <w:tmpl w:val="01BCE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1365A1"/>
    <w:multiLevelType w:val="hybridMultilevel"/>
    <w:tmpl w:val="4E20A316"/>
    <w:lvl w:ilvl="0" w:tplc="3070C358">
      <w:start w:val="1"/>
      <w:numFmt w:val="decimal"/>
      <w:lvlText w:val="%1."/>
      <w:lvlJc w:val="left"/>
      <w:pPr>
        <w:ind w:left="827" w:hanging="361"/>
      </w:pPr>
      <w:rPr>
        <w:rFonts w:ascii="Arial" w:eastAsia="Arial" w:hAnsi="Arial" w:cs="Arial" w:hint="default"/>
        <w:b w:val="0"/>
        <w:bCs w:val="0"/>
        <w:i w:val="0"/>
        <w:iCs w:val="0"/>
        <w:spacing w:val="0"/>
        <w:w w:val="100"/>
        <w:sz w:val="22"/>
        <w:szCs w:val="22"/>
        <w:lang w:val="es-ES" w:eastAsia="en-US" w:bidi="ar-SA"/>
      </w:rPr>
    </w:lvl>
    <w:lvl w:ilvl="1" w:tplc="BC20A86E">
      <w:numFmt w:val="bullet"/>
      <w:lvlText w:val="•"/>
      <w:lvlJc w:val="left"/>
      <w:pPr>
        <w:ind w:left="1438" w:hanging="361"/>
      </w:pPr>
      <w:rPr>
        <w:rFonts w:hint="default"/>
        <w:lang w:val="es-ES" w:eastAsia="en-US" w:bidi="ar-SA"/>
      </w:rPr>
    </w:lvl>
    <w:lvl w:ilvl="2" w:tplc="F092A3A8">
      <w:numFmt w:val="bullet"/>
      <w:lvlText w:val="•"/>
      <w:lvlJc w:val="left"/>
      <w:pPr>
        <w:ind w:left="2056" w:hanging="361"/>
      </w:pPr>
      <w:rPr>
        <w:rFonts w:hint="default"/>
        <w:lang w:val="es-ES" w:eastAsia="en-US" w:bidi="ar-SA"/>
      </w:rPr>
    </w:lvl>
    <w:lvl w:ilvl="3" w:tplc="E7CAB388">
      <w:numFmt w:val="bullet"/>
      <w:lvlText w:val="•"/>
      <w:lvlJc w:val="left"/>
      <w:pPr>
        <w:ind w:left="2674" w:hanging="361"/>
      </w:pPr>
      <w:rPr>
        <w:rFonts w:hint="default"/>
        <w:lang w:val="es-ES" w:eastAsia="en-US" w:bidi="ar-SA"/>
      </w:rPr>
    </w:lvl>
    <w:lvl w:ilvl="4" w:tplc="EA289820">
      <w:numFmt w:val="bullet"/>
      <w:lvlText w:val="•"/>
      <w:lvlJc w:val="left"/>
      <w:pPr>
        <w:ind w:left="3292" w:hanging="361"/>
      </w:pPr>
      <w:rPr>
        <w:rFonts w:hint="default"/>
        <w:lang w:val="es-ES" w:eastAsia="en-US" w:bidi="ar-SA"/>
      </w:rPr>
    </w:lvl>
    <w:lvl w:ilvl="5" w:tplc="684C87B4">
      <w:numFmt w:val="bullet"/>
      <w:lvlText w:val="•"/>
      <w:lvlJc w:val="left"/>
      <w:pPr>
        <w:ind w:left="3910" w:hanging="361"/>
      </w:pPr>
      <w:rPr>
        <w:rFonts w:hint="default"/>
        <w:lang w:val="es-ES" w:eastAsia="en-US" w:bidi="ar-SA"/>
      </w:rPr>
    </w:lvl>
    <w:lvl w:ilvl="6" w:tplc="68866DD8">
      <w:numFmt w:val="bullet"/>
      <w:lvlText w:val="•"/>
      <w:lvlJc w:val="left"/>
      <w:pPr>
        <w:ind w:left="4528" w:hanging="361"/>
      </w:pPr>
      <w:rPr>
        <w:rFonts w:hint="default"/>
        <w:lang w:val="es-ES" w:eastAsia="en-US" w:bidi="ar-SA"/>
      </w:rPr>
    </w:lvl>
    <w:lvl w:ilvl="7" w:tplc="8D7427E4">
      <w:numFmt w:val="bullet"/>
      <w:lvlText w:val="•"/>
      <w:lvlJc w:val="left"/>
      <w:pPr>
        <w:ind w:left="5146" w:hanging="361"/>
      </w:pPr>
      <w:rPr>
        <w:rFonts w:hint="default"/>
        <w:lang w:val="es-ES" w:eastAsia="en-US" w:bidi="ar-SA"/>
      </w:rPr>
    </w:lvl>
    <w:lvl w:ilvl="8" w:tplc="B40E188A">
      <w:numFmt w:val="bullet"/>
      <w:lvlText w:val="•"/>
      <w:lvlJc w:val="left"/>
      <w:pPr>
        <w:ind w:left="5764" w:hanging="361"/>
      </w:pPr>
      <w:rPr>
        <w:rFonts w:hint="default"/>
        <w:lang w:val="es-ES" w:eastAsia="en-US" w:bidi="ar-SA"/>
      </w:rPr>
    </w:lvl>
  </w:abstractNum>
  <w:abstractNum w:abstractNumId="28" w15:restartNumberingAfterBreak="0">
    <w:nsid w:val="4B4028EC"/>
    <w:multiLevelType w:val="hybridMultilevel"/>
    <w:tmpl w:val="62409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A94C1F"/>
    <w:multiLevelType w:val="hybridMultilevel"/>
    <w:tmpl w:val="01462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757A4A"/>
    <w:multiLevelType w:val="multilevel"/>
    <w:tmpl w:val="6E2044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FD3C1D"/>
    <w:multiLevelType w:val="multilevel"/>
    <w:tmpl w:val="0EE2581A"/>
    <w:lvl w:ilvl="0">
      <w:start w:val="1"/>
      <w:numFmt w:val="decimal"/>
      <w:pStyle w:val="Ttulo1"/>
      <w:lvlText w:val="%1."/>
      <w:lvlJc w:val="left"/>
      <w:pPr>
        <w:ind w:left="720" w:hanging="360"/>
      </w:pPr>
      <w:rPr>
        <w:b/>
        <w:bCs/>
      </w:rPr>
    </w:lvl>
    <w:lvl w:ilvl="1">
      <w:start w:val="1"/>
      <w:numFmt w:val="decimal"/>
      <w:lvlText w:val="%1.%2."/>
      <w:lvlJc w:val="left"/>
      <w:pPr>
        <w:ind w:left="1080" w:hanging="720"/>
      </w:pPr>
      <w:rPr>
        <w:b/>
        <w:bCs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2" w15:restartNumberingAfterBreak="0">
    <w:nsid w:val="4F374478"/>
    <w:multiLevelType w:val="hybridMultilevel"/>
    <w:tmpl w:val="8562610C"/>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09C351E"/>
    <w:multiLevelType w:val="multilevel"/>
    <w:tmpl w:val="DC16B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2096980"/>
    <w:multiLevelType w:val="hybridMultilevel"/>
    <w:tmpl w:val="28FCD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EB6228"/>
    <w:multiLevelType w:val="hybridMultilevel"/>
    <w:tmpl w:val="DC2C303C"/>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983A30"/>
    <w:multiLevelType w:val="multilevel"/>
    <w:tmpl w:val="111EF352"/>
    <w:lvl w:ilvl="0">
      <w:start w:val="1"/>
      <w:numFmt w:val="decimal"/>
      <w:lvlText w:val="%1."/>
      <w:lvlJc w:val="left"/>
      <w:pPr>
        <w:ind w:left="585" w:hanging="585"/>
      </w:pPr>
      <w:rPr>
        <w:rFonts w:ascii="WordVisi_MSFontService" w:hAnsi="WordVisi_MSFontService" w:hint="default"/>
      </w:rPr>
    </w:lvl>
    <w:lvl w:ilvl="1">
      <w:start w:val="2"/>
      <w:numFmt w:val="decimal"/>
      <w:lvlText w:val="%1.%2."/>
      <w:lvlJc w:val="left"/>
      <w:pPr>
        <w:ind w:left="585" w:hanging="585"/>
      </w:pPr>
      <w:rPr>
        <w:rFonts w:ascii="WordVisi_MSFontService" w:hAnsi="WordVisi_MSFontService" w:hint="default"/>
      </w:rPr>
    </w:lvl>
    <w:lvl w:ilvl="2">
      <w:start w:val="4"/>
      <w:numFmt w:val="decimal"/>
      <w:lvlText w:val="%1.%2.%3."/>
      <w:lvlJc w:val="left"/>
      <w:pPr>
        <w:ind w:left="720" w:hanging="720"/>
      </w:pPr>
      <w:rPr>
        <w:rFonts w:ascii="WordVisi_MSFontService" w:hAnsi="WordVisi_MSFontService" w:hint="default"/>
      </w:rPr>
    </w:lvl>
    <w:lvl w:ilvl="3">
      <w:start w:val="1"/>
      <w:numFmt w:val="decimal"/>
      <w:lvlText w:val="%1.%2.%3.%4."/>
      <w:lvlJc w:val="left"/>
      <w:pPr>
        <w:ind w:left="720" w:hanging="720"/>
      </w:pPr>
      <w:rPr>
        <w:rFonts w:ascii="WordVisi_MSFontService" w:hAnsi="WordVisi_MSFontService" w:hint="default"/>
      </w:rPr>
    </w:lvl>
    <w:lvl w:ilvl="4">
      <w:start w:val="1"/>
      <w:numFmt w:val="decimal"/>
      <w:lvlText w:val="%1.%2.%3.%4.%5."/>
      <w:lvlJc w:val="left"/>
      <w:pPr>
        <w:ind w:left="1080" w:hanging="1080"/>
      </w:pPr>
      <w:rPr>
        <w:rFonts w:ascii="WordVisi_MSFontService" w:hAnsi="WordVisi_MSFontService" w:hint="default"/>
      </w:rPr>
    </w:lvl>
    <w:lvl w:ilvl="5">
      <w:start w:val="1"/>
      <w:numFmt w:val="decimal"/>
      <w:lvlText w:val="%1.%2.%3.%4.%5.%6."/>
      <w:lvlJc w:val="left"/>
      <w:pPr>
        <w:ind w:left="1080" w:hanging="1080"/>
      </w:pPr>
      <w:rPr>
        <w:rFonts w:ascii="WordVisi_MSFontService" w:hAnsi="WordVisi_MSFontService" w:hint="default"/>
      </w:rPr>
    </w:lvl>
    <w:lvl w:ilvl="6">
      <w:start w:val="1"/>
      <w:numFmt w:val="decimal"/>
      <w:lvlText w:val="%1.%2.%3.%4.%5.%6.%7."/>
      <w:lvlJc w:val="left"/>
      <w:pPr>
        <w:ind w:left="1080" w:hanging="1080"/>
      </w:pPr>
      <w:rPr>
        <w:rFonts w:ascii="WordVisi_MSFontService" w:hAnsi="WordVisi_MSFontService" w:hint="default"/>
      </w:rPr>
    </w:lvl>
    <w:lvl w:ilvl="7">
      <w:start w:val="1"/>
      <w:numFmt w:val="decimal"/>
      <w:lvlText w:val="%1.%2.%3.%4.%5.%6.%7.%8."/>
      <w:lvlJc w:val="left"/>
      <w:pPr>
        <w:ind w:left="1440" w:hanging="1440"/>
      </w:pPr>
      <w:rPr>
        <w:rFonts w:ascii="WordVisi_MSFontService" w:hAnsi="WordVisi_MSFontService" w:hint="default"/>
      </w:rPr>
    </w:lvl>
    <w:lvl w:ilvl="8">
      <w:start w:val="1"/>
      <w:numFmt w:val="decimal"/>
      <w:lvlText w:val="%1.%2.%3.%4.%5.%6.%7.%8.%9."/>
      <w:lvlJc w:val="left"/>
      <w:pPr>
        <w:ind w:left="1440" w:hanging="1440"/>
      </w:pPr>
      <w:rPr>
        <w:rFonts w:ascii="WordVisi_MSFontService" w:hAnsi="WordVisi_MSFontService" w:hint="default"/>
      </w:rPr>
    </w:lvl>
  </w:abstractNum>
  <w:abstractNum w:abstractNumId="37" w15:restartNumberingAfterBreak="0">
    <w:nsid w:val="6289644A"/>
    <w:multiLevelType w:val="hybridMultilevel"/>
    <w:tmpl w:val="4BF8E92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8" w15:restartNumberingAfterBreak="0">
    <w:nsid w:val="677662A0"/>
    <w:multiLevelType w:val="hybridMultilevel"/>
    <w:tmpl w:val="B6300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C7174F"/>
    <w:multiLevelType w:val="hybridMultilevel"/>
    <w:tmpl w:val="EA4E501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9105E2F"/>
    <w:multiLevelType w:val="multilevel"/>
    <w:tmpl w:val="18DA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22660A"/>
    <w:multiLevelType w:val="multilevel"/>
    <w:tmpl w:val="D132EC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304E85"/>
    <w:multiLevelType w:val="multilevel"/>
    <w:tmpl w:val="361C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AFE029"/>
    <w:multiLevelType w:val="hybridMultilevel"/>
    <w:tmpl w:val="FBF6B962"/>
    <w:lvl w:ilvl="0" w:tplc="8B00EBBC">
      <w:start w:val="1"/>
      <w:numFmt w:val="lowerLetter"/>
      <w:lvlText w:val="%1."/>
      <w:lvlJc w:val="left"/>
      <w:pPr>
        <w:ind w:left="720" w:hanging="360"/>
      </w:pPr>
    </w:lvl>
    <w:lvl w:ilvl="1" w:tplc="2EE2E818">
      <w:start w:val="1"/>
      <w:numFmt w:val="lowerLetter"/>
      <w:lvlText w:val="%2."/>
      <w:lvlJc w:val="left"/>
      <w:pPr>
        <w:ind w:left="1440" w:hanging="360"/>
      </w:pPr>
    </w:lvl>
    <w:lvl w:ilvl="2" w:tplc="6A9EA460">
      <w:start w:val="1"/>
      <w:numFmt w:val="lowerRoman"/>
      <w:lvlText w:val="%3."/>
      <w:lvlJc w:val="right"/>
      <w:pPr>
        <w:ind w:left="2160" w:hanging="180"/>
      </w:pPr>
    </w:lvl>
    <w:lvl w:ilvl="3" w:tplc="A3B296F4">
      <w:start w:val="1"/>
      <w:numFmt w:val="decimal"/>
      <w:lvlText w:val="%4."/>
      <w:lvlJc w:val="left"/>
      <w:pPr>
        <w:ind w:left="2880" w:hanging="360"/>
      </w:pPr>
    </w:lvl>
    <w:lvl w:ilvl="4" w:tplc="7A326ADE">
      <w:start w:val="1"/>
      <w:numFmt w:val="lowerLetter"/>
      <w:lvlText w:val="%5."/>
      <w:lvlJc w:val="left"/>
      <w:pPr>
        <w:ind w:left="3600" w:hanging="360"/>
      </w:pPr>
    </w:lvl>
    <w:lvl w:ilvl="5" w:tplc="46C41ACA">
      <w:start w:val="1"/>
      <w:numFmt w:val="lowerRoman"/>
      <w:lvlText w:val="%6."/>
      <w:lvlJc w:val="right"/>
      <w:pPr>
        <w:ind w:left="4320" w:hanging="180"/>
      </w:pPr>
    </w:lvl>
    <w:lvl w:ilvl="6" w:tplc="1DCEE594">
      <w:start w:val="1"/>
      <w:numFmt w:val="decimal"/>
      <w:lvlText w:val="%7."/>
      <w:lvlJc w:val="left"/>
      <w:pPr>
        <w:ind w:left="5040" w:hanging="360"/>
      </w:pPr>
    </w:lvl>
    <w:lvl w:ilvl="7" w:tplc="E8E09D16">
      <w:start w:val="1"/>
      <w:numFmt w:val="lowerLetter"/>
      <w:lvlText w:val="%8."/>
      <w:lvlJc w:val="left"/>
      <w:pPr>
        <w:ind w:left="5760" w:hanging="360"/>
      </w:pPr>
    </w:lvl>
    <w:lvl w:ilvl="8" w:tplc="D210629C">
      <w:start w:val="1"/>
      <w:numFmt w:val="lowerRoman"/>
      <w:lvlText w:val="%9."/>
      <w:lvlJc w:val="right"/>
      <w:pPr>
        <w:ind w:left="6480" w:hanging="180"/>
      </w:pPr>
    </w:lvl>
  </w:abstractNum>
  <w:abstractNum w:abstractNumId="44" w15:restartNumberingAfterBreak="0">
    <w:nsid w:val="7F0E7DD5"/>
    <w:multiLevelType w:val="multilevel"/>
    <w:tmpl w:val="5012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FE666B4"/>
    <w:multiLevelType w:val="hybridMultilevel"/>
    <w:tmpl w:val="868AC9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4540776">
    <w:abstractNumId w:val="43"/>
  </w:num>
  <w:num w:numId="2" w16cid:durableId="505561057">
    <w:abstractNumId w:val="2"/>
  </w:num>
  <w:num w:numId="3" w16cid:durableId="916405814">
    <w:abstractNumId w:val="24"/>
  </w:num>
  <w:num w:numId="4" w16cid:durableId="553541875">
    <w:abstractNumId w:val="18"/>
  </w:num>
  <w:num w:numId="5" w16cid:durableId="1007707440">
    <w:abstractNumId w:val="45"/>
  </w:num>
  <w:num w:numId="6" w16cid:durableId="988901131">
    <w:abstractNumId w:val="25"/>
  </w:num>
  <w:num w:numId="7" w16cid:durableId="425686614">
    <w:abstractNumId w:val="3"/>
  </w:num>
  <w:num w:numId="8" w16cid:durableId="82576280">
    <w:abstractNumId w:val="40"/>
  </w:num>
  <w:num w:numId="9" w16cid:durableId="1881815971">
    <w:abstractNumId w:val="15"/>
  </w:num>
  <w:num w:numId="10" w16cid:durableId="1198355981">
    <w:abstractNumId w:val="19"/>
  </w:num>
  <w:num w:numId="11" w16cid:durableId="1569732519">
    <w:abstractNumId w:val="29"/>
  </w:num>
  <w:num w:numId="12" w16cid:durableId="729884036">
    <w:abstractNumId w:val="36"/>
  </w:num>
  <w:num w:numId="13" w16cid:durableId="2020698519">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9114037">
    <w:abstractNumId w:val="7"/>
  </w:num>
  <w:num w:numId="15" w16cid:durableId="420569418">
    <w:abstractNumId w:val="14"/>
  </w:num>
  <w:num w:numId="16" w16cid:durableId="843858951">
    <w:abstractNumId w:val="42"/>
  </w:num>
  <w:num w:numId="17" w16cid:durableId="92168739">
    <w:abstractNumId w:val="44"/>
  </w:num>
  <w:num w:numId="18" w16cid:durableId="388845562">
    <w:abstractNumId w:val="33"/>
  </w:num>
  <w:num w:numId="19" w16cid:durableId="1943417109">
    <w:abstractNumId w:val="10"/>
  </w:num>
  <w:num w:numId="20" w16cid:durableId="849678482">
    <w:abstractNumId w:val="1"/>
  </w:num>
  <w:num w:numId="21" w16cid:durableId="1158109149">
    <w:abstractNumId w:val="9"/>
  </w:num>
  <w:num w:numId="22" w16cid:durableId="152256157">
    <w:abstractNumId w:val="30"/>
  </w:num>
  <w:num w:numId="23" w16cid:durableId="1200439306">
    <w:abstractNumId w:val="41"/>
  </w:num>
  <w:num w:numId="24" w16cid:durableId="44260159">
    <w:abstractNumId w:val="16"/>
  </w:num>
  <w:num w:numId="25" w16cid:durableId="1503349035">
    <w:abstractNumId w:val="8"/>
  </w:num>
  <w:num w:numId="26" w16cid:durableId="1293097136">
    <w:abstractNumId w:val="20"/>
  </w:num>
  <w:num w:numId="27" w16cid:durableId="1295868158">
    <w:abstractNumId w:val="13"/>
  </w:num>
  <w:num w:numId="28" w16cid:durableId="47068878">
    <w:abstractNumId w:val="0"/>
  </w:num>
  <w:num w:numId="29" w16cid:durableId="568926702">
    <w:abstractNumId w:val="31"/>
  </w:num>
  <w:num w:numId="30" w16cid:durableId="1340153738">
    <w:abstractNumId w:val="22"/>
  </w:num>
  <w:num w:numId="31" w16cid:durableId="1355377147">
    <w:abstractNumId w:val="26"/>
  </w:num>
  <w:num w:numId="32" w16cid:durableId="1211763333">
    <w:abstractNumId w:val="4"/>
  </w:num>
  <w:num w:numId="33" w16cid:durableId="128784948">
    <w:abstractNumId w:val="27"/>
  </w:num>
  <w:num w:numId="34" w16cid:durableId="1910186403">
    <w:abstractNumId w:val="21"/>
  </w:num>
  <w:num w:numId="35" w16cid:durableId="700477988">
    <w:abstractNumId w:val="5"/>
  </w:num>
  <w:num w:numId="36" w16cid:durableId="128519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2542438">
    <w:abstractNumId w:val="38"/>
  </w:num>
  <w:num w:numId="38" w16cid:durableId="596989234">
    <w:abstractNumId w:val="12"/>
  </w:num>
  <w:num w:numId="39" w16cid:durableId="709912412">
    <w:abstractNumId w:val="34"/>
  </w:num>
  <w:num w:numId="40" w16cid:durableId="239482151">
    <w:abstractNumId w:val="37"/>
  </w:num>
  <w:num w:numId="41" w16cid:durableId="43868855">
    <w:abstractNumId w:val="23"/>
  </w:num>
  <w:num w:numId="42" w16cid:durableId="1608272838">
    <w:abstractNumId w:val="11"/>
  </w:num>
  <w:num w:numId="43" w16cid:durableId="994181194">
    <w:abstractNumId w:val="39"/>
  </w:num>
  <w:num w:numId="44" w16cid:durableId="203295842">
    <w:abstractNumId w:val="28"/>
  </w:num>
  <w:num w:numId="45" w16cid:durableId="1808208528">
    <w:abstractNumId w:val="35"/>
  </w:num>
  <w:num w:numId="46" w16cid:durableId="795411559">
    <w:abstractNumId w:val="6"/>
  </w:num>
  <w:num w:numId="47" w16cid:durableId="159203453">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96"/>
    <w:rsid w:val="000116ED"/>
    <w:rsid w:val="000120A6"/>
    <w:rsid w:val="000244B1"/>
    <w:rsid w:val="00025B81"/>
    <w:rsid w:val="00025CD9"/>
    <w:rsid w:val="00032C76"/>
    <w:rsid w:val="00036D0D"/>
    <w:rsid w:val="0003744B"/>
    <w:rsid w:val="00037F53"/>
    <w:rsid w:val="000420E4"/>
    <w:rsid w:val="000458A2"/>
    <w:rsid w:val="00050553"/>
    <w:rsid w:val="00057FD6"/>
    <w:rsid w:val="00071400"/>
    <w:rsid w:val="00075A2D"/>
    <w:rsid w:val="00083154"/>
    <w:rsid w:val="00085C4D"/>
    <w:rsid w:val="0009703F"/>
    <w:rsid w:val="00097066"/>
    <w:rsid w:val="000A1701"/>
    <w:rsid w:val="000A6BCA"/>
    <w:rsid w:val="000A6F3C"/>
    <w:rsid w:val="000B12F9"/>
    <w:rsid w:val="000B522D"/>
    <w:rsid w:val="000C1E24"/>
    <w:rsid w:val="000C34C0"/>
    <w:rsid w:val="000C3B6A"/>
    <w:rsid w:val="000C6F96"/>
    <w:rsid w:val="000D2CD0"/>
    <w:rsid w:val="000E37D0"/>
    <w:rsid w:val="000F3E8A"/>
    <w:rsid w:val="00113B5B"/>
    <w:rsid w:val="00116C99"/>
    <w:rsid w:val="00116ED1"/>
    <w:rsid w:val="0014215E"/>
    <w:rsid w:val="00150BD6"/>
    <w:rsid w:val="00151D1A"/>
    <w:rsid w:val="00163892"/>
    <w:rsid w:val="00164A53"/>
    <w:rsid w:val="00175C78"/>
    <w:rsid w:val="00181007"/>
    <w:rsid w:val="00183995"/>
    <w:rsid w:val="00184F66"/>
    <w:rsid w:val="001860B3"/>
    <w:rsid w:val="00187362"/>
    <w:rsid w:val="00191BD1"/>
    <w:rsid w:val="001935E7"/>
    <w:rsid w:val="00195179"/>
    <w:rsid w:val="001A0FAB"/>
    <w:rsid w:val="001A15FC"/>
    <w:rsid w:val="001A328C"/>
    <w:rsid w:val="001B6A10"/>
    <w:rsid w:val="001C07F8"/>
    <w:rsid w:val="001C4E44"/>
    <w:rsid w:val="001C5C25"/>
    <w:rsid w:val="001C6497"/>
    <w:rsid w:val="001C6E34"/>
    <w:rsid w:val="001D09E3"/>
    <w:rsid w:val="001D4A01"/>
    <w:rsid w:val="001D7FAB"/>
    <w:rsid w:val="001E04A0"/>
    <w:rsid w:val="001E28BE"/>
    <w:rsid w:val="001E4D2D"/>
    <w:rsid w:val="001E723D"/>
    <w:rsid w:val="00203455"/>
    <w:rsid w:val="002039A1"/>
    <w:rsid w:val="0020503F"/>
    <w:rsid w:val="00210A35"/>
    <w:rsid w:val="00224856"/>
    <w:rsid w:val="00224BCF"/>
    <w:rsid w:val="00227D7C"/>
    <w:rsid w:val="002354AE"/>
    <w:rsid w:val="00240BFE"/>
    <w:rsid w:val="00247BC9"/>
    <w:rsid w:val="002521DF"/>
    <w:rsid w:val="002567E7"/>
    <w:rsid w:val="00260F30"/>
    <w:rsid w:val="00262846"/>
    <w:rsid w:val="00265A06"/>
    <w:rsid w:val="00266FF2"/>
    <w:rsid w:val="00272EA1"/>
    <w:rsid w:val="00273419"/>
    <w:rsid w:val="00280A70"/>
    <w:rsid w:val="002912F5"/>
    <w:rsid w:val="00292675"/>
    <w:rsid w:val="0029568C"/>
    <w:rsid w:val="002A065A"/>
    <w:rsid w:val="002A6A6B"/>
    <w:rsid w:val="002B2EDB"/>
    <w:rsid w:val="002C5A63"/>
    <w:rsid w:val="002D3354"/>
    <w:rsid w:val="002E1AC9"/>
    <w:rsid w:val="002E5547"/>
    <w:rsid w:val="002F092D"/>
    <w:rsid w:val="002F2304"/>
    <w:rsid w:val="002F2F4A"/>
    <w:rsid w:val="002F326A"/>
    <w:rsid w:val="002F3D4D"/>
    <w:rsid w:val="002F4CFA"/>
    <w:rsid w:val="0030016C"/>
    <w:rsid w:val="00306B81"/>
    <w:rsid w:val="003075AC"/>
    <w:rsid w:val="003123EC"/>
    <w:rsid w:val="00333748"/>
    <w:rsid w:val="003350F9"/>
    <w:rsid w:val="00336C1B"/>
    <w:rsid w:val="003416E2"/>
    <w:rsid w:val="0034363C"/>
    <w:rsid w:val="00346CAC"/>
    <w:rsid w:val="00352E24"/>
    <w:rsid w:val="0036430B"/>
    <w:rsid w:val="00373E9B"/>
    <w:rsid w:val="003741D3"/>
    <w:rsid w:val="00376D91"/>
    <w:rsid w:val="00380726"/>
    <w:rsid w:val="003810B2"/>
    <w:rsid w:val="0038747A"/>
    <w:rsid w:val="00393634"/>
    <w:rsid w:val="00396AEA"/>
    <w:rsid w:val="003A16F4"/>
    <w:rsid w:val="003A35E5"/>
    <w:rsid w:val="003B2712"/>
    <w:rsid w:val="003B2CBB"/>
    <w:rsid w:val="003B57F7"/>
    <w:rsid w:val="003C1A1F"/>
    <w:rsid w:val="003C24E3"/>
    <w:rsid w:val="003C49E7"/>
    <w:rsid w:val="003C5223"/>
    <w:rsid w:val="003F0CE2"/>
    <w:rsid w:val="00402313"/>
    <w:rsid w:val="004028E1"/>
    <w:rsid w:val="004037BF"/>
    <w:rsid w:val="00405C24"/>
    <w:rsid w:val="004101B7"/>
    <w:rsid w:val="00410B0A"/>
    <w:rsid w:val="00413003"/>
    <w:rsid w:val="0041344D"/>
    <w:rsid w:val="00414006"/>
    <w:rsid w:val="0041494D"/>
    <w:rsid w:val="00422268"/>
    <w:rsid w:val="004319F5"/>
    <w:rsid w:val="00432DEC"/>
    <w:rsid w:val="00440377"/>
    <w:rsid w:val="004468D7"/>
    <w:rsid w:val="00446E51"/>
    <w:rsid w:val="00451AE0"/>
    <w:rsid w:val="004548DA"/>
    <w:rsid w:val="00455349"/>
    <w:rsid w:val="0046332C"/>
    <w:rsid w:val="00467A40"/>
    <w:rsid w:val="00472B96"/>
    <w:rsid w:val="00482F89"/>
    <w:rsid w:val="004848DB"/>
    <w:rsid w:val="00487755"/>
    <w:rsid w:val="00487E18"/>
    <w:rsid w:val="0049101A"/>
    <w:rsid w:val="00491540"/>
    <w:rsid w:val="00496E4F"/>
    <w:rsid w:val="004A08E6"/>
    <w:rsid w:val="004A173A"/>
    <w:rsid w:val="004B2EA5"/>
    <w:rsid w:val="004B6D93"/>
    <w:rsid w:val="004BC693"/>
    <w:rsid w:val="004C6755"/>
    <w:rsid w:val="004C7D65"/>
    <w:rsid w:val="004D5F2B"/>
    <w:rsid w:val="004D7F2F"/>
    <w:rsid w:val="004E0D4A"/>
    <w:rsid w:val="004E638B"/>
    <w:rsid w:val="004F0A4A"/>
    <w:rsid w:val="004F1F2F"/>
    <w:rsid w:val="004F2B54"/>
    <w:rsid w:val="004F3EA4"/>
    <w:rsid w:val="00500EFF"/>
    <w:rsid w:val="00506395"/>
    <w:rsid w:val="005068FA"/>
    <w:rsid w:val="00506C6C"/>
    <w:rsid w:val="00521D0A"/>
    <w:rsid w:val="00524E10"/>
    <w:rsid w:val="00526DF0"/>
    <w:rsid w:val="00527124"/>
    <w:rsid w:val="00533B91"/>
    <w:rsid w:val="0053427E"/>
    <w:rsid w:val="005359A9"/>
    <w:rsid w:val="00543501"/>
    <w:rsid w:val="00544434"/>
    <w:rsid w:val="0054652E"/>
    <w:rsid w:val="00546ECA"/>
    <w:rsid w:val="00552C66"/>
    <w:rsid w:val="00571026"/>
    <w:rsid w:val="00582C82"/>
    <w:rsid w:val="005832B9"/>
    <w:rsid w:val="00584E26"/>
    <w:rsid w:val="00597C3F"/>
    <w:rsid w:val="005A30EE"/>
    <w:rsid w:val="005B17C6"/>
    <w:rsid w:val="005C21BC"/>
    <w:rsid w:val="005E7E09"/>
    <w:rsid w:val="005F517C"/>
    <w:rsid w:val="00600D56"/>
    <w:rsid w:val="00602073"/>
    <w:rsid w:val="00605CD3"/>
    <w:rsid w:val="00606CCB"/>
    <w:rsid w:val="00613B02"/>
    <w:rsid w:val="0061433B"/>
    <w:rsid w:val="00617C2E"/>
    <w:rsid w:val="00621651"/>
    <w:rsid w:val="00627621"/>
    <w:rsid w:val="00633600"/>
    <w:rsid w:val="00633814"/>
    <w:rsid w:val="006349E3"/>
    <w:rsid w:val="0064332A"/>
    <w:rsid w:val="00653E31"/>
    <w:rsid w:val="00655F52"/>
    <w:rsid w:val="00667508"/>
    <w:rsid w:val="0067146A"/>
    <w:rsid w:val="00673869"/>
    <w:rsid w:val="006748D4"/>
    <w:rsid w:val="00686582"/>
    <w:rsid w:val="00692762"/>
    <w:rsid w:val="00692E07"/>
    <w:rsid w:val="006A1383"/>
    <w:rsid w:val="006A5859"/>
    <w:rsid w:val="006B0DB0"/>
    <w:rsid w:val="006B19B4"/>
    <w:rsid w:val="006B34A6"/>
    <w:rsid w:val="006B7046"/>
    <w:rsid w:val="006C2A28"/>
    <w:rsid w:val="006C45A4"/>
    <w:rsid w:val="006C71C8"/>
    <w:rsid w:val="00706D96"/>
    <w:rsid w:val="007127BC"/>
    <w:rsid w:val="007254F2"/>
    <w:rsid w:val="00725906"/>
    <w:rsid w:val="00725A0E"/>
    <w:rsid w:val="0073019B"/>
    <w:rsid w:val="0073479E"/>
    <w:rsid w:val="00737F95"/>
    <w:rsid w:val="00746B0B"/>
    <w:rsid w:val="00751077"/>
    <w:rsid w:val="007516D7"/>
    <w:rsid w:val="00753A73"/>
    <w:rsid w:val="007611D9"/>
    <w:rsid w:val="007620F4"/>
    <w:rsid w:val="007636D9"/>
    <w:rsid w:val="00763AA3"/>
    <w:rsid w:val="00764B81"/>
    <w:rsid w:val="007668C3"/>
    <w:rsid w:val="0077458E"/>
    <w:rsid w:val="007770F5"/>
    <w:rsid w:val="00781AC8"/>
    <w:rsid w:val="00781CE2"/>
    <w:rsid w:val="00782716"/>
    <w:rsid w:val="007829FD"/>
    <w:rsid w:val="00784430"/>
    <w:rsid w:val="007919FB"/>
    <w:rsid w:val="007948DB"/>
    <w:rsid w:val="007A4C12"/>
    <w:rsid w:val="007A6BF5"/>
    <w:rsid w:val="007B5934"/>
    <w:rsid w:val="007C05AB"/>
    <w:rsid w:val="007C15AF"/>
    <w:rsid w:val="007C2060"/>
    <w:rsid w:val="007C7808"/>
    <w:rsid w:val="007D1300"/>
    <w:rsid w:val="007D6086"/>
    <w:rsid w:val="007D7433"/>
    <w:rsid w:val="007E3D52"/>
    <w:rsid w:val="007E7046"/>
    <w:rsid w:val="007F121C"/>
    <w:rsid w:val="007F5FC5"/>
    <w:rsid w:val="007F602D"/>
    <w:rsid w:val="007F604D"/>
    <w:rsid w:val="007F6A3D"/>
    <w:rsid w:val="007F7770"/>
    <w:rsid w:val="007F7C2D"/>
    <w:rsid w:val="00801C83"/>
    <w:rsid w:val="00806BFE"/>
    <w:rsid w:val="008075A6"/>
    <w:rsid w:val="008076DF"/>
    <w:rsid w:val="00807AC6"/>
    <w:rsid w:val="008103CA"/>
    <w:rsid w:val="00810441"/>
    <w:rsid w:val="00821C45"/>
    <w:rsid w:val="0082223B"/>
    <w:rsid w:val="00833D9D"/>
    <w:rsid w:val="00841956"/>
    <w:rsid w:val="00842B8C"/>
    <w:rsid w:val="00843839"/>
    <w:rsid w:val="00850F3D"/>
    <w:rsid w:val="00851B78"/>
    <w:rsid w:val="008522CC"/>
    <w:rsid w:val="0085565E"/>
    <w:rsid w:val="00857489"/>
    <w:rsid w:val="00857F3F"/>
    <w:rsid w:val="00863399"/>
    <w:rsid w:val="0086351C"/>
    <w:rsid w:val="00871705"/>
    <w:rsid w:val="0087720C"/>
    <w:rsid w:val="008814D5"/>
    <w:rsid w:val="00881FBF"/>
    <w:rsid w:val="00891E47"/>
    <w:rsid w:val="0089595C"/>
    <w:rsid w:val="008A1330"/>
    <w:rsid w:val="008A1E8A"/>
    <w:rsid w:val="008A5A2E"/>
    <w:rsid w:val="008A6C27"/>
    <w:rsid w:val="008B03A5"/>
    <w:rsid w:val="008B38CA"/>
    <w:rsid w:val="008B4E22"/>
    <w:rsid w:val="008C1C06"/>
    <w:rsid w:val="008C35C6"/>
    <w:rsid w:val="008C52D5"/>
    <w:rsid w:val="008C6C7A"/>
    <w:rsid w:val="008D4F11"/>
    <w:rsid w:val="008D79A4"/>
    <w:rsid w:val="008F3366"/>
    <w:rsid w:val="008F43D5"/>
    <w:rsid w:val="008F6E7F"/>
    <w:rsid w:val="008F7041"/>
    <w:rsid w:val="00903FEB"/>
    <w:rsid w:val="009315DD"/>
    <w:rsid w:val="00931BBE"/>
    <w:rsid w:val="00932842"/>
    <w:rsid w:val="009332A4"/>
    <w:rsid w:val="0093626D"/>
    <w:rsid w:val="00937449"/>
    <w:rsid w:val="00940E39"/>
    <w:rsid w:val="00950045"/>
    <w:rsid w:val="0096163C"/>
    <w:rsid w:val="00967D5F"/>
    <w:rsid w:val="00971B96"/>
    <w:rsid w:val="00980F8C"/>
    <w:rsid w:val="0099182B"/>
    <w:rsid w:val="00996590"/>
    <w:rsid w:val="009A674F"/>
    <w:rsid w:val="009B5671"/>
    <w:rsid w:val="009B5F60"/>
    <w:rsid w:val="009C27D6"/>
    <w:rsid w:val="009D4081"/>
    <w:rsid w:val="009E736E"/>
    <w:rsid w:val="009E778B"/>
    <w:rsid w:val="009F09F7"/>
    <w:rsid w:val="00A10066"/>
    <w:rsid w:val="00A14B35"/>
    <w:rsid w:val="00A1625D"/>
    <w:rsid w:val="00A1737C"/>
    <w:rsid w:val="00A20552"/>
    <w:rsid w:val="00A20F45"/>
    <w:rsid w:val="00A21C49"/>
    <w:rsid w:val="00A23587"/>
    <w:rsid w:val="00A25520"/>
    <w:rsid w:val="00A33E8F"/>
    <w:rsid w:val="00A448BD"/>
    <w:rsid w:val="00A46994"/>
    <w:rsid w:val="00A50D5C"/>
    <w:rsid w:val="00A55162"/>
    <w:rsid w:val="00A56D82"/>
    <w:rsid w:val="00A57397"/>
    <w:rsid w:val="00A60937"/>
    <w:rsid w:val="00A627F8"/>
    <w:rsid w:val="00A636B3"/>
    <w:rsid w:val="00A65329"/>
    <w:rsid w:val="00A737E6"/>
    <w:rsid w:val="00A7523D"/>
    <w:rsid w:val="00A818D1"/>
    <w:rsid w:val="00A84C5B"/>
    <w:rsid w:val="00A85A62"/>
    <w:rsid w:val="00A85D87"/>
    <w:rsid w:val="00A91899"/>
    <w:rsid w:val="00A96A47"/>
    <w:rsid w:val="00AA0484"/>
    <w:rsid w:val="00AA33E8"/>
    <w:rsid w:val="00AA5B99"/>
    <w:rsid w:val="00AB0ADB"/>
    <w:rsid w:val="00AB16E7"/>
    <w:rsid w:val="00AB4DCE"/>
    <w:rsid w:val="00AB5343"/>
    <w:rsid w:val="00AB6774"/>
    <w:rsid w:val="00AD5E54"/>
    <w:rsid w:val="00AE2577"/>
    <w:rsid w:val="00AE2A60"/>
    <w:rsid w:val="00AE3080"/>
    <w:rsid w:val="00AF25AE"/>
    <w:rsid w:val="00AF6244"/>
    <w:rsid w:val="00AF6BB3"/>
    <w:rsid w:val="00B008E6"/>
    <w:rsid w:val="00B01770"/>
    <w:rsid w:val="00B04FBF"/>
    <w:rsid w:val="00B058FB"/>
    <w:rsid w:val="00B14CF2"/>
    <w:rsid w:val="00B170F5"/>
    <w:rsid w:val="00B24716"/>
    <w:rsid w:val="00B25818"/>
    <w:rsid w:val="00B31CC2"/>
    <w:rsid w:val="00B372FB"/>
    <w:rsid w:val="00B53FF7"/>
    <w:rsid w:val="00B540FF"/>
    <w:rsid w:val="00B55BD4"/>
    <w:rsid w:val="00B738F6"/>
    <w:rsid w:val="00B805BB"/>
    <w:rsid w:val="00B83563"/>
    <w:rsid w:val="00B93608"/>
    <w:rsid w:val="00BA0351"/>
    <w:rsid w:val="00BC2B27"/>
    <w:rsid w:val="00BC51EA"/>
    <w:rsid w:val="00BD6034"/>
    <w:rsid w:val="00BD62F6"/>
    <w:rsid w:val="00BE42E7"/>
    <w:rsid w:val="00BF11FC"/>
    <w:rsid w:val="00BF1520"/>
    <w:rsid w:val="00BF46AC"/>
    <w:rsid w:val="00BF4FD5"/>
    <w:rsid w:val="00BF6D24"/>
    <w:rsid w:val="00C039F7"/>
    <w:rsid w:val="00C132DC"/>
    <w:rsid w:val="00C153C7"/>
    <w:rsid w:val="00C23973"/>
    <w:rsid w:val="00C272E1"/>
    <w:rsid w:val="00C378AE"/>
    <w:rsid w:val="00C45A4A"/>
    <w:rsid w:val="00C47843"/>
    <w:rsid w:val="00C505D9"/>
    <w:rsid w:val="00C55151"/>
    <w:rsid w:val="00C56BB3"/>
    <w:rsid w:val="00C62471"/>
    <w:rsid w:val="00C627AB"/>
    <w:rsid w:val="00C724E6"/>
    <w:rsid w:val="00C766F6"/>
    <w:rsid w:val="00C812AC"/>
    <w:rsid w:val="00C82F02"/>
    <w:rsid w:val="00C87896"/>
    <w:rsid w:val="00C97D72"/>
    <w:rsid w:val="00CB1178"/>
    <w:rsid w:val="00CB181C"/>
    <w:rsid w:val="00CB225E"/>
    <w:rsid w:val="00CB3190"/>
    <w:rsid w:val="00CB3A4C"/>
    <w:rsid w:val="00CB3D69"/>
    <w:rsid w:val="00CB485A"/>
    <w:rsid w:val="00CB4BA1"/>
    <w:rsid w:val="00CC0A48"/>
    <w:rsid w:val="00CC27F2"/>
    <w:rsid w:val="00CC56A4"/>
    <w:rsid w:val="00CC725E"/>
    <w:rsid w:val="00CC7381"/>
    <w:rsid w:val="00CC75E1"/>
    <w:rsid w:val="00CD0609"/>
    <w:rsid w:val="00CD4276"/>
    <w:rsid w:val="00CD7CDA"/>
    <w:rsid w:val="00CE14DF"/>
    <w:rsid w:val="00CF25AB"/>
    <w:rsid w:val="00D12A5C"/>
    <w:rsid w:val="00D15DA7"/>
    <w:rsid w:val="00D21829"/>
    <w:rsid w:val="00D27143"/>
    <w:rsid w:val="00D33283"/>
    <w:rsid w:val="00D35CFD"/>
    <w:rsid w:val="00D44652"/>
    <w:rsid w:val="00D51324"/>
    <w:rsid w:val="00D73065"/>
    <w:rsid w:val="00D731F5"/>
    <w:rsid w:val="00D73C91"/>
    <w:rsid w:val="00D76AF5"/>
    <w:rsid w:val="00D77037"/>
    <w:rsid w:val="00D837FC"/>
    <w:rsid w:val="00D949CF"/>
    <w:rsid w:val="00D96C07"/>
    <w:rsid w:val="00D97FB2"/>
    <w:rsid w:val="00DA0451"/>
    <w:rsid w:val="00DB0411"/>
    <w:rsid w:val="00DB2AA8"/>
    <w:rsid w:val="00DB53A8"/>
    <w:rsid w:val="00DC35E9"/>
    <w:rsid w:val="00DD3131"/>
    <w:rsid w:val="00DD49EE"/>
    <w:rsid w:val="00DD67C4"/>
    <w:rsid w:val="00DD7008"/>
    <w:rsid w:val="00DE0A6A"/>
    <w:rsid w:val="00DE337B"/>
    <w:rsid w:val="00DE3E08"/>
    <w:rsid w:val="00DEA33A"/>
    <w:rsid w:val="00DF0B28"/>
    <w:rsid w:val="00DF1082"/>
    <w:rsid w:val="00DF37E5"/>
    <w:rsid w:val="00DF3B88"/>
    <w:rsid w:val="00E05FD8"/>
    <w:rsid w:val="00E07A84"/>
    <w:rsid w:val="00E106B5"/>
    <w:rsid w:val="00E11A2F"/>
    <w:rsid w:val="00E211C3"/>
    <w:rsid w:val="00E240F0"/>
    <w:rsid w:val="00E35A4A"/>
    <w:rsid w:val="00E43A49"/>
    <w:rsid w:val="00E47C7C"/>
    <w:rsid w:val="00E47CA2"/>
    <w:rsid w:val="00E53065"/>
    <w:rsid w:val="00E54C00"/>
    <w:rsid w:val="00E61267"/>
    <w:rsid w:val="00E66F42"/>
    <w:rsid w:val="00E8130D"/>
    <w:rsid w:val="00E84501"/>
    <w:rsid w:val="00E87F4A"/>
    <w:rsid w:val="00EA3AB6"/>
    <w:rsid w:val="00EA5E5D"/>
    <w:rsid w:val="00EB3378"/>
    <w:rsid w:val="00EB4A48"/>
    <w:rsid w:val="00EB5454"/>
    <w:rsid w:val="00ED074A"/>
    <w:rsid w:val="00ED0DEC"/>
    <w:rsid w:val="00ED2AA9"/>
    <w:rsid w:val="00ED3400"/>
    <w:rsid w:val="00ED3749"/>
    <w:rsid w:val="00ED4254"/>
    <w:rsid w:val="00ED46C0"/>
    <w:rsid w:val="00ED5749"/>
    <w:rsid w:val="00EE4D7C"/>
    <w:rsid w:val="00EE6662"/>
    <w:rsid w:val="00EE6EBA"/>
    <w:rsid w:val="00EF377D"/>
    <w:rsid w:val="00EF3E67"/>
    <w:rsid w:val="00EF7084"/>
    <w:rsid w:val="00F109C7"/>
    <w:rsid w:val="00F17A44"/>
    <w:rsid w:val="00F365B4"/>
    <w:rsid w:val="00F47902"/>
    <w:rsid w:val="00F50270"/>
    <w:rsid w:val="00F5335A"/>
    <w:rsid w:val="00F540A0"/>
    <w:rsid w:val="00F55D40"/>
    <w:rsid w:val="00F56AA9"/>
    <w:rsid w:val="00F60EDE"/>
    <w:rsid w:val="00F6537F"/>
    <w:rsid w:val="00F65A1C"/>
    <w:rsid w:val="00F71C82"/>
    <w:rsid w:val="00F75184"/>
    <w:rsid w:val="00F77FC8"/>
    <w:rsid w:val="00F920B7"/>
    <w:rsid w:val="00FA4C1D"/>
    <w:rsid w:val="00FB201D"/>
    <w:rsid w:val="00FB2B36"/>
    <w:rsid w:val="00FB5528"/>
    <w:rsid w:val="00FB5B22"/>
    <w:rsid w:val="00FB6789"/>
    <w:rsid w:val="00FC101F"/>
    <w:rsid w:val="00FC6FC4"/>
    <w:rsid w:val="00FD4C2A"/>
    <w:rsid w:val="00FD5ADD"/>
    <w:rsid w:val="00FD5F98"/>
    <w:rsid w:val="00FD721C"/>
    <w:rsid w:val="00FD79EE"/>
    <w:rsid w:val="00FE1FE1"/>
    <w:rsid w:val="00FE2792"/>
    <w:rsid w:val="00FE750B"/>
    <w:rsid w:val="00FF1E56"/>
    <w:rsid w:val="00FF2557"/>
    <w:rsid w:val="00FF5DE0"/>
    <w:rsid w:val="011B6437"/>
    <w:rsid w:val="011CE80E"/>
    <w:rsid w:val="0171D405"/>
    <w:rsid w:val="0194DD76"/>
    <w:rsid w:val="01C50202"/>
    <w:rsid w:val="01C6909D"/>
    <w:rsid w:val="01CD5C76"/>
    <w:rsid w:val="02990540"/>
    <w:rsid w:val="032CAB05"/>
    <w:rsid w:val="03F3E1AD"/>
    <w:rsid w:val="040C4874"/>
    <w:rsid w:val="0411A2BD"/>
    <w:rsid w:val="04A30C67"/>
    <w:rsid w:val="05303B35"/>
    <w:rsid w:val="05355B83"/>
    <w:rsid w:val="053C5BF8"/>
    <w:rsid w:val="0542D896"/>
    <w:rsid w:val="0577D509"/>
    <w:rsid w:val="05C756D8"/>
    <w:rsid w:val="05DD58E5"/>
    <w:rsid w:val="0646FC24"/>
    <w:rsid w:val="068C6F02"/>
    <w:rsid w:val="06C192F4"/>
    <w:rsid w:val="06E0002E"/>
    <w:rsid w:val="070EA136"/>
    <w:rsid w:val="075D8960"/>
    <w:rsid w:val="076FDCBB"/>
    <w:rsid w:val="07C581A1"/>
    <w:rsid w:val="0829243A"/>
    <w:rsid w:val="082B8D78"/>
    <w:rsid w:val="082EB6C1"/>
    <w:rsid w:val="083AB996"/>
    <w:rsid w:val="088C5C7E"/>
    <w:rsid w:val="09109147"/>
    <w:rsid w:val="0927A47F"/>
    <w:rsid w:val="0929F9B8"/>
    <w:rsid w:val="096D6D92"/>
    <w:rsid w:val="099C5F40"/>
    <w:rsid w:val="09A7640F"/>
    <w:rsid w:val="09C75DD9"/>
    <w:rsid w:val="09CC5C27"/>
    <w:rsid w:val="09F90121"/>
    <w:rsid w:val="0A1F3FDB"/>
    <w:rsid w:val="0A66E67E"/>
    <w:rsid w:val="0AA9E3AA"/>
    <w:rsid w:val="0AEFD742"/>
    <w:rsid w:val="0AF49207"/>
    <w:rsid w:val="0AFE6DCA"/>
    <w:rsid w:val="0B6270D6"/>
    <w:rsid w:val="0B958836"/>
    <w:rsid w:val="0BDE6B6D"/>
    <w:rsid w:val="0C02E97B"/>
    <w:rsid w:val="0C040D0D"/>
    <w:rsid w:val="0C8A8798"/>
    <w:rsid w:val="0CDAD936"/>
    <w:rsid w:val="0D4D7C7B"/>
    <w:rsid w:val="0D9E2F49"/>
    <w:rsid w:val="0DB8CBF3"/>
    <w:rsid w:val="0DDE35A2"/>
    <w:rsid w:val="0E1B3816"/>
    <w:rsid w:val="0EA0A59B"/>
    <w:rsid w:val="0EB4251E"/>
    <w:rsid w:val="100B38F8"/>
    <w:rsid w:val="107090CF"/>
    <w:rsid w:val="10AAB80B"/>
    <w:rsid w:val="1126B2CD"/>
    <w:rsid w:val="11B366B7"/>
    <w:rsid w:val="11C6F64E"/>
    <w:rsid w:val="124501D1"/>
    <w:rsid w:val="12FEF4B9"/>
    <w:rsid w:val="13C641F2"/>
    <w:rsid w:val="144869F2"/>
    <w:rsid w:val="14A413A6"/>
    <w:rsid w:val="14FA77A8"/>
    <w:rsid w:val="154462B9"/>
    <w:rsid w:val="15960D9A"/>
    <w:rsid w:val="16EA6078"/>
    <w:rsid w:val="170DBBF7"/>
    <w:rsid w:val="179CD773"/>
    <w:rsid w:val="17AEB303"/>
    <w:rsid w:val="180C81B3"/>
    <w:rsid w:val="18235EE1"/>
    <w:rsid w:val="1874DF6F"/>
    <w:rsid w:val="18CFEE8D"/>
    <w:rsid w:val="18E469FE"/>
    <w:rsid w:val="19EDCF6C"/>
    <w:rsid w:val="1A059C6B"/>
    <w:rsid w:val="1A26A59D"/>
    <w:rsid w:val="1A42782A"/>
    <w:rsid w:val="1A4F2BFE"/>
    <w:rsid w:val="1B1F8B09"/>
    <w:rsid w:val="1BFC7AE5"/>
    <w:rsid w:val="1C5DF8D6"/>
    <w:rsid w:val="1DBAD976"/>
    <w:rsid w:val="1DC1EDB7"/>
    <w:rsid w:val="1DCE532E"/>
    <w:rsid w:val="1E0F13B7"/>
    <w:rsid w:val="1F053F69"/>
    <w:rsid w:val="1F46EBFC"/>
    <w:rsid w:val="1F77758B"/>
    <w:rsid w:val="1F8E2CE0"/>
    <w:rsid w:val="1FF963C0"/>
    <w:rsid w:val="205BB179"/>
    <w:rsid w:val="20F32A38"/>
    <w:rsid w:val="20FC9FBC"/>
    <w:rsid w:val="216385F4"/>
    <w:rsid w:val="2166B13E"/>
    <w:rsid w:val="2192A5FD"/>
    <w:rsid w:val="21B8F9F7"/>
    <w:rsid w:val="21E509ED"/>
    <w:rsid w:val="227A6D2B"/>
    <w:rsid w:val="237334FC"/>
    <w:rsid w:val="239BAF54"/>
    <w:rsid w:val="250F055D"/>
    <w:rsid w:val="25956B64"/>
    <w:rsid w:val="25C564C8"/>
    <w:rsid w:val="26357A9E"/>
    <w:rsid w:val="26472675"/>
    <w:rsid w:val="26C7363B"/>
    <w:rsid w:val="26F89E0F"/>
    <w:rsid w:val="273DDD19"/>
    <w:rsid w:val="27760F83"/>
    <w:rsid w:val="279613B3"/>
    <w:rsid w:val="27E746F4"/>
    <w:rsid w:val="28D08D3E"/>
    <w:rsid w:val="28D8CB8C"/>
    <w:rsid w:val="2932D383"/>
    <w:rsid w:val="29F4C6E0"/>
    <w:rsid w:val="29F52F1D"/>
    <w:rsid w:val="2AF60112"/>
    <w:rsid w:val="2B794203"/>
    <w:rsid w:val="2CB7AAC7"/>
    <w:rsid w:val="2D1A6F39"/>
    <w:rsid w:val="2E38E688"/>
    <w:rsid w:val="2EC49B5C"/>
    <w:rsid w:val="2FA5A11D"/>
    <w:rsid w:val="3093BA0B"/>
    <w:rsid w:val="30BFEFCD"/>
    <w:rsid w:val="32168BBA"/>
    <w:rsid w:val="3220D22B"/>
    <w:rsid w:val="32DDF159"/>
    <w:rsid w:val="32FDD0E3"/>
    <w:rsid w:val="339A8D8B"/>
    <w:rsid w:val="33F0920C"/>
    <w:rsid w:val="34953A93"/>
    <w:rsid w:val="351CA44B"/>
    <w:rsid w:val="36A7C541"/>
    <w:rsid w:val="36BCCA51"/>
    <w:rsid w:val="36EB8D40"/>
    <w:rsid w:val="378E5FDA"/>
    <w:rsid w:val="37D98CF6"/>
    <w:rsid w:val="37FBA33E"/>
    <w:rsid w:val="3857F1B6"/>
    <w:rsid w:val="38B691C5"/>
    <w:rsid w:val="38E4A987"/>
    <w:rsid w:val="3935C630"/>
    <w:rsid w:val="39B1CA44"/>
    <w:rsid w:val="39B543F3"/>
    <w:rsid w:val="3A7D4AC0"/>
    <w:rsid w:val="3B16F0F5"/>
    <w:rsid w:val="3B37F2D1"/>
    <w:rsid w:val="3B86F051"/>
    <w:rsid w:val="3BCDF9AE"/>
    <w:rsid w:val="3C263864"/>
    <w:rsid w:val="3CB09CA4"/>
    <w:rsid w:val="3CB2C156"/>
    <w:rsid w:val="3D177338"/>
    <w:rsid w:val="3D34CE93"/>
    <w:rsid w:val="3DAF4DB5"/>
    <w:rsid w:val="3DD69CB1"/>
    <w:rsid w:val="3E219454"/>
    <w:rsid w:val="3E417A2D"/>
    <w:rsid w:val="3EB15A0F"/>
    <w:rsid w:val="3F525B2E"/>
    <w:rsid w:val="3FE7187E"/>
    <w:rsid w:val="3FF78CCA"/>
    <w:rsid w:val="401268F0"/>
    <w:rsid w:val="403CEB0E"/>
    <w:rsid w:val="4065CD60"/>
    <w:rsid w:val="40A7C6BA"/>
    <w:rsid w:val="40EB280D"/>
    <w:rsid w:val="417BFD68"/>
    <w:rsid w:val="417E3DE8"/>
    <w:rsid w:val="41DBA2FC"/>
    <w:rsid w:val="41F7C64F"/>
    <w:rsid w:val="42382D96"/>
    <w:rsid w:val="42A8053F"/>
    <w:rsid w:val="43AD603F"/>
    <w:rsid w:val="447B08BD"/>
    <w:rsid w:val="44D46C3D"/>
    <w:rsid w:val="44E6A212"/>
    <w:rsid w:val="451A0C11"/>
    <w:rsid w:val="470C46E6"/>
    <w:rsid w:val="47716D85"/>
    <w:rsid w:val="47B20FDF"/>
    <w:rsid w:val="47E0F700"/>
    <w:rsid w:val="482EE203"/>
    <w:rsid w:val="486561DE"/>
    <w:rsid w:val="498CC7C2"/>
    <w:rsid w:val="49F60F6C"/>
    <w:rsid w:val="4A0F46EF"/>
    <w:rsid w:val="4A824547"/>
    <w:rsid w:val="4A9FCFF9"/>
    <w:rsid w:val="4AEB9940"/>
    <w:rsid w:val="4B69713A"/>
    <w:rsid w:val="4BB6CFCC"/>
    <w:rsid w:val="4BFA0A77"/>
    <w:rsid w:val="4C86BF24"/>
    <w:rsid w:val="4CBBF326"/>
    <w:rsid w:val="4CBC8477"/>
    <w:rsid w:val="4D52A02D"/>
    <w:rsid w:val="4DA27D9B"/>
    <w:rsid w:val="4DA9533A"/>
    <w:rsid w:val="4DFAACD5"/>
    <w:rsid w:val="4EA59F75"/>
    <w:rsid w:val="4F833AA1"/>
    <w:rsid w:val="4FC920A6"/>
    <w:rsid w:val="4FF01393"/>
    <w:rsid w:val="50E955B1"/>
    <w:rsid w:val="5108F551"/>
    <w:rsid w:val="5111D2AD"/>
    <w:rsid w:val="51420A1E"/>
    <w:rsid w:val="51500D05"/>
    <w:rsid w:val="52121D8C"/>
    <w:rsid w:val="52286E3D"/>
    <w:rsid w:val="52996717"/>
    <w:rsid w:val="5312313E"/>
    <w:rsid w:val="53246D86"/>
    <w:rsid w:val="53A6F35B"/>
    <w:rsid w:val="53D6F9B4"/>
    <w:rsid w:val="541C6FA7"/>
    <w:rsid w:val="5475E8D0"/>
    <w:rsid w:val="551BCD50"/>
    <w:rsid w:val="55478262"/>
    <w:rsid w:val="5560121F"/>
    <w:rsid w:val="55B89DD7"/>
    <w:rsid w:val="55E9A1CE"/>
    <w:rsid w:val="560B81F7"/>
    <w:rsid w:val="564EB82F"/>
    <w:rsid w:val="567817EE"/>
    <w:rsid w:val="56E099CC"/>
    <w:rsid w:val="5753180A"/>
    <w:rsid w:val="5759A495"/>
    <w:rsid w:val="57CC6F39"/>
    <w:rsid w:val="57D34B39"/>
    <w:rsid w:val="57DCC87F"/>
    <w:rsid w:val="58650887"/>
    <w:rsid w:val="58D864FC"/>
    <w:rsid w:val="5943DDDA"/>
    <w:rsid w:val="59526552"/>
    <w:rsid w:val="5A581C01"/>
    <w:rsid w:val="5A61F8F8"/>
    <w:rsid w:val="5ABCB9F2"/>
    <w:rsid w:val="5ACF0AD0"/>
    <w:rsid w:val="5B747D21"/>
    <w:rsid w:val="5BF4ACE3"/>
    <w:rsid w:val="5C057445"/>
    <w:rsid w:val="5C554DDD"/>
    <w:rsid w:val="5C6746D0"/>
    <w:rsid w:val="5D1F2E82"/>
    <w:rsid w:val="5D2D1A8E"/>
    <w:rsid w:val="5D2D66C5"/>
    <w:rsid w:val="5D5AA33C"/>
    <w:rsid w:val="5DF4E893"/>
    <w:rsid w:val="5EC7E85E"/>
    <w:rsid w:val="5F2F73B0"/>
    <w:rsid w:val="5F5B9AFF"/>
    <w:rsid w:val="5F6453D2"/>
    <w:rsid w:val="5F6AECF0"/>
    <w:rsid w:val="60252E4E"/>
    <w:rsid w:val="60D1911B"/>
    <w:rsid w:val="61412851"/>
    <w:rsid w:val="61B22C97"/>
    <w:rsid w:val="61B7D301"/>
    <w:rsid w:val="61D40C87"/>
    <w:rsid w:val="61F50C77"/>
    <w:rsid w:val="622FBEDA"/>
    <w:rsid w:val="62CFC334"/>
    <w:rsid w:val="62EBA249"/>
    <w:rsid w:val="63227EC6"/>
    <w:rsid w:val="634948E8"/>
    <w:rsid w:val="63FA1BAE"/>
    <w:rsid w:val="6588DAEC"/>
    <w:rsid w:val="65E7445C"/>
    <w:rsid w:val="65EE7365"/>
    <w:rsid w:val="66305CCC"/>
    <w:rsid w:val="664F56A6"/>
    <w:rsid w:val="6664E540"/>
    <w:rsid w:val="6670A0C6"/>
    <w:rsid w:val="6674B059"/>
    <w:rsid w:val="66B8696C"/>
    <w:rsid w:val="66C4B3AD"/>
    <w:rsid w:val="6724B737"/>
    <w:rsid w:val="677762D0"/>
    <w:rsid w:val="681DC9F7"/>
    <w:rsid w:val="68C08798"/>
    <w:rsid w:val="69328B63"/>
    <w:rsid w:val="6937F725"/>
    <w:rsid w:val="693B4634"/>
    <w:rsid w:val="694C3FD8"/>
    <w:rsid w:val="6A52BCCB"/>
    <w:rsid w:val="6A5C4C0F"/>
    <w:rsid w:val="6A713B31"/>
    <w:rsid w:val="6AA01F38"/>
    <w:rsid w:val="6AA0BF54"/>
    <w:rsid w:val="6AFA25C6"/>
    <w:rsid w:val="6B21D1FB"/>
    <w:rsid w:val="6B3AF5A3"/>
    <w:rsid w:val="6B552CAD"/>
    <w:rsid w:val="6B553AD7"/>
    <w:rsid w:val="6BA3EB6A"/>
    <w:rsid w:val="6C18D684"/>
    <w:rsid w:val="6CD7BA04"/>
    <w:rsid w:val="6D105DBC"/>
    <w:rsid w:val="6D306FEA"/>
    <w:rsid w:val="6D518108"/>
    <w:rsid w:val="6E79A2AA"/>
    <w:rsid w:val="6F09A948"/>
    <w:rsid w:val="6FA0C16E"/>
    <w:rsid w:val="708DDCE9"/>
    <w:rsid w:val="710F05F2"/>
    <w:rsid w:val="71F701A2"/>
    <w:rsid w:val="728D38F6"/>
    <w:rsid w:val="72F05533"/>
    <w:rsid w:val="72F14A11"/>
    <w:rsid w:val="72F56E40"/>
    <w:rsid w:val="73429A9A"/>
    <w:rsid w:val="7352908B"/>
    <w:rsid w:val="73681038"/>
    <w:rsid w:val="73F146DC"/>
    <w:rsid w:val="73FD20B1"/>
    <w:rsid w:val="74A9DC3B"/>
    <w:rsid w:val="74B1B39B"/>
    <w:rsid w:val="74CBBB4A"/>
    <w:rsid w:val="750DAC45"/>
    <w:rsid w:val="75306283"/>
    <w:rsid w:val="7558B90A"/>
    <w:rsid w:val="7560555D"/>
    <w:rsid w:val="75D25466"/>
    <w:rsid w:val="76446971"/>
    <w:rsid w:val="766BA31D"/>
    <w:rsid w:val="76E1CF5F"/>
    <w:rsid w:val="772B9F29"/>
    <w:rsid w:val="77A30981"/>
    <w:rsid w:val="7845322E"/>
    <w:rsid w:val="7945D09C"/>
    <w:rsid w:val="7954ABA1"/>
    <w:rsid w:val="79A93E6D"/>
    <w:rsid w:val="79B9F01C"/>
    <w:rsid w:val="7A20C1C4"/>
    <w:rsid w:val="7A45CF0A"/>
    <w:rsid w:val="7AA71BB7"/>
    <w:rsid w:val="7ABE7A25"/>
    <w:rsid w:val="7AEB34FA"/>
    <w:rsid w:val="7B55C07D"/>
    <w:rsid w:val="7BFEF25B"/>
    <w:rsid w:val="7C981DD6"/>
    <w:rsid w:val="7CDBC346"/>
    <w:rsid w:val="7CE28584"/>
    <w:rsid w:val="7D4B1246"/>
    <w:rsid w:val="7D905CB0"/>
    <w:rsid w:val="7E2F375B"/>
    <w:rsid w:val="7E74E52B"/>
    <w:rsid w:val="7E80C7C2"/>
    <w:rsid w:val="7ECFCE61"/>
    <w:rsid w:val="7EF2BACE"/>
    <w:rsid w:val="7F04E133"/>
    <w:rsid w:val="7F2405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815A2"/>
  <w15:chartTrackingRefBased/>
  <w15:docId w15:val="{7B3CC657-52F0-4F6E-88FD-3D52E84D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267"/>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basedOn w:val="Normal"/>
    <w:next w:val="Normal"/>
    <w:link w:val="Ttulo1Car"/>
    <w:uiPriority w:val="9"/>
    <w:qFormat/>
    <w:rsid w:val="00413003"/>
    <w:pPr>
      <w:keepNext/>
      <w:keepLines/>
      <w:framePr w:wrap="around" w:vAnchor="text" w:hAnchor="text" w:y="1"/>
      <w:numPr>
        <w:numId w:val="29"/>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center"/>
      <w:outlineLvl w:val="0"/>
    </w:pPr>
    <w:rPr>
      <w:rFonts w:ascii="Arial Narrow" w:eastAsiaTheme="majorEastAsia" w:hAnsi="Arial Narrow" w:cstheme="majorBidi"/>
      <w:b/>
      <w:bCs/>
      <w:color w:val="000000"/>
      <w:sz w:val="20"/>
      <w:szCs w:val="28"/>
      <w:lang w:eastAsia="es-ES"/>
      <w14:textOutline w14:w="9525" w14:cap="rnd" w14:cmpd="sng" w14:algn="ctr">
        <w14:noFill/>
        <w14:prstDash w14:val="solid"/>
        <w14:bevel/>
      </w14:textOutline>
      <w14:textFill>
        <w14:solidFill>
          <w14:srgbClr w14:val="000000">
            <w14:lumMod w14:val="75000"/>
          </w14:srgbClr>
        </w14:solidFill>
      </w14:textFill>
    </w:rPr>
  </w:style>
  <w:style w:type="paragraph" w:styleId="Ttulo2">
    <w:name w:val="heading 2"/>
    <w:basedOn w:val="Normal"/>
    <w:next w:val="Normal"/>
    <w:link w:val="Ttulo2Car"/>
    <w:uiPriority w:val="9"/>
    <w:unhideWhenUsed/>
    <w:qFormat/>
    <w:rsid w:val="00413003"/>
    <w:pPr>
      <w:keepNext/>
      <w:keepLines/>
      <w:spacing w:before="40" w:line="259" w:lineRule="auto"/>
      <w:outlineLvl w:val="1"/>
    </w:pPr>
    <w:rPr>
      <w:rFonts w:ascii="Arial Narrow" w:eastAsiaTheme="majorEastAsia" w:hAnsi="Arial Narrow" w:cstheme="majorBidi"/>
      <w:b/>
      <w:kern w:val="2"/>
      <w:sz w:val="20"/>
      <w:szCs w:val="26"/>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6F96"/>
    <w:pPr>
      <w:tabs>
        <w:tab w:val="center" w:pos="4419"/>
        <w:tab w:val="right" w:pos="8838"/>
      </w:tabs>
    </w:pPr>
    <w:rPr>
      <w:rFonts w:asciiTheme="minorHAnsi" w:eastAsiaTheme="minorHAnsi" w:hAnsiTheme="minorHAnsi" w:cstheme="minorBidi"/>
      <w:kern w:val="2"/>
      <w:sz w:val="22"/>
      <w:szCs w:val="22"/>
      <w:lang w:eastAsia="en-US"/>
      <w14:ligatures w14:val="standardContextual"/>
    </w:rPr>
  </w:style>
  <w:style w:type="character" w:customStyle="1" w:styleId="EncabezadoCar">
    <w:name w:val="Encabezado Car"/>
    <w:basedOn w:val="Fuentedeprrafopredeter"/>
    <w:link w:val="Encabezado"/>
    <w:uiPriority w:val="99"/>
    <w:rsid w:val="000C6F96"/>
  </w:style>
  <w:style w:type="paragraph" w:styleId="Piedepgina">
    <w:name w:val="footer"/>
    <w:basedOn w:val="Normal"/>
    <w:link w:val="PiedepginaCar"/>
    <w:uiPriority w:val="99"/>
    <w:unhideWhenUsed/>
    <w:rsid w:val="000C6F96"/>
    <w:pPr>
      <w:tabs>
        <w:tab w:val="center" w:pos="4419"/>
        <w:tab w:val="right" w:pos="8838"/>
      </w:tabs>
    </w:pPr>
    <w:rPr>
      <w:rFonts w:asciiTheme="minorHAnsi" w:eastAsiaTheme="minorHAnsi" w:hAnsiTheme="minorHAnsi" w:cstheme="minorBidi"/>
      <w:kern w:val="2"/>
      <w:sz w:val="22"/>
      <w:szCs w:val="22"/>
      <w:lang w:eastAsia="en-US"/>
      <w14:ligatures w14:val="standardContextual"/>
    </w:rPr>
  </w:style>
  <w:style w:type="character" w:customStyle="1" w:styleId="PiedepginaCar">
    <w:name w:val="Pie de página Car"/>
    <w:basedOn w:val="Fuentedeprrafopredeter"/>
    <w:link w:val="Piedepgina"/>
    <w:uiPriority w:val="99"/>
    <w:rsid w:val="000C6F96"/>
  </w:style>
  <w:style w:type="paragraph" w:customStyle="1" w:styleId="paragraph">
    <w:name w:val="paragraph"/>
    <w:basedOn w:val="Normal"/>
    <w:rsid w:val="000C6F96"/>
    <w:pPr>
      <w:spacing w:before="100" w:beforeAutospacing="1" w:after="100" w:afterAutospacing="1"/>
    </w:pPr>
  </w:style>
  <w:style w:type="character" w:customStyle="1" w:styleId="normaltextrun">
    <w:name w:val="normaltextrun"/>
    <w:basedOn w:val="Fuentedeprrafopredeter"/>
    <w:rsid w:val="000C6F96"/>
  </w:style>
  <w:style w:type="character" w:customStyle="1" w:styleId="eop">
    <w:name w:val="eop"/>
    <w:basedOn w:val="Fuentedeprrafopredeter"/>
    <w:rsid w:val="000C6F96"/>
  </w:style>
  <w:style w:type="paragraph" w:styleId="Prrafodelista">
    <w:name w:val="List Paragraph"/>
    <w:aliases w:val="List Paragraph1,Segundo nivel de viñetas,Lista viñetas,Segundo nivel de vi–etas,Ha,Bullet List,FooterText,numbered,Paragraphe de liste1,lp1,Bulletr List Paragraph,Foot,列出段落,列出段落1,List Paragraph2,List Paragraph21,Parágrafo da Lista1,リスト段"/>
    <w:basedOn w:val="Normal"/>
    <w:link w:val="PrrafodelistaCar"/>
    <w:uiPriority w:val="34"/>
    <w:qFormat/>
    <w:rsid w:val="000C6F9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customStyle="1" w:styleId="PrrafodelistaCar">
    <w:name w:val="Párrafo de lista Car"/>
    <w:aliases w:val="List Paragraph1 Car,Segundo nivel de viñetas Car,Lista viñetas Car,Segundo nivel de vi–etas Car,Ha Car,Bullet List Car,FooterText Car,numbered Car,Paragraphe de liste1 Car,lp1 Car,Bulletr List Paragraph Car,Foot Car,列出段落 Car"/>
    <w:link w:val="Prrafodelista"/>
    <w:uiPriority w:val="34"/>
    <w:qFormat/>
    <w:locked/>
    <w:rsid w:val="003B2CBB"/>
  </w:style>
  <w:style w:type="character" w:customStyle="1" w:styleId="tabchar">
    <w:name w:val="tabchar"/>
    <w:basedOn w:val="Fuentedeprrafopredeter"/>
    <w:rsid w:val="004E0D4A"/>
  </w:style>
  <w:style w:type="paragraph" w:customStyle="1" w:styleId="outlineelement">
    <w:name w:val="outlineelement"/>
    <w:basedOn w:val="Normal"/>
    <w:rsid w:val="004E0D4A"/>
    <w:pPr>
      <w:spacing w:before="100" w:beforeAutospacing="1" w:after="100" w:afterAutospacing="1"/>
    </w:pPr>
  </w:style>
  <w:style w:type="character" w:customStyle="1" w:styleId="wacimagecontainer">
    <w:name w:val="wacimagecontainer"/>
    <w:basedOn w:val="Fuentedeprrafopredeter"/>
    <w:rsid w:val="004E0D4A"/>
  </w:style>
  <w:style w:type="character" w:styleId="Hipervnculo">
    <w:name w:val="Hyperlink"/>
    <w:basedOn w:val="Fuentedeprrafopredeter"/>
    <w:uiPriority w:val="99"/>
    <w:unhideWhenUsed/>
    <w:rsid w:val="00871705"/>
    <w:rPr>
      <w:color w:val="0563C1" w:themeColor="hyperlink"/>
      <w:u w:val="single"/>
    </w:rPr>
  </w:style>
  <w:style w:type="character" w:styleId="Mencinsinresolver">
    <w:name w:val="Unresolved Mention"/>
    <w:basedOn w:val="Fuentedeprrafopredeter"/>
    <w:uiPriority w:val="99"/>
    <w:semiHidden/>
    <w:unhideWhenUsed/>
    <w:rsid w:val="00871705"/>
    <w:rPr>
      <w:color w:val="605E5C"/>
      <w:shd w:val="clear" w:color="auto" w:fill="E1DFDD"/>
    </w:rPr>
  </w:style>
  <w:style w:type="paragraph" w:customStyle="1" w:styleId="Default">
    <w:name w:val="Default"/>
    <w:link w:val="DefaultCar"/>
    <w:qFormat/>
    <w:rsid w:val="004101B7"/>
    <w:pPr>
      <w:autoSpaceDE w:val="0"/>
      <w:autoSpaceDN w:val="0"/>
      <w:adjustRightInd w:val="0"/>
      <w:spacing w:after="0" w:line="240" w:lineRule="auto"/>
    </w:pPr>
    <w:rPr>
      <w:rFonts w:ascii="Arial" w:hAnsi="Arial" w:cs="Arial"/>
      <w:color w:val="000000"/>
      <w:kern w:val="0"/>
      <w:sz w:val="24"/>
      <w:szCs w:val="24"/>
      <w14:ligatures w14:val="none"/>
    </w:rPr>
  </w:style>
  <w:style w:type="paragraph" w:styleId="Textonotapie">
    <w:name w:val="footnote text"/>
    <w:basedOn w:val="Normal"/>
    <w:link w:val="TextonotapieCar"/>
    <w:uiPriority w:val="99"/>
    <w:semiHidden/>
    <w:unhideWhenUsed/>
    <w:rsid w:val="00706D96"/>
    <w:rPr>
      <w:rFonts w:asciiTheme="minorHAnsi" w:eastAsiaTheme="minorHAnsi" w:hAnsiTheme="minorHAnsi" w:cstheme="minorBidi"/>
      <w:sz w:val="20"/>
      <w:szCs w:val="20"/>
      <w:lang w:val="es-ES" w:eastAsia="en-US"/>
    </w:rPr>
  </w:style>
  <w:style w:type="character" w:customStyle="1" w:styleId="TextonotapieCar">
    <w:name w:val="Texto nota pie Car"/>
    <w:basedOn w:val="Fuentedeprrafopredeter"/>
    <w:link w:val="Textonotapie"/>
    <w:uiPriority w:val="99"/>
    <w:semiHidden/>
    <w:rsid w:val="00706D96"/>
    <w:rPr>
      <w:kern w:val="0"/>
      <w:sz w:val="20"/>
      <w:szCs w:val="20"/>
      <w:lang w:val="es-ES"/>
      <w14:ligatures w14:val="none"/>
    </w:rPr>
  </w:style>
  <w:style w:type="character" w:styleId="Refdenotaalpie">
    <w:name w:val="footnote reference"/>
    <w:basedOn w:val="Fuentedeprrafopredeter"/>
    <w:uiPriority w:val="99"/>
    <w:semiHidden/>
    <w:unhideWhenUsed/>
    <w:rsid w:val="00706D96"/>
    <w:rPr>
      <w:vertAlign w:val="superscript"/>
    </w:rPr>
  </w:style>
  <w:style w:type="character" w:customStyle="1" w:styleId="scxw82619787">
    <w:name w:val="scxw82619787"/>
    <w:basedOn w:val="Fuentedeprrafopredeter"/>
    <w:rsid w:val="00414006"/>
  </w:style>
  <w:style w:type="character" w:customStyle="1" w:styleId="Ttulo1Car">
    <w:name w:val="Título 1 Car"/>
    <w:basedOn w:val="Fuentedeprrafopredeter"/>
    <w:link w:val="Ttulo1"/>
    <w:uiPriority w:val="9"/>
    <w:rsid w:val="00413003"/>
    <w:rPr>
      <w:rFonts w:ascii="Arial Narrow" w:eastAsiaTheme="majorEastAsia" w:hAnsi="Arial Narrow" w:cstheme="majorBidi"/>
      <w:b/>
      <w:bCs/>
      <w:color w:val="000000"/>
      <w:kern w:val="0"/>
      <w:sz w:val="20"/>
      <w:szCs w:val="28"/>
      <w:shd w:val="clear" w:color="auto" w:fill="D9D9D9" w:themeFill="background1" w:themeFillShade="D9"/>
      <w:lang w:eastAsia="es-ES"/>
      <w14:textOutline w14:w="9525" w14:cap="rnd" w14:cmpd="sng" w14:algn="ctr">
        <w14:noFill/>
        <w14:prstDash w14:val="solid"/>
        <w14:bevel/>
      </w14:textOutline>
      <w14:textFill>
        <w14:solidFill>
          <w14:srgbClr w14:val="000000">
            <w14:lumMod w14:val="75000"/>
          </w14:srgbClr>
        </w14:solidFill>
      </w14:textFill>
      <w14:ligatures w14:val="none"/>
    </w:rPr>
  </w:style>
  <w:style w:type="character" w:styleId="Refdecomentario">
    <w:name w:val="annotation reference"/>
    <w:basedOn w:val="Fuentedeprrafopredeter"/>
    <w:uiPriority w:val="99"/>
    <w:unhideWhenUsed/>
    <w:rsid w:val="00224BCF"/>
    <w:rPr>
      <w:sz w:val="16"/>
      <w:szCs w:val="16"/>
    </w:rPr>
  </w:style>
  <w:style w:type="paragraph" w:styleId="Textocomentario">
    <w:name w:val="annotation text"/>
    <w:basedOn w:val="Normal"/>
    <w:link w:val="TextocomentarioCar"/>
    <w:uiPriority w:val="99"/>
    <w:unhideWhenUsed/>
    <w:rsid w:val="00224BCF"/>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TextocomentarioCar">
    <w:name w:val="Texto comentario Car"/>
    <w:basedOn w:val="Fuentedeprrafopredeter"/>
    <w:link w:val="Textocomentario"/>
    <w:uiPriority w:val="99"/>
    <w:rsid w:val="00224BCF"/>
    <w:rPr>
      <w:sz w:val="20"/>
      <w:szCs w:val="20"/>
    </w:rPr>
  </w:style>
  <w:style w:type="paragraph" w:styleId="Asuntodelcomentario">
    <w:name w:val="annotation subject"/>
    <w:basedOn w:val="Textocomentario"/>
    <w:next w:val="Textocomentario"/>
    <w:link w:val="AsuntodelcomentarioCar"/>
    <w:uiPriority w:val="99"/>
    <w:semiHidden/>
    <w:unhideWhenUsed/>
    <w:rsid w:val="00224BCF"/>
    <w:rPr>
      <w:b/>
      <w:bCs/>
    </w:rPr>
  </w:style>
  <w:style w:type="character" w:customStyle="1" w:styleId="AsuntodelcomentarioCar">
    <w:name w:val="Asunto del comentario Car"/>
    <w:basedOn w:val="TextocomentarioCar"/>
    <w:link w:val="Asuntodelcomentario"/>
    <w:uiPriority w:val="99"/>
    <w:semiHidden/>
    <w:rsid w:val="00224BCF"/>
    <w:rPr>
      <w:b/>
      <w:bCs/>
      <w:sz w:val="20"/>
      <w:szCs w:val="20"/>
    </w:rPr>
  </w:style>
  <w:style w:type="paragraph" w:styleId="Textoindependiente">
    <w:name w:val="Body Text"/>
    <w:basedOn w:val="Normal"/>
    <w:link w:val="TextoindependienteCar"/>
    <w:uiPriority w:val="1"/>
    <w:qFormat/>
    <w:rsid w:val="004B2EA5"/>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4B2EA5"/>
    <w:rPr>
      <w:rFonts w:ascii="Arial Narrow" w:eastAsia="Arial Narrow" w:hAnsi="Arial Narrow" w:cs="Arial Narrow"/>
      <w:kern w:val="0"/>
      <w:lang w:val="es-ES"/>
      <w14:ligatures w14:val="none"/>
    </w:rPr>
  </w:style>
  <w:style w:type="table" w:styleId="Tablaconcuadrcula">
    <w:name w:val="Table Grid"/>
    <w:basedOn w:val="Tablanormal"/>
    <w:uiPriority w:val="59"/>
    <w:rsid w:val="004B2EA5"/>
    <w:pPr>
      <w:spacing w:after="0" w:line="240" w:lineRule="auto"/>
    </w:pPr>
    <w:rPr>
      <w:rFonts w:ascii="Cambria" w:eastAsia="Calibri" w:hAnsi="Cambria"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413003"/>
    <w:rPr>
      <w:rFonts w:ascii="Arial Narrow" w:eastAsiaTheme="majorEastAsia" w:hAnsi="Arial Narrow" w:cstheme="majorBidi"/>
      <w:b/>
      <w:sz w:val="20"/>
      <w:szCs w:val="26"/>
    </w:rPr>
  </w:style>
  <w:style w:type="paragraph" w:styleId="Revisin">
    <w:name w:val="Revision"/>
    <w:hidden/>
    <w:uiPriority w:val="99"/>
    <w:semiHidden/>
    <w:rsid w:val="00DE0A6A"/>
    <w:pPr>
      <w:spacing w:after="0" w:line="240" w:lineRule="auto"/>
    </w:pPr>
    <w:rPr>
      <w:rFonts w:ascii="Times New Roman" w:eastAsia="Times New Roman" w:hAnsi="Times New Roman" w:cs="Times New Roman"/>
      <w:kern w:val="0"/>
      <w:sz w:val="24"/>
      <w:szCs w:val="24"/>
      <w:lang w:eastAsia="es-CO"/>
      <w14:ligatures w14:val="none"/>
    </w:rPr>
  </w:style>
  <w:style w:type="paragraph" w:styleId="NormalWeb">
    <w:name w:val="Normal (Web)"/>
    <w:basedOn w:val="Normal"/>
    <w:uiPriority w:val="99"/>
    <w:unhideWhenUsed/>
    <w:rsid w:val="006B0DB0"/>
    <w:pPr>
      <w:spacing w:before="100" w:beforeAutospacing="1" w:after="100" w:afterAutospacing="1"/>
    </w:pPr>
  </w:style>
  <w:style w:type="paragraph" w:styleId="HTMLconformatoprevio">
    <w:name w:val="HTML Preformatted"/>
    <w:basedOn w:val="Normal"/>
    <w:link w:val="HTMLconformatoprevioCar"/>
    <w:uiPriority w:val="99"/>
    <w:semiHidden/>
    <w:unhideWhenUsed/>
    <w:rsid w:val="00B04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B04FBF"/>
    <w:rPr>
      <w:rFonts w:ascii="Courier New" w:eastAsia="Times New Roman" w:hAnsi="Courier New" w:cs="Courier New"/>
      <w:kern w:val="0"/>
      <w:sz w:val="20"/>
      <w:szCs w:val="20"/>
      <w:lang w:eastAsia="es-CO"/>
      <w14:ligatures w14:val="none"/>
    </w:rPr>
  </w:style>
  <w:style w:type="paragraph" w:customStyle="1" w:styleId="TableParagraph">
    <w:name w:val="Table Paragraph"/>
    <w:basedOn w:val="Normal"/>
    <w:uiPriority w:val="1"/>
    <w:qFormat/>
    <w:rsid w:val="00784430"/>
    <w:pPr>
      <w:widowControl w:val="0"/>
      <w:autoSpaceDE w:val="0"/>
      <w:autoSpaceDN w:val="0"/>
    </w:pPr>
    <w:rPr>
      <w:rFonts w:ascii="Tahoma" w:eastAsia="Tahoma" w:hAnsi="Tahoma" w:cs="Tahoma"/>
      <w:sz w:val="22"/>
      <w:szCs w:val="22"/>
      <w:lang w:val="es-ES" w:eastAsia="en-US"/>
    </w:rPr>
  </w:style>
  <w:style w:type="character" w:styleId="Mencionar">
    <w:name w:val="Mention"/>
    <w:basedOn w:val="Fuentedeprrafopredeter"/>
    <w:uiPriority w:val="99"/>
    <w:unhideWhenUsed/>
    <w:rsid w:val="00CD4276"/>
    <w:rPr>
      <w:color w:val="2B579A"/>
      <w:shd w:val="clear" w:color="auto" w:fill="E6E6E6"/>
    </w:rPr>
  </w:style>
  <w:style w:type="paragraph" w:styleId="TtuloTDC">
    <w:name w:val="TOC Heading"/>
    <w:basedOn w:val="Ttulo1"/>
    <w:next w:val="Normal"/>
    <w:uiPriority w:val="39"/>
    <w:unhideWhenUsed/>
    <w:qFormat/>
    <w:rsid w:val="0036430B"/>
    <w:pPr>
      <w:framePr w:wrap="auto" w:vAnchor="margin" w:yAlign="inline"/>
      <w:numPr>
        <w:numId w:val="0"/>
      </w:num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hAnsiTheme="majorHAnsi"/>
      <w:b w:val="0"/>
      <w:bCs w:val="0"/>
      <w:color w:val="2F5496" w:themeColor="accent1" w:themeShade="BF"/>
      <w:sz w:val="32"/>
      <w:szCs w:val="32"/>
      <w:lang w:eastAsia="es-CO"/>
      <w14:textOutline w14:w="0" w14:cap="rnd" w14:cmpd="sng" w14:algn="ctr">
        <w14:noFill/>
        <w14:prstDash w14:val="solid"/>
        <w14:bevel/>
      </w14:textOutline>
      <w14:textFill>
        <w14:solidFill>
          <w14:schemeClr w14:val="accent1">
            <w14:lumMod w14:val="75000"/>
            <w14:lumMod w14:val="75000"/>
          </w14:schemeClr>
        </w14:solidFill>
      </w14:textFill>
    </w:rPr>
  </w:style>
  <w:style w:type="paragraph" w:styleId="TDC1">
    <w:name w:val="toc 1"/>
    <w:basedOn w:val="Normal"/>
    <w:next w:val="Normal"/>
    <w:autoRedefine/>
    <w:uiPriority w:val="39"/>
    <w:unhideWhenUsed/>
    <w:rsid w:val="0036430B"/>
    <w:pPr>
      <w:spacing w:after="100"/>
    </w:pPr>
  </w:style>
  <w:style w:type="paragraph" w:styleId="TDC2">
    <w:name w:val="toc 2"/>
    <w:basedOn w:val="Normal"/>
    <w:next w:val="Normal"/>
    <w:autoRedefine/>
    <w:uiPriority w:val="39"/>
    <w:unhideWhenUsed/>
    <w:rsid w:val="0036430B"/>
    <w:pPr>
      <w:spacing w:after="100"/>
      <w:ind w:left="240"/>
    </w:pPr>
  </w:style>
  <w:style w:type="character" w:customStyle="1" w:styleId="findhit">
    <w:name w:val="findhit"/>
    <w:basedOn w:val="Fuentedeprrafopredeter"/>
    <w:rsid w:val="0036430B"/>
  </w:style>
  <w:style w:type="paragraph" w:styleId="Descripcin">
    <w:name w:val="caption"/>
    <w:basedOn w:val="Normal"/>
    <w:next w:val="Normal"/>
    <w:uiPriority w:val="35"/>
    <w:unhideWhenUsed/>
    <w:qFormat/>
    <w:rsid w:val="008A1330"/>
    <w:pPr>
      <w:widowControl w:val="0"/>
      <w:autoSpaceDE w:val="0"/>
      <w:autoSpaceDN w:val="0"/>
      <w:spacing w:after="200"/>
    </w:pPr>
    <w:rPr>
      <w:rFonts w:ascii="Arial MT" w:eastAsia="Arial MT" w:hAnsi="Arial MT" w:cs="Arial MT"/>
      <w:i/>
      <w:iCs/>
      <w:color w:val="44546A" w:themeColor="text2"/>
      <w:sz w:val="18"/>
      <w:szCs w:val="18"/>
      <w:lang w:val="es-ES" w:eastAsia="en-US"/>
    </w:rPr>
  </w:style>
  <w:style w:type="table" w:customStyle="1" w:styleId="NormalTable0">
    <w:name w:val="Normal Table0"/>
    <w:uiPriority w:val="2"/>
    <w:semiHidden/>
    <w:unhideWhenUsed/>
    <w:qFormat/>
    <w:rsid w:val="00F5027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DefaultCar">
    <w:name w:val="Default Car"/>
    <w:link w:val="Default"/>
    <w:locked/>
    <w:rsid w:val="00CC0A48"/>
    <w:rPr>
      <w:rFonts w:ascii="Arial" w:hAnsi="Arial" w:cs="Arial"/>
      <w:color w:val="000000"/>
      <w:kern w:val="0"/>
      <w:sz w:val="24"/>
      <w:szCs w:val="24"/>
      <w14:ligatures w14:val="none"/>
    </w:rPr>
  </w:style>
  <w:style w:type="paragraph" w:styleId="Sinespaciado">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0394">
      <w:bodyDiv w:val="1"/>
      <w:marLeft w:val="0"/>
      <w:marRight w:val="0"/>
      <w:marTop w:val="0"/>
      <w:marBottom w:val="0"/>
      <w:divBdr>
        <w:top w:val="none" w:sz="0" w:space="0" w:color="auto"/>
        <w:left w:val="none" w:sz="0" w:space="0" w:color="auto"/>
        <w:bottom w:val="none" w:sz="0" w:space="0" w:color="auto"/>
        <w:right w:val="none" w:sz="0" w:space="0" w:color="auto"/>
      </w:divBdr>
      <w:divsChild>
        <w:div w:id="77143628">
          <w:marLeft w:val="0"/>
          <w:marRight w:val="0"/>
          <w:marTop w:val="0"/>
          <w:marBottom w:val="0"/>
          <w:divBdr>
            <w:top w:val="none" w:sz="0" w:space="0" w:color="auto"/>
            <w:left w:val="none" w:sz="0" w:space="0" w:color="auto"/>
            <w:bottom w:val="none" w:sz="0" w:space="0" w:color="auto"/>
            <w:right w:val="none" w:sz="0" w:space="0" w:color="auto"/>
          </w:divBdr>
        </w:div>
        <w:div w:id="313485438">
          <w:marLeft w:val="0"/>
          <w:marRight w:val="0"/>
          <w:marTop w:val="0"/>
          <w:marBottom w:val="0"/>
          <w:divBdr>
            <w:top w:val="none" w:sz="0" w:space="0" w:color="auto"/>
            <w:left w:val="none" w:sz="0" w:space="0" w:color="auto"/>
            <w:bottom w:val="none" w:sz="0" w:space="0" w:color="auto"/>
            <w:right w:val="none" w:sz="0" w:space="0" w:color="auto"/>
          </w:divBdr>
        </w:div>
        <w:div w:id="887645918">
          <w:marLeft w:val="0"/>
          <w:marRight w:val="0"/>
          <w:marTop w:val="0"/>
          <w:marBottom w:val="0"/>
          <w:divBdr>
            <w:top w:val="none" w:sz="0" w:space="0" w:color="auto"/>
            <w:left w:val="none" w:sz="0" w:space="0" w:color="auto"/>
            <w:bottom w:val="none" w:sz="0" w:space="0" w:color="auto"/>
            <w:right w:val="none" w:sz="0" w:space="0" w:color="auto"/>
          </w:divBdr>
        </w:div>
        <w:div w:id="1289387106">
          <w:marLeft w:val="0"/>
          <w:marRight w:val="0"/>
          <w:marTop w:val="0"/>
          <w:marBottom w:val="0"/>
          <w:divBdr>
            <w:top w:val="none" w:sz="0" w:space="0" w:color="auto"/>
            <w:left w:val="none" w:sz="0" w:space="0" w:color="auto"/>
            <w:bottom w:val="none" w:sz="0" w:space="0" w:color="auto"/>
            <w:right w:val="none" w:sz="0" w:space="0" w:color="auto"/>
          </w:divBdr>
        </w:div>
        <w:div w:id="1389495463">
          <w:marLeft w:val="0"/>
          <w:marRight w:val="0"/>
          <w:marTop w:val="0"/>
          <w:marBottom w:val="0"/>
          <w:divBdr>
            <w:top w:val="none" w:sz="0" w:space="0" w:color="auto"/>
            <w:left w:val="none" w:sz="0" w:space="0" w:color="auto"/>
            <w:bottom w:val="none" w:sz="0" w:space="0" w:color="auto"/>
            <w:right w:val="none" w:sz="0" w:space="0" w:color="auto"/>
          </w:divBdr>
        </w:div>
        <w:div w:id="1453788574">
          <w:marLeft w:val="0"/>
          <w:marRight w:val="0"/>
          <w:marTop w:val="0"/>
          <w:marBottom w:val="0"/>
          <w:divBdr>
            <w:top w:val="none" w:sz="0" w:space="0" w:color="auto"/>
            <w:left w:val="none" w:sz="0" w:space="0" w:color="auto"/>
            <w:bottom w:val="none" w:sz="0" w:space="0" w:color="auto"/>
            <w:right w:val="none" w:sz="0" w:space="0" w:color="auto"/>
          </w:divBdr>
        </w:div>
        <w:div w:id="1536384221">
          <w:marLeft w:val="0"/>
          <w:marRight w:val="0"/>
          <w:marTop w:val="0"/>
          <w:marBottom w:val="0"/>
          <w:divBdr>
            <w:top w:val="none" w:sz="0" w:space="0" w:color="auto"/>
            <w:left w:val="none" w:sz="0" w:space="0" w:color="auto"/>
            <w:bottom w:val="none" w:sz="0" w:space="0" w:color="auto"/>
            <w:right w:val="none" w:sz="0" w:space="0" w:color="auto"/>
          </w:divBdr>
        </w:div>
        <w:div w:id="1725715072">
          <w:marLeft w:val="0"/>
          <w:marRight w:val="0"/>
          <w:marTop w:val="0"/>
          <w:marBottom w:val="0"/>
          <w:divBdr>
            <w:top w:val="none" w:sz="0" w:space="0" w:color="auto"/>
            <w:left w:val="none" w:sz="0" w:space="0" w:color="auto"/>
            <w:bottom w:val="none" w:sz="0" w:space="0" w:color="auto"/>
            <w:right w:val="none" w:sz="0" w:space="0" w:color="auto"/>
          </w:divBdr>
        </w:div>
        <w:div w:id="1842351334">
          <w:marLeft w:val="0"/>
          <w:marRight w:val="0"/>
          <w:marTop w:val="0"/>
          <w:marBottom w:val="0"/>
          <w:divBdr>
            <w:top w:val="none" w:sz="0" w:space="0" w:color="auto"/>
            <w:left w:val="none" w:sz="0" w:space="0" w:color="auto"/>
            <w:bottom w:val="none" w:sz="0" w:space="0" w:color="auto"/>
            <w:right w:val="none" w:sz="0" w:space="0" w:color="auto"/>
          </w:divBdr>
        </w:div>
        <w:div w:id="2092773666">
          <w:marLeft w:val="0"/>
          <w:marRight w:val="0"/>
          <w:marTop w:val="0"/>
          <w:marBottom w:val="0"/>
          <w:divBdr>
            <w:top w:val="none" w:sz="0" w:space="0" w:color="auto"/>
            <w:left w:val="none" w:sz="0" w:space="0" w:color="auto"/>
            <w:bottom w:val="none" w:sz="0" w:space="0" w:color="auto"/>
            <w:right w:val="none" w:sz="0" w:space="0" w:color="auto"/>
          </w:divBdr>
        </w:div>
      </w:divsChild>
    </w:div>
    <w:div w:id="84545584">
      <w:bodyDiv w:val="1"/>
      <w:marLeft w:val="0"/>
      <w:marRight w:val="0"/>
      <w:marTop w:val="0"/>
      <w:marBottom w:val="0"/>
      <w:divBdr>
        <w:top w:val="none" w:sz="0" w:space="0" w:color="auto"/>
        <w:left w:val="none" w:sz="0" w:space="0" w:color="auto"/>
        <w:bottom w:val="none" w:sz="0" w:space="0" w:color="auto"/>
        <w:right w:val="none" w:sz="0" w:space="0" w:color="auto"/>
      </w:divBdr>
    </w:div>
    <w:div w:id="96872219">
      <w:bodyDiv w:val="1"/>
      <w:marLeft w:val="0"/>
      <w:marRight w:val="0"/>
      <w:marTop w:val="0"/>
      <w:marBottom w:val="0"/>
      <w:divBdr>
        <w:top w:val="none" w:sz="0" w:space="0" w:color="auto"/>
        <w:left w:val="none" w:sz="0" w:space="0" w:color="auto"/>
        <w:bottom w:val="none" w:sz="0" w:space="0" w:color="auto"/>
        <w:right w:val="none" w:sz="0" w:space="0" w:color="auto"/>
      </w:divBdr>
    </w:div>
    <w:div w:id="314263566">
      <w:bodyDiv w:val="1"/>
      <w:marLeft w:val="0"/>
      <w:marRight w:val="0"/>
      <w:marTop w:val="0"/>
      <w:marBottom w:val="0"/>
      <w:divBdr>
        <w:top w:val="none" w:sz="0" w:space="0" w:color="auto"/>
        <w:left w:val="none" w:sz="0" w:space="0" w:color="auto"/>
        <w:bottom w:val="none" w:sz="0" w:space="0" w:color="auto"/>
        <w:right w:val="none" w:sz="0" w:space="0" w:color="auto"/>
      </w:divBdr>
      <w:divsChild>
        <w:div w:id="321546188">
          <w:marLeft w:val="0"/>
          <w:marRight w:val="0"/>
          <w:marTop w:val="0"/>
          <w:marBottom w:val="0"/>
          <w:divBdr>
            <w:top w:val="none" w:sz="0" w:space="0" w:color="auto"/>
            <w:left w:val="none" w:sz="0" w:space="0" w:color="auto"/>
            <w:bottom w:val="none" w:sz="0" w:space="0" w:color="auto"/>
            <w:right w:val="none" w:sz="0" w:space="0" w:color="auto"/>
          </w:divBdr>
        </w:div>
        <w:div w:id="1397509976">
          <w:marLeft w:val="0"/>
          <w:marRight w:val="0"/>
          <w:marTop w:val="0"/>
          <w:marBottom w:val="0"/>
          <w:divBdr>
            <w:top w:val="none" w:sz="0" w:space="0" w:color="auto"/>
            <w:left w:val="none" w:sz="0" w:space="0" w:color="auto"/>
            <w:bottom w:val="none" w:sz="0" w:space="0" w:color="auto"/>
            <w:right w:val="none" w:sz="0" w:space="0" w:color="auto"/>
          </w:divBdr>
        </w:div>
        <w:div w:id="1414551621">
          <w:marLeft w:val="0"/>
          <w:marRight w:val="0"/>
          <w:marTop w:val="0"/>
          <w:marBottom w:val="0"/>
          <w:divBdr>
            <w:top w:val="none" w:sz="0" w:space="0" w:color="auto"/>
            <w:left w:val="none" w:sz="0" w:space="0" w:color="auto"/>
            <w:bottom w:val="none" w:sz="0" w:space="0" w:color="auto"/>
            <w:right w:val="none" w:sz="0" w:space="0" w:color="auto"/>
          </w:divBdr>
        </w:div>
        <w:div w:id="1437287384">
          <w:marLeft w:val="0"/>
          <w:marRight w:val="0"/>
          <w:marTop w:val="0"/>
          <w:marBottom w:val="0"/>
          <w:divBdr>
            <w:top w:val="none" w:sz="0" w:space="0" w:color="auto"/>
            <w:left w:val="none" w:sz="0" w:space="0" w:color="auto"/>
            <w:bottom w:val="none" w:sz="0" w:space="0" w:color="auto"/>
            <w:right w:val="none" w:sz="0" w:space="0" w:color="auto"/>
          </w:divBdr>
        </w:div>
        <w:div w:id="1603957941">
          <w:marLeft w:val="0"/>
          <w:marRight w:val="0"/>
          <w:marTop w:val="0"/>
          <w:marBottom w:val="0"/>
          <w:divBdr>
            <w:top w:val="none" w:sz="0" w:space="0" w:color="auto"/>
            <w:left w:val="none" w:sz="0" w:space="0" w:color="auto"/>
            <w:bottom w:val="none" w:sz="0" w:space="0" w:color="auto"/>
            <w:right w:val="none" w:sz="0" w:space="0" w:color="auto"/>
          </w:divBdr>
        </w:div>
        <w:div w:id="1680231635">
          <w:marLeft w:val="0"/>
          <w:marRight w:val="0"/>
          <w:marTop w:val="0"/>
          <w:marBottom w:val="0"/>
          <w:divBdr>
            <w:top w:val="none" w:sz="0" w:space="0" w:color="auto"/>
            <w:left w:val="none" w:sz="0" w:space="0" w:color="auto"/>
            <w:bottom w:val="none" w:sz="0" w:space="0" w:color="auto"/>
            <w:right w:val="none" w:sz="0" w:space="0" w:color="auto"/>
          </w:divBdr>
        </w:div>
        <w:div w:id="1766416000">
          <w:marLeft w:val="0"/>
          <w:marRight w:val="0"/>
          <w:marTop w:val="0"/>
          <w:marBottom w:val="0"/>
          <w:divBdr>
            <w:top w:val="none" w:sz="0" w:space="0" w:color="auto"/>
            <w:left w:val="none" w:sz="0" w:space="0" w:color="auto"/>
            <w:bottom w:val="none" w:sz="0" w:space="0" w:color="auto"/>
            <w:right w:val="none" w:sz="0" w:space="0" w:color="auto"/>
          </w:divBdr>
        </w:div>
        <w:div w:id="1873226660">
          <w:marLeft w:val="0"/>
          <w:marRight w:val="0"/>
          <w:marTop w:val="0"/>
          <w:marBottom w:val="0"/>
          <w:divBdr>
            <w:top w:val="none" w:sz="0" w:space="0" w:color="auto"/>
            <w:left w:val="none" w:sz="0" w:space="0" w:color="auto"/>
            <w:bottom w:val="none" w:sz="0" w:space="0" w:color="auto"/>
            <w:right w:val="none" w:sz="0" w:space="0" w:color="auto"/>
          </w:divBdr>
        </w:div>
        <w:div w:id="1989479727">
          <w:marLeft w:val="0"/>
          <w:marRight w:val="0"/>
          <w:marTop w:val="0"/>
          <w:marBottom w:val="0"/>
          <w:divBdr>
            <w:top w:val="none" w:sz="0" w:space="0" w:color="auto"/>
            <w:left w:val="none" w:sz="0" w:space="0" w:color="auto"/>
            <w:bottom w:val="none" w:sz="0" w:space="0" w:color="auto"/>
            <w:right w:val="none" w:sz="0" w:space="0" w:color="auto"/>
          </w:divBdr>
        </w:div>
      </w:divsChild>
    </w:div>
    <w:div w:id="395737482">
      <w:bodyDiv w:val="1"/>
      <w:marLeft w:val="0"/>
      <w:marRight w:val="0"/>
      <w:marTop w:val="0"/>
      <w:marBottom w:val="0"/>
      <w:divBdr>
        <w:top w:val="none" w:sz="0" w:space="0" w:color="auto"/>
        <w:left w:val="none" w:sz="0" w:space="0" w:color="auto"/>
        <w:bottom w:val="none" w:sz="0" w:space="0" w:color="auto"/>
        <w:right w:val="none" w:sz="0" w:space="0" w:color="auto"/>
      </w:divBdr>
    </w:div>
    <w:div w:id="558445408">
      <w:bodyDiv w:val="1"/>
      <w:marLeft w:val="0"/>
      <w:marRight w:val="0"/>
      <w:marTop w:val="0"/>
      <w:marBottom w:val="0"/>
      <w:divBdr>
        <w:top w:val="none" w:sz="0" w:space="0" w:color="auto"/>
        <w:left w:val="none" w:sz="0" w:space="0" w:color="auto"/>
        <w:bottom w:val="none" w:sz="0" w:space="0" w:color="auto"/>
        <w:right w:val="none" w:sz="0" w:space="0" w:color="auto"/>
      </w:divBdr>
      <w:divsChild>
        <w:div w:id="96407153">
          <w:marLeft w:val="0"/>
          <w:marRight w:val="0"/>
          <w:marTop w:val="0"/>
          <w:marBottom w:val="0"/>
          <w:divBdr>
            <w:top w:val="none" w:sz="0" w:space="0" w:color="auto"/>
            <w:left w:val="none" w:sz="0" w:space="0" w:color="auto"/>
            <w:bottom w:val="none" w:sz="0" w:space="0" w:color="auto"/>
            <w:right w:val="none" w:sz="0" w:space="0" w:color="auto"/>
          </w:divBdr>
        </w:div>
        <w:div w:id="438334503">
          <w:marLeft w:val="0"/>
          <w:marRight w:val="0"/>
          <w:marTop w:val="0"/>
          <w:marBottom w:val="0"/>
          <w:divBdr>
            <w:top w:val="none" w:sz="0" w:space="0" w:color="auto"/>
            <w:left w:val="none" w:sz="0" w:space="0" w:color="auto"/>
            <w:bottom w:val="none" w:sz="0" w:space="0" w:color="auto"/>
            <w:right w:val="none" w:sz="0" w:space="0" w:color="auto"/>
          </w:divBdr>
        </w:div>
        <w:div w:id="551617476">
          <w:marLeft w:val="0"/>
          <w:marRight w:val="0"/>
          <w:marTop w:val="0"/>
          <w:marBottom w:val="0"/>
          <w:divBdr>
            <w:top w:val="none" w:sz="0" w:space="0" w:color="auto"/>
            <w:left w:val="none" w:sz="0" w:space="0" w:color="auto"/>
            <w:bottom w:val="none" w:sz="0" w:space="0" w:color="auto"/>
            <w:right w:val="none" w:sz="0" w:space="0" w:color="auto"/>
          </w:divBdr>
        </w:div>
        <w:div w:id="646595379">
          <w:marLeft w:val="0"/>
          <w:marRight w:val="0"/>
          <w:marTop w:val="0"/>
          <w:marBottom w:val="0"/>
          <w:divBdr>
            <w:top w:val="none" w:sz="0" w:space="0" w:color="auto"/>
            <w:left w:val="none" w:sz="0" w:space="0" w:color="auto"/>
            <w:bottom w:val="none" w:sz="0" w:space="0" w:color="auto"/>
            <w:right w:val="none" w:sz="0" w:space="0" w:color="auto"/>
          </w:divBdr>
        </w:div>
        <w:div w:id="715080196">
          <w:marLeft w:val="0"/>
          <w:marRight w:val="0"/>
          <w:marTop w:val="0"/>
          <w:marBottom w:val="0"/>
          <w:divBdr>
            <w:top w:val="none" w:sz="0" w:space="0" w:color="auto"/>
            <w:left w:val="none" w:sz="0" w:space="0" w:color="auto"/>
            <w:bottom w:val="none" w:sz="0" w:space="0" w:color="auto"/>
            <w:right w:val="none" w:sz="0" w:space="0" w:color="auto"/>
          </w:divBdr>
        </w:div>
        <w:div w:id="1951542982">
          <w:marLeft w:val="0"/>
          <w:marRight w:val="0"/>
          <w:marTop w:val="0"/>
          <w:marBottom w:val="0"/>
          <w:divBdr>
            <w:top w:val="none" w:sz="0" w:space="0" w:color="auto"/>
            <w:left w:val="none" w:sz="0" w:space="0" w:color="auto"/>
            <w:bottom w:val="none" w:sz="0" w:space="0" w:color="auto"/>
            <w:right w:val="none" w:sz="0" w:space="0" w:color="auto"/>
          </w:divBdr>
        </w:div>
      </w:divsChild>
    </w:div>
    <w:div w:id="583733107">
      <w:bodyDiv w:val="1"/>
      <w:marLeft w:val="0"/>
      <w:marRight w:val="0"/>
      <w:marTop w:val="0"/>
      <w:marBottom w:val="0"/>
      <w:divBdr>
        <w:top w:val="none" w:sz="0" w:space="0" w:color="auto"/>
        <w:left w:val="none" w:sz="0" w:space="0" w:color="auto"/>
        <w:bottom w:val="none" w:sz="0" w:space="0" w:color="auto"/>
        <w:right w:val="none" w:sz="0" w:space="0" w:color="auto"/>
      </w:divBdr>
      <w:divsChild>
        <w:div w:id="46269148">
          <w:marLeft w:val="0"/>
          <w:marRight w:val="0"/>
          <w:marTop w:val="0"/>
          <w:marBottom w:val="0"/>
          <w:divBdr>
            <w:top w:val="none" w:sz="0" w:space="0" w:color="auto"/>
            <w:left w:val="none" w:sz="0" w:space="0" w:color="auto"/>
            <w:bottom w:val="none" w:sz="0" w:space="0" w:color="auto"/>
            <w:right w:val="none" w:sz="0" w:space="0" w:color="auto"/>
          </w:divBdr>
          <w:divsChild>
            <w:div w:id="820581811">
              <w:marLeft w:val="0"/>
              <w:marRight w:val="0"/>
              <w:marTop w:val="0"/>
              <w:marBottom w:val="0"/>
              <w:divBdr>
                <w:top w:val="none" w:sz="0" w:space="0" w:color="auto"/>
                <w:left w:val="none" w:sz="0" w:space="0" w:color="auto"/>
                <w:bottom w:val="none" w:sz="0" w:space="0" w:color="auto"/>
                <w:right w:val="none" w:sz="0" w:space="0" w:color="auto"/>
              </w:divBdr>
            </w:div>
            <w:div w:id="995959375">
              <w:marLeft w:val="0"/>
              <w:marRight w:val="0"/>
              <w:marTop w:val="0"/>
              <w:marBottom w:val="0"/>
              <w:divBdr>
                <w:top w:val="none" w:sz="0" w:space="0" w:color="auto"/>
                <w:left w:val="none" w:sz="0" w:space="0" w:color="auto"/>
                <w:bottom w:val="none" w:sz="0" w:space="0" w:color="auto"/>
                <w:right w:val="none" w:sz="0" w:space="0" w:color="auto"/>
              </w:divBdr>
            </w:div>
            <w:div w:id="1026179928">
              <w:marLeft w:val="0"/>
              <w:marRight w:val="0"/>
              <w:marTop w:val="0"/>
              <w:marBottom w:val="0"/>
              <w:divBdr>
                <w:top w:val="none" w:sz="0" w:space="0" w:color="auto"/>
                <w:left w:val="none" w:sz="0" w:space="0" w:color="auto"/>
                <w:bottom w:val="none" w:sz="0" w:space="0" w:color="auto"/>
                <w:right w:val="none" w:sz="0" w:space="0" w:color="auto"/>
              </w:divBdr>
            </w:div>
          </w:divsChild>
        </w:div>
        <w:div w:id="55277934">
          <w:marLeft w:val="0"/>
          <w:marRight w:val="0"/>
          <w:marTop w:val="0"/>
          <w:marBottom w:val="0"/>
          <w:divBdr>
            <w:top w:val="none" w:sz="0" w:space="0" w:color="auto"/>
            <w:left w:val="none" w:sz="0" w:space="0" w:color="auto"/>
            <w:bottom w:val="none" w:sz="0" w:space="0" w:color="auto"/>
            <w:right w:val="none" w:sz="0" w:space="0" w:color="auto"/>
          </w:divBdr>
          <w:divsChild>
            <w:div w:id="245502981">
              <w:marLeft w:val="-75"/>
              <w:marRight w:val="0"/>
              <w:marTop w:val="30"/>
              <w:marBottom w:val="30"/>
              <w:divBdr>
                <w:top w:val="none" w:sz="0" w:space="0" w:color="auto"/>
                <w:left w:val="none" w:sz="0" w:space="0" w:color="auto"/>
                <w:bottom w:val="none" w:sz="0" w:space="0" w:color="auto"/>
                <w:right w:val="none" w:sz="0" w:space="0" w:color="auto"/>
              </w:divBdr>
              <w:divsChild>
                <w:div w:id="6300545">
                  <w:marLeft w:val="0"/>
                  <w:marRight w:val="0"/>
                  <w:marTop w:val="0"/>
                  <w:marBottom w:val="0"/>
                  <w:divBdr>
                    <w:top w:val="none" w:sz="0" w:space="0" w:color="auto"/>
                    <w:left w:val="none" w:sz="0" w:space="0" w:color="auto"/>
                    <w:bottom w:val="none" w:sz="0" w:space="0" w:color="auto"/>
                    <w:right w:val="none" w:sz="0" w:space="0" w:color="auto"/>
                  </w:divBdr>
                  <w:divsChild>
                    <w:div w:id="1427388039">
                      <w:marLeft w:val="0"/>
                      <w:marRight w:val="0"/>
                      <w:marTop w:val="0"/>
                      <w:marBottom w:val="0"/>
                      <w:divBdr>
                        <w:top w:val="none" w:sz="0" w:space="0" w:color="auto"/>
                        <w:left w:val="none" w:sz="0" w:space="0" w:color="auto"/>
                        <w:bottom w:val="none" w:sz="0" w:space="0" w:color="auto"/>
                        <w:right w:val="none" w:sz="0" w:space="0" w:color="auto"/>
                      </w:divBdr>
                    </w:div>
                    <w:div w:id="1891454394">
                      <w:marLeft w:val="0"/>
                      <w:marRight w:val="0"/>
                      <w:marTop w:val="0"/>
                      <w:marBottom w:val="0"/>
                      <w:divBdr>
                        <w:top w:val="none" w:sz="0" w:space="0" w:color="auto"/>
                        <w:left w:val="none" w:sz="0" w:space="0" w:color="auto"/>
                        <w:bottom w:val="none" w:sz="0" w:space="0" w:color="auto"/>
                        <w:right w:val="none" w:sz="0" w:space="0" w:color="auto"/>
                      </w:divBdr>
                    </w:div>
                  </w:divsChild>
                </w:div>
                <w:div w:id="26874537">
                  <w:marLeft w:val="0"/>
                  <w:marRight w:val="0"/>
                  <w:marTop w:val="0"/>
                  <w:marBottom w:val="0"/>
                  <w:divBdr>
                    <w:top w:val="none" w:sz="0" w:space="0" w:color="auto"/>
                    <w:left w:val="none" w:sz="0" w:space="0" w:color="auto"/>
                    <w:bottom w:val="none" w:sz="0" w:space="0" w:color="auto"/>
                    <w:right w:val="none" w:sz="0" w:space="0" w:color="auto"/>
                  </w:divBdr>
                  <w:divsChild>
                    <w:div w:id="612633360">
                      <w:marLeft w:val="0"/>
                      <w:marRight w:val="0"/>
                      <w:marTop w:val="0"/>
                      <w:marBottom w:val="0"/>
                      <w:divBdr>
                        <w:top w:val="none" w:sz="0" w:space="0" w:color="auto"/>
                        <w:left w:val="none" w:sz="0" w:space="0" w:color="auto"/>
                        <w:bottom w:val="none" w:sz="0" w:space="0" w:color="auto"/>
                        <w:right w:val="none" w:sz="0" w:space="0" w:color="auto"/>
                      </w:divBdr>
                    </w:div>
                  </w:divsChild>
                </w:div>
                <w:div w:id="43528358">
                  <w:marLeft w:val="0"/>
                  <w:marRight w:val="0"/>
                  <w:marTop w:val="0"/>
                  <w:marBottom w:val="0"/>
                  <w:divBdr>
                    <w:top w:val="none" w:sz="0" w:space="0" w:color="auto"/>
                    <w:left w:val="none" w:sz="0" w:space="0" w:color="auto"/>
                    <w:bottom w:val="none" w:sz="0" w:space="0" w:color="auto"/>
                    <w:right w:val="none" w:sz="0" w:space="0" w:color="auto"/>
                  </w:divBdr>
                  <w:divsChild>
                    <w:div w:id="413279518">
                      <w:marLeft w:val="0"/>
                      <w:marRight w:val="0"/>
                      <w:marTop w:val="0"/>
                      <w:marBottom w:val="0"/>
                      <w:divBdr>
                        <w:top w:val="none" w:sz="0" w:space="0" w:color="auto"/>
                        <w:left w:val="none" w:sz="0" w:space="0" w:color="auto"/>
                        <w:bottom w:val="none" w:sz="0" w:space="0" w:color="auto"/>
                        <w:right w:val="none" w:sz="0" w:space="0" w:color="auto"/>
                      </w:divBdr>
                    </w:div>
                    <w:div w:id="1141073898">
                      <w:marLeft w:val="0"/>
                      <w:marRight w:val="0"/>
                      <w:marTop w:val="0"/>
                      <w:marBottom w:val="0"/>
                      <w:divBdr>
                        <w:top w:val="none" w:sz="0" w:space="0" w:color="auto"/>
                        <w:left w:val="none" w:sz="0" w:space="0" w:color="auto"/>
                        <w:bottom w:val="none" w:sz="0" w:space="0" w:color="auto"/>
                        <w:right w:val="none" w:sz="0" w:space="0" w:color="auto"/>
                      </w:divBdr>
                    </w:div>
                  </w:divsChild>
                </w:div>
                <w:div w:id="77405180">
                  <w:marLeft w:val="0"/>
                  <w:marRight w:val="0"/>
                  <w:marTop w:val="0"/>
                  <w:marBottom w:val="0"/>
                  <w:divBdr>
                    <w:top w:val="none" w:sz="0" w:space="0" w:color="auto"/>
                    <w:left w:val="none" w:sz="0" w:space="0" w:color="auto"/>
                    <w:bottom w:val="none" w:sz="0" w:space="0" w:color="auto"/>
                    <w:right w:val="none" w:sz="0" w:space="0" w:color="auto"/>
                  </w:divBdr>
                  <w:divsChild>
                    <w:div w:id="533924194">
                      <w:marLeft w:val="0"/>
                      <w:marRight w:val="0"/>
                      <w:marTop w:val="0"/>
                      <w:marBottom w:val="0"/>
                      <w:divBdr>
                        <w:top w:val="none" w:sz="0" w:space="0" w:color="auto"/>
                        <w:left w:val="none" w:sz="0" w:space="0" w:color="auto"/>
                        <w:bottom w:val="none" w:sz="0" w:space="0" w:color="auto"/>
                        <w:right w:val="none" w:sz="0" w:space="0" w:color="auto"/>
                      </w:divBdr>
                    </w:div>
                    <w:div w:id="680013845">
                      <w:marLeft w:val="0"/>
                      <w:marRight w:val="0"/>
                      <w:marTop w:val="0"/>
                      <w:marBottom w:val="0"/>
                      <w:divBdr>
                        <w:top w:val="none" w:sz="0" w:space="0" w:color="auto"/>
                        <w:left w:val="none" w:sz="0" w:space="0" w:color="auto"/>
                        <w:bottom w:val="none" w:sz="0" w:space="0" w:color="auto"/>
                        <w:right w:val="none" w:sz="0" w:space="0" w:color="auto"/>
                      </w:divBdr>
                    </w:div>
                  </w:divsChild>
                </w:div>
                <w:div w:id="77487484">
                  <w:marLeft w:val="0"/>
                  <w:marRight w:val="0"/>
                  <w:marTop w:val="0"/>
                  <w:marBottom w:val="0"/>
                  <w:divBdr>
                    <w:top w:val="none" w:sz="0" w:space="0" w:color="auto"/>
                    <w:left w:val="none" w:sz="0" w:space="0" w:color="auto"/>
                    <w:bottom w:val="none" w:sz="0" w:space="0" w:color="auto"/>
                    <w:right w:val="none" w:sz="0" w:space="0" w:color="auto"/>
                  </w:divBdr>
                  <w:divsChild>
                    <w:div w:id="1864056279">
                      <w:marLeft w:val="0"/>
                      <w:marRight w:val="0"/>
                      <w:marTop w:val="0"/>
                      <w:marBottom w:val="0"/>
                      <w:divBdr>
                        <w:top w:val="none" w:sz="0" w:space="0" w:color="auto"/>
                        <w:left w:val="none" w:sz="0" w:space="0" w:color="auto"/>
                        <w:bottom w:val="none" w:sz="0" w:space="0" w:color="auto"/>
                        <w:right w:val="none" w:sz="0" w:space="0" w:color="auto"/>
                      </w:divBdr>
                    </w:div>
                  </w:divsChild>
                </w:div>
                <w:div w:id="115879386">
                  <w:marLeft w:val="0"/>
                  <w:marRight w:val="0"/>
                  <w:marTop w:val="0"/>
                  <w:marBottom w:val="0"/>
                  <w:divBdr>
                    <w:top w:val="none" w:sz="0" w:space="0" w:color="auto"/>
                    <w:left w:val="none" w:sz="0" w:space="0" w:color="auto"/>
                    <w:bottom w:val="none" w:sz="0" w:space="0" w:color="auto"/>
                    <w:right w:val="none" w:sz="0" w:space="0" w:color="auto"/>
                  </w:divBdr>
                  <w:divsChild>
                    <w:div w:id="445465371">
                      <w:marLeft w:val="0"/>
                      <w:marRight w:val="0"/>
                      <w:marTop w:val="0"/>
                      <w:marBottom w:val="0"/>
                      <w:divBdr>
                        <w:top w:val="none" w:sz="0" w:space="0" w:color="auto"/>
                        <w:left w:val="none" w:sz="0" w:space="0" w:color="auto"/>
                        <w:bottom w:val="none" w:sz="0" w:space="0" w:color="auto"/>
                        <w:right w:val="none" w:sz="0" w:space="0" w:color="auto"/>
                      </w:divBdr>
                    </w:div>
                  </w:divsChild>
                </w:div>
                <w:div w:id="117259066">
                  <w:marLeft w:val="0"/>
                  <w:marRight w:val="0"/>
                  <w:marTop w:val="0"/>
                  <w:marBottom w:val="0"/>
                  <w:divBdr>
                    <w:top w:val="none" w:sz="0" w:space="0" w:color="auto"/>
                    <w:left w:val="none" w:sz="0" w:space="0" w:color="auto"/>
                    <w:bottom w:val="none" w:sz="0" w:space="0" w:color="auto"/>
                    <w:right w:val="none" w:sz="0" w:space="0" w:color="auto"/>
                  </w:divBdr>
                  <w:divsChild>
                    <w:div w:id="807555810">
                      <w:marLeft w:val="0"/>
                      <w:marRight w:val="0"/>
                      <w:marTop w:val="0"/>
                      <w:marBottom w:val="0"/>
                      <w:divBdr>
                        <w:top w:val="none" w:sz="0" w:space="0" w:color="auto"/>
                        <w:left w:val="none" w:sz="0" w:space="0" w:color="auto"/>
                        <w:bottom w:val="none" w:sz="0" w:space="0" w:color="auto"/>
                        <w:right w:val="none" w:sz="0" w:space="0" w:color="auto"/>
                      </w:divBdr>
                    </w:div>
                    <w:div w:id="1016687130">
                      <w:marLeft w:val="0"/>
                      <w:marRight w:val="0"/>
                      <w:marTop w:val="0"/>
                      <w:marBottom w:val="0"/>
                      <w:divBdr>
                        <w:top w:val="none" w:sz="0" w:space="0" w:color="auto"/>
                        <w:left w:val="none" w:sz="0" w:space="0" w:color="auto"/>
                        <w:bottom w:val="none" w:sz="0" w:space="0" w:color="auto"/>
                        <w:right w:val="none" w:sz="0" w:space="0" w:color="auto"/>
                      </w:divBdr>
                    </w:div>
                  </w:divsChild>
                </w:div>
                <w:div w:id="156268608">
                  <w:marLeft w:val="0"/>
                  <w:marRight w:val="0"/>
                  <w:marTop w:val="0"/>
                  <w:marBottom w:val="0"/>
                  <w:divBdr>
                    <w:top w:val="none" w:sz="0" w:space="0" w:color="auto"/>
                    <w:left w:val="none" w:sz="0" w:space="0" w:color="auto"/>
                    <w:bottom w:val="none" w:sz="0" w:space="0" w:color="auto"/>
                    <w:right w:val="none" w:sz="0" w:space="0" w:color="auto"/>
                  </w:divBdr>
                  <w:divsChild>
                    <w:div w:id="1210342423">
                      <w:marLeft w:val="0"/>
                      <w:marRight w:val="0"/>
                      <w:marTop w:val="0"/>
                      <w:marBottom w:val="0"/>
                      <w:divBdr>
                        <w:top w:val="none" w:sz="0" w:space="0" w:color="auto"/>
                        <w:left w:val="none" w:sz="0" w:space="0" w:color="auto"/>
                        <w:bottom w:val="none" w:sz="0" w:space="0" w:color="auto"/>
                        <w:right w:val="none" w:sz="0" w:space="0" w:color="auto"/>
                      </w:divBdr>
                    </w:div>
                  </w:divsChild>
                </w:div>
                <w:div w:id="157237278">
                  <w:marLeft w:val="0"/>
                  <w:marRight w:val="0"/>
                  <w:marTop w:val="0"/>
                  <w:marBottom w:val="0"/>
                  <w:divBdr>
                    <w:top w:val="none" w:sz="0" w:space="0" w:color="auto"/>
                    <w:left w:val="none" w:sz="0" w:space="0" w:color="auto"/>
                    <w:bottom w:val="none" w:sz="0" w:space="0" w:color="auto"/>
                    <w:right w:val="none" w:sz="0" w:space="0" w:color="auto"/>
                  </w:divBdr>
                  <w:divsChild>
                    <w:div w:id="559294066">
                      <w:marLeft w:val="0"/>
                      <w:marRight w:val="0"/>
                      <w:marTop w:val="0"/>
                      <w:marBottom w:val="0"/>
                      <w:divBdr>
                        <w:top w:val="none" w:sz="0" w:space="0" w:color="auto"/>
                        <w:left w:val="none" w:sz="0" w:space="0" w:color="auto"/>
                        <w:bottom w:val="none" w:sz="0" w:space="0" w:color="auto"/>
                        <w:right w:val="none" w:sz="0" w:space="0" w:color="auto"/>
                      </w:divBdr>
                    </w:div>
                  </w:divsChild>
                </w:div>
                <w:div w:id="219290509">
                  <w:marLeft w:val="0"/>
                  <w:marRight w:val="0"/>
                  <w:marTop w:val="0"/>
                  <w:marBottom w:val="0"/>
                  <w:divBdr>
                    <w:top w:val="none" w:sz="0" w:space="0" w:color="auto"/>
                    <w:left w:val="none" w:sz="0" w:space="0" w:color="auto"/>
                    <w:bottom w:val="none" w:sz="0" w:space="0" w:color="auto"/>
                    <w:right w:val="none" w:sz="0" w:space="0" w:color="auto"/>
                  </w:divBdr>
                  <w:divsChild>
                    <w:div w:id="1963608990">
                      <w:marLeft w:val="0"/>
                      <w:marRight w:val="0"/>
                      <w:marTop w:val="0"/>
                      <w:marBottom w:val="0"/>
                      <w:divBdr>
                        <w:top w:val="none" w:sz="0" w:space="0" w:color="auto"/>
                        <w:left w:val="none" w:sz="0" w:space="0" w:color="auto"/>
                        <w:bottom w:val="none" w:sz="0" w:space="0" w:color="auto"/>
                        <w:right w:val="none" w:sz="0" w:space="0" w:color="auto"/>
                      </w:divBdr>
                    </w:div>
                  </w:divsChild>
                </w:div>
                <w:div w:id="261228096">
                  <w:marLeft w:val="0"/>
                  <w:marRight w:val="0"/>
                  <w:marTop w:val="0"/>
                  <w:marBottom w:val="0"/>
                  <w:divBdr>
                    <w:top w:val="none" w:sz="0" w:space="0" w:color="auto"/>
                    <w:left w:val="none" w:sz="0" w:space="0" w:color="auto"/>
                    <w:bottom w:val="none" w:sz="0" w:space="0" w:color="auto"/>
                    <w:right w:val="none" w:sz="0" w:space="0" w:color="auto"/>
                  </w:divBdr>
                  <w:divsChild>
                    <w:div w:id="610673708">
                      <w:marLeft w:val="0"/>
                      <w:marRight w:val="0"/>
                      <w:marTop w:val="0"/>
                      <w:marBottom w:val="0"/>
                      <w:divBdr>
                        <w:top w:val="none" w:sz="0" w:space="0" w:color="auto"/>
                        <w:left w:val="none" w:sz="0" w:space="0" w:color="auto"/>
                        <w:bottom w:val="none" w:sz="0" w:space="0" w:color="auto"/>
                        <w:right w:val="none" w:sz="0" w:space="0" w:color="auto"/>
                      </w:divBdr>
                    </w:div>
                    <w:div w:id="1094743906">
                      <w:marLeft w:val="0"/>
                      <w:marRight w:val="0"/>
                      <w:marTop w:val="0"/>
                      <w:marBottom w:val="0"/>
                      <w:divBdr>
                        <w:top w:val="none" w:sz="0" w:space="0" w:color="auto"/>
                        <w:left w:val="none" w:sz="0" w:space="0" w:color="auto"/>
                        <w:bottom w:val="none" w:sz="0" w:space="0" w:color="auto"/>
                        <w:right w:val="none" w:sz="0" w:space="0" w:color="auto"/>
                      </w:divBdr>
                    </w:div>
                  </w:divsChild>
                </w:div>
                <w:div w:id="290670020">
                  <w:marLeft w:val="0"/>
                  <w:marRight w:val="0"/>
                  <w:marTop w:val="0"/>
                  <w:marBottom w:val="0"/>
                  <w:divBdr>
                    <w:top w:val="none" w:sz="0" w:space="0" w:color="auto"/>
                    <w:left w:val="none" w:sz="0" w:space="0" w:color="auto"/>
                    <w:bottom w:val="none" w:sz="0" w:space="0" w:color="auto"/>
                    <w:right w:val="none" w:sz="0" w:space="0" w:color="auto"/>
                  </w:divBdr>
                  <w:divsChild>
                    <w:div w:id="1108234670">
                      <w:marLeft w:val="0"/>
                      <w:marRight w:val="0"/>
                      <w:marTop w:val="0"/>
                      <w:marBottom w:val="0"/>
                      <w:divBdr>
                        <w:top w:val="none" w:sz="0" w:space="0" w:color="auto"/>
                        <w:left w:val="none" w:sz="0" w:space="0" w:color="auto"/>
                        <w:bottom w:val="none" w:sz="0" w:space="0" w:color="auto"/>
                        <w:right w:val="none" w:sz="0" w:space="0" w:color="auto"/>
                      </w:divBdr>
                    </w:div>
                    <w:div w:id="1214736763">
                      <w:marLeft w:val="0"/>
                      <w:marRight w:val="0"/>
                      <w:marTop w:val="0"/>
                      <w:marBottom w:val="0"/>
                      <w:divBdr>
                        <w:top w:val="none" w:sz="0" w:space="0" w:color="auto"/>
                        <w:left w:val="none" w:sz="0" w:space="0" w:color="auto"/>
                        <w:bottom w:val="none" w:sz="0" w:space="0" w:color="auto"/>
                        <w:right w:val="none" w:sz="0" w:space="0" w:color="auto"/>
                      </w:divBdr>
                    </w:div>
                  </w:divsChild>
                </w:div>
                <w:div w:id="311373342">
                  <w:marLeft w:val="0"/>
                  <w:marRight w:val="0"/>
                  <w:marTop w:val="0"/>
                  <w:marBottom w:val="0"/>
                  <w:divBdr>
                    <w:top w:val="none" w:sz="0" w:space="0" w:color="auto"/>
                    <w:left w:val="none" w:sz="0" w:space="0" w:color="auto"/>
                    <w:bottom w:val="none" w:sz="0" w:space="0" w:color="auto"/>
                    <w:right w:val="none" w:sz="0" w:space="0" w:color="auto"/>
                  </w:divBdr>
                  <w:divsChild>
                    <w:div w:id="1652367403">
                      <w:marLeft w:val="0"/>
                      <w:marRight w:val="0"/>
                      <w:marTop w:val="0"/>
                      <w:marBottom w:val="0"/>
                      <w:divBdr>
                        <w:top w:val="none" w:sz="0" w:space="0" w:color="auto"/>
                        <w:left w:val="none" w:sz="0" w:space="0" w:color="auto"/>
                        <w:bottom w:val="none" w:sz="0" w:space="0" w:color="auto"/>
                        <w:right w:val="none" w:sz="0" w:space="0" w:color="auto"/>
                      </w:divBdr>
                    </w:div>
                  </w:divsChild>
                </w:div>
                <w:div w:id="320739886">
                  <w:marLeft w:val="0"/>
                  <w:marRight w:val="0"/>
                  <w:marTop w:val="0"/>
                  <w:marBottom w:val="0"/>
                  <w:divBdr>
                    <w:top w:val="none" w:sz="0" w:space="0" w:color="auto"/>
                    <w:left w:val="none" w:sz="0" w:space="0" w:color="auto"/>
                    <w:bottom w:val="none" w:sz="0" w:space="0" w:color="auto"/>
                    <w:right w:val="none" w:sz="0" w:space="0" w:color="auto"/>
                  </w:divBdr>
                  <w:divsChild>
                    <w:div w:id="554894195">
                      <w:marLeft w:val="0"/>
                      <w:marRight w:val="0"/>
                      <w:marTop w:val="0"/>
                      <w:marBottom w:val="0"/>
                      <w:divBdr>
                        <w:top w:val="none" w:sz="0" w:space="0" w:color="auto"/>
                        <w:left w:val="none" w:sz="0" w:space="0" w:color="auto"/>
                        <w:bottom w:val="none" w:sz="0" w:space="0" w:color="auto"/>
                        <w:right w:val="none" w:sz="0" w:space="0" w:color="auto"/>
                      </w:divBdr>
                    </w:div>
                    <w:div w:id="1361081086">
                      <w:marLeft w:val="0"/>
                      <w:marRight w:val="0"/>
                      <w:marTop w:val="0"/>
                      <w:marBottom w:val="0"/>
                      <w:divBdr>
                        <w:top w:val="none" w:sz="0" w:space="0" w:color="auto"/>
                        <w:left w:val="none" w:sz="0" w:space="0" w:color="auto"/>
                        <w:bottom w:val="none" w:sz="0" w:space="0" w:color="auto"/>
                        <w:right w:val="none" w:sz="0" w:space="0" w:color="auto"/>
                      </w:divBdr>
                    </w:div>
                  </w:divsChild>
                </w:div>
                <w:div w:id="376778328">
                  <w:marLeft w:val="0"/>
                  <w:marRight w:val="0"/>
                  <w:marTop w:val="0"/>
                  <w:marBottom w:val="0"/>
                  <w:divBdr>
                    <w:top w:val="none" w:sz="0" w:space="0" w:color="auto"/>
                    <w:left w:val="none" w:sz="0" w:space="0" w:color="auto"/>
                    <w:bottom w:val="none" w:sz="0" w:space="0" w:color="auto"/>
                    <w:right w:val="none" w:sz="0" w:space="0" w:color="auto"/>
                  </w:divBdr>
                  <w:divsChild>
                    <w:div w:id="234050690">
                      <w:marLeft w:val="0"/>
                      <w:marRight w:val="0"/>
                      <w:marTop w:val="0"/>
                      <w:marBottom w:val="0"/>
                      <w:divBdr>
                        <w:top w:val="none" w:sz="0" w:space="0" w:color="auto"/>
                        <w:left w:val="none" w:sz="0" w:space="0" w:color="auto"/>
                        <w:bottom w:val="none" w:sz="0" w:space="0" w:color="auto"/>
                        <w:right w:val="none" w:sz="0" w:space="0" w:color="auto"/>
                      </w:divBdr>
                    </w:div>
                    <w:div w:id="1744258133">
                      <w:marLeft w:val="0"/>
                      <w:marRight w:val="0"/>
                      <w:marTop w:val="0"/>
                      <w:marBottom w:val="0"/>
                      <w:divBdr>
                        <w:top w:val="none" w:sz="0" w:space="0" w:color="auto"/>
                        <w:left w:val="none" w:sz="0" w:space="0" w:color="auto"/>
                        <w:bottom w:val="none" w:sz="0" w:space="0" w:color="auto"/>
                        <w:right w:val="none" w:sz="0" w:space="0" w:color="auto"/>
                      </w:divBdr>
                    </w:div>
                  </w:divsChild>
                </w:div>
                <w:div w:id="420565205">
                  <w:marLeft w:val="0"/>
                  <w:marRight w:val="0"/>
                  <w:marTop w:val="0"/>
                  <w:marBottom w:val="0"/>
                  <w:divBdr>
                    <w:top w:val="none" w:sz="0" w:space="0" w:color="auto"/>
                    <w:left w:val="none" w:sz="0" w:space="0" w:color="auto"/>
                    <w:bottom w:val="none" w:sz="0" w:space="0" w:color="auto"/>
                    <w:right w:val="none" w:sz="0" w:space="0" w:color="auto"/>
                  </w:divBdr>
                  <w:divsChild>
                    <w:div w:id="1422529451">
                      <w:marLeft w:val="0"/>
                      <w:marRight w:val="0"/>
                      <w:marTop w:val="0"/>
                      <w:marBottom w:val="0"/>
                      <w:divBdr>
                        <w:top w:val="none" w:sz="0" w:space="0" w:color="auto"/>
                        <w:left w:val="none" w:sz="0" w:space="0" w:color="auto"/>
                        <w:bottom w:val="none" w:sz="0" w:space="0" w:color="auto"/>
                        <w:right w:val="none" w:sz="0" w:space="0" w:color="auto"/>
                      </w:divBdr>
                    </w:div>
                  </w:divsChild>
                </w:div>
                <w:div w:id="428544466">
                  <w:marLeft w:val="0"/>
                  <w:marRight w:val="0"/>
                  <w:marTop w:val="0"/>
                  <w:marBottom w:val="0"/>
                  <w:divBdr>
                    <w:top w:val="none" w:sz="0" w:space="0" w:color="auto"/>
                    <w:left w:val="none" w:sz="0" w:space="0" w:color="auto"/>
                    <w:bottom w:val="none" w:sz="0" w:space="0" w:color="auto"/>
                    <w:right w:val="none" w:sz="0" w:space="0" w:color="auto"/>
                  </w:divBdr>
                  <w:divsChild>
                    <w:div w:id="1273709987">
                      <w:marLeft w:val="0"/>
                      <w:marRight w:val="0"/>
                      <w:marTop w:val="0"/>
                      <w:marBottom w:val="0"/>
                      <w:divBdr>
                        <w:top w:val="none" w:sz="0" w:space="0" w:color="auto"/>
                        <w:left w:val="none" w:sz="0" w:space="0" w:color="auto"/>
                        <w:bottom w:val="none" w:sz="0" w:space="0" w:color="auto"/>
                        <w:right w:val="none" w:sz="0" w:space="0" w:color="auto"/>
                      </w:divBdr>
                    </w:div>
                  </w:divsChild>
                </w:div>
                <w:div w:id="474491102">
                  <w:marLeft w:val="0"/>
                  <w:marRight w:val="0"/>
                  <w:marTop w:val="0"/>
                  <w:marBottom w:val="0"/>
                  <w:divBdr>
                    <w:top w:val="none" w:sz="0" w:space="0" w:color="auto"/>
                    <w:left w:val="none" w:sz="0" w:space="0" w:color="auto"/>
                    <w:bottom w:val="none" w:sz="0" w:space="0" w:color="auto"/>
                    <w:right w:val="none" w:sz="0" w:space="0" w:color="auto"/>
                  </w:divBdr>
                  <w:divsChild>
                    <w:div w:id="1543637477">
                      <w:marLeft w:val="0"/>
                      <w:marRight w:val="0"/>
                      <w:marTop w:val="0"/>
                      <w:marBottom w:val="0"/>
                      <w:divBdr>
                        <w:top w:val="none" w:sz="0" w:space="0" w:color="auto"/>
                        <w:left w:val="none" w:sz="0" w:space="0" w:color="auto"/>
                        <w:bottom w:val="none" w:sz="0" w:space="0" w:color="auto"/>
                        <w:right w:val="none" w:sz="0" w:space="0" w:color="auto"/>
                      </w:divBdr>
                    </w:div>
                  </w:divsChild>
                </w:div>
                <w:div w:id="475419512">
                  <w:marLeft w:val="0"/>
                  <w:marRight w:val="0"/>
                  <w:marTop w:val="0"/>
                  <w:marBottom w:val="0"/>
                  <w:divBdr>
                    <w:top w:val="none" w:sz="0" w:space="0" w:color="auto"/>
                    <w:left w:val="none" w:sz="0" w:space="0" w:color="auto"/>
                    <w:bottom w:val="none" w:sz="0" w:space="0" w:color="auto"/>
                    <w:right w:val="none" w:sz="0" w:space="0" w:color="auto"/>
                  </w:divBdr>
                  <w:divsChild>
                    <w:div w:id="1368873110">
                      <w:marLeft w:val="0"/>
                      <w:marRight w:val="0"/>
                      <w:marTop w:val="0"/>
                      <w:marBottom w:val="0"/>
                      <w:divBdr>
                        <w:top w:val="none" w:sz="0" w:space="0" w:color="auto"/>
                        <w:left w:val="none" w:sz="0" w:space="0" w:color="auto"/>
                        <w:bottom w:val="none" w:sz="0" w:space="0" w:color="auto"/>
                        <w:right w:val="none" w:sz="0" w:space="0" w:color="auto"/>
                      </w:divBdr>
                    </w:div>
                    <w:div w:id="1837646431">
                      <w:marLeft w:val="0"/>
                      <w:marRight w:val="0"/>
                      <w:marTop w:val="0"/>
                      <w:marBottom w:val="0"/>
                      <w:divBdr>
                        <w:top w:val="none" w:sz="0" w:space="0" w:color="auto"/>
                        <w:left w:val="none" w:sz="0" w:space="0" w:color="auto"/>
                        <w:bottom w:val="none" w:sz="0" w:space="0" w:color="auto"/>
                        <w:right w:val="none" w:sz="0" w:space="0" w:color="auto"/>
                      </w:divBdr>
                    </w:div>
                  </w:divsChild>
                </w:div>
                <w:div w:id="522138095">
                  <w:marLeft w:val="0"/>
                  <w:marRight w:val="0"/>
                  <w:marTop w:val="0"/>
                  <w:marBottom w:val="0"/>
                  <w:divBdr>
                    <w:top w:val="none" w:sz="0" w:space="0" w:color="auto"/>
                    <w:left w:val="none" w:sz="0" w:space="0" w:color="auto"/>
                    <w:bottom w:val="none" w:sz="0" w:space="0" w:color="auto"/>
                    <w:right w:val="none" w:sz="0" w:space="0" w:color="auto"/>
                  </w:divBdr>
                  <w:divsChild>
                    <w:div w:id="671180811">
                      <w:marLeft w:val="0"/>
                      <w:marRight w:val="0"/>
                      <w:marTop w:val="0"/>
                      <w:marBottom w:val="0"/>
                      <w:divBdr>
                        <w:top w:val="none" w:sz="0" w:space="0" w:color="auto"/>
                        <w:left w:val="none" w:sz="0" w:space="0" w:color="auto"/>
                        <w:bottom w:val="none" w:sz="0" w:space="0" w:color="auto"/>
                        <w:right w:val="none" w:sz="0" w:space="0" w:color="auto"/>
                      </w:divBdr>
                    </w:div>
                    <w:div w:id="1310207744">
                      <w:marLeft w:val="0"/>
                      <w:marRight w:val="0"/>
                      <w:marTop w:val="0"/>
                      <w:marBottom w:val="0"/>
                      <w:divBdr>
                        <w:top w:val="none" w:sz="0" w:space="0" w:color="auto"/>
                        <w:left w:val="none" w:sz="0" w:space="0" w:color="auto"/>
                        <w:bottom w:val="none" w:sz="0" w:space="0" w:color="auto"/>
                        <w:right w:val="none" w:sz="0" w:space="0" w:color="auto"/>
                      </w:divBdr>
                    </w:div>
                  </w:divsChild>
                </w:div>
                <w:div w:id="566188284">
                  <w:marLeft w:val="0"/>
                  <w:marRight w:val="0"/>
                  <w:marTop w:val="0"/>
                  <w:marBottom w:val="0"/>
                  <w:divBdr>
                    <w:top w:val="none" w:sz="0" w:space="0" w:color="auto"/>
                    <w:left w:val="none" w:sz="0" w:space="0" w:color="auto"/>
                    <w:bottom w:val="none" w:sz="0" w:space="0" w:color="auto"/>
                    <w:right w:val="none" w:sz="0" w:space="0" w:color="auto"/>
                  </w:divBdr>
                  <w:divsChild>
                    <w:div w:id="445318397">
                      <w:marLeft w:val="0"/>
                      <w:marRight w:val="0"/>
                      <w:marTop w:val="0"/>
                      <w:marBottom w:val="0"/>
                      <w:divBdr>
                        <w:top w:val="none" w:sz="0" w:space="0" w:color="auto"/>
                        <w:left w:val="none" w:sz="0" w:space="0" w:color="auto"/>
                        <w:bottom w:val="none" w:sz="0" w:space="0" w:color="auto"/>
                        <w:right w:val="none" w:sz="0" w:space="0" w:color="auto"/>
                      </w:divBdr>
                    </w:div>
                    <w:div w:id="1796216284">
                      <w:marLeft w:val="0"/>
                      <w:marRight w:val="0"/>
                      <w:marTop w:val="0"/>
                      <w:marBottom w:val="0"/>
                      <w:divBdr>
                        <w:top w:val="none" w:sz="0" w:space="0" w:color="auto"/>
                        <w:left w:val="none" w:sz="0" w:space="0" w:color="auto"/>
                        <w:bottom w:val="none" w:sz="0" w:space="0" w:color="auto"/>
                        <w:right w:val="none" w:sz="0" w:space="0" w:color="auto"/>
                      </w:divBdr>
                    </w:div>
                  </w:divsChild>
                </w:div>
                <w:div w:id="669797619">
                  <w:marLeft w:val="0"/>
                  <w:marRight w:val="0"/>
                  <w:marTop w:val="0"/>
                  <w:marBottom w:val="0"/>
                  <w:divBdr>
                    <w:top w:val="none" w:sz="0" w:space="0" w:color="auto"/>
                    <w:left w:val="none" w:sz="0" w:space="0" w:color="auto"/>
                    <w:bottom w:val="none" w:sz="0" w:space="0" w:color="auto"/>
                    <w:right w:val="none" w:sz="0" w:space="0" w:color="auto"/>
                  </w:divBdr>
                  <w:divsChild>
                    <w:div w:id="1612589080">
                      <w:marLeft w:val="0"/>
                      <w:marRight w:val="0"/>
                      <w:marTop w:val="0"/>
                      <w:marBottom w:val="0"/>
                      <w:divBdr>
                        <w:top w:val="none" w:sz="0" w:space="0" w:color="auto"/>
                        <w:left w:val="none" w:sz="0" w:space="0" w:color="auto"/>
                        <w:bottom w:val="none" w:sz="0" w:space="0" w:color="auto"/>
                        <w:right w:val="none" w:sz="0" w:space="0" w:color="auto"/>
                      </w:divBdr>
                    </w:div>
                  </w:divsChild>
                </w:div>
                <w:div w:id="682513785">
                  <w:marLeft w:val="0"/>
                  <w:marRight w:val="0"/>
                  <w:marTop w:val="0"/>
                  <w:marBottom w:val="0"/>
                  <w:divBdr>
                    <w:top w:val="none" w:sz="0" w:space="0" w:color="auto"/>
                    <w:left w:val="none" w:sz="0" w:space="0" w:color="auto"/>
                    <w:bottom w:val="none" w:sz="0" w:space="0" w:color="auto"/>
                    <w:right w:val="none" w:sz="0" w:space="0" w:color="auto"/>
                  </w:divBdr>
                  <w:divsChild>
                    <w:div w:id="1876772583">
                      <w:marLeft w:val="0"/>
                      <w:marRight w:val="0"/>
                      <w:marTop w:val="0"/>
                      <w:marBottom w:val="0"/>
                      <w:divBdr>
                        <w:top w:val="none" w:sz="0" w:space="0" w:color="auto"/>
                        <w:left w:val="none" w:sz="0" w:space="0" w:color="auto"/>
                        <w:bottom w:val="none" w:sz="0" w:space="0" w:color="auto"/>
                        <w:right w:val="none" w:sz="0" w:space="0" w:color="auto"/>
                      </w:divBdr>
                    </w:div>
                  </w:divsChild>
                </w:div>
                <w:div w:id="682970931">
                  <w:marLeft w:val="0"/>
                  <w:marRight w:val="0"/>
                  <w:marTop w:val="0"/>
                  <w:marBottom w:val="0"/>
                  <w:divBdr>
                    <w:top w:val="none" w:sz="0" w:space="0" w:color="auto"/>
                    <w:left w:val="none" w:sz="0" w:space="0" w:color="auto"/>
                    <w:bottom w:val="none" w:sz="0" w:space="0" w:color="auto"/>
                    <w:right w:val="none" w:sz="0" w:space="0" w:color="auto"/>
                  </w:divBdr>
                  <w:divsChild>
                    <w:div w:id="624774174">
                      <w:marLeft w:val="0"/>
                      <w:marRight w:val="0"/>
                      <w:marTop w:val="0"/>
                      <w:marBottom w:val="0"/>
                      <w:divBdr>
                        <w:top w:val="none" w:sz="0" w:space="0" w:color="auto"/>
                        <w:left w:val="none" w:sz="0" w:space="0" w:color="auto"/>
                        <w:bottom w:val="none" w:sz="0" w:space="0" w:color="auto"/>
                        <w:right w:val="none" w:sz="0" w:space="0" w:color="auto"/>
                      </w:divBdr>
                    </w:div>
                  </w:divsChild>
                </w:div>
                <w:div w:id="689913882">
                  <w:marLeft w:val="0"/>
                  <w:marRight w:val="0"/>
                  <w:marTop w:val="0"/>
                  <w:marBottom w:val="0"/>
                  <w:divBdr>
                    <w:top w:val="none" w:sz="0" w:space="0" w:color="auto"/>
                    <w:left w:val="none" w:sz="0" w:space="0" w:color="auto"/>
                    <w:bottom w:val="none" w:sz="0" w:space="0" w:color="auto"/>
                    <w:right w:val="none" w:sz="0" w:space="0" w:color="auto"/>
                  </w:divBdr>
                  <w:divsChild>
                    <w:div w:id="568460039">
                      <w:marLeft w:val="0"/>
                      <w:marRight w:val="0"/>
                      <w:marTop w:val="0"/>
                      <w:marBottom w:val="0"/>
                      <w:divBdr>
                        <w:top w:val="none" w:sz="0" w:space="0" w:color="auto"/>
                        <w:left w:val="none" w:sz="0" w:space="0" w:color="auto"/>
                        <w:bottom w:val="none" w:sz="0" w:space="0" w:color="auto"/>
                        <w:right w:val="none" w:sz="0" w:space="0" w:color="auto"/>
                      </w:divBdr>
                    </w:div>
                    <w:div w:id="1145273794">
                      <w:marLeft w:val="0"/>
                      <w:marRight w:val="0"/>
                      <w:marTop w:val="0"/>
                      <w:marBottom w:val="0"/>
                      <w:divBdr>
                        <w:top w:val="none" w:sz="0" w:space="0" w:color="auto"/>
                        <w:left w:val="none" w:sz="0" w:space="0" w:color="auto"/>
                        <w:bottom w:val="none" w:sz="0" w:space="0" w:color="auto"/>
                        <w:right w:val="none" w:sz="0" w:space="0" w:color="auto"/>
                      </w:divBdr>
                    </w:div>
                  </w:divsChild>
                </w:div>
                <w:div w:id="704913757">
                  <w:marLeft w:val="0"/>
                  <w:marRight w:val="0"/>
                  <w:marTop w:val="0"/>
                  <w:marBottom w:val="0"/>
                  <w:divBdr>
                    <w:top w:val="none" w:sz="0" w:space="0" w:color="auto"/>
                    <w:left w:val="none" w:sz="0" w:space="0" w:color="auto"/>
                    <w:bottom w:val="none" w:sz="0" w:space="0" w:color="auto"/>
                    <w:right w:val="none" w:sz="0" w:space="0" w:color="auto"/>
                  </w:divBdr>
                  <w:divsChild>
                    <w:div w:id="1122113499">
                      <w:marLeft w:val="0"/>
                      <w:marRight w:val="0"/>
                      <w:marTop w:val="0"/>
                      <w:marBottom w:val="0"/>
                      <w:divBdr>
                        <w:top w:val="none" w:sz="0" w:space="0" w:color="auto"/>
                        <w:left w:val="none" w:sz="0" w:space="0" w:color="auto"/>
                        <w:bottom w:val="none" w:sz="0" w:space="0" w:color="auto"/>
                        <w:right w:val="none" w:sz="0" w:space="0" w:color="auto"/>
                      </w:divBdr>
                    </w:div>
                  </w:divsChild>
                </w:div>
                <w:div w:id="742875133">
                  <w:marLeft w:val="0"/>
                  <w:marRight w:val="0"/>
                  <w:marTop w:val="0"/>
                  <w:marBottom w:val="0"/>
                  <w:divBdr>
                    <w:top w:val="none" w:sz="0" w:space="0" w:color="auto"/>
                    <w:left w:val="none" w:sz="0" w:space="0" w:color="auto"/>
                    <w:bottom w:val="none" w:sz="0" w:space="0" w:color="auto"/>
                    <w:right w:val="none" w:sz="0" w:space="0" w:color="auto"/>
                  </w:divBdr>
                  <w:divsChild>
                    <w:div w:id="1974289747">
                      <w:marLeft w:val="0"/>
                      <w:marRight w:val="0"/>
                      <w:marTop w:val="0"/>
                      <w:marBottom w:val="0"/>
                      <w:divBdr>
                        <w:top w:val="none" w:sz="0" w:space="0" w:color="auto"/>
                        <w:left w:val="none" w:sz="0" w:space="0" w:color="auto"/>
                        <w:bottom w:val="none" w:sz="0" w:space="0" w:color="auto"/>
                        <w:right w:val="none" w:sz="0" w:space="0" w:color="auto"/>
                      </w:divBdr>
                    </w:div>
                  </w:divsChild>
                </w:div>
                <w:div w:id="802427749">
                  <w:marLeft w:val="0"/>
                  <w:marRight w:val="0"/>
                  <w:marTop w:val="0"/>
                  <w:marBottom w:val="0"/>
                  <w:divBdr>
                    <w:top w:val="none" w:sz="0" w:space="0" w:color="auto"/>
                    <w:left w:val="none" w:sz="0" w:space="0" w:color="auto"/>
                    <w:bottom w:val="none" w:sz="0" w:space="0" w:color="auto"/>
                    <w:right w:val="none" w:sz="0" w:space="0" w:color="auto"/>
                  </w:divBdr>
                  <w:divsChild>
                    <w:div w:id="165022018">
                      <w:marLeft w:val="0"/>
                      <w:marRight w:val="0"/>
                      <w:marTop w:val="0"/>
                      <w:marBottom w:val="0"/>
                      <w:divBdr>
                        <w:top w:val="none" w:sz="0" w:space="0" w:color="auto"/>
                        <w:left w:val="none" w:sz="0" w:space="0" w:color="auto"/>
                        <w:bottom w:val="none" w:sz="0" w:space="0" w:color="auto"/>
                        <w:right w:val="none" w:sz="0" w:space="0" w:color="auto"/>
                      </w:divBdr>
                    </w:div>
                  </w:divsChild>
                </w:div>
                <w:div w:id="859202825">
                  <w:marLeft w:val="0"/>
                  <w:marRight w:val="0"/>
                  <w:marTop w:val="0"/>
                  <w:marBottom w:val="0"/>
                  <w:divBdr>
                    <w:top w:val="none" w:sz="0" w:space="0" w:color="auto"/>
                    <w:left w:val="none" w:sz="0" w:space="0" w:color="auto"/>
                    <w:bottom w:val="none" w:sz="0" w:space="0" w:color="auto"/>
                    <w:right w:val="none" w:sz="0" w:space="0" w:color="auto"/>
                  </w:divBdr>
                  <w:divsChild>
                    <w:div w:id="682056161">
                      <w:marLeft w:val="0"/>
                      <w:marRight w:val="0"/>
                      <w:marTop w:val="0"/>
                      <w:marBottom w:val="0"/>
                      <w:divBdr>
                        <w:top w:val="none" w:sz="0" w:space="0" w:color="auto"/>
                        <w:left w:val="none" w:sz="0" w:space="0" w:color="auto"/>
                        <w:bottom w:val="none" w:sz="0" w:space="0" w:color="auto"/>
                        <w:right w:val="none" w:sz="0" w:space="0" w:color="auto"/>
                      </w:divBdr>
                    </w:div>
                    <w:div w:id="1103769144">
                      <w:marLeft w:val="0"/>
                      <w:marRight w:val="0"/>
                      <w:marTop w:val="0"/>
                      <w:marBottom w:val="0"/>
                      <w:divBdr>
                        <w:top w:val="none" w:sz="0" w:space="0" w:color="auto"/>
                        <w:left w:val="none" w:sz="0" w:space="0" w:color="auto"/>
                        <w:bottom w:val="none" w:sz="0" w:space="0" w:color="auto"/>
                        <w:right w:val="none" w:sz="0" w:space="0" w:color="auto"/>
                      </w:divBdr>
                    </w:div>
                  </w:divsChild>
                </w:div>
                <w:div w:id="877085299">
                  <w:marLeft w:val="0"/>
                  <w:marRight w:val="0"/>
                  <w:marTop w:val="0"/>
                  <w:marBottom w:val="0"/>
                  <w:divBdr>
                    <w:top w:val="none" w:sz="0" w:space="0" w:color="auto"/>
                    <w:left w:val="none" w:sz="0" w:space="0" w:color="auto"/>
                    <w:bottom w:val="none" w:sz="0" w:space="0" w:color="auto"/>
                    <w:right w:val="none" w:sz="0" w:space="0" w:color="auto"/>
                  </w:divBdr>
                  <w:divsChild>
                    <w:div w:id="681661200">
                      <w:marLeft w:val="0"/>
                      <w:marRight w:val="0"/>
                      <w:marTop w:val="0"/>
                      <w:marBottom w:val="0"/>
                      <w:divBdr>
                        <w:top w:val="none" w:sz="0" w:space="0" w:color="auto"/>
                        <w:left w:val="none" w:sz="0" w:space="0" w:color="auto"/>
                        <w:bottom w:val="none" w:sz="0" w:space="0" w:color="auto"/>
                        <w:right w:val="none" w:sz="0" w:space="0" w:color="auto"/>
                      </w:divBdr>
                    </w:div>
                  </w:divsChild>
                </w:div>
                <w:div w:id="881597619">
                  <w:marLeft w:val="0"/>
                  <w:marRight w:val="0"/>
                  <w:marTop w:val="0"/>
                  <w:marBottom w:val="0"/>
                  <w:divBdr>
                    <w:top w:val="none" w:sz="0" w:space="0" w:color="auto"/>
                    <w:left w:val="none" w:sz="0" w:space="0" w:color="auto"/>
                    <w:bottom w:val="none" w:sz="0" w:space="0" w:color="auto"/>
                    <w:right w:val="none" w:sz="0" w:space="0" w:color="auto"/>
                  </w:divBdr>
                  <w:divsChild>
                    <w:div w:id="717975695">
                      <w:marLeft w:val="0"/>
                      <w:marRight w:val="0"/>
                      <w:marTop w:val="0"/>
                      <w:marBottom w:val="0"/>
                      <w:divBdr>
                        <w:top w:val="none" w:sz="0" w:space="0" w:color="auto"/>
                        <w:left w:val="none" w:sz="0" w:space="0" w:color="auto"/>
                        <w:bottom w:val="none" w:sz="0" w:space="0" w:color="auto"/>
                        <w:right w:val="none" w:sz="0" w:space="0" w:color="auto"/>
                      </w:divBdr>
                    </w:div>
                  </w:divsChild>
                </w:div>
                <w:div w:id="916938530">
                  <w:marLeft w:val="0"/>
                  <w:marRight w:val="0"/>
                  <w:marTop w:val="0"/>
                  <w:marBottom w:val="0"/>
                  <w:divBdr>
                    <w:top w:val="none" w:sz="0" w:space="0" w:color="auto"/>
                    <w:left w:val="none" w:sz="0" w:space="0" w:color="auto"/>
                    <w:bottom w:val="none" w:sz="0" w:space="0" w:color="auto"/>
                    <w:right w:val="none" w:sz="0" w:space="0" w:color="auto"/>
                  </w:divBdr>
                  <w:divsChild>
                    <w:div w:id="2017536057">
                      <w:marLeft w:val="0"/>
                      <w:marRight w:val="0"/>
                      <w:marTop w:val="0"/>
                      <w:marBottom w:val="0"/>
                      <w:divBdr>
                        <w:top w:val="none" w:sz="0" w:space="0" w:color="auto"/>
                        <w:left w:val="none" w:sz="0" w:space="0" w:color="auto"/>
                        <w:bottom w:val="none" w:sz="0" w:space="0" w:color="auto"/>
                        <w:right w:val="none" w:sz="0" w:space="0" w:color="auto"/>
                      </w:divBdr>
                    </w:div>
                  </w:divsChild>
                </w:div>
                <w:div w:id="960720838">
                  <w:marLeft w:val="0"/>
                  <w:marRight w:val="0"/>
                  <w:marTop w:val="0"/>
                  <w:marBottom w:val="0"/>
                  <w:divBdr>
                    <w:top w:val="none" w:sz="0" w:space="0" w:color="auto"/>
                    <w:left w:val="none" w:sz="0" w:space="0" w:color="auto"/>
                    <w:bottom w:val="none" w:sz="0" w:space="0" w:color="auto"/>
                    <w:right w:val="none" w:sz="0" w:space="0" w:color="auto"/>
                  </w:divBdr>
                  <w:divsChild>
                    <w:div w:id="104424697">
                      <w:marLeft w:val="0"/>
                      <w:marRight w:val="0"/>
                      <w:marTop w:val="0"/>
                      <w:marBottom w:val="0"/>
                      <w:divBdr>
                        <w:top w:val="none" w:sz="0" w:space="0" w:color="auto"/>
                        <w:left w:val="none" w:sz="0" w:space="0" w:color="auto"/>
                        <w:bottom w:val="none" w:sz="0" w:space="0" w:color="auto"/>
                        <w:right w:val="none" w:sz="0" w:space="0" w:color="auto"/>
                      </w:divBdr>
                    </w:div>
                    <w:div w:id="1909655045">
                      <w:marLeft w:val="0"/>
                      <w:marRight w:val="0"/>
                      <w:marTop w:val="0"/>
                      <w:marBottom w:val="0"/>
                      <w:divBdr>
                        <w:top w:val="none" w:sz="0" w:space="0" w:color="auto"/>
                        <w:left w:val="none" w:sz="0" w:space="0" w:color="auto"/>
                        <w:bottom w:val="none" w:sz="0" w:space="0" w:color="auto"/>
                        <w:right w:val="none" w:sz="0" w:space="0" w:color="auto"/>
                      </w:divBdr>
                    </w:div>
                  </w:divsChild>
                </w:div>
                <w:div w:id="995574773">
                  <w:marLeft w:val="0"/>
                  <w:marRight w:val="0"/>
                  <w:marTop w:val="0"/>
                  <w:marBottom w:val="0"/>
                  <w:divBdr>
                    <w:top w:val="none" w:sz="0" w:space="0" w:color="auto"/>
                    <w:left w:val="none" w:sz="0" w:space="0" w:color="auto"/>
                    <w:bottom w:val="none" w:sz="0" w:space="0" w:color="auto"/>
                    <w:right w:val="none" w:sz="0" w:space="0" w:color="auto"/>
                  </w:divBdr>
                  <w:divsChild>
                    <w:div w:id="814496233">
                      <w:marLeft w:val="0"/>
                      <w:marRight w:val="0"/>
                      <w:marTop w:val="0"/>
                      <w:marBottom w:val="0"/>
                      <w:divBdr>
                        <w:top w:val="none" w:sz="0" w:space="0" w:color="auto"/>
                        <w:left w:val="none" w:sz="0" w:space="0" w:color="auto"/>
                        <w:bottom w:val="none" w:sz="0" w:space="0" w:color="auto"/>
                        <w:right w:val="none" w:sz="0" w:space="0" w:color="auto"/>
                      </w:divBdr>
                    </w:div>
                  </w:divsChild>
                </w:div>
                <w:div w:id="1065764891">
                  <w:marLeft w:val="0"/>
                  <w:marRight w:val="0"/>
                  <w:marTop w:val="0"/>
                  <w:marBottom w:val="0"/>
                  <w:divBdr>
                    <w:top w:val="none" w:sz="0" w:space="0" w:color="auto"/>
                    <w:left w:val="none" w:sz="0" w:space="0" w:color="auto"/>
                    <w:bottom w:val="none" w:sz="0" w:space="0" w:color="auto"/>
                    <w:right w:val="none" w:sz="0" w:space="0" w:color="auto"/>
                  </w:divBdr>
                  <w:divsChild>
                    <w:div w:id="164981969">
                      <w:marLeft w:val="0"/>
                      <w:marRight w:val="0"/>
                      <w:marTop w:val="0"/>
                      <w:marBottom w:val="0"/>
                      <w:divBdr>
                        <w:top w:val="none" w:sz="0" w:space="0" w:color="auto"/>
                        <w:left w:val="none" w:sz="0" w:space="0" w:color="auto"/>
                        <w:bottom w:val="none" w:sz="0" w:space="0" w:color="auto"/>
                        <w:right w:val="none" w:sz="0" w:space="0" w:color="auto"/>
                      </w:divBdr>
                    </w:div>
                  </w:divsChild>
                </w:div>
                <w:div w:id="1071807533">
                  <w:marLeft w:val="0"/>
                  <w:marRight w:val="0"/>
                  <w:marTop w:val="0"/>
                  <w:marBottom w:val="0"/>
                  <w:divBdr>
                    <w:top w:val="none" w:sz="0" w:space="0" w:color="auto"/>
                    <w:left w:val="none" w:sz="0" w:space="0" w:color="auto"/>
                    <w:bottom w:val="none" w:sz="0" w:space="0" w:color="auto"/>
                    <w:right w:val="none" w:sz="0" w:space="0" w:color="auto"/>
                  </w:divBdr>
                  <w:divsChild>
                    <w:div w:id="883979117">
                      <w:marLeft w:val="0"/>
                      <w:marRight w:val="0"/>
                      <w:marTop w:val="0"/>
                      <w:marBottom w:val="0"/>
                      <w:divBdr>
                        <w:top w:val="none" w:sz="0" w:space="0" w:color="auto"/>
                        <w:left w:val="none" w:sz="0" w:space="0" w:color="auto"/>
                        <w:bottom w:val="none" w:sz="0" w:space="0" w:color="auto"/>
                        <w:right w:val="none" w:sz="0" w:space="0" w:color="auto"/>
                      </w:divBdr>
                    </w:div>
                    <w:div w:id="929659664">
                      <w:marLeft w:val="0"/>
                      <w:marRight w:val="0"/>
                      <w:marTop w:val="0"/>
                      <w:marBottom w:val="0"/>
                      <w:divBdr>
                        <w:top w:val="none" w:sz="0" w:space="0" w:color="auto"/>
                        <w:left w:val="none" w:sz="0" w:space="0" w:color="auto"/>
                        <w:bottom w:val="none" w:sz="0" w:space="0" w:color="auto"/>
                        <w:right w:val="none" w:sz="0" w:space="0" w:color="auto"/>
                      </w:divBdr>
                    </w:div>
                  </w:divsChild>
                </w:div>
                <w:div w:id="1095590168">
                  <w:marLeft w:val="0"/>
                  <w:marRight w:val="0"/>
                  <w:marTop w:val="0"/>
                  <w:marBottom w:val="0"/>
                  <w:divBdr>
                    <w:top w:val="none" w:sz="0" w:space="0" w:color="auto"/>
                    <w:left w:val="none" w:sz="0" w:space="0" w:color="auto"/>
                    <w:bottom w:val="none" w:sz="0" w:space="0" w:color="auto"/>
                    <w:right w:val="none" w:sz="0" w:space="0" w:color="auto"/>
                  </w:divBdr>
                  <w:divsChild>
                    <w:div w:id="1083990802">
                      <w:marLeft w:val="0"/>
                      <w:marRight w:val="0"/>
                      <w:marTop w:val="0"/>
                      <w:marBottom w:val="0"/>
                      <w:divBdr>
                        <w:top w:val="none" w:sz="0" w:space="0" w:color="auto"/>
                        <w:left w:val="none" w:sz="0" w:space="0" w:color="auto"/>
                        <w:bottom w:val="none" w:sz="0" w:space="0" w:color="auto"/>
                        <w:right w:val="none" w:sz="0" w:space="0" w:color="auto"/>
                      </w:divBdr>
                    </w:div>
                  </w:divsChild>
                </w:div>
                <w:div w:id="1157916099">
                  <w:marLeft w:val="0"/>
                  <w:marRight w:val="0"/>
                  <w:marTop w:val="0"/>
                  <w:marBottom w:val="0"/>
                  <w:divBdr>
                    <w:top w:val="none" w:sz="0" w:space="0" w:color="auto"/>
                    <w:left w:val="none" w:sz="0" w:space="0" w:color="auto"/>
                    <w:bottom w:val="none" w:sz="0" w:space="0" w:color="auto"/>
                    <w:right w:val="none" w:sz="0" w:space="0" w:color="auto"/>
                  </w:divBdr>
                  <w:divsChild>
                    <w:div w:id="1480196845">
                      <w:marLeft w:val="0"/>
                      <w:marRight w:val="0"/>
                      <w:marTop w:val="0"/>
                      <w:marBottom w:val="0"/>
                      <w:divBdr>
                        <w:top w:val="none" w:sz="0" w:space="0" w:color="auto"/>
                        <w:left w:val="none" w:sz="0" w:space="0" w:color="auto"/>
                        <w:bottom w:val="none" w:sz="0" w:space="0" w:color="auto"/>
                        <w:right w:val="none" w:sz="0" w:space="0" w:color="auto"/>
                      </w:divBdr>
                    </w:div>
                  </w:divsChild>
                </w:div>
                <w:div w:id="1190531028">
                  <w:marLeft w:val="0"/>
                  <w:marRight w:val="0"/>
                  <w:marTop w:val="0"/>
                  <w:marBottom w:val="0"/>
                  <w:divBdr>
                    <w:top w:val="none" w:sz="0" w:space="0" w:color="auto"/>
                    <w:left w:val="none" w:sz="0" w:space="0" w:color="auto"/>
                    <w:bottom w:val="none" w:sz="0" w:space="0" w:color="auto"/>
                    <w:right w:val="none" w:sz="0" w:space="0" w:color="auto"/>
                  </w:divBdr>
                  <w:divsChild>
                    <w:div w:id="106586647">
                      <w:marLeft w:val="0"/>
                      <w:marRight w:val="0"/>
                      <w:marTop w:val="0"/>
                      <w:marBottom w:val="0"/>
                      <w:divBdr>
                        <w:top w:val="none" w:sz="0" w:space="0" w:color="auto"/>
                        <w:left w:val="none" w:sz="0" w:space="0" w:color="auto"/>
                        <w:bottom w:val="none" w:sz="0" w:space="0" w:color="auto"/>
                        <w:right w:val="none" w:sz="0" w:space="0" w:color="auto"/>
                      </w:divBdr>
                    </w:div>
                    <w:div w:id="950934008">
                      <w:marLeft w:val="0"/>
                      <w:marRight w:val="0"/>
                      <w:marTop w:val="0"/>
                      <w:marBottom w:val="0"/>
                      <w:divBdr>
                        <w:top w:val="none" w:sz="0" w:space="0" w:color="auto"/>
                        <w:left w:val="none" w:sz="0" w:space="0" w:color="auto"/>
                        <w:bottom w:val="none" w:sz="0" w:space="0" w:color="auto"/>
                        <w:right w:val="none" w:sz="0" w:space="0" w:color="auto"/>
                      </w:divBdr>
                    </w:div>
                  </w:divsChild>
                </w:div>
                <w:div w:id="1213419552">
                  <w:marLeft w:val="0"/>
                  <w:marRight w:val="0"/>
                  <w:marTop w:val="0"/>
                  <w:marBottom w:val="0"/>
                  <w:divBdr>
                    <w:top w:val="none" w:sz="0" w:space="0" w:color="auto"/>
                    <w:left w:val="none" w:sz="0" w:space="0" w:color="auto"/>
                    <w:bottom w:val="none" w:sz="0" w:space="0" w:color="auto"/>
                    <w:right w:val="none" w:sz="0" w:space="0" w:color="auto"/>
                  </w:divBdr>
                  <w:divsChild>
                    <w:div w:id="663364302">
                      <w:marLeft w:val="0"/>
                      <w:marRight w:val="0"/>
                      <w:marTop w:val="0"/>
                      <w:marBottom w:val="0"/>
                      <w:divBdr>
                        <w:top w:val="none" w:sz="0" w:space="0" w:color="auto"/>
                        <w:left w:val="none" w:sz="0" w:space="0" w:color="auto"/>
                        <w:bottom w:val="none" w:sz="0" w:space="0" w:color="auto"/>
                        <w:right w:val="none" w:sz="0" w:space="0" w:color="auto"/>
                      </w:divBdr>
                    </w:div>
                    <w:div w:id="971906041">
                      <w:marLeft w:val="0"/>
                      <w:marRight w:val="0"/>
                      <w:marTop w:val="0"/>
                      <w:marBottom w:val="0"/>
                      <w:divBdr>
                        <w:top w:val="none" w:sz="0" w:space="0" w:color="auto"/>
                        <w:left w:val="none" w:sz="0" w:space="0" w:color="auto"/>
                        <w:bottom w:val="none" w:sz="0" w:space="0" w:color="auto"/>
                        <w:right w:val="none" w:sz="0" w:space="0" w:color="auto"/>
                      </w:divBdr>
                    </w:div>
                  </w:divsChild>
                </w:div>
                <w:div w:id="1233732666">
                  <w:marLeft w:val="0"/>
                  <w:marRight w:val="0"/>
                  <w:marTop w:val="0"/>
                  <w:marBottom w:val="0"/>
                  <w:divBdr>
                    <w:top w:val="none" w:sz="0" w:space="0" w:color="auto"/>
                    <w:left w:val="none" w:sz="0" w:space="0" w:color="auto"/>
                    <w:bottom w:val="none" w:sz="0" w:space="0" w:color="auto"/>
                    <w:right w:val="none" w:sz="0" w:space="0" w:color="auto"/>
                  </w:divBdr>
                  <w:divsChild>
                    <w:div w:id="956065812">
                      <w:marLeft w:val="0"/>
                      <w:marRight w:val="0"/>
                      <w:marTop w:val="0"/>
                      <w:marBottom w:val="0"/>
                      <w:divBdr>
                        <w:top w:val="none" w:sz="0" w:space="0" w:color="auto"/>
                        <w:left w:val="none" w:sz="0" w:space="0" w:color="auto"/>
                        <w:bottom w:val="none" w:sz="0" w:space="0" w:color="auto"/>
                        <w:right w:val="none" w:sz="0" w:space="0" w:color="auto"/>
                      </w:divBdr>
                    </w:div>
                    <w:div w:id="2040280096">
                      <w:marLeft w:val="0"/>
                      <w:marRight w:val="0"/>
                      <w:marTop w:val="0"/>
                      <w:marBottom w:val="0"/>
                      <w:divBdr>
                        <w:top w:val="none" w:sz="0" w:space="0" w:color="auto"/>
                        <w:left w:val="none" w:sz="0" w:space="0" w:color="auto"/>
                        <w:bottom w:val="none" w:sz="0" w:space="0" w:color="auto"/>
                        <w:right w:val="none" w:sz="0" w:space="0" w:color="auto"/>
                      </w:divBdr>
                    </w:div>
                  </w:divsChild>
                </w:div>
                <w:div w:id="1234657330">
                  <w:marLeft w:val="0"/>
                  <w:marRight w:val="0"/>
                  <w:marTop w:val="0"/>
                  <w:marBottom w:val="0"/>
                  <w:divBdr>
                    <w:top w:val="none" w:sz="0" w:space="0" w:color="auto"/>
                    <w:left w:val="none" w:sz="0" w:space="0" w:color="auto"/>
                    <w:bottom w:val="none" w:sz="0" w:space="0" w:color="auto"/>
                    <w:right w:val="none" w:sz="0" w:space="0" w:color="auto"/>
                  </w:divBdr>
                  <w:divsChild>
                    <w:div w:id="821429831">
                      <w:marLeft w:val="0"/>
                      <w:marRight w:val="0"/>
                      <w:marTop w:val="0"/>
                      <w:marBottom w:val="0"/>
                      <w:divBdr>
                        <w:top w:val="none" w:sz="0" w:space="0" w:color="auto"/>
                        <w:left w:val="none" w:sz="0" w:space="0" w:color="auto"/>
                        <w:bottom w:val="none" w:sz="0" w:space="0" w:color="auto"/>
                        <w:right w:val="none" w:sz="0" w:space="0" w:color="auto"/>
                      </w:divBdr>
                    </w:div>
                  </w:divsChild>
                </w:div>
                <w:div w:id="1234974081">
                  <w:marLeft w:val="0"/>
                  <w:marRight w:val="0"/>
                  <w:marTop w:val="0"/>
                  <w:marBottom w:val="0"/>
                  <w:divBdr>
                    <w:top w:val="none" w:sz="0" w:space="0" w:color="auto"/>
                    <w:left w:val="none" w:sz="0" w:space="0" w:color="auto"/>
                    <w:bottom w:val="none" w:sz="0" w:space="0" w:color="auto"/>
                    <w:right w:val="none" w:sz="0" w:space="0" w:color="auto"/>
                  </w:divBdr>
                  <w:divsChild>
                    <w:div w:id="248388395">
                      <w:marLeft w:val="0"/>
                      <w:marRight w:val="0"/>
                      <w:marTop w:val="0"/>
                      <w:marBottom w:val="0"/>
                      <w:divBdr>
                        <w:top w:val="none" w:sz="0" w:space="0" w:color="auto"/>
                        <w:left w:val="none" w:sz="0" w:space="0" w:color="auto"/>
                        <w:bottom w:val="none" w:sz="0" w:space="0" w:color="auto"/>
                        <w:right w:val="none" w:sz="0" w:space="0" w:color="auto"/>
                      </w:divBdr>
                    </w:div>
                  </w:divsChild>
                </w:div>
                <w:div w:id="1300498030">
                  <w:marLeft w:val="0"/>
                  <w:marRight w:val="0"/>
                  <w:marTop w:val="0"/>
                  <w:marBottom w:val="0"/>
                  <w:divBdr>
                    <w:top w:val="none" w:sz="0" w:space="0" w:color="auto"/>
                    <w:left w:val="none" w:sz="0" w:space="0" w:color="auto"/>
                    <w:bottom w:val="none" w:sz="0" w:space="0" w:color="auto"/>
                    <w:right w:val="none" w:sz="0" w:space="0" w:color="auto"/>
                  </w:divBdr>
                  <w:divsChild>
                    <w:div w:id="1738167717">
                      <w:marLeft w:val="0"/>
                      <w:marRight w:val="0"/>
                      <w:marTop w:val="0"/>
                      <w:marBottom w:val="0"/>
                      <w:divBdr>
                        <w:top w:val="none" w:sz="0" w:space="0" w:color="auto"/>
                        <w:left w:val="none" w:sz="0" w:space="0" w:color="auto"/>
                        <w:bottom w:val="none" w:sz="0" w:space="0" w:color="auto"/>
                        <w:right w:val="none" w:sz="0" w:space="0" w:color="auto"/>
                      </w:divBdr>
                    </w:div>
                  </w:divsChild>
                </w:div>
                <w:div w:id="1312833678">
                  <w:marLeft w:val="0"/>
                  <w:marRight w:val="0"/>
                  <w:marTop w:val="0"/>
                  <w:marBottom w:val="0"/>
                  <w:divBdr>
                    <w:top w:val="none" w:sz="0" w:space="0" w:color="auto"/>
                    <w:left w:val="none" w:sz="0" w:space="0" w:color="auto"/>
                    <w:bottom w:val="none" w:sz="0" w:space="0" w:color="auto"/>
                    <w:right w:val="none" w:sz="0" w:space="0" w:color="auto"/>
                  </w:divBdr>
                  <w:divsChild>
                    <w:div w:id="474954668">
                      <w:marLeft w:val="0"/>
                      <w:marRight w:val="0"/>
                      <w:marTop w:val="0"/>
                      <w:marBottom w:val="0"/>
                      <w:divBdr>
                        <w:top w:val="none" w:sz="0" w:space="0" w:color="auto"/>
                        <w:left w:val="none" w:sz="0" w:space="0" w:color="auto"/>
                        <w:bottom w:val="none" w:sz="0" w:space="0" w:color="auto"/>
                        <w:right w:val="none" w:sz="0" w:space="0" w:color="auto"/>
                      </w:divBdr>
                    </w:div>
                  </w:divsChild>
                </w:div>
                <w:div w:id="1321230740">
                  <w:marLeft w:val="0"/>
                  <w:marRight w:val="0"/>
                  <w:marTop w:val="0"/>
                  <w:marBottom w:val="0"/>
                  <w:divBdr>
                    <w:top w:val="none" w:sz="0" w:space="0" w:color="auto"/>
                    <w:left w:val="none" w:sz="0" w:space="0" w:color="auto"/>
                    <w:bottom w:val="none" w:sz="0" w:space="0" w:color="auto"/>
                    <w:right w:val="none" w:sz="0" w:space="0" w:color="auto"/>
                  </w:divBdr>
                  <w:divsChild>
                    <w:div w:id="1341738595">
                      <w:marLeft w:val="0"/>
                      <w:marRight w:val="0"/>
                      <w:marTop w:val="0"/>
                      <w:marBottom w:val="0"/>
                      <w:divBdr>
                        <w:top w:val="none" w:sz="0" w:space="0" w:color="auto"/>
                        <w:left w:val="none" w:sz="0" w:space="0" w:color="auto"/>
                        <w:bottom w:val="none" w:sz="0" w:space="0" w:color="auto"/>
                        <w:right w:val="none" w:sz="0" w:space="0" w:color="auto"/>
                      </w:divBdr>
                    </w:div>
                  </w:divsChild>
                </w:div>
                <w:div w:id="1345550457">
                  <w:marLeft w:val="0"/>
                  <w:marRight w:val="0"/>
                  <w:marTop w:val="0"/>
                  <w:marBottom w:val="0"/>
                  <w:divBdr>
                    <w:top w:val="none" w:sz="0" w:space="0" w:color="auto"/>
                    <w:left w:val="none" w:sz="0" w:space="0" w:color="auto"/>
                    <w:bottom w:val="none" w:sz="0" w:space="0" w:color="auto"/>
                    <w:right w:val="none" w:sz="0" w:space="0" w:color="auto"/>
                  </w:divBdr>
                  <w:divsChild>
                    <w:div w:id="283656092">
                      <w:marLeft w:val="0"/>
                      <w:marRight w:val="0"/>
                      <w:marTop w:val="0"/>
                      <w:marBottom w:val="0"/>
                      <w:divBdr>
                        <w:top w:val="none" w:sz="0" w:space="0" w:color="auto"/>
                        <w:left w:val="none" w:sz="0" w:space="0" w:color="auto"/>
                        <w:bottom w:val="none" w:sz="0" w:space="0" w:color="auto"/>
                        <w:right w:val="none" w:sz="0" w:space="0" w:color="auto"/>
                      </w:divBdr>
                    </w:div>
                    <w:div w:id="1389036223">
                      <w:marLeft w:val="0"/>
                      <w:marRight w:val="0"/>
                      <w:marTop w:val="0"/>
                      <w:marBottom w:val="0"/>
                      <w:divBdr>
                        <w:top w:val="none" w:sz="0" w:space="0" w:color="auto"/>
                        <w:left w:val="none" w:sz="0" w:space="0" w:color="auto"/>
                        <w:bottom w:val="none" w:sz="0" w:space="0" w:color="auto"/>
                        <w:right w:val="none" w:sz="0" w:space="0" w:color="auto"/>
                      </w:divBdr>
                    </w:div>
                  </w:divsChild>
                </w:div>
                <w:div w:id="1414626365">
                  <w:marLeft w:val="0"/>
                  <w:marRight w:val="0"/>
                  <w:marTop w:val="0"/>
                  <w:marBottom w:val="0"/>
                  <w:divBdr>
                    <w:top w:val="none" w:sz="0" w:space="0" w:color="auto"/>
                    <w:left w:val="none" w:sz="0" w:space="0" w:color="auto"/>
                    <w:bottom w:val="none" w:sz="0" w:space="0" w:color="auto"/>
                    <w:right w:val="none" w:sz="0" w:space="0" w:color="auto"/>
                  </w:divBdr>
                  <w:divsChild>
                    <w:div w:id="1354378042">
                      <w:marLeft w:val="0"/>
                      <w:marRight w:val="0"/>
                      <w:marTop w:val="0"/>
                      <w:marBottom w:val="0"/>
                      <w:divBdr>
                        <w:top w:val="none" w:sz="0" w:space="0" w:color="auto"/>
                        <w:left w:val="none" w:sz="0" w:space="0" w:color="auto"/>
                        <w:bottom w:val="none" w:sz="0" w:space="0" w:color="auto"/>
                        <w:right w:val="none" w:sz="0" w:space="0" w:color="auto"/>
                      </w:divBdr>
                    </w:div>
                    <w:div w:id="1507554778">
                      <w:marLeft w:val="0"/>
                      <w:marRight w:val="0"/>
                      <w:marTop w:val="0"/>
                      <w:marBottom w:val="0"/>
                      <w:divBdr>
                        <w:top w:val="none" w:sz="0" w:space="0" w:color="auto"/>
                        <w:left w:val="none" w:sz="0" w:space="0" w:color="auto"/>
                        <w:bottom w:val="none" w:sz="0" w:space="0" w:color="auto"/>
                        <w:right w:val="none" w:sz="0" w:space="0" w:color="auto"/>
                      </w:divBdr>
                    </w:div>
                  </w:divsChild>
                </w:div>
                <w:div w:id="1479617303">
                  <w:marLeft w:val="0"/>
                  <w:marRight w:val="0"/>
                  <w:marTop w:val="0"/>
                  <w:marBottom w:val="0"/>
                  <w:divBdr>
                    <w:top w:val="none" w:sz="0" w:space="0" w:color="auto"/>
                    <w:left w:val="none" w:sz="0" w:space="0" w:color="auto"/>
                    <w:bottom w:val="none" w:sz="0" w:space="0" w:color="auto"/>
                    <w:right w:val="none" w:sz="0" w:space="0" w:color="auto"/>
                  </w:divBdr>
                  <w:divsChild>
                    <w:div w:id="1172918483">
                      <w:marLeft w:val="0"/>
                      <w:marRight w:val="0"/>
                      <w:marTop w:val="0"/>
                      <w:marBottom w:val="0"/>
                      <w:divBdr>
                        <w:top w:val="none" w:sz="0" w:space="0" w:color="auto"/>
                        <w:left w:val="none" w:sz="0" w:space="0" w:color="auto"/>
                        <w:bottom w:val="none" w:sz="0" w:space="0" w:color="auto"/>
                        <w:right w:val="none" w:sz="0" w:space="0" w:color="auto"/>
                      </w:divBdr>
                    </w:div>
                  </w:divsChild>
                </w:div>
                <w:div w:id="1487673808">
                  <w:marLeft w:val="0"/>
                  <w:marRight w:val="0"/>
                  <w:marTop w:val="0"/>
                  <w:marBottom w:val="0"/>
                  <w:divBdr>
                    <w:top w:val="none" w:sz="0" w:space="0" w:color="auto"/>
                    <w:left w:val="none" w:sz="0" w:space="0" w:color="auto"/>
                    <w:bottom w:val="none" w:sz="0" w:space="0" w:color="auto"/>
                    <w:right w:val="none" w:sz="0" w:space="0" w:color="auto"/>
                  </w:divBdr>
                  <w:divsChild>
                    <w:div w:id="1531142463">
                      <w:marLeft w:val="0"/>
                      <w:marRight w:val="0"/>
                      <w:marTop w:val="0"/>
                      <w:marBottom w:val="0"/>
                      <w:divBdr>
                        <w:top w:val="none" w:sz="0" w:space="0" w:color="auto"/>
                        <w:left w:val="none" w:sz="0" w:space="0" w:color="auto"/>
                        <w:bottom w:val="none" w:sz="0" w:space="0" w:color="auto"/>
                        <w:right w:val="none" w:sz="0" w:space="0" w:color="auto"/>
                      </w:divBdr>
                    </w:div>
                  </w:divsChild>
                </w:div>
                <w:div w:id="1491172733">
                  <w:marLeft w:val="0"/>
                  <w:marRight w:val="0"/>
                  <w:marTop w:val="0"/>
                  <w:marBottom w:val="0"/>
                  <w:divBdr>
                    <w:top w:val="none" w:sz="0" w:space="0" w:color="auto"/>
                    <w:left w:val="none" w:sz="0" w:space="0" w:color="auto"/>
                    <w:bottom w:val="none" w:sz="0" w:space="0" w:color="auto"/>
                    <w:right w:val="none" w:sz="0" w:space="0" w:color="auto"/>
                  </w:divBdr>
                  <w:divsChild>
                    <w:div w:id="922029246">
                      <w:marLeft w:val="0"/>
                      <w:marRight w:val="0"/>
                      <w:marTop w:val="0"/>
                      <w:marBottom w:val="0"/>
                      <w:divBdr>
                        <w:top w:val="none" w:sz="0" w:space="0" w:color="auto"/>
                        <w:left w:val="none" w:sz="0" w:space="0" w:color="auto"/>
                        <w:bottom w:val="none" w:sz="0" w:space="0" w:color="auto"/>
                        <w:right w:val="none" w:sz="0" w:space="0" w:color="auto"/>
                      </w:divBdr>
                    </w:div>
                  </w:divsChild>
                </w:div>
                <w:div w:id="1518276653">
                  <w:marLeft w:val="0"/>
                  <w:marRight w:val="0"/>
                  <w:marTop w:val="0"/>
                  <w:marBottom w:val="0"/>
                  <w:divBdr>
                    <w:top w:val="none" w:sz="0" w:space="0" w:color="auto"/>
                    <w:left w:val="none" w:sz="0" w:space="0" w:color="auto"/>
                    <w:bottom w:val="none" w:sz="0" w:space="0" w:color="auto"/>
                    <w:right w:val="none" w:sz="0" w:space="0" w:color="auto"/>
                  </w:divBdr>
                  <w:divsChild>
                    <w:div w:id="1486705115">
                      <w:marLeft w:val="0"/>
                      <w:marRight w:val="0"/>
                      <w:marTop w:val="0"/>
                      <w:marBottom w:val="0"/>
                      <w:divBdr>
                        <w:top w:val="none" w:sz="0" w:space="0" w:color="auto"/>
                        <w:left w:val="none" w:sz="0" w:space="0" w:color="auto"/>
                        <w:bottom w:val="none" w:sz="0" w:space="0" w:color="auto"/>
                        <w:right w:val="none" w:sz="0" w:space="0" w:color="auto"/>
                      </w:divBdr>
                    </w:div>
                    <w:div w:id="2135518571">
                      <w:marLeft w:val="0"/>
                      <w:marRight w:val="0"/>
                      <w:marTop w:val="0"/>
                      <w:marBottom w:val="0"/>
                      <w:divBdr>
                        <w:top w:val="none" w:sz="0" w:space="0" w:color="auto"/>
                        <w:left w:val="none" w:sz="0" w:space="0" w:color="auto"/>
                        <w:bottom w:val="none" w:sz="0" w:space="0" w:color="auto"/>
                        <w:right w:val="none" w:sz="0" w:space="0" w:color="auto"/>
                      </w:divBdr>
                    </w:div>
                  </w:divsChild>
                </w:div>
                <w:div w:id="1548713640">
                  <w:marLeft w:val="0"/>
                  <w:marRight w:val="0"/>
                  <w:marTop w:val="0"/>
                  <w:marBottom w:val="0"/>
                  <w:divBdr>
                    <w:top w:val="none" w:sz="0" w:space="0" w:color="auto"/>
                    <w:left w:val="none" w:sz="0" w:space="0" w:color="auto"/>
                    <w:bottom w:val="none" w:sz="0" w:space="0" w:color="auto"/>
                    <w:right w:val="none" w:sz="0" w:space="0" w:color="auto"/>
                  </w:divBdr>
                  <w:divsChild>
                    <w:div w:id="283578888">
                      <w:marLeft w:val="0"/>
                      <w:marRight w:val="0"/>
                      <w:marTop w:val="0"/>
                      <w:marBottom w:val="0"/>
                      <w:divBdr>
                        <w:top w:val="none" w:sz="0" w:space="0" w:color="auto"/>
                        <w:left w:val="none" w:sz="0" w:space="0" w:color="auto"/>
                        <w:bottom w:val="none" w:sz="0" w:space="0" w:color="auto"/>
                        <w:right w:val="none" w:sz="0" w:space="0" w:color="auto"/>
                      </w:divBdr>
                    </w:div>
                  </w:divsChild>
                </w:div>
                <w:div w:id="1568414347">
                  <w:marLeft w:val="0"/>
                  <w:marRight w:val="0"/>
                  <w:marTop w:val="0"/>
                  <w:marBottom w:val="0"/>
                  <w:divBdr>
                    <w:top w:val="none" w:sz="0" w:space="0" w:color="auto"/>
                    <w:left w:val="none" w:sz="0" w:space="0" w:color="auto"/>
                    <w:bottom w:val="none" w:sz="0" w:space="0" w:color="auto"/>
                    <w:right w:val="none" w:sz="0" w:space="0" w:color="auto"/>
                  </w:divBdr>
                  <w:divsChild>
                    <w:div w:id="1049763981">
                      <w:marLeft w:val="0"/>
                      <w:marRight w:val="0"/>
                      <w:marTop w:val="0"/>
                      <w:marBottom w:val="0"/>
                      <w:divBdr>
                        <w:top w:val="none" w:sz="0" w:space="0" w:color="auto"/>
                        <w:left w:val="none" w:sz="0" w:space="0" w:color="auto"/>
                        <w:bottom w:val="none" w:sz="0" w:space="0" w:color="auto"/>
                        <w:right w:val="none" w:sz="0" w:space="0" w:color="auto"/>
                      </w:divBdr>
                    </w:div>
                    <w:div w:id="1184125712">
                      <w:marLeft w:val="0"/>
                      <w:marRight w:val="0"/>
                      <w:marTop w:val="0"/>
                      <w:marBottom w:val="0"/>
                      <w:divBdr>
                        <w:top w:val="none" w:sz="0" w:space="0" w:color="auto"/>
                        <w:left w:val="none" w:sz="0" w:space="0" w:color="auto"/>
                        <w:bottom w:val="none" w:sz="0" w:space="0" w:color="auto"/>
                        <w:right w:val="none" w:sz="0" w:space="0" w:color="auto"/>
                      </w:divBdr>
                    </w:div>
                  </w:divsChild>
                </w:div>
                <w:div w:id="1574588125">
                  <w:marLeft w:val="0"/>
                  <w:marRight w:val="0"/>
                  <w:marTop w:val="0"/>
                  <w:marBottom w:val="0"/>
                  <w:divBdr>
                    <w:top w:val="none" w:sz="0" w:space="0" w:color="auto"/>
                    <w:left w:val="none" w:sz="0" w:space="0" w:color="auto"/>
                    <w:bottom w:val="none" w:sz="0" w:space="0" w:color="auto"/>
                    <w:right w:val="none" w:sz="0" w:space="0" w:color="auto"/>
                  </w:divBdr>
                  <w:divsChild>
                    <w:div w:id="595090771">
                      <w:marLeft w:val="0"/>
                      <w:marRight w:val="0"/>
                      <w:marTop w:val="0"/>
                      <w:marBottom w:val="0"/>
                      <w:divBdr>
                        <w:top w:val="none" w:sz="0" w:space="0" w:color="auto"/>
                        <w:left w:val="none" w:sz="0" w:space="0" w:color="auto"/>
                        <w:bottom w:val="none" w:sz="0" w:space="0" w:color="auto"/>
                        <w:right w:val="none" w:sz="0" w:space="0" w:color="auto"/>
                      </w:divBdr>
                    </w:div>
                    <w:div w:id="1846479957">
                      <w:marLeft w:val="0"/>
                      <w:marRight w:val="0"/>
                      <w:marTop w:val="0"/>
                      <w:marBottom w:val="0"/>
                      <w:divBdr>
                        <w:top w:val="none" w:sz="0" w:space="0" w:color="auto"/>
                        <w:left w:val="none" w:sz="0" w:space="0" w:color="auto"/>
                        <w:bottom w:val="none" w:sz="0" w:space="0" w:color="auto"/>
                        <w:right w:val="none" w:sz="0" w:space="0" w:color="auto"/>
                      </w:divBdr>
                    </w:div>
                  </w:divsChild>
                </w:div>
                <w:div w:id="1582256044">
                  <w:marLeft w:val="0"/>
                  <w:marRight w:val="0"/>
                  <w:marTop w:val="0"/>
                  <w:marBottom w:val="0"/>
                  <w:divBdr>
                    <w:top w:val="none" w:sz="0" w:space="0" w:color="auto"/>
                    <w:left w:val="none" w:sz="0" w:space="0" w:color="auto"/>
                    <w:bottom w:val="none" w:sz="0" w:space="0" w:color="auto"/>
                    <w:right w:val="none" w:sz="0" w:space="0" w:color="auto"/>
                  </w:divBdr>
                  <w:divsChild>
                    <w:div w:id="646713361">
                      <w:marLeft w:val="0"/>
                      <w:marRight w:val="0"/>
                      <w:marTop w:val="0"/>
                      <w:marBottom w:val="0"/>
                      <w:divBdr>
                        <w:top w:val="none" w:sz="0" w:space="0" w:color="auto"/>
                        <w:left w:val="none" w:sz="0" w:space="0" w:color="auto"/>
                        <w:bottom w:val="none" w:sz="0" w:space="0" w:color="auto"/>
                        <w:right w:val="none" w:sz="0" w:space="0" w:color="auto"/>
                      </w:divBdr>
                    </w:div>
                  </w:divsChild>
                </w:div>
                <w:div w:id="1584679396">
                  <w:marLeft w:val="0"/>
                  <w:marRight w:val="0"/>
                  <w:marTop w:val="0"/>
                  <w:marBottom w:val="0"/>
                  <w:divBdr>
                    <w:top w:val="none" w:sz="0" w:space="0" w:color="auto"/>
                    <w:left w:val="none" w:sz="0" w:space="0" w:color="auto"/>
                    <w:bottom w:val="none" w:sz="0" w:space="0" w:color="auto"/>
                    <w:right w:val="none" w:sz="0" w:space="0" w:color="auto"/>
                  </w:divBdr>
                  <w:divsChild>
                    <w:div w:id="668484652">
                      <w:marLeft w:val="0"/>
                      <w:marRight w:val="0"/>
                      <w:marTop w:val="0"/>
                      <w:marBottom w:val="0"/>
                      <w:divBdr>
                        <w:top w:val="none" w:sz="0" w:space="0" w:color="auto"/>
                        <w:left w:val="none" w:sz="0" w:space="0" w:color="auto"/>
                        <w:bottom w:val="none" w:sz="0" w:space="0" w:color="auto"/>
                        <w:right w:val="none" w:sz="0" w:space="0" w:color="auto"/>
                      </w:divBdr>
                    </w:div>
                  </w:divsChild>
                </w:div>
                <w:div w:id="1597595828">
                  <w:marLeft w:val="0"/>
                  <w:marRight w:val="0"/>
                  <w:marTop w:val="0"/>
                  <w:marBottom w:val="0"/>
                  <w:divBdr>
                    <w:top w:val="none" w:sz="0" w:space="0" w:color="auto"/>
                    <w:left w:val="none" w:sz="0" w:space="0" w:color="auto"/>
                    <w:bottom w:val="none" w:sz="0" w:space="0" w:color="auto"/>
                    <w:right w:val="none" w:sz="0" w:space="0" w:color="auto"/>
                  </w:divBdr>
                  <w:divsChild>
                    <w:div w:id="728967033">
                      <w:marLeft w:val="0"/>
                      <w:marRight w:val="0"/>
                      <w:marTop w:val="0"/>
                      <w:marBottom w:val="0"/>
                      <w:divBdr>
                        <w:top w:val="none" w:sz="0" w:space="0" w:color="auto"/>
                        <w:left w:val="none" w:sz="0" w:space="0" w:color="auto"/>
                        <w:bottom w:val="none" w:sz="0" w:space="0" w:color="auto"/>
                        <w:right w:val="none" w:sz="0" w:space="0" w:color="auto"/>
                      </w:divBdr>
                    </w:div>
                    <w:div w:id="1763717770">
                      <w:marLeft w:val="0"/>
                      <w:marRight w:val="0"/>
                      <w:marTop w:val="0"/>
                      <w:marBottom w:val="0"/>
                      <w:divBdr>
                        <w:top w:val="none" w:sz="0" w:space="0" w:color="auto"/>
                        <w:left w:val="none" w:sz="0" w:space="0" w:color="auto"/>
                        <w:bottom w:val="none" w:sz="0" w:space="0" w:color="auto"/>
                        <w:right w:val="none" w:sz="0" w:space="0" w:color="auto"/>
                      </w:divBdr>
                    </w:div>
                  </w:divsChild>
                </w:div>
                <w:div w:id="1616865293">
                  <w:marLeft w:val="0"/>
                  <w:marRight w:val="0"/>
                  <w:marTop w:val="0"/>
                  <w:marBottom w:val="0"/>
                  <w:divBdr>
                    <w:top w:val="none" w:sz="0" w:space="0" w:color="auto"/>
                    <w:left w:val="none" w:sz="0" w:space="0" w:color="auto"/>
                    <w:bottom w:val="none" w:sz="0" w:space="0" w:color="auto"/>
                    <w:right w:val="none" w:sz="0" w:space="0" w:color="auto"/>
                  </w:divBdr>
                  <w:divsChild>
                    <w:div w:id="1958220708">
                      <w:marLeft w:val="0"/>
                      <w:marRight w:val="0"/>
                      <w:marTop w:val="0"/>
                      <w:marBottom w:val="0"/>
                      <w:divBdr>
                        <w:top w:val="none" w:sz="0" w:space="0" w:color="auto"/>
                        <w:left w:val="none" w:sz="0" w:space="0" w:color="auto"/>
                        <w:bottom w:val="none" w:sz="0" w:space="0" w:color="auto"/>
                        <w:right w:val="none" w:sz="0" w:space="0" w:color="auto"/>
                      </w:divBdr>
                    </w:div>
                    <w:div w:id="2141455970">
                      <w:marLeft w:val="0"/>
                      <w:marRight w:val="0"/>
                      <w:marTop w:val="0"/>
                      <w:marBottom w:val="0"/>
                      <w:divBdr>
                        <w:top w:val="none" w:sz="0" w:space="0" w:color="auto"/>
                        <w:left w:val="none" w:sz="0" w:space="0" w:color="auto"/>
                        <w:bottom w:val="none" w:sz="0" w:space="0" w:color="auto"/>
                        <w:right w:val="none" w:sz="0" w:space="0" w:color="auto"/>
                      </w:divBdr>
                    </w:div>
                  </w:divsChild>
                </w:div>
                <w:div w:id="1647004480">
                  <w:marLeft w:val="0"/>
                  <w:marRight w:val="0"/>
                  <w:marTop w:val="0"/>
                  <w:marBottom w:val="0"/>
                  <w:divBdr>
                    <w:top w:val="none" w:sz="0" w:space="0" w:color="auto"/>
                    <w:left w:val="none" w:sz="0" w:space="0" w:color="auto"/>
                    <w:bottom w:val="none" w:sz="0" w:space="0" w:color="auto"/>
                    <w:right w:val="none" w:sz="0" w:space="0" w:color="auto"/>
                  </w:divBdr>
                  <w:divsChild>
                    <w:div w:id="436606752">
                      <w:marLeft w:val="0"/>
                      <w:marRight w:val="0"/>
                      <w:marTop w:val="0"/>
                      <w:marBottom w:val="0"/>
                      <w:divBdr>
                        <w:top w:val="none" w:sz="0" w:space="0" w:color="auto"/>
                        <w:left w:val="none" w:sz="0" w:space="0" w:color="auto"/>
                        <w:bottom w:val="none" w:sz="0" w:space="0" w:color="auto"/>
                        <w:right w:val="none" w:sz="0" w:space="0" w:color="auto"/>
                      </w:divBdr>
                    </w:div>
                    <w:div w:id="938104637">
                      <w:marLeft w:val="0"/>
                      <w:marRight w:val="0"/>
                      <w:marTop w:val="0"/>
                      <w:marBottom w:val="0"/>
                      <w:divBdr>
                        <w:top w:val="none" w:sz="0" w:space="0" w:color="auto"/>
                        <w:left w:val="none" w:sz="0" w:space="0" w:color="auto"/>
                        <w:bottom w:val="none" w:sz="0" w:space="0" w:color="auto"/>
                        <w:right w:val="none" w:sz="0" w:space="0" w:color="auto"/>
                      </w:divBdr>
                    </w:div>
                  </w:divsChild>
                </w:div>
                <w:div w:id="1694186076">
                  <w:marLeft w:val="0"/>
                  <w:marRight w:val="0"/>
                  <w:marTop w:val="0"/>
                  <w:marBottom w:val="0"/>
                  <w:divBdr>
                    <w:top w:val="none" w:sz="0" w:space="0" w:color="auto"/>
                    <w:left w:val="none" w:sz="0" w:space="0" w:color="auto"/>
                    <w:bottom w:val="none" w:sz="0" w:space="0" w:color="auto"/>
                    <w:right w:val="none" w:sz="0" w:space="0" w:color="auto"/>
                  </w:divBdr>
                  <w:divsChild>
                    <w:div w:id="1579437981">
                      <w:marLeft w:val="0"/>
                      <w:marRight w:val="0"/>
                      <w:marTop w:val="0"/>
                      <w:marBottom w:val="0"/>
                      <w:divBdr>
                        <w:top w:val="none" w:sz="0" w:space="0" w:color="auto"/>
                        <w:left w:val="none" w:sz="0" w:space="0" w:color="auto"/>
                        <w:bottom w:val="none" w:sz="0" w:space="0" w:color="auto"/>
                        <w:right w:val="none" w:sz="0" w:space="0" w:color="auto"/>
                      </w:divBdr>
                    </w:div>
                  </w:divsChild>
                </w:div>
                <w:div w:id="1712728082">
                  <w:marLeft w:val="0"/>
                  <w:marRight w:val="0"/>
                  <w:marTop w:val="0"/>
                  <w:marBottom w:val="0"/>
                  <w:divBdr>
                    <w:top w:val="none" w:sz="0" w:space="0" w:color="auto"/>
                    <w:left w:val="none" w:sz="0" w:space="0" w:color="auto"/>
                    <w:bottom w:val="none" w:sz="0" w:space="0" w:color="auto"/>
                    <w:right w:val="none" w:sz="0" w:space="0" w:color="auto"/>
                  </w:divBdr>
                  <w:divsChild>
                    <w:div w:id="307708505">
                      <w:marLeft w:val="0"/>
                      <w:marRight w:val="0"/>
                      <w:marTop w:val="0"/>
                      <w:marBottom w:val="0"/>
                      <w:divBdr>
                        <w:top w:val="none" w:sz="0" w:space="0" w:color="auto"/>
                        <w:left w:val="none" w:sz="0" w:space="0" w:color="auto"/>
                        <w:bottom w:val="none" w:sz="0" w:space="0" w:color="auto"/>
                        <w:right w:val="none" w:sz="0" w:space="0" w:color="auto"/>
                      </w:divBdr>
                    </w:div>
                    <w:div w:id="1654480441">
                      <w:marLeft w:val="0"/>
                      <w:marRight w:val="0"/>
                      <w:marTop w:val="0"/>
                      <w:marBottom w:val="0"/>
                      <w:divBdr>
                        <w:top w:val="none" w:sz="0" w:space="0" w:color="auto"/>
                        <w:left w:val="none" w:sz="0" w:space="0" w:color="auto"/>
                        <w:bottom w:val="none" w:sz="0" w:space="0" w:color="auto"/>
                        <w:right w:val="none" w:sz="0" w:space="0" w:color="auto"/>
                      </w:divBdr>
                    </w:div>
                  </w:divsChild>
                </w:div>
                <w:div w:id="1818834345">
                  <w:marLeft w:val="0"/>
                  <w:marRight w:val="0"/>
                  <w:marTop w:val="0"/>
                  <w:marBottom w:val="0"/>
                  <w:divBdr>
                    <w:top w:val="none" w:sz="0" w:space="0" w:color="auto"/>
                    <w:left w:val="none" w:sz="0" w:space="0" w:color="auto"/>
                    <w:bottom w:val="none" w:sz="0" w:space="0" w:color="auto"/>
                    <w:right w:val="none" w:sz="0" w:space="0" w:color="auto"/>
                  </w:divBdr>
                  <w:divsChild>
                    <w:div w:id="211499648">
                      <w:marLeft w:val="0"/>
                      <w:marRight w:val="0"/>
                      <w:marTop w:val="0"/>
                      <w:marBottom w:val="0"/>
                      <w:divBdr>
                        <w:top w:val="none" w:sz="0" w:space="0" w:color="auto"/>
                        <w:left w:val="none" w:sz="0" w:space="0" w:color="auto"/>
                        <w:bottom w:val="none" w:sz="0" w:space="0" w:color="auto"/>
                        <w:right w:val="none" w:sz="0" w:space="0" w:color="auto"/>
                      </w:divBdr>
                    </w:div>
                    <w:div w:id="1323965942">
                      <w:marLeft w:val="0"/>
                      <w:marRight w:val="0"/>
                      <w:marTop w:val="0"/>
                      <w:marBottom w:val="0"/>
                      <w:divBdr>
                        <w:top w:val="none" w:sz="0" w:space="0" w:color="auto"/>
                        <w:left w:val="none" w:sz="0" w:space="0" w:color="auto"/>
                        <w:bottom w:val="none" w:sz="0" w:space="0" w:color="auto"/>
                        <w:right w:val="none" w:sz="0" w:space="0" w:color="auto"/>
                      </w:divBdr>
                    </w:div>
                  </w:divsChild>
                </w:div>
                <w:div w:id="1824928707">
                  <w:marLeft w:val="0"/>
                  <w:marRight w:val="0"/>
                  <w:marTop w:val="0"/>
                  <w:marBottom w:val="0"/>
                  <w:divBdr>
                    <w:top w:val="none" w:sz="0" w:space="0" w:color="auto"/>
                    <w:left w:val="none" w:sz="0" w:space="0" w:color="auto"/>
                    <w:bottom w:val="none" w:sz="0" w:space="0" w:color="auto"/>
                    <w:right w:val="none" w:sz="0" w:space="0" w:color="auto"/>
                  </w:divBdr>
                  <w:divsChild>
                    <w:div w:id="281770329">
                      <w:marLeft w:val="0"/>
                      <w:marRight w:val="0"/>
                      <w:marTop w:val="0"/>
                      <w:marBottom w:val="0"/>
                      <w:divBdr>
                        <w:top w:val="none" w:sz="0" w:space="0" w:color="auto"/>
                        <w:left w:val="none" w:sz="0" w:space="0" w:color="auto"/>
                        <w:bottom w:val="none" w:sz="0" w:space="0" w:color="auto"/>
                        <w:right w:val="none" w:sz="0" w:space="0" w:color="auto"/>
                      </w:divBdr>
                    </w:div>
                    <w:div w:id="1060834565">
                      <w:marLeft w:val="0"/>
                      <w:marRight w:val="0"/>
                      <w:marTop w:val="0"/>
                      <w:marBottom w:val="0"/>
                      <w:divBdr>
                        <w:top w:val="none" w:sz="0" w:space="0" w:color="auto"/>
                        <w:left w:val="none" w:sz="0" w:space="0" w:color="auto"/>
                        <w:bottom w:val="none" w:sz="0" w:space="0" w:color="auto"/>
                        <w:right w:val="none" w:sz="0" w:space="0" w:color="auto"/>
                      </w:divBdr>
                    </w:div>
                  </w:divsChild>
                </w:div>
                <w:div w:id="1866093565">
                  <w:marLeft w:val="0"/>
                  <w:marRight w:val="0"/>
                  <w:marTop w:val="0"/>
                  <w:marBottom w:val="0"/>
                  <w:divBdr>
                    <w:top w:val="none" w:sz="0" w:space="0" w:color="auto"/>
                    <w:left w:val="none" w:sz="0" w:space="0" w:color="auto"/>
                    <w:bottom w:val="none" w:sz="0" w:space="0" w:color="auto"/>
                    <w:right w:val="none" w:sz="0" w:space="0" w:color="auto"/>
                  </w:divBdr>
                  <w:divsChild>
                    <w:div w:id="899248509">
                      <w:marLeft w:val="0"/>
                      <w:marRight w:val="0"/>
                      <w:marTop w:val="0"/>
                      <w:marBottom w:val="0"/>
                      <w:divBdr>
                        <w:top w:val="none" w:sz="0" w:space="0" w:color="auto"/>
                        <w:left w:val="none" w:sz="0" w:space="0" w:color="auto"/>
                        <w:bottom w:val="none" w:sz="0" w:space="0" w:color="auto"/>
                        <w:right w:val="none" w:sz="0" w:space="0" w:color="auto"/>
                      </w:divBdr>
                    </w:div>
                  </w:divsChild>
                </w:div>
                <w:div w:id="1884444618">
                  <w:marLeft w:val="0"/>
                  <w:marRight w:val="0"/>
                  <w:marTop w:val="0"/>
                  <w:marBottom w:val="0"/>
                  <w:divBdr>
                    <w:top w:val="none" w:sz="0" w:space="0" w:color="auto"/>
                    <w:left w:val="none" w:sz="0" w:space="0" w:color="auto"/>
                    <w:bottom w:val="none" w:sz="0" w:space="0" w:color="auto"/>
                    <w:right w:val="none" w:sz="0" w:space="0" w:color="auto"/>
                  </w:divBdr>
                  <w:divsChild>
                    <w:div w:id="1385717849">
                      <w:marLeft w:val="0"/>
                      <w:marRight w:val="0"/>
                      <w:marTop w:val="0"/>
                      <w:marBottom w:val="0"/>
                      <w:divBdr>
                        <w:top w:val="none" w:sz="0" w:space="0" w:color="auto"/>
                        <w:left w:val="none" w:sz="0" w:space="0" w:color="auto"/>
                        <w:bottom w:val="none" w:sz="0" w:space="0" w:color="auto"/>
                        <w:right w:val="none" w:sz="0" w:space="0" w:color="auto"/>
                      </w:divBdr>
                    </w:div>
                    <w:div w:id="1841695434">
                      <w:marLeft w:val="0"/>
                      <w:marRight w:val="0"/>
                      <w:marTop w:val="0"/>
                      <w:marBottom w:val="0"/>
                      <w:divBdr>
                        <w:top w:val="none" w:sz="0" w:space="0" w:color="auto"/>
                        <w:left w:val="none" w:sz="0" w:space="0" w:color="auto"/>
                        <w:bottom w:val="none" w:sz="0" w:space="0" w:color="auto"/>
                        <w:right w:val="none" w:sz="0" w:space="0" w:color="auto"/>
                      </w:divBdr>
                    </w:div>
                  </w:divsChild>
                </w:div>
                <w:div w:id="1886406045">
                  <w:marLeft w:val="0"/>
                  <w:marRight w:val="0"/>
                  <w:marTop w:val="0"/>
                  <w:marBottom w:val="0"/>
                  <w:divBdr>
                    <w:top w:val="none" w:sz="0" w:space="0" w:color="auto"/>
                    <w:left w:val="none" w:sz="0" w:space="0" w:color="auto"/>
                    <w:bottom w:val="none" w:sz="0" w:space="0" w:color="auto"/>
                    <w:right w:val="none" w:sz="0" w:space="0" w:color="auto"/>
                  </w:divBdr>
                  <w:divsChild>
                    <w:div w:id="747506925">
                      <w:marLeft w:val="0"/>
                      <w:marRight w:val="0"/>
                      <w:marTop w:val="0"/>
                      <w:marBottom w:val="0"/>
                      <w:divBdr>
                        <w:top w:val="none" w:sz="0" w:space="0" w:color="auto"/>
                        <w:left w:val="none" w:sz="0" w:space="0" w:color="auto"/>
                        <w:bottom w:val="none" w:sz="0" w:space="0" w:color="auto"/>
                        <w:right w:val="none" w:sz="0" w:space="0" w:color="auto"/>
                      </w:divBdr>
                    </w:div>
                    <w:div w:id="1478644086">
                      <w:marLeft w:val="0"/>
                      <w:marRight w:val="0"/>
                      <w:marTop w:val="0"/>
                      <w:marBottom w:val="0"/>
                      <w:divBdr>
                        <w:top w:val="none" w:sz="0" w:space="0" w:color="auto"/>
                        <w:left w:val="none" w:sz="0" w:space="0" w:color="auto"/>
                        <w:bottom w:val="none" w:sz="0" w:space="0" w:color="auto"/>
                        <w:right w:val="none" w:sz="0" w:space="0" w:color="auto"/>
                      </w:divBdr>
                    </w:div>
                  </w:divsChild>
                </w:div>
                <w:div w:id="1897280740">
                  <w:marLeft w:val="0"/>
                  <w:marRight w:val="0"/>
                  <w:marTop w:val="0"/>
                  <w:marBottom w:val="0"/>
                  <w:divBdr>
                    <w:top w:val="none" w:sz="0" w:space="0" w:color="auto"/>
                    <w:left w:val="none" w:sz="0" w:space="0" w:color="auto"/>
                    <w:bottom w:val="none" w:sz="0" w:space="0" w:color="auto"/>
                    <w:right w:val="none" w:sz="0" w:space="0" w:color="auto"/>
                  </w:divBdr>
                  <w:divsChild>
                    <w:div w:id="506406804">
                      <w:marLeft w:val="0"/>
                      <w:marRight w:val="0"/>
                      <w:marTop w:val="0"/>
                      <w:marBottom w:val="0"/>
                      <w:divBdr>
                        <w:top w:val="none" w:sz="0" w:space="0" w:color="auto"/>
                        <w:left w:val="none" w:sz="0" w:space="0" w:color="auto"/>
                        <w:bottom w:val="none" w:sz="0" w:space="0" w:color="auto"/>
                        <w:right w:val="none" w:sz="0" w:space="0" w:color="auto"/>
                      </w:divBdr>
                    </w:div>
                  </w:divsChild>
                </w:div>
                <w:div w:id="1904484917">
                  <w:marLeft w:val="0"/>
                  <w:marRight w:val="0"/>
                  <w:marTop w:val="0"/>
                  <w:marBottom w:val="0"/>
                  <w:divBdr>
                    <w:top w:val="none" w:sz="0" w:space="0" w:color="auto"/>
                    <w:left w:val="none" w:sz="0" w:space="0" w:color="auto"/>
                    <w:bottom w:val="none" w:sz="0" w:space="0" w:color="auto"/>
                    <w:right w:val="none" w:sz="0" w:space="0" w:color="auto"/>
                  </w:divBdr>
                  <w:divsChild>
                    <w:div w:id="621691366">
                      <w:marLeft w:val="0"/>
                      <w:marRight w:val="0"/>
                      <w:marTop w:val="0"/>
                      <w:marBottom w:val="0"/>
                      <w:divBdr>
                        <w:top w:val="none" w:sz="0" w:space="0" w:color="auto"/>
                        <w:left w:val="none" w:sz="0" w:space="0" w:color="auto"/>
                        <w:bottom w:val="none" w:sz="0" w:space="0" w:color="auto"/>
                        <w:right w:val="none" w:sz="0" w:space="0" w:color="auto"/>
                      </w:divBdr>
                    </w:div>
                    <w:div w:id="757796771">
                      <w:marLeft w:val="0"/>
                      <w:marRight w:val="0"/>
                      <w:marTop w:val="0"/>
                      <w:marBottom w:val="0"/>
                      <w:divBdr>
                        <w:top w:val="none" w:sz="0" w:space="0" w:color="auto"/>
                        <w:left w:val="none" w:sz="0" w:space="0" w:color="auto"/>
                        <w:bottom w:val="none" w:sz="0" w:space="0" w:color="auto"/>
                        <w:right w:val="none" w:sz="0" w:space="0" w:color="auto"/>
                      </w:divBdr>
                    </w:div>
                  </w:divsChild>
                </w:div>
                <w:div w:id="1942445898">
                  <w:marLeft w:val="0"/>
                  <w:marRight w:val="0"/>
                  <w:marTop w:val="0"/>
                  <w:marBottom w:val="0"/>
                  <w:divBdr>
                    <w:top w:val="none" w:sz="0" w:space="0" w:color="auto"/>
                    <w:left w:val="none" w:sz="0" w:space="0" w:color="auto"/>
                    <w:bottom w:val="none" w:sz="0" w:space="0" w:color="auto"/>
                    <w:right w:val="none" w:sz="0" w:space="0" w:color="auto"/>
                  </w:divBdr>
                  <w:divsChild>
                    <w:div w:id="2139567668">
                      <w:marLeft w:val="0"/>
                      <w:marRight w:val="0"/>
                      <w:marTop w:val="0"/>
                      <w:marBottom w:val="0"/>
                      <w:divBdr>
                        <w:top w:val="none" w:sz="0" w:space="0" w:color="auto"/>
                        <w:left w:val="none" w:sz="0" w:space="0" w:color="auto"/>
                        <w:bottom w:val="none" w:sz="0" w:space="0" w:color="auto"/>
                        <w:right w:val="none" w:sz="0" w:space="0" w:color="auto"/>
                      </w:divBdr>
                    </w:div>
                  </w:divsChild>
                </w:div>
                <w:div w:id="1952122296">
                  <w:marLeft w:val="0"/>
                  <w:marRight w:val="0"/>
                  <w:marTop w:val="0"/>
                  <w:marBottom w:val="0"/>
                  <w:divBdr>
                    <w:top w:val="none" w:sz="0" w:space="0" w:color="auto"/>
                    <w:left w:val="none" w:sz="0" w:space="0" w:color="auto"/>
                    <w:bottom w:val="none" w:sz="0" w:space="0" w:color="auto"/>
                    <w:right w:val="none" w:sz="0" w:space="0" w:color="auto"/>
                  </w:divBdr>
                  <w:divsChild>
                    <w:div w:id="44373276">
                      <w:marLeft w:val="0"/>
                      <w:marRight w:val="0"/>
                      <w:marTop w:val="0"/>
                      <w:marBottom w:val="0"/>
                      <w:divBdr>
                        <w:top w:val="none" w:sz="0" w:space="0" w:color="auto"/>
                        <w:left w:val="none" w:sz="0" w:space="0" w:color="auto"/>
                        <w:bottom w:val="none" w:sz="0" w:space="0" w:color="auto"/>
                        <w:right w:val="none" w:sz="0" w:space="0" w:color="auto"/>
                      </w:divBdr>
                    </w:div>
                  </w:divsChild>
                </w:div>
                <w:div w:id="1992515975">
                  <w:marLeft w:val="0"/>
                  <w:marRight w:val="0"/>
                  <w:marTop w:val="0"/>
                  <w:marBottom w:val="0"/>
                  <w:divBdr>
                    <w:top w:val="none" w:sz="0" w:space="0" w:color="auto"/>
                    <w:left w:val="none" w:sz="0" w:space="0" w:color="auto"/>
                    <w:bottom w:val="none" w:sz="0" w:space="0" w:color="auto"/>
                    <w:right w:val="none" w:sz="0" w:space="0" w:color="auto"/>
                  </w:divBdr>
                  <w:divsChild>
                    <w:div w:id="1148518540">
                      <w:marLeft w:val="0"/>
                      <w:marRight w:val="0"/>
                      <w:marTop w:val="0"/>
                      <w:marBottom w:val="0"/>
                      <w:divBdr>
                        <w:top w:val="none" w:sz="0" w:space="0" w:color="auto"/>
                        <w:left w:val="none" w:sz="0" w:space="0" w:color="auto"/>
                        <w:bottom w:val="none" w:sz="0" w:space="0" w:color="auto"/>
                        <w:right w:val="none" w:sz="0" w:space="0" w:color="auto"/>
                      </w:divBdr>
                    </w:div>
                    <w:div w:id="2123647731">
                      <w:marLeft w:val="0"/>
                      <w:marRight w:val="0"/>
                      <w:marTop w:val="0"/>
                      <w:marBottom w:val="0"/>
                      <w:divBdr>
                        <w:top w:val="none" w:sz="0" w:space="0" w:color="auto"/>
                        <w:left w:val="none" w:sz="0" w:space="0" w:color="auto"/>
                        <w:bottom w:val="none" w:sz="0" w:space="0" w:color="auto"/>
                        <w:right w:val="none" w:sz="0" w:space="0" w:color="auto"/>
                      </w:divBdr>
                    </w:div>
                  </w:divsChild>
                </w:div>
                <w:div w:id="2015766038">
                  <w:marLeft w:val="0"/>
                  <w:marRight w:val="0"/>
                  <w:marTop w:val="0"/>
                  <w:marBottom w:val="0"/>
                  <w:divBdr>
                    <w:top w:val="none" w:sz="0" w:space="0" w:color="auto"/>
                    <w:left w:val="none" w:sz="0" w:space="0" w:color="auto"/>
                    <w:bottom w:val="none" w:sz="0" w:space="0" w:color="auto"/>
                    <w:right w:val="none" w:sz="0" w:space="0" w:color="auto"/>
                  </w:divBdr>
                  <w:divsChild>
                    <w:div w:id="1560705759">
                      <w:marLeft w:val="0"/>
                      <w:marRight w:val="0"/>
                      <w:marTop w:val="0"/>
                      <w:marBottom w:val="0"/>
                      <w:divBdr>
                        <w:top w:val="none" w:sz="0" w:space="0" w:color="auto"/>
                        <w:left w:val="none" w:sz="0" w:space="0" w:color="auto"/>
                        <w:bottom w:val="none" w:sz="0" w:space="0" w:color="auto"/>
                        <w:right w:val="none" w:sz="0" w:space="0" w:color="auto"/>
                      </w:divBdr>
                    </w:div>
                    <w:div w:id="2097241494">
                      <w:marLeft w:val="0"/>
                      <w:marRight w:val="0"/>
                      <w:marTop w:val="0"/>
                      <w:marBottom w:val="0"/>
                      <w:divBdr>
                        <w:top w:val="none" w:sz="0" w:space="0" w:color="auto"/>
                        <w:left w:val="none" w:sz="0" w:space="0" w:color="auto"/>
                        <w:bottom w:val="none" w:sz="0" w:space="0" w:color="auto"/>
                        <w:right w:val="none" w:sz="0" w:space="0" w:color="auto"/>
                      </w:divBdr>
                    </w:div>
                  </w:divsChild>
                </w:div>
                <w:div w:id="2021734419">
                  <w:marLeft w:val="0"/>
                  <w:marRight w:val="0"/>
                  <w:marTop w:val="0"/>
                  <w:marBottom w:val="0"/>
                  <w:divBdr>
                    <w:top w:val="none" w:sz="0" w:space="0" w:color="auto"/>
                    <w:left w:val="none" w:sz="0" w:space="0" w:color="auto"/>
                    <w:bottom w:val="none" w:sz="0" w:space="0" w:color="auto"/>
                    <w:right w:val="none" w:sz="0" w:space="0" w:color="auto"/>
                  </w:divBdr>
                  <w:divsChild>
                    <w:div w:id="1751152858">
                      <w:marLeft w:val="0"/>
                      <w:marRight w:val="0"/>
                      <w:marTop w:val="0"/>
                      <w:marBottom w:val="0"/>
                      <w:divBdr>
                        <w:top w:val="none" w:sz="0" w:space="0" w:color="auto"/>
                        <w:left w:val="none" w:sz="0" w:space="0" w:color="auto"/>
                        <w:bottom w:val="none" w:sz="0" w:space="0" w:color="auto"/>
                        <w:right w:val="none" w:sz="0" w:space="0" w:color="auto"/>
                      </w:divBdr>
                    </w:div>
                  </w:divsChild>
                </w:div>
                <w:div w:id="2036039043">
                  <w:marLeft w:val="0"/>
                  <w:marRight w:val="0"/>
                  <w:marTop w:val="0"/>
                  <w:marBottom w:val="0"/>
                  <w:divBdr>
                    <w:top w:val="none" w:sz="0" w:space="0" w:color="auto"/>
                    <w:left w:val="none" w:sz="0" w:space="0" w:color="auto"/>
                    <w:bottom w:val="none" w:sz="0" w:space="0" w:color="auto"/>
                    <w:right w:val="none" w:sz="0" w:space="0" w:color="auto"/>
                  </w:divBdr>
                  <w:divsChild>
                    <w:div w:id="361637848">
                      <w:marLeft w:val="0"/>
                      <w:marRight w:val="0"/>
                      <w:marTop w:val="0"/>
                      <w:marBottom w:val="0"/>
                      <w:divBdr>
                        <w:top w:val="none" w:sz="0" w:space="0" w:color="auto"/>
                        <w:left w:val="none" w:sz="0" w:space="0" w:color="auto"/>
                        <w:bottom w:val="none" w:sz="0" w:space="0" w:color="auto"/>
                        <w:right w:val="none" w:sz="0" w:space="0" w:color="auto"/>
                      </w:divBdr>
                    </w:div>
                    <w:div w:id="685594143">
                      <w:marLeft w:val="0"/>
                      <w:marRight w:val="0"/>
                      <w:marTop w:val="0"/>
                      <w:marBottom w:val="0"/>
                      <w:divBdr>
                        <w:top w:val="none" w:sz="0" w:space="0" w:color="auto"/>
                        <w:left w:val="none" w:sz="0" w:space="0" w:color="auto"/>
                        <w:bottom w:val="none" w:sz="0" w:space="0" w:color="auto"/>
                        <w:right w:val="none" w:sz="0" w:space="0" w:color="auto"/>
                      </w:divBdr>
                    </w:div>
                  </w:divsChild>
                </w:div>
                <w:div w:id="2054302919">
                  <w:marLeft w:val="0"/>
                  <w:marRight w:val="0"/>
                  <w:marTop w:val="0"/>
                  <w:marBottom w:val="0"/>
                  <w:divBdr>
                    <w:top w:val="none" w:sz="0" w:space="0" w:color="auto"/>
                    <w:left w:val="none" w:sz="0" w:space="0" w:color="auto"/>
                    <w:bottom w:val="none" w:sz="0" w:space="0" w:color="auto"/>
                    <w:right w:val="none" w:sz="0" w:space="0" w:color="auto"/>
                  </w:divBdr>
                  <w:divsChild>
                    <w:div w:id="1801531512">
                      <w:marLeft w:val="0"/>
                      <w:marRight w:val="0"/>
                      <w:marTop w:val="0"/>
                      <w:marBottom w:val="0"/>
                      <w:divBdr>
                        <w:top w:val="none" w:sz="0" w:space="0" w:color="auto"/>
                        <w:left w:val="none" w:sz="0" w:space="0" w:color="auto"/>
                        <w:bottom w:val="none" w:sz="0" w:space="0" w:color="auto"/>
                        <w:right w:val="none" w:sz="0" w:space="0" w:color="auto"/>
                      </w:divBdr>
                    </w:div>
                    <w:div w:id="2078240272">
                      <w:marLeft w:val="0"/>
                      <w:marRight w:val="0"/>
                      <w:marTop w:val="0"/>
                      <w:marBottom w:val="0"/>
                      <w:divBdr>
                        <w:top w:val="none" w:sz="0" w:space="0" w:color="auto"/>
                        <w:left w:val="none" w:sz="0" w:space="0" w:color="auto"/>
                        <w:bottom w:val="none" w:sz="0" w:space="0" w:color="auto"/>
                        <w:right w:val="none" w:sz="0" w:space="0" w:color="auto"/>
                      </w:divBdr>
                    </w:div>
                  </w:divsChild>
                </w:div>
                <w:div w:id="2056852262">
                  <w:marLeft w:val="0"/>
                  <w:marRight w:val="0"/>
                  <w:marTop w:val="0"/>
                  <w:marBottom w:val="0"/>
                  <w:divBdr>
                    <w:top w:val="none" w:sz="0" w:space="0" w:color="auto"/>
                    <w:left w:val="none" w:sz="0" w:space="0" w:color="auto"/>
                    <w:bottom w:val="none" w:sz="0" w:space="0" w:color="auto"/>
                    <w:right w:val="none" w:sz="0" w:space="0" w:color="auto"/>
                  </w:divBdr>
                  <w:divsChild>
                    <w:div w:id="1647198786">
                      <w:marLeft w:val="0"/>
                      <w:marRight w:val="0"/>
                      <w:marTop w:val="0"/>
                      <w:marBottom w:val="0"/>
                      <w:divBdr>
                        <w:top w:val="none" w:sz="0" w:space="0" w:color="auto"/>
                        <w:left w:val="none" w:sz="0" w:space="0" w:color="auto"/>
                        <w:bottom w:val="none" w:sz="0" w:space="0" w:color="auto"/>
                        <w:right w:val="none" w:sz="0" w:space="0" w:color="auto"/>
                      </w:divBdr>
                    </w:div>
                    <w:div w:id="1762525674">
                      <w:marLeft w:val="0"/>
                      <w:marRight w:val="0"/>
                      <w:marTop w:val="0"/>
                      <w:marBottom w:val="0"/>
                      <w:divBdr>
                        <w:top w:val="none" w:sz="0" w:space="0" w:color="auto"/>
                        <w:left w:val="none" w:sz="0" w:space="0" w:color="auto"/>
                        <w:bottom w:val="none" w:sz="0" w:space="0" w:color="auto"/>
                        <w:right w:val="none" w:sz="0" w:space="0" w:color="auto"/>
                      </w:divBdr>
                    </w:div>
                  </w:divsChild>
                </w:div>
                <w:div w:id="2058507469">
                  <w:marLeft w:val="0"/>
                  <w:marRight w:val="0"/>
                  <w:marTop w:val="0"/>
                  <w:marBottom w:val="0"/>
                  <w:divBdr>
                    <w:top w:val="none" w:sz="0" w:space="0" w:color="auto"/>
                    <w:left w:val="none" w:sz="0" w:space="0" w:color="auto"/>
                    <w:bottom w:val="none" w:sz="0" w:space="0" w:color="auto"/>
                    <w:right w:val="none" w:sz="0" w:space="0" w:color="auto"/>
                  </w:divBdr>
                  <w:divsChild>
                    <w:div w:id="2005469194">
                      <w:marLeft w:val="0"/>
                      <w:marRight w:val="0"/>
                      <w:marTop w:val="0"/>
                      <w:marBottom w:val="0"/>
                      <w:divBdr>
                        <w:top w:val="none" w:sz="0" w:space="0" w:color="auto"/>
                        <w:left w:val="none" w:sz="0" w:space="0" w:color="auto"/>
                        <w:bottom w:val="none" w:sz="0" w:space="0" w:color="auto"/>
                        <w:right w:val="none" w:sz="0" w:space="0" w:color="auto"/>
                      </w:divBdr>
                    </w:div>
                  </w:divsChild>
                </w:div>
                <w:div w:id="2066832262">
                  <w:marLeft w:val="0"/>
                  <w:marRight w:val="0"/>
                  <w:marTop w:val="0"/>
                  <w:marBottom w:val="0"/>
                  <w:divBdr>
                    <w:top w:val="none" w:sz="0" w:space="0" w:color="auto"/>
                    <w:left w:val="none" w:sz="0" w:space="0" w:color="auto"/>
                    <w:bottom w:val="none" w:sz="0" w:space="0" w:color="auto"/>
                    <w:right w:val="none" w:sz="0" w:space="0" w:color="auto"/>
                  </w:divBdr>
                  <w:divsChild>
                    <w:div w:id="97607513">
                      <w:marLeft w:val="0"/>
                      <w:marRight w:val="0"/>
                      <w:marTop w:val="0"/>
                      <w:marBottom w:val="0"/>
                      <w:divBdr>
                        <w:top w:val="none" w:sz="0" w:space="0" w:color="auto"/>
                        <w:left w:val="none" w:sz="0" w:space="0" w:color="auto"/>
                        <w:bottom w:val="none" w:sz="0" w:space="0" w:color="auto"/>
                        <w:right w:val="none" w:sz="0" w:space="0" w:color="auto"/>
                      </w:divBdr>
                    </w:div>
                  </w:divsChild>
                </w:div>
                <w:div w:id="2088113122">
                  <w:marLeft w:val="0"/>
                  <w:marRight w:val="0"/>
                  <w:marTop w:val="0"/>
                  <w:marBottom w:val="0"/>
                  <w:divBdr>
                    <w:top w:val="none" w:sz="0" w:space="0" w:color="auto"/>
                    <w:left w:val="none" w:sz="0" w:space="0" w:color="auto"/>
                    <w:bottom w:val="none" w:sz="0" w:space="0" w:color="auto"/>
                    <w:right w:val="none" w:sz="0" w:space="0" w:color="auto"/>
                  </w:divBdr>
                  <w:divsChild>
                    <w:div w:id="264382947">
                      <w:marLeft w:val="0"/>
                      <w:marRight w:val="0"/>
                      <w:marTop w:val="0"/>
                      <w:marBottom w:val="0"/>
                      <w:divBdr>
                        <w:top w:val="none" w:sz="0" w:space="0" w:color="auto"/>
                        <w:left w:val="none" w:sz="0" w:space="0" w:color="auto"/>
                        <w:bottom w:val="none" w:sz="0" w:space="0" w:color="auto"/>
                        <w:right w:val="none" w:sz="0" w:space="0" w:color="auto"/>
                      </w:divBdr>
                    </w:div>
                    <w:div w:id="1837454973">
                      <w:marLeft w:val="0"/>
                      <w:marRight w:val="0"/>
                      <w:marTop w:val="0"/>
                      <w:marBottom w:val="0"/>
                      <w:divBdr>
                        <w:top w:val="none" w:sz="0" w:space="0" w:color="auto"/>
                        <w:left w:val="none" w:sz="0" w:space="0" w:color="auto"/>
                        <w:bottom w:val="none" w:sz="0" w:space="0" w:color="auto"/>
                        <w:right w:val="none" w:sz="0" w:space="0" w:color="auto"/>
                      </w:divBdr>
                    </w:div>
                  </w:divsChild>
                </w:div>
                <w:div w:id="2142338781">
                  <w:marLeft w:val="0"/>
                  <w:marRight w:val="0"/>
                  <w:marTop w:val="0"/>
                  <w:marBottom w:val="0"/>
                  <w:divBdr>
                    <w:top w:val="none" w:sz="0" w:space="0" w:color="auto"/>
                    <w:left w:val="none" w:sz="0" w:space="0" w:color="auto"/>
                    <w:bottom w:val="none" w:sz="0" w:space="0" w:color="auto"/>
                    <w:right w:val="none" w:sz="0" w:space="0" w:color="auto"/>
                  </w:divBdr>
                  <w:divsChild>
                    <w:div w:id="581839354">
                      <w:marLeft w:val="0"/>
                      <w:marRight w:val="0"/>
                      <w:marTop w:val="0"/>
                      <w:marBottom w:val="0"/>
                      <w:divBdr>
                        <w:top w:val="none" w:sz="0" w:space="0" w:color="auto"/>
                        <w:left w:val="none" w:sz="0" w:space="0" w:color="auto"/>
                        <w:bottom w:val="none" w:sz="0" w:space="0" w:color="auto"/>
                        <w:right w:val="none" w:sz="0" w:space="0" w:color="auto"/>
                      </w:divBdr>
                    </w:div>
                    <w:div w:id="1662923550">
                      <w:marLeft w:val="0"/>
                      <w:marRight w:val="0"/>
                      <w:marTop w:val="0"/>
                      <w:marBottom w:val="0"/>
                      <w:divBdr>
                        <w:top w:val="none" w:sz="0" w:space="0" w:color="auto"/>
                        <w:left w:val="none" w:sz="0" w:space="0" w:color="auto"/>
                        <w:bottom w:val="none" w:sz="0" w:space="0" w:color="auto"/>
                        <w:right w:val="none" w:sz="0" w:space="0" w:color="auto"/>
                      </w:divBdr>
                    </w:div>
                  </w:divsChild>
                </w:div>
                <w:div w:id="2143032591">
                  <w:marLeft w:val="0"/>
                  <w:marRight w:val="0"/>
                  <w:marTop w:val="0"/>
                  <w:marBottom w:val="0"/>
                  <w:divBdr>
                    <w:top w:val="none" w:sz="0" w:space="0" w:color="auto"/>
                    <w:left w:val="none" w:sz="0" w:space="0" w:color="auto"/>
                    <w:bottom w:val="none" w:sz="0" w:space="0" w:color="auto"/>
                    <w:right w:val="none" w:sz="0" w:space="0" w:color="auto"/>
                  </w:divBdr>
                  <w:divsChild>
                    <w:div w:id="1370493997">
                      <w:marLeft w:val="0"/>
                      <w:marRight w:val="0"/>
                      <w:marTop w:val="0"/>
                      <w:marBottom w:val="0"/>
                      <w:divBdr>
                        <w:top w:val="none" w:sz="0" w:space="0" w:color="auto"/>
                        <w:left w:val="none" w:sz="0" w:space="0" w:color="auto"/>
                        <w:bottom w:val="none" w:sz="0" w:space="0" w:color="auto"/>
                        <w:right w:val="none" w:sz="0" w:space="0" w:color="auto"/>
                      </w:divBdr>
                    </w:div>
                    <w:div w:id="18351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04160">
          <w:marLeft w:val="0"/>
          <w:marRight w:val="0"/>
          <w:marTop w:val="0"/>
          <w:marBottom w:val="0"/>
          <w:divBdr>
            <w:top w:val="none" w:sz="0" w:space="0" w:color="auto"/>
            <w:left w:val="none" w:sz="0" w:space="0" w:color="auto"/>
            <w:bottom w:val="none" w:sz="0" w:space="0" w:color="auto"/>
            <w:right w:val="none" w:sz="0" w:space="0" w:color="auto"/>
          </w:divBdr>
          <w:divsChild>
            <w:div w:id="158738665">
              <w:marLeft w:val="0"/>
              <w:marRight w:val="0"/>
              <w:marTop w:val="0"/>
              <w:marBottom w:val="0"/>
              <w:divBdr>
                <w:top w:val="none" w:sz="0" w:space="0" w:color="auto"/>
                <w:left w:val="none" w:sz="0" w:space="0" w:color="auto"/>
                <w:bottom w:val="none" w:sz="0" w:space="0" w:color="auto"/>
                <w:right w:val="none" w:sz="0" w:space="0" w:color="auto"/>
              </w:divBdr>
            </w:div>
          </w:divsChild>
        </w:div>
        <w:div w:id="132143761">
          <w:marLeft w:val="0"/>
          <w:marRight w:val="0"/>
          <w:marTop w:val="0"/>
          <w:marBottom w:val="0"/>
          <w:divBdr>
            <w:top w:val="none" w:sz="0" w:space="0" w:color="auto"/>
            <w:left w:val="none" w:sz="0" w:space="0" w:color="auto"/>
            <w:bottom w:val="none" w:sz="0" w:space="0" w:color="auto"/>
            <w:right w:val="none" w:sz="0" w:space="0" w:color="auto"/>
          </w:divBdr>
        </w:div>
        <w:div w:id="152917309">
          <w:marLeft w:val="0"/>
          <w:marRight w:val="0"/>
          <w:marTop w:val="0"/>
          <w:marBottom w:val="0"/>
          <w:divBdr>
            <w:top w:val="none" w:sz="0" w:space="0" w:color="auto"/>
            <w:left w:val="none" w:sz="0" w:space="0" w:color="auto"/>
            <w:bottom w:val="none" w:sz="0" w:space="0" w:color="auto"/>
            <w:right w:val="none" w:sz="0" w:space="0" w:color="auto"/>
          </w:divBdr>
        </w:div>
        <w:div w:id="197354355">
          <w:marLeft w:val="0"/>
          <w:marRight w:val="0"/>
          <w:marTop w:val="0"/>
          <w:marBottom w:val="0"/>
          <w:divBdr>
            <w:top w:val="none" w:sz="0" w:space="0" w:color="auto"/>
            <w:left w:val="none" w:sz="0" w:space="0" w:color="auto"/>
            <w:bottom w:val="none" w:sz="0" w:space="0" w:color="auto"/>
            <w:right w:val="none" w:sz="0" w:space="0" w:color="auto"/>
          </w:divBdr>
        </w:div>
        <w:div w:id="250314579">
          <w:marLeft w:val="0"/>
          <w:marRight w:val="0"/>
          <w:marTop w:val="0"/>
          <w:marBottom w:val="0"/>
          <w:divBdr>
            <w:top w:val="none" w:sz="0" w:space="0" w:color="auto"/>
            <w:left w:val="none" w:sz="0" w:space="0" w:color="auto"/>
            <w:bottom w:val="none" w:sz="0" w:space="0" w:color="auto"/>
            <w:right w:val="none" w:sz="0" w:space="0" w:color="auto"/>
          </w:divBdr>
        </w:div>
        <w:div w:id="286283810">
          <w:marLeft w:val="0"/>
          <w:marRight w:val="0"/>
          <w:marTop w:val="0"/>
          <w:marBottom w:val="0"/>
          <w:divBdr>
            <w:top w:val="none" w:sz="0" w:space="0" w:color="auto"/>
            <w:left w:val="none" w:sz="0" w:space="0" w:color="auto"/>
            <w:bottom w:val="none" w:sz="0" w:space="0" w:color="auto"/>
            <w:right w:val="none" w:sz="0" w:space="0" w:color="auto"/>
          </w:divBdr>
        </w:div>
        <w:div w:id="306133053">
          <w:marLeft w:val="0"/>
          <w:marRight w:val="0"/>
          <w:marTop w:val="0"/>
          <w:marBottom w:val="0"/>
          <w:divBdr>
            <w:top w:val="none" w:sz="0" w:space="0" w:color="auto"/>
            <w:left w:val="none" w:sz="0" w:space="0" w:color="auto"/>
            <w:bottom w:val="none" w:sz="0" w:space="0" w:color="auto"/>
            <w:right w:val="none" w:sz="0" w:space="0" w:color="auto"/>
          </w:divBdr>
        </w:div>
        <w:div w:id="310329770">
          <w:marLeft w:val="0"/>
          <w:marRight w:val="0"/>
          <w:marTop w:val="0"/>
          <w:marBottom w:val="0"/>
          <w:divBdr>
            <w:top w:val="none" w:sz="0" w:space="0" w:color="auto"/>
            <w:left w:val="none" w:sz="0" w:space="0" w:color="auto"/>
            <w:bottom w:val="none" w:sz="0" w:space="0" w:color="auto"/>
            <w:right w:val="none" w:sz="0" w:space="0" w:color="auto"/>
          </w:divBdr>
          <w:divsChild>
            <w:div w:id="301887530">
              <w:marLeft w:val="0"/>
              <w:marRight w:val="0"/>
              <w:marTop w:val="0"/>
              <w:marBottom w:val="0"/>
              <w:divBdr>
                <w:top w:val="none" w:sz="0" w:space="0" w:color="auto"/>
                <w:left w:val="none" w:sz="0" w:space="0" w:color="auto"/>
                <w:bottom w:val="none" w:sz="0" w:space="0" w:color="auto"/>
                <w:right w:val="none" w:sz="0" w:space="0" w:color="auto"/>
              </w:divBdr>
            </w:div>
            <w:div w:id="473837782">
              <w:marLeft w:val="0"/>
              <w:marRight w:val="0"/>
              <w:marTop w:val="0"/>
              <w:marBottom w:val="0"/>
              <w:divBdr>
                <w:top w:val="none" w:sz="0" w:space="0" w:color="auto"/>
                <w:left w:val="none" w:sz="0" w:space="0" w:color="auto"/>
                <w:bottom w:val="none" w:sz="0" w:space="0" w:color="auto"/>
                <w:right w:val="none" w:sz="0" w:space="0" w:color="auto"/>
              </w:divBdr>
            </w:div>
            <w:div w:id="673533338">
              <w:marLeft w:val="0"/>
              <w:marRight w:val="0"/>
              <w:marTop w:val="0"/>
              <w:marBottom w:val="0"/>
              <w:divBdr>
                <w:top w:val="none" w:sz="0" w:space="0" w:color="auto"/>
                <w:left w:val="none" w:sz="0" w:space="0" w:color="auto"/>
                <w:bottom w:val="none" w:sz="0" w:space="0" w:color="auto"/>
                <w:right w:val="none" w:sz="0" w:space="0" w:color="auto"/>
              </w:divBdr>
            </w:div>
            <w:div w:id="2014602921">
              <w:marLeft w:val="0"/>
              <w:marRight w:val="0"/>
              <w:marTop w:val="0"/>
              <w:marBottom w:val="0"/>
              <w:divBdr>
                <w:top w:val="none" w:sz="0" w:space="0" w:color="auto"/>
                <w:left w:val="none" w:sz="0" w:space="0" w:color="auto"/>
                <w:bottom w:val="none" w:sz="0" w:space="0" w:color="auto"/>
                <w:right w:val="none" w:sz="0" w:space="0" w:color="auto"/>
              </w:divBdr>
            </w:div>
          </w:divsChild>
        </w:div>
        <w:div w:id="335308804">
          <w:marLeft w:val="0"/>
          <w:marRight w:val="0"/>
          <w:marTop w:val="0"/>
          <w:marBottom w:val="0"/>
          <w:divBdr>
            <w:top w:val="none" w:sz="0" w:space="0" w:color="auto"/>
            <w:left w:val="none" w:sz="0" w:space="0" w:color="auto"/>
            <w:bottom w:val="none" w:sz="0" w:space="0" w:color="auto"/>
            <w:right w:val="none" w:sz="0" w:space="0" w:color="auto"/>
          </w:divBdr>
        </w:div>
        <w:div w:id="343477871">
          <w:marLeft w:val="0"/>
          <w:marRight w:val="0"/>
          <w:marTop w:val="0"/>
          <w:marBottom w:val="0"/>
          <w:divBdr>
            <w:top w:val="none" w:sz="0" w:space="0" w:color="auto"/>
            <w:left w:val="none" w:sz="0" w:space="0" w:color="auto"/>
            <w:bottom w:val="none" w:sz="0" w:space="0" w:color="auto"/>
            <w:right w:val="none" w:sz="0" w:space="0" w:color="auto"/>
          </w:divBdr>
        </w:div>
        <w:div w:id="372317376">
          <w:marLeft w:val="0"/>
          <w:marRight w:val="0"/>
          <w:marTop w:val="0"/>
          <w:marBottom w:val="0"/>
          <w:divBdr>
            <w:top w:val="none" w:sz="0" w:space="0" w:color="auto"/>
            <w:left w:val="none" w:sz="0" w:space="0" w:color="auto"/>
            <w:bottom w:val="none" w:sz="0" w:space="0" w:color="auto"/>
            <w:right w:val="none" w:sz="0" w:space="0" w:color="auto"/>
          </w:divBdr>
        </w:div>
        <w:div w:id="391512585">
          <w:marLeft w:val="0"/>
          <w:marRight w:val="0"/>
          <w:marTop w:val="0"/>
          <w:marBottom w:val="0"/>
          <w:divBdr>
            <w:top w:val="none" w:sz="0" w:space="0" w:color="auto"/>
            <w:left w:val="none" w:sz="0" w:space="0" w:color="auto"/>
            <w:bottom w:val="none" w:sz="0" w:space="0" w:color="auto"/>
            <w:right w:val="none" w:sz="0" w:space="0" w:color="auto"/>
          </w:divBdr>
        </w:div>
        <w:div w:id="527065141">
          <w:marLeft w:val="0"/>
          <w:marRight w:val="0"/>
          <w:marTop w:val="0"/>
          <w:marBottom w:val="0"/>
          <w:divBdr>
            <w:top w:val="none" w:sz="0" w:space="0" w:color="auto"/>
            <w:left w:val="none" w:sz="0" w:space="0" w:color="auto"/>
            <w:bottom w:val="none" w:sz="0" w:space="0" w:color="auto"/>
            <w:right w:val="none" w:sz="0" w:space="0" w:color="auto"/>
          </w:divBdr>
        </w:div>
        <w:div w:id="528446858">
          <w:marLeft w:val="0"/>
          <w:marRight w:val="0"/>
          <w:marTop w:val="0"/>
          <w:marBottom w:val="0"/>
          <w:divBdr>
            <w:top w:val="none" w:sz="0" w:space="0" w:color="auto"/>
            <w:left w:val="none" w:sz="0" w:space="0" w:color="auto"/>
            <w:bottom w:val="none" w:sz="0" w:space="0" w:color="auto"/>
            <w:right w:val="none" w:sz="0" w:space="0" w:color="auto"/>
          </w:divBdr>
        </w:div>
        <w:div w:id="557320790">
          <w:marLeft w:val="0"/>
          <w:marRight w:val="0"/>
          <w:marTop w:val="0"/>
          <w:marBottom w:val="0"/>
          <w:divBdr>
            <w:top w:val="none" w:sz="0" w:space="0" w:color="auto"/>
            <w:left w:val="none" w:sz="0" w:space="0" w:color="auto"/>
            <w:bottom w:val="none" w:sz="0" w:space="0" w:color="auto"/>
            <w:right w:val="none" w:sz="0" w:space="0" w:color="auto"/>
          </w:divBdr>
        </w:div>
        <w:div w:id="566842262">
          <w:marLeft w:val="0"/>
          <w:marRight w:val="0"/>
          <w:marTop w:val="0"/>
          <w:marBottom w:val="0"/>
          <w:divBdr>
            <w:top w:val="none" w:sz="0" w:space="0" w:color="auto"/>
            <w:left w:val="none" w:sz="0" w:space="0" w:color="auto"/>
            <w:bottom w:val="none" w:sz="0" w:space="0" w:color="auto"/>
            <w:right w:val="none" w:sz="0" w:space="0" w:color="auto"/>
          </w:divBdr>
        </w:div>
        <w:div w:id="579142617">
          <w:marLeft w:val="0"/>
          <w:marRight w:val="0"/>
          <w:marTop w:val="0"/>
          <w:marBottom w:val="0"/>
          <w:divBdr>
            <w:top w:val="none" w:sz="0" w:space="0" w:color="auto"/>
            <w:left w:val="none" w:sz="0" w:space="0" w:color="auto"/>
            <w:bottom w:val="none" w:sz="0" w:space="0" w:color="auto"/>
            <w:right w:val="none" w:sz="0" w:space="0" w:color="auto"/>
          </w:divBdr>
          <w:divsChild>
            <w:div w:id="1389374388">
              <w:marLeft w:val="0"/>
              <w:marRight w:val="0"/>
              <w:marTop w:val="0"/>
              <w:marBottom w:val="0"/>
              <w:divBdr>
                <w:top w:val="none" w:sz="0" w:space="0" w:color="auto"/>
                <w:left w:val="none" w:sz="0" w:space="0" w:color="auto"/>
                <w:bottom w:val="none" w:sz="0" w:space="0" w:color="auto"/>
                <w:right w:val="none" w:sz="0" w:space="0" w:color="auto"/>
              </w:divBdr>
            </w:div>
          </w:divsChild>
        </w:div>
        <w:div w:id="666175129">
          <w:marLeft w:val="0"/>
          <w:marRight w:val="0"/>
          <w:marTop w:val="0"/>
          <w:marBottom w:val="0"/>
          <w:divBdr>
            <w:top w:val="none" w:sz="0" w:space="0" w:color="auto"/>
            <w:left w:val="none" w:sz="0" w:space="0" w:color="auto"/>
            <w:bottom w:val="none" w:sz="0" w:space="0" w:color="auto"/>
            <w:right w:val="none" w:sz="0" w:space="0" w:color="auto"/>
          </w:divBdr>
        </w:div>
        <w:div w:id="758254446">
          <w:marLeft w:val="0"/>
          <w:marRight w:val="0"/>
          <w:marTop w:val="0"/>
          <w:marBottom w:val="0"/>
          <w:divBdr>
            <w:top w:val="none" w:sz="0" w:space="0" w:color="auto"/>
            <w:left w:val="none" w:sz="0" w:space="0" w:color="auto"/>
            <w:bottom w:val="none" w:sz="0" w:space="0" w:color="auto"/>
            <w:right w:val="none" w:sz="0" w:space="0" w:color="auto"/>
          </w:divBdr>
        </w:div>
        <w:div w:id="817845635">
          <w:marLeft w:val="0"/>
          <w:marRight w:val="0"/>
          <w:marTop w:val="0"/>
          <w:marBottom w:val="0"/>
          <w:divBdr>
            <w:top w:val="none" w:sz="0" w:space="0" w:color="auto"/>
            <w:left w:val="none" w:sz="0" w:space="0" w:color="auto"/>
            <w:bottom w:val="none" w:sz="0" w:space="0" w:color="auto"/>
            <w:right w:val="none" w:sz="0" w:space="0" w:color="auto"/>
          </w:divBdr>
        </w:div>
        <w:div w:id="838229345">
          <w:marLeft w:val="0"/>
          <w:marRight w:val="0"/>
          <w:marTop w:val="0"/>
          <w:marBottom w:val="0"/>
          <w:divBdr>
            <w:top w:val="none" w:sz="0" w:space="0" w:color="auto"/>
            <w:left w:val="none" w:sz="0" w:space="0" w:color="auto"/>
            <w:bottom w:val="none" w:sz="0" w:space="0" w:color="auto"/>
            <w:right w:val="none" w:sz="0" w:space="0" w:color="auto"/>
          </w:divBdr>
          <w:divsChild>
            <w:div w:id="1583250061">
              <w:marLeft w:val="-75"/>
              <w:marRight w:val="0"/>
              <w:marTop w:val="30"/>
              <w:marBottom w:val="30"/>
              <w:divBdr>
                <w:top w:val="none" w:sz="0" w:space="0" w:color="auto"/>
                <w:left w:val="none" w:sz="0" w:space="0" w:color="auto"/>
                <w:bottom w:val="none" w:sz="0" w:space="0" w:color="auto"/>
                <w:right w:val="none" w:sz="0" w:space="0" w:color="auto"/>
              </w:divBdr>
              <w:divsChild>
                <w:div w:id="3359374">
                  <w:marLeft w:val="0"/>
                  <w:marRight w:val="0"/>
                  <w:marTop w:val="0"/>
                  <w:marBottom w:val="0"/>
                  <w:divBdr>
                    <w:top w:val="none" w:sz="0" w:space="0" w:color="auto"/>
                    <w:left w:val="none" w:sz="0" w:space="0" w:color="auto"/>
                    <w:bottom w:val="none" w:sz="0" w:space="0" w:color="auto"/>
                    <w:right w:val="none" w:sz="0" w:space="0" w:color="auto"/>
                  </w:divBdr>
                  <w:divsChild>
                    <w:div w:id="1849636881">
                      <w:marLeft w:val="0"/>
                      <w:marRight w:val="0"/>
                      <w:marTop w:val="0"/>
                      <w:marBottom w:val="0"/>
                      <w:divBdr>
                        <w:top w:val="none" w:sz="0" w:space="0" w:color="auto"/>
                        <w:left w:val="none" w:sz="0" w:space="0" w:color="auto"/>
                        <w:bottom w:val="none" w:sz="0" w:space="0" w:color="auto"/>
                        <w:right w:val="none" w:sz="0" w:space="0" w:color="auto"/>
                      </w:divBdr>
                    </w:div>
                  </w:divsChild>
                </w:div>
                <w:div w:id="21562170">
                  <w:marLeft w:val="0"/>
                  <w:marRight w:val="0"/>
                  <w:marTop w:val="0"/>
                  <w:marBottom w:val="0"/>
                  <w:divBdr>
                    <w:top w:val="none" w:sz="0" w:space="0" w:color="auto"/>
                    <w:left w:val="none" w:sz="0" w:space="0" w:color="auto"/>
                    <w:bottom w:val="none" w:sz="0" w:space="0" w:color="auto"/>
                    <w:right w:val="none" w:sz="0" w:space="0" w:color="auto"/>
                  </w:divBdr>
                  <w:divsChild>
                    <w:div w:id="632637445">
                      <w:marLeft w:val="0"/>
                      <w:marRight w:val="0"/>
                      <w:marTop w:val="0"/>
                      <w:marBottom w:val="0"/>
                      <w:divBdr>
                        <w:top w:val="none" w:sz="0" w:space="0" w:color="auto"/>
                        <w:left w:val="none" w:sz="0" w:space="0" w:color="auto"/>
                        <w:bottom w:val="none" w:sz="0" w:space="0" w:color="auto"/>
                        <w:right w:val="none" w:sz="0" w:space="0" w:color="auto"/>
                      </w:divBdr>
                    </w:div>
                  </w:divsChild>
                </w:div>
                <w:div w:id="161624055">
                  <w:marLeft w:val="0"/>
                  <w:marRight w:val="0"/>
                  <w:marTop w:val="0"/>
                  <w:marBottom w:val="0"/>
                  <w:divBdr>
                    <w:top w:val="none" w:sz="0" w:space="0" w:color="auto"/>
                    <w:left w:val="none" w:sz="0" w:space="0" w:color="auto"/>
                    <w:bottom w:val="none" w:sz="0" w:space="0" w:color="auto"/>
                    <w:right w:val="none" w:sz="0" w:space="0" w:color="auto"/>
                  </w:divBdr>
                  <w:divsChild>
                    <w:div w:id="952981737">
                      <w:marLeft w:val="0"/>
                      <w:marRight w:val="0"/>
                      <w:marTop w:val="0"/>
                      <w:marBottom w:val="0"/>
                      <w:divBdr>
                        <w:top w:val="none" w:sz="0" w:space="0" w:color="auto"/>
                        <w:left w:val="none" w:sz="0" w:space="0" w:color="auto"/>
                        <w:bottom w:val="none" w:sz="0" w:space="0" w:color="auto"/>
                        <w:right w:val="none" w:sz="0" w:space="0" w:color="auto"/>
                      </w:divBdr>
                    </w:div>
                  </w:divsChild>
                </w:div>
                <w:div w:id="185755716">
                  <w:marLeft w:val="0"/>
                  <w:marRight w:val="0"/>
                  <w:marTop w:val="0"/>
                  <w:marBottom w:val="0"/>
                  <w:divBdr>
                    <w:top w:val="none" w:sz="0" w:space="0" w:color="auto"/>
                    <w:left w:val="none" w:sz="0" w:space="0" w:color="auto"/>
                    <w:bottom w:val="none" w:sz="0" w:space="0" w:color="auto"/>
                    <w:right w:val="none" w:sz="0" w:space="0" w:color="auto"/>
                  </w:divBdr>
                  <w:divsChild>
                    <w:div w:id="1709598103">
                      <w:marLeft w:val="0"/>
                      <w:marRight w:val="0"/>
                      <w:marTop w:val="0"/>
                      <w:marBottom w:val="0"/>
                      <w:divBdr>
                        <w:top w:val="none" w:sz="0" w:space="0" w:color="auto"/>
                        <w:left w:val="none" w:sz="0" w:space="0" w:color="auto"/>
                        <w:bottom w:val="none" w:sz="0" w:space="0" w:color="auto"/>
                        <w:right w:val="none" w:sz="0" w:space="0" w:color="auto"/>
                      </w:divBdr>
                    </w:div>
                  </w:divsChild>
                </w:div>
                <w:div w:id="279456519">
                  <w:marLeft w:val="0"/>
                  <w:marRight w:val="0"/>
                  <w:marTop w:val="0"/>
                  <w:marBottom w:val="0"/>
                  <w:divBdr>
                    <w:top w:val="none" w:sz="0" w:space="0" w:color="auto"/>
                    <w:left w:val="none" w:sz="0" w:space="0" w:color="auto"/>
                    <w:bottom w:val="none" w:sz="0" w:space="0" w:color="auto"/>
                    <w:right w:val="none" w:sz="0" w:space="0" w:color="auto"/>
                  </w:divBdr>
                  <w:divsChild>
                    <w:div w:id="961768796">
                      <w:marLeft w:val="0"/>
                      <w:marRight w:val="0"/>
                      <w:marTop w:val="0"/>
                      <w:marBottom w:val="0"/>
                      <w:divBdr>
                        <w:top w:val="none" w:sz="0" w:space="0" w:color="auto"/>
                        <w:left w:val="none" w:sz="0" w:space="0" w:color="auto"/>
                        <w:bottom w:val="none" w:sz="0" w:space="0" w:color="auto"/>
                        <w:right w:val="none" w:sz="0" w:space="0" w:color="auto"/>
                      </w:divBdr>
                    </w:div>
                  </w:divsChild>
                </w:div>
                <w:div w:id="430659899">
                  <w:marLeft w:val="0"/>
                  <w:marRight w:val="0"/>
                  <w:marTop w:val="0"/>
                  <w:marBottom w:val="0"/>
                  <w:divBdr>
                    <w:top w:val="none" w:sz="0" w:space="0" w:color="auto"/>
                    <w:left w:val="none" w:sz="0" w:space="0" w:color="auto"/>
                    <w:bottom w:val="none" w:sz="0" w:space="0" w:color="auto"/>
                    <w:right w:val="none" w:sz="0" w:space="0" w:color="auto"/>
                  </w:divBdr>
                  <w:divsChild>
                    <w:div w:id="1523130447">
                      <w:marLeft w:val="0"/>
                      <w:marRight w:val="0"/>
                      <w:marTop w:val="0"/>
                      <w:marBottom w:val="0"/>
                      <w:divBdr>
                        <w:top w:val="none" w:sz="0" w:space="0" w:color="auto"/>
                        <w:left w:val="none" w:sz="0" w:space="0" w:color="auto"/>
                        <w:bottom w:val="none" w:sz="0" w:space="0" w:color="auto"/>
                        <w:right w:val="none" w:sz="0" w:space="0" w:color="auto"/>
                      </w:divBdr>
                    </w:div>
                  </w:divsChild>
                </w:div>
                <w:div w:id="478497758">
                  <w:marLeft w:val="0"/>
                  <w:marRight w:val="0"/>
                  <w:marTop w:val="0"/>
                  <w:marBottom w:val="0"/>
                  <w:divBdr>
                    <w:top w:val="none" w:sz="0" w:space="0" w:color="auto"/>
                    <w:left w:val="none" w:sz="0" w:space="0" w:color="auto"/>
                    <w:bottom w:val="none" w:sz="0" w:space="0" w:color="auto"/>
                    <w:right w:val="none" w:sz="0" w:space="0" w:color="auto"/>
                  </w:divBdr>
                  <w:divsChild>
                    <w:div w:id="1686784566">
                      <w:marLeft w:val="0"/>
                      <w:marRight w:val="0"/>
                      <w:marTop w:val="0"/>
                      <w:marBottom w:val="0"/>
                      <w:divBdr>
                        <w:top w:val="none" w:sz="0" w:space="0" w:color="auto"/>
                        <w:left w:val="none" w:sz="0" w:space="0" w:color="auto"/>
                        <w:bottom w:val="none" w:sz="0" w:space="0" w:color="auto"/>
                        <w:right w:val="none" w:sz="0" w:space="0" w:color="auto"/>
                      </w:divBdr>
                    </w:div>
                  </w:divsChild>
                </w:div>
                <w:div w:id="575826335">
                  <w:marLeft w:val="0"/>
                  <w:marRight w:val="0"/>
                  <w:marTop w:val="0"/>
                  <w:marBottom w:val="0"/>
                  <w:divBdr>
                    <w:top w:val="none" w:sz="0" w:space="0" w:color="auto"/>
                    <w:left w:val="none" w:sz="0" w:space="0" w:color="auto"/>
                    <w:bottom w:val="none" w:sz="0" w:space="0" w:color="auto"/>
                    <w:right w:val="none" w:sz="0" w:space="0" w:color="auto"/>
                  </w:divBdr>
                  <w:divsChild>
                    <w:div w:id="1191384226">
                      <w:marLeft w:val="0"/>
                      <w:marRight w:val="0"/>
                      <w:marTop w:val="0"/>
                      <w:marBottom w:val="0"/>
                      <w:divBdr>
                        <w:top w:val="none" w:sz="0" w:space="0" w:color="auto"/>
                        <w:left w:val="none" w:sz="0" w:space="0" w:color="auto"/>
                        <w:bottom w:val="none" w:sz="0" w:space="0" w:color="auto"/>
                        <w:right w:val="none" w:sz="0" w:space="0" w:color="auto"/>
                      </w:divBdr>
                    </w:div>
                  </w:divsChild>
                </w:div>
                <w:div w:id="776481171">
                  <w:marLeft w:val="0"/>
                  <w:marRight w:val="0"/>
                  <w:marTop w:val="0"/>
                  <w:marBottom w:val="0"/>
                  <w:divBdr>
                    <w:top w:val="none" w:sz="0" w:space="0" w:color="auto"/>
                    <w:left w:val="none" w:sz="0" w:space="0" w:color="auto"/>
                    <w:bottom w:val="none" w:sz="0" w:space="0" w:color="auto"/>
                    <w:right w:val="none" w:sz="0" w:space="0" w:color="auto"/>
                  </w:divBdr>
                  <w:divsChild>
                    <w:div w:id="319770274">
                      <w:marLeft w:val="0"/>
                      <w:marRight w:val="0"/>
                      <w:marTop w:val="0"/>
                      <w:marBottom w:val="0"/>
                      <w:divBdr>
                        <w:top w:val="none" w:sz="0" w:space="0" w:color="auto"/>
                        <w:left w:val="none" w:sz="0" w:space="0" w:color="auto"/>
                        <w:bottom w:val="none" w:sz="0" w:space="0" w:color="auto"/>
                        <w:right w:val="none" w:sz="0" w:space="0" w:color="auto"/>
                      </w:divBdr>
                    </w:div>
                  </w:divsChild>
                </w:div>
                <w:div w:id="783118452">
                  <w:marLeft w:val="0"/>
                  <w:marRight w:val="0"/>
                  <w:marTop w:val="0"/>
                  <w:marBottom w:val="0"/>
                  <w:divBdr>
                    <w:top w:val="none" w:sz="0" w:space="0" w:color="auto"/>
                    <w:left w:val="none" w:sz="0" w:space="0" w:color="auto"/>
                    <w:bottom w:val="none" w:sz="0" w:space="0" w:color="auto"/>
                    <w:right w:val="none" w:sz="0" w:space="0" w:color="auto"/>
                  </w:divBdr>
                  <w:divsChild>
                    <w:div w:id="525949562">
                      <w:marLeft w:val="0"/>
                      <w:marRight w:val="0"/>
                      <w:marTop w:val="0"/>
                      <w:marBottom w:val="0"/>
                      <w:divBdr>
                        <w:top w:val="none" w:sz="0" w:space="0" w:color="auto"/>
                        <w:left w:val="none" w:sz="0" w:space="0" w:color="auto"/>
                        <w:bottom w:val="none" w:sz="0" w:space="0" w:color="auto"/>
                        <w:right w:val="none" w:sz="0" w:space="0" w:color="auto"/>
                      </w:divBdr>
                    </w:div>
                  </w:divsChild>
                </w:div>
                <w:div w:id="794906491">
                  <w:marLeft w:val="0"/>
                  <w:marRight w:val="0"/>
                  <w:marTop w:val="0"/>
                  <w:marBottom w:val="0"/>
                  <w:divBdr>
                    <w:top w:val="none" w:sz="0" w:space="0" w:color="auto"/>
                    <w:left w:val="none" w:sz="0" w:space="0" w:color="auto"/>
                    <w:bottom w:val="none" w:sz="0" w:space="0" w:color="auto"/>
                    <w:right w:val="none" w:sz="0" w:space="0" w:color="auto"/>
                  </w:divBdr>
                  <w:divsChild>
                    <w:div w:id="1303655465">
                      <w:marLeft w:val="0"/>
                      <w:marRight w:val="0"/>
                      <w:marTop w:val="0"/>
                      <w:marBottom w:val="0"/>
                      <w:divBdr>
                        <w:top w:val="none" w:sz="0" w:space="0" w:color="auto"/>
                        <w:left w:val="none" w:sz="0" w:space="0" w:color="auto"/>
                        <w:bottom w:val="none" w:sz="0" w:space="0" w:color="auto"/>
                        <w:right w:val="none" w:sz="0" w:space="0" w:color="auto"/>
                      </w:divBdr>
                    </w:div>
                  </w:divsChild>
                </w:div>
                <w:div w:id="850799303">
                  <w:marLeft w:val="0"/>
                  <w:marRight w:val="0"/>
                  <w:marTop w:val="0"/>
                  <w:marBottom w:val="0"/>
                  <w:divBdr>
                    <w:top w:val="none" w:sz="0" w:space="0" w:color="auto"/>
                    <w:left w:val="none" w:sz="0" w:space="0" w:color="auto"/>
                    <w:bottom w:val="none" w:sz="0" w:space="0" w:color="auto"/>
                    <w:right w:val="none" w:sz="0" w:space="0" w:color="auto"/>
                  </w:divBdr>
                  <w:divsChild>
                    <w:div w:id="612202072">
                      <w:marLeft w:val="0"/>
                      <w:marRight w:val="0"/>
                      <w:marTop w:val="0"/>
                      <w:marBottom w:val="0"/>
                      <w:divBdr>
                        <w:top w:val="none" w:sz="0" w:space="0" w:color="auto"/>
                        <w:left w:val="none" w:sz="0" w:space="0" w:color="auto"/>
                        <w:bottom w:val="none" w:sz="0" w:space="0" w:color="auto"/>
                        <w:right w:val="none" w:sz="0" w:space="0" w:color="auto"/>
                      </w:divBdr>
                    </w:div>
                  </w:divsChild>
                </w:div>
                <w:div w:id="868377522">
                  <w:marLeft w:val="0"/>
                  <w:marRight w:val="0"/>
                  <w:marTop w:val="0"/>
                  <w:marBottom w:val="0"/>
                  <w:divBdr>
                    <w:top w:val="none" w:sz="0" w:space="0" w:color="auto"/>
                    <w:left w:val="none" w:sz="0" w:space="0" w:color="auto"/>
                    <w:bottom w:val="none" w:sz="0" w:space="0" w:color="auto"/>
                    <w:right w:val="none" w:sz="0" w:space="0" w:color="auto"/>
                  </w:divBdr>
                  <w:divsChild>
                    <w:div w:id="382675989">
                      <w:marLeft w:val="0"/>
                      <w:marRight w:val="0"/>
                      <w:marTop w:val="0"/>
                      <w:marBottom w:val="0"/>
                      <w:divBdr>
                        <w:top w:val="none" w:sz="0" w:space="0" w:color="auto"/>
                        <w:left w:val="none" w:sz="0" w:space="0" w:color="auto"/>
                        <w:bottom w:val="none" w:sz="0" w:space="0" w:color="auto"/>
                        <w:right w:val="none" w:sz="0" w:space="0" w:color="auto"/>
                      </w:divBdr>
                    </w:div>
                  </w:divsChild>
                </w:div>
                <w:div w:id="979117887">
                  <w:marLeft w:val="0"/>
                  <w:marRight w:val="0"/>
                  <w:marTop w:val="0"/>
                  <w:marBottom w:val="0"/>
                  <w:divBdr>
                    <w:top w:val="none" w:sz="0" w:space="0" w:color="auto"/>
                    <w:left w:val="none" w:sz="0" w:space="0" w:color="auto"/>
                    <w:bottom w:val="none" w:sz="0" w:space="0" w:color="auto"/>
                    <w:right w:val="none" w:sz="0" w:space="0" w:color="auto"/>
                  </w:divBdr>
                  <w:divsChild>
                    <w:div w:id="1869105866">
                      <w:marLeft w:val="0"/>
                      <w:marRight w:val="0"/>
                      <w:marTop w:val="0"/>
                      <w:marBottom w:val="0"/>
                      <w:divBdr>
                        <w:top w:val="none" w:sz="0" w:space="0" w:color="auto"/>
                        <w:left w:val="none" w:sz="0" w:space="0" w:color="auto"/>
                        <w:bottom w:val="none" w:sz="0" w:space="0" w:color="auto"/>
                        <w:right w:val="none" w:sz="0" w:space="0" w:color="auto"/>
                      </w:divBdr>
                    </w:div>
                  </w:divsChild>
                </w:div>
                <w:div w:id="1127043881">
                  <w:marLeft w:val="0"/>
                  <w:marRight w:val="0"/>
                  <w:marTop w:val="0"/>
                  <w:marBottom w:val="0"/>
                  <w:divBdr>
                    <w:top w:val="none" w:sz="0" w:space="0" w:color="auto"/>
                    <w:left w:val="none" w:sz="0" w:space="0" w:color="auto"/>
                    <w:bottom w:val="none" w:sz="0" w:space="0" w:color="auto"/>
                    <w:right w:val="none" w:sz="0" w:space="0" w:color="auto"/>
                  </w:divBdr>
                  <w:divsChild>
                    <w:div w:id="1238133395">
                      <w:marLeft w:val="0"/>
                      <w:marRight w:val="0"/>
                      <w:marTop w:val="0"/>
                      <w:marBottom w:val="0"/>
                      <w:divBdr>
                        <w:top w:val="none" w:sz="0" w:space="0" w:color="auto"/>
                        <w:left w:val="none" w:sz="0" w:space="0" w:color="auto"/>
                        <w:bottom w:val="none" w:sz="0" w:space="0" w:color="auto"/>
                        <w:right w:val="none" w:sz="0" w:space="0" w:color="auto"/>
                      </w:divBdr>
                    </w:div>
                  </w:divsChild>
                </w:div>
                <w:div w:id="1134522728">
                  <w:marLeft w:val="0"/>
                  <w:marRight w:val="0"/>
                  <w:marTop w:val="0"/>
                  <w:marBottom w:val="0"/>
                  <w:divBdr>
                    <w:top w:val="none" w:sz="0" w:space="0" w:color="auto"/>
                    <w:left w:val="none" w:sz="0" w:space="0" w:color="auto"/>
                    <w:bottom w:val="none" w:sz="0" w:space="0" w:color="auto"/>
                    <w:right w:val="none" w:sz="0" w:space="0" w:color="auto"/>
                  </w:divBdr>
                  <w:divsChild>
                    <w:div w:id="634682095">
                      <w:marLeft w:val="0"/>
                      <w:marRight w:val="0"/>
                      <w:marTop w:val="0"/>
                      <w:marBottom w:val="0"/>
                      <w:divBdr>
                        <w:top w:val="none" w:sz="0" w:space="0" w:color="auto"/>
                        <w:left w:val="none" w:sz="0" w:space="0" w:color="auto"/>
                        <w:bottom w:val="none" w:sz="0" w:space="0" w:color="auto"/>
                        <w:right w:val="none" w:sz="0" w:space="0" w:color="auto"/>
                      </w:divBdr>
                    </w:div>
                  </w:divsChild>
                </w:div>
                <w:div w:id="1482966536">
                  <w:marLeft w:val="0"/>
                  <w:marRight w:val="0"/>
                  <w:marTop w:val="0"/>
                  <w:marBottom w:val="0"/>
                  <w:divBdr>
                    <w:top w:val="none" w:sz="0" w:space="0" w:color="auto"/>
                    <w:left w:val="none" w:sz="0" w:space="0" w:color="auto"/>
                    <w:bottom w:val="none" w:sz="0" w:space="0" w:color="auto"/>
                    <w:right w:val="none" w:sz="0" w:space="0" w:color="auto"/>
                  </w:divBdr>
                  <w:divsChild>
                    <w:div w:id="1972442736">
                      <w:marLeft w:val="0"/>
                      <w:marRight w:val="0"/>
                      <w:marTop w:val="0"/>
                      <w:marBottom w:val="0"/>
                      <w:divBdr>
                        <w:top w:val="none" w:sz="0" w:space="0" w:color="auto"/>
                        <w:left w:val="none" w:sz="0" w:space="0" w:color="auto"/>
                        <w:bottom w:val="none" w:sz="0" w:space="0" w:color="auto"/>
                        <w:right w:val="none" w:sz="0" w:space="0" w:color="auto"/>
                      </w:divBdr>
                    </w:div>
                  </w:divsChild>
                </w:div>
                <w:div w:id="1864434107">
                  <w:marLeft w:val="0"/>
                  <w:marRight w:val="0"/>
                  <w:marTop w:val="0"/>
                  <w:marBottom w:val="0"/>
                  <w:divBdr>
                    <w:top w:val="none" w:sz="0" w:space="0" w:color="auto"/>
                    <w:left w:val="none" w:sz="0" w:space="0" w:color="auto"/>
                    <w:bottom w:val="none" w:sz="0" w:space="0" w:color="auto"/>
                    <w:right w:val="none" w:sz="0" w:space="0" w:color="auto"/>
                  </w:divBdr>
                  <w:divsChild>
                    <w:div w:id="286742370">
                      <w:marLeft w:val="0"/>
                      <w:marRight w:val="0"/>
                      <w:marTop w:val="0"/>
                      <w:marBottom w:val="0"/>
                      <w:divBdr>
                        <w:top w:val="none" w:sz="0" w:space="0" w:color="auto"/>
                        <w:left w:val="none" w:sz="0" w:space="0" w:color="auto"/>
                        <w:bottom w:val="none" w:sz="0" w:space="0" w:color="auto"/>
                        <w:right w:val="none" w:sz="0" w:space="0" w:color="auto"/>
                      </w:divBdr>
                    </w:div>
                  </w:divsChild>
                </w:div>
                <w:div w:id="1864976576">
                  <w:marLeft w:val="0"/>
                  <w:marRight w:val="0"/>
                  <w:marTop w:val="0"/>
                  <w:marBottom w:val="0"/>
                  <w:divBdr>
                    <w:top w:val="none" w:sz="0" w:space="0" w:color="auto"/>
                    <w:left w:val="none" w:sz="0" w:space="0" w:color="auto"/>
                    <w:bottom w:val="none" w:sz="0" w:space="0" w:color="auto"/>
                    <w:right w:val="none" w:sz="0" w:space="0" w:color="auto"/>
                  </w:divBdr>
                  <w:divsChild>
                    <w:div w:id="1029910788">
                      <w:marLeft w:val="0"/>
                      <w:marRight w:val="0"/>
                      <w:marTop w:val="0"/>
                      <w:marBottom w:val="0"/>
                      <w:divBdr>
                        <w:top w:val="none" w:sz="0" w:space="0" w:color="auto"/>
                        <w:left w:val="none" w:sz="0" w:space="0" w:color="auto"/>
                        <w:bottom w:val="none" w:sz="0" w:space="0" w:color="auto"/>
                        <w:right w:val="none" w:sz="0" w:space="0" w:color="auto"/>
                      </w:divBdr>
                    </w:div>
                  </w:divsChild>
                </w:div>
                <w:div w:id="1901088920">
                  <w:marLeft w:val="0"/>
                  <w:marRight w:val="0"/>
                  <w:marTop w:val="0"/>
                  <w:marBottom w:val="0"/>
                  <w:divBdr>
                    <w:top w:val="none" w:sz="0" w:space="0" w:color="auto"/>
                    <w:left w:val="none" w:sz="0" w:space="0" w:color="auto"/>
                    <w:bottom w:val="none" w:sz="0" w:space="0" w:color="auto"/>
                    <w:right w:val="none" w:sz="0" w:space="0" w:color="auto"/>
                  </w:divBdr>
                  <w:divsChild>
                    <w:div w:id="974676198">
                      <w:marLeft w:val="0"/>
                      <w:marRight w:val="0"/>
                      <w:marTop w:val="0"/>
                      <w:marBottom w:val="0"/>
                      <w:divBdr>
                        <w:top w:val="none" w:sz="0" w:space="0" w:color="auto"/>
                        <w:left w:val="none" w:sz="0" w:space="0" w:color="auto"/>
                        <w:bottom w:val="none" w:sz="0" w:space="0" w:color="auto"/>
                        <w:right w:val="none" w:sz="0" w:space="0" w:color="auto"/>
                      </w:divBdr>
                    </w:div>
                  </w:divsChild>
                </w:div>
                <w:div w:id="1955405792">
                  <w:marLeft w:val="0"/>
                  <w:marRight w:val="0"/>
                  <w:marTop w:val="0"/>
                  <w:marBottom w:val="0"/>
                  <w:divBdr>
                    <w:top w:val="none" w:sz="0" w:space="0" w:color="auto"/>
                    <w:left w:val="none" w:sz="0" w:space="0" w:color="auto"/>
                    <w:bottom w:val="none" w:sz="0" w:space="0" w:color="auto"/>
                    <w:right w:val="none" w:sz="0" w:space="0" w:color="auto"/>
                  </w:divBdr>
                  <w:divsChild>
                    <w:div w:id="1218739909">
                      <w:marLeft w:val="0"/>
                      <w:marRight w:val="0"/>
                      <w:marTop w:val="0"/>
                      <w:marBottom w:val="0"/>
                      <w:divBdr>
                        <w:top w:val="none" w:sz="0" w:space="0" w:color="auto"/>
                        <w:left w:val="none" w:sz="0" w:space="0" w:color="auto"/>
                        <w:bottom w:val="none" w:sz="0" w:space="0" w:color="auto"/>
                        <w:right w:val="none" w:sz="0" w:space="0" w:color="auto"/>
                      </w:divBdr>
                    </w:div>
                  </w:divsChild>
                </w:div>
                <w:div w:id="2012099913">
                  <w:marLeft w:val="0"/>
                  <w:marRight w:val="0"/>
                  <w:marTop w:val="0"/>
                  <w:marBottom w:val="0"/>
                  <w:divBdr>
                    <w:top w:val="none" w:sz="0" w:space="0" w:color="auto"/>
                    <w:left w:val="none" w:sz="0" w:space="0" w:color="auto"/>
                    <w:bottom w:val="none" w:sz="0" w:space="0" w:color="auto"/>
                    <w:right w:val="none" w:sz="0" w:space="0" w:color="auto"/>
                  </w:divBdr>
                  <w:divsChild>
                    <w:div w:id="1359697642">
                      <w:marLeft w:val="0"/>
                      <w:marRight w:val="0"/>
                      <w:marTop w:val="0"/>
                      <w:marBottom w:val="0"/>
                      <w:divBdr>
                        <w:top w:val="none" w:sz="0" w:space="0" w:color="auto"/>
                        <w:left w:val="none" w:sz="0" w:space="0" w:color="auto"/>
                        <w:bottom w:val="none" w:sz="0" w:space="0" w:color="auto"/>
                        <w:right w:val="none" w:sz="0" w:space="0" w:color="auto"/>
                      </w:divBdr>
                    </w:div>
                  </w:divsChild>
                </w:div>
                <w:div w:id="2017002140">
                  <w:marLeft w:val="0"/>
                  <w:marRight w:val="0"/>
                  <w:marTop w:val="0"/>
                  <w:marBottom w:val="0"/>
                  <w:divBdr>
                    <w:top w:val="none" w:sz="0" w:space="0" w:color="auto"/>
                    <w:left w:val="none" w:sz="0" w:space="0" w:color="auto"/>
                    <w:bottom w:val="none" w:sz="0" w:space="0" w:color="auto"/>
                    <w:right w:val="none" w:sz="0" w:space="0" w:color="auto"/>
                  </w:divBdr>
                  <w:divsChild>
                    <w:div w:id="1254825816">
                      <w:marLeft w:val="0"/>
                      <w:marRight w:val="0"/>
                      <w:marTop w:val="0"/>
                      <w:marBottom w:val="0"/>
                      <w:divBdr>
                        <w:top w:val="none" w:sz="0" w:space="0" w:color="auto"/>
                        <w:left w:val="none" w:sz="0" w:space="0" w:color="auto"/>
                        <w:bottom w:val="none" w:sz="0" w:space="0" w:color="auto"/>
                        <w:right w:val="none" w:sz="0" w:space="0" w:color="auto"/>
                      </w:divBdr>
                    </w:div>
                  </w:divsChild>
                </w:div>
                <w:div w:id="2053529134">
                  <w:marLeft w:val="0"/>
                  <w:marRight w:val="0"/>
                  <w:marTop w:val="0"/>
                  <w:marBottom w:val="0"/>
                  <w:divBdr>
                    <w:top w:val="none" w:sz="0" w:space="0" w:color="auto"/>
                    <w:left w:val="none" w:sz="0" w:space="0" w:color="auto"/>
                    <w:bottom w:val="none" w:sz="0" w:space="0" w:color="auto"/>
                    <w:right w:val="none" w:sz="0" w:space="0" w:color="auto"/>
                  </w:divBdr>
                  <w:divsChild>
                    <w:div w:id="98062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233572">
          <w:marLeft w:val="0"/>
          <w:marRight w:val="0"/>
          <w:marTop w:val="0"/>
          <w:marBottom w:val="0"/>
          <w:divBdr>
            <w:top w:val="none" w:sz="0" w:space="0" w:color="auto"/>
            <w:left w:val="none" w:sz="0" w:space="0" w:color="auto"/>
            <w:bottom w:val="none" w:sz="0" w:space="0" w:color="auto"/>
            <w:right w:val="none" w:sz="0" w:space="0" w:color="auto"/>
          </w:divBdr>
        </w:div>
        <w:div w:id="979573014">
          <w:marLeft w:val="0"/>
          <w:marRight w:val="0"/>
          <w:marTop w:val="0"/>
          <w:marBottom w:val="0"/>
          <w:divBdr>
            <w:top w:val="none" w:sz="0" w:space="0" w:color="auto"/>
            <w:left w:val="none" w:sz="0" w:space="0" w:color="auto"/>
            <w:bottom w:val="none" w:sz="0" w:space="0" w:color="auto"/>
            <w:right w:val="none" w:sz="0" w:space="0" w:color="auto"/>
          </w:divBdr>
        </w:div>
        <w:div w:id="1072240030">
          <w:marLeft w:val="0"/>
          <w:marRight w:val="0"/>
          <w:marTop w:val="0"/>
          <w:marBottom w:val="0"/>
          <w:divBdr>
            <w:top w:val="none" w:sz="0" w:space="0" w:color="auto"/>
            <w:left w:val="none" w:sz="0" w:space="0" w:color="auto"/>
            <w:bottom w:val="none" w:sz="0" w:space="0" w:color="auto"/>
            <w:right w:val="none" w:sz="0" w:space="0" w:color="auto"/>
          </w:divBdr>
          <w:divsChild>
            <w:div w:id="791898220">
              <w:marLeft w:val="0"/>
              <w:marRight w:val="0"/>
              <w:marTop w:val="0"/>
              <w:marBottom w:val="0"/>
              <w:divBdr>
                <w:top w:val="none" w:sz="0" w:space="0" w:color="auto"/>
                <w:left w:val="none" w:sz="0" w:space="0" w:color="auto"/>
                <w:bottom w:val="none" w:sz="0" w:space="0" w:color="auto"/>
                <w:right w:val="none" w:sz="0" w:space="0" w:color="auto"/>
              </w:divBdr>
            </w:div>
            <w:div w:id="797185024">
              <w:marLeft w:val="0"/>
              <w:marRight w:val="0"/>
              <w:marTop w:val="0"/>
              <w:marBottom w:val="0"/>
              <w:divBdr>
                <w:top w:val="none" w:sz="0" w:space="0" w:color="auto"/>
                <w:left w:val="none" w:sz="0" w:space="0" w:color="auto"/>
                <w:bottom w:val="none" w:sz="0" w:space="0" w:color="auto"/>
                <w:right w:val="none" w:sz="0" w:space="0" w:color="auto"/>
              </w:divBdr>
            </w:div>
            <w:div w:id="1341278592">
              <w:marLeft w:val="0"/>
              <w:marRight w:val="0"/>
              <w:marTop w:val="0"/>
              <w:marBottom w:val="0"/>
              <w:divBdr>
                <w:top w:val="none" w:sz="0" w:space="0" w:color="auto"/>
                <w:left w:val="none" w:sz="0" w:space="0" w:color="auto"/>
                <w:bottom w:val="none" w:sz="0" w:space="0" w:color="auto"/>
                <w:right w:val="none" w:sz="0" w:space="0" w:color="auto"/>
              </w:divBdr>
            </w:div>
          </w:divsChild>
        </w:div>
        <w:div w:id="1083726110">
          <w:marLeft w:val="0"/>
          <w:marRight w:val="0"/>
          <w:marTop w:val="0"/>
          <w:marBottom w:val="0"/>
          <w:divBdr>
            <w:top w:val="none" w:sz="0" w:space="0" w:color="auto"/>
            <w:left w:val="none" w:sz="0" w:space="0" w:color="auto"/>
            <w:bottom w:val="none" w:sz="0" w:space="0" w:color="auto"/>
            <w:right w:val="none" w:sz="0" w:space="0" w:color="auto"/>
          </w:divBdr>
        </w:div>
        <w:div w:id="1106844869">
          <w:marLeft w:val="0"/>
          <w:marRight w:val="0"/>
          <w:marTop w:val="0"/>
          <w:marBottom w:val="0"/>
          <w:divBdr>
            <w:top w:val="none" w:sz="0" w:space="0" w:color="auto"/>
            <w:left w:val="none" w:sz="0" w:space="0" w:color="auto"/>
            <w:bottom w:val="none" w:sz="0" w:space="0" w:color="auto"/>
            <w:right w:val="none" w:sz="0" w:space="0" w:color="auto"/>
          </w:divBdr>
        </w:div>
        <w:div w:id="1123306782">
          <w:marLeft w:val="0"/>
          <w:marRight w:val="0"/>
          <w:marTop w:val="0"/>
          <w:marBottom w:val="0"/>
          <w:divBdr>
            <w:top w:val="none" w:sz="0" w:space="0" w:color="auto"/>
            <w:left w:val="none" w:sz="0" w:space="0" w:color="auto"/>
            <w:bottom w:val="none" w:sz="0" w:space="0" w:color="auto"/>
            <w:right w:val="none" w:sz="0" w:space="0" w:color="auto"/>
          </w:divBdr>
        </w:div>
        <w:div w:id="1154566966">
          <w:marLeft w:val="0"/>
          <w:marRight w:val="0"/>
          <w:marTop w:val="0"/>
          <w:marBottom w:val="0"/>
          <w:divBdr>
            <w:top w:val="none" w:sz="0" w:space="0" w:color="auto"/>
            <w:left w:val="none" w:sz="0" w:space="0" w:color="auto"/>
            <w:bottom w:val="none" w:sz="0" w:space="0" w:color="auto"/>
            <w:right w:val="none" w:sz="0" w:space="0" w:color="auto"/>
          </w:divBdr>
        </w:div>
        <w:div w:id="1170870216">
          <w:marLeft w:val="0"/>
          <w:marRight w:val="0"/>
          <w:marTop w:val="0"/>
          <w:marBottom w:val="0"/>
          <w:divBdr>
            <w:top w:val="none" w:sz="0" w:space="0" w:color="auto"/>
            <w:left w:val="none" w:sz="0" w:space="0" w:color="auto"/>
            <w:bottom w:val="none" w:sz="0" w:space="0" w:color="auto"/>
            <w:right w:val="none" w:sz="0" w:space="0" w:color="auto"/>
          </w:divBdr>
        </w:div>
        <w:div w:id="1241408370">
          <w:marLeft w:val="0"/>
          <w:marRight w:val="0"/>
          <w:marTop w:val="0"/>
          <w:marBottom w:val="0"/>
          <w:divBdr>
            <w:top w:val="none" w:sz="0" w:space="0" w:color="auto"/>
            <w:left w:val="none" w:sz="0" w:space="0" w:color="auto"/>
            <w:bottom w:val="none" w:sz="0" w:space="0" w:color="auto"/>
            <w:right w:val="none" w:sz="0" w:space="0" w:color="auto"/>
          </w:divBdr>
        </w:div>
        <w:div w:id="1245191154">
          <w:marLeft w:val="0"/>
          <w:marRight w:val="0"/>
          <w:marTop w:val="0"/>
          <w:marBottom w:val="0"/>
          <w:divBdr>
            <w:top w:val="none" w:sz="0" w:space="0" w:color="auto"/>
            <w:left w:val="none" w:sz="0" w:space="0" w:color="auto"/>
            <w:bottom w:val="none" w:sz="0" w:space="0" w:color="auto"/>
            <w:right w:val="none" w:sz="0" w:space="0" w:color="auto"/>
          </w:divBdr>
          <w:divsChild>
            <w:div w:id="1144809258">
              <w:marLeft w:val="0"/>
              <w:marRight w:val="0"/>
              <w:marTop w:val="0"/>
              <w:marBottom w:val="0"/>
              <w:divBdr>
                <w:top w:val="none" w:sz="0" w:space="0" w:color="auto"/>
                <w:left w:val="none" w:sz="0" w:space="0" w:color="auto"/>
                <w:bottom w:val="none" w:sz="0" w:space="0" w:color="auto"/>
                <w:right w:val="none" w:sz="0" w:space="0" w:color="auto"/>
              </w:divBdr>
            </w:div>
            <w:div w:id="1895848031">
              <w:marLeft w:val="0"/>
              <w:marRight w:val="0"/>
              <w:marTop w:val="0"/>
              <w:marBottom w:val="0"/>
              <w:divBdr>
                <w:top w:val="none" w:sz="0" w:space="0" w:color="auto"/>
                <w:left w:val="none" w:sz="0" w:space="0" w:color="auto"/>
                <w:bottom w:val="none" w:sz="0" w:space="0" w:color="auto"/>
                <w:right w:val="none" w:sz="0" w:space="0" w:color="auto"/>
              </w:divBdr>
            </w:div>
            <w:div w:id="1967854796">
              <w:marLeft w:val="0"/>
              <w:marRight w:val="0"/>
              <w:marTop w:val="0"/>
              <w:marBottom w:val="0"/>
              <w:divBdr>
                <w:top w:val="none" w:sz="0" w:space="0" w:color="auto"/>
                <w:left w:val="none" w:sz="0" w:space="0" w:color="auto"/>
                <w:bottom w:val="none" w:sz="0" w:space="0" w:color="auto"/>
                <w:right w:val="none" w:sz="0" w:space="0" w:color="auto"/>
              </w:divBdr>
            </w:div>
          </w:divsChild>
        </w:div>
        <w:div w:id="1273783431">
          <w:marLeft w:val="0"/>
          <w:marRight w:val="0"/>
          <w:marTop w:val="0"/>
          <w:marBottom w:val="0"/>
          <w:divBdr>
            <w:top w:val="none" w:sz="0" w:space="0" w:color="auto"/>
            <w:left w:val="none" w:sz="0" w:space="0" w:color="auto"/>
            <w:bottom w:val="none" w:sz="0" w:space="0" w:color="auto"/>
            <w:right w:val="none" w:sz="0" w:space="0" w:color="auto"/>
          </w:divBdr>
        </w:div>
        <w:div w:id="1309016527">
          <w:marLeft w:val="0"/>
          <w:marRight w:val="0"/>
          <w:marTop w:val="0"/>
          <w:marBottom w:val="0"/>
          <w:divBdr>
            <w:top w:val="none" w:sz="0" w:space="0" w:color="auto"/>
            <w:left w:val="none" w:sz="0" w:space="0" w:color="auto"/>
            <w:bottom w:val="none" w:sz="0" w:space="0" w:color="auto"/>
            <w:right w:val="none" w:sz="0" w:space="0" w:color="auto"/>
          </w:divBdr>
        </w:div>
        <w:div w:id="1347172870">
          <w:marLeft w:val="0"/>
          <w:marRight w:val="0"/>
          <w:marTop w:val="0"/>
          <w:marBottom w:val="0"/>
          <w:divBdr>
            <w:top w:val="none" w:sz="0" w:space="0" w:color="auto"/>
            <w:left w:val="none" w:sz="0" w:space="0" w:color="auto"/>
            <w:bottom w:val="none" w:sz="0" w:space="0" w:color="auto"/>
            <w:right w:val="none" w:sz="0" w:space="0" w:color="auto"/>
          </w:divBdr>
        </w:div>
        <w:div w:id="1460874133">
          <w:marLeft w:val="0"/>
          <w:marRight w:val="0"/>
          <w:marTop w:val="0"/>
          <w:marBottom w:val="0"/>
          <w:divBdr>
            <w:top w:val="none" w:sz="0" w:space="0" w:color="auto"/>
            <w:left w:val="none" w:sz="0" w:space="0" w:color="auto"/>
            <w:bottom w:val="none" w:sz="0" w:space="0" w:color="auto"/>
            <w:right w:val="none" w:sz="0" w:space="0" w:color="auto"/>
          </w:divBdr>
        </w:div>
        <w:div w:id="1472281869">
          <w:marLeft w:val="0"/>
          <w:marRight w:val="0"/>
          <w:marTop w:val="0"/>
          <w:marBottom w:val="0"/>
          <w:divBdr>
            <w:top w:val="none" w:sz="0" w:space="0" w:color="auto"/>
            <w:left w:val="none" w:sz="0" w:space="0" w:color="auto"/>
            <w:bottom w:val="none" w:sz="0" w:space="0" w:color="auto"/>
            <w:right w:val="none" w:sz="0" w:space="0" w:color="auto"/>
          </w:divBdr>
        </w:div>
        <w:div w:id="1585145635">
          <w:marLeft w:val="0"/>
          <w:marRight w:val="0"/>
          <w:marTop w:val="0"/>
          <w:marBottom w:val="0"/>
          <w:divBdr>
            <w:top w:val="none" w:sz="0" w:space="0" w:color="auto"/>
            <w:left w:val="none" w:sz="0" w:space="0" w:color="auto"/>
            <w:bottom w:val="none" w:sz="0" w:space="0" w:color="auto"/>
            <w:right w:val="none" w:sz="0" w:space="0" w:color="auto"/>
          </w:divBdr>
        </w:div>
        <w:div w:id="1628004940">
          <w:marLeft w:val="0"/>
          <w:marRight w:val="0"/>
          <w:marTop w:val="0"/>
          <w:marBottom w:val="0"/>
          <w:divBdr>
            <w:top w:val="none" w:sz="0" w:space="0" w:color="auto"/>
            <w:left w:val="none" w:sz="0" w:space="0" w:color="auto"/>
            <w:bottom w:val="none" w:sz="0" w:space="0" w:color="auto"/>
            <w:right w:val="none" w:sz="0" w:space="0" w:color="auto"/>
          </w:divBdr>
          <w:divsChild>
            <w:div w:id="282738084">
              <w:marLeft w:val="0"/>
              <w:marRight w:val="0"/>
              <w:marTop w:val="0"/>
              <w:marBottom w:val="0"/>
              <w:divBdr>
                <w:top w:val="none" w:sz="0" w:space="0" w:color="auto"/>
                <w:left w:val="none" w:sz="0" w:space="0" w:color="auto"/>
                <w:bottom w:val="none" w:sz="0" w:space="0" w:color="auto"/>
                <w:right w:val="none" w:sz="0" w:space="0" w:color="auto"/>
              </w:divBdr>
            </w:div>
            <w:div w:id="305742856">
              <w:marLeft w:val="0"/>
              <w:marRight w:val="0"/>
              <w:marTop w:val="0"/>
              <w:marBottom w:val="0"/>
              <w:divBdr>
                <w:top w:val="none" w:sz="0" w:space="0" w:color="auto"/>
                <w:left w:val="none" w:sz="0" w:space="0" w:color="auto"/>
                <w:bottom w:val="none" w:sz="0" w:space="0" w:color="auto"/>
                <w:right w:val="none" w:sz="0" w:space="0" w:color="auto"/>
              </w:divBdr>
            </w:div>
            <w:div w:id="1193571967">
              <w:marLeft w:val="0"/>
              <w:marRight w:val="0"/>
              <w:marTop w:val="0"/>
              <w:marBottom w:val="0"/>
              <w:divBdr>
                <w:top w:val="none" w:sz="0" w:space="0" w:color="auto"/>
                <w:left w:val="none" w:sz="0" w:space="0" w:color="auto"/>
                <w:bottom w:val="none" w:sz="0" w:space="0" w:color="auto"/>
                <w:right w:val="none" w:sz="0" w:space="0" w:color="auto"/>
              </w:divBdr>
            </w:div>
          </w:divsChild>
        </w:div>
        <w:div w:id="1671904248">
          <w:marLeft w:val="0"/>
          <w:marRight w:val="0"/>
          <w:marTop w:val="0"/>
          <w:marBottom w:val="0"/>
          <w:divBdr>
            <w:top w:val="none" w:sz="0" w:space="0" w:color="auto"/>
            <w:left w:val="none" w:sz="0" w:space="0" w:color="auto"/>
            <w:bottom w:val="none" w:sz="0" w:space="0" w:color="auto"/>
            <w:right w:val="none" w:sz="0" w:space="0" w:color="auto"/>
          </w:divBdr>
        </w:div>
        <w:div w:id="1731804191">
          <w:marLeft w:val="0"/>
          <w:marRight w:val="0"/>
          <w:marTop w:val="0"/>
          <w:marBottom w:val="0"/>
          <w:divBdr>
            <w:top w:val="none" w:sz="0" w:space="0" w:color="auto"/>
            <w:left w:val="none" w:sz="0" w:space="0" w:color="auto"/>
            <w:bottom w:val="none" w:sz="0" w:space="0" w:color="auto"/>
            <w:right w:val="none" w:sz="0" w:space="0" w:color="auto"/>
          </w:divBdr>
        </w:div>
        <w:div w:id="2021546375">
          <w:marLeft w:val="0"/>
          <w:marRight w:val="0"/>
          <w:marTop w:val="0"/>
          <w:marBottom w:val="0"/>
          <w:divBdr>
            <w:top w:val="none" w:sz="0" w:space="0" w:color="auto"/>
            <w:left w:val="none" w:sz="0" w:space="0" w:color="auto"/>
            <w:bottom w:val="none" w:sz="0" w:space="0" w:color="auto"/>
            <w:right w:val="none" w:sz="0" w:space="0" w:color="auto"/>
          </w:divBdr>
        </w:div>
        <w:div w:id="2082680353">
          <w:marLeft w:val="0"/>
          <w:marRight w:val="0"/>
          <w:marTop w:val="0"/>
          <w:marBottom w:val="0"/>
          <w:divBdr>
            <w:top w:val="none" w:sz="0" w:space="0" w:color="auto"/>
            <w:left w:val="none" w:sz="0" w:space="0" w:color="auto"/>
            <w:bottom w:val="none" w:sz="0" w:space="0" w:color="auto"/>
            <w:right w:val="none" w:sz="0" w:space="0" w:color="auto"/>
          </w:divBdr>
        </w:div>
        <w:div w:id="2089687117">
          <w:marLeft w:val="0"/>
          <w:marRight w:val="0"/>
          <w:marTop w:val="0"/>
          <w:marBottom w:val="0"/>
          <w:divBdr>
            <w:top w:val="none" w:sz="0" w:space="0" w:color="auto"/>
            <w:left w:val="none" w:sz="0" w:space="0" w:color="auto"/>
            <w:bottom w:val="none" w:sz="0" w:space="0" w:color="auto"/>
            <w:right w:val="none" w:sz="0" w:space="0" w:color="auto"/>
          </w:divBdr>
        </w:div>
        <w:div w:id="2145851573">
          <w:marLeft w:val="0"/>
          <w:marRight w:val="0"/>
          <w:marTop w:val="0"/>
          <w:marBottom w:val="0"/>
          <w:divBdr>
            <w:top w:val="none" w:sz="0" w:space="0" w:color="auto"/>
            <w:left w:val="none" w:sz="0" w:space="0" w:color="auto"/>
            <w:bottom w:val="none" w:sz="0" w:space="0" w:color="auto"/>
            <w:right w:val="none" w:sz="0" w:space="0" w:color="auto"/>
          </w:divBdr>
        </w:div>
      </w:divsChild>
    </w:div>
    <w:div w:id="607859226">
      <w:bodyDiv w:val="1"/>
      <w:marLeft w:val="0"/>
      <w:marRight w:val="0"/>
      <w:marTop w:val="0"/>
      <w:marBottom w:val="0"/>
      <w:divBdr>
        <w:top w:val="none" w:sz="0" w:space="0" w:color="auto"/>
        <w:left w:val="none" w:sz="0" w:space="0" w:color="auto"/>
        <w:bottom w:val="none" w:sz="0" w:space="0" w:color="auto"/>
        <w:right w:val="none" w:sz="0" w:space="0" w:color="auto"/>
      </w:divBdr>
      <w:divsChild>
        <w:div w:id="1300107055">
          <w:marLeft w:val="0"/>
          <w:marRight w:val="0"/>
          <w:marTop w:val="0"/>
          <w:marBottom w:val="0"/>
          <w:divBdr>
            <w:top w:val="none" w:sz="0" w:space="0" w:color="auto"/>
            <w:left w:val="none" w:sz="0" w:space="0" w:color="auto"/>
            <w:bottom w:val="none" w:sz="0" w:space="0" w:color="auto"/>
            <w:right w:val="none" w:sz="0" w:space="0" w:color="auto"/>
          </w:divBdr>
        </w:div>
      </w:divsChild>
    </w:div>
    <w:div w:id="632367267">
      <w:bodyDiv w:val="1"/>
      <w:marLeft w:val="0"/>
      <w:marRight w:val="0"/>
      <w:marTop w:val="0"/>
      <w:marBottom w:val="0"/>
      <w:divBdr>
        <w:top w:val="none" w:sz="0" w:space="0" w:color="auto"/>
        <w:left w:val="none" w:sz="0" w:space="0" w:color="auto"/>
        <w:bottom w:val="none" w:sz="0" w:space="0" w:color="auto"/>
        <w:right w:val="none" w:sz="0" w:space="0" w:color="auto"/>
      </w:divBdr>
      <w:divsChild>
        <w:div w:id="553271912">
          <w:marLeft w:val="60"/>
          <w:marRight w:val="0"/>
          <w:marTop w:val="0"/>
          <w:marBottom w:val="0"/>
          <w:divBdr>
            <w:top w:val="none" w:sz="0" w:space="0" w:color="auto"/>
            <w:left w:val="none" w:sz="0" w:space="0" w:color="auto"/>
            <w:bottom w:val="none" w:sz="0" w:space="0" w:color="auto"/>
            <w:right w:val="none" w:sz="0" w:space="0" w:color="auto"/>
          </w:divBdr>
        </w:div>
      </w:divsChild>
    </w:div>
    <w:div w:id="699210933">
      <w:bodyDiv w:val="1"/>
      <w:marLeft w:val="0"/>
      <w:marRight w:val="0"/>
      <w:marTop w:val="0"/>
      <w:marBottom w:val="0"/>
      <w:divBdr>
        <w:top w:val="none" w:sz="0" w:space="0" w:color="auto"/>
        <w:left w:val="none" w:sz="0" w:space="0" w:color="auto"/>
        <w:bottom w:val="none" w:sz="0" w:space="0" w:color="auto"/>
        <w:right w:val="none" w:sz="0" w:space="0" w:color="auto"/>
      </w:divBdr>
      <w:divsChild>
        <w:div w:id="34893333">
          <w:marLeft w:val="0"/>
          <w:marRight w:val="0"/>
          <w:marTop w:val="0"/>
          <w:marBottom w:val="0"/>
          <w:divBdr>
            <w:top w:val="none" w:sz="0" w:space="0" w:color="auto"/>
            <w:left w:val="none" w:sz="0" w:space="0" w:color="auto"/>
            <w:bottom w:val="none" w:sz="0" w:space="0" w:color="auto"/>
            <w:right w:val="none" w:sz="0" w:space="0" w:color="auto"/>
          </w:divBdr>
        </w:div>
        <w:div w:id="42102705">
          <w:marLeft w:val="0"/>
          <w:marRight w:val="0"/>
          <w:marTop w:val="0"/>
          <w:marBottom w:val="0"/>
          <w:divBdr>
            <w:top w:val="none" w:sz="0" w:space="0" w:color="auto"/>
            <w:left w:val="none" w:sz="0" w:space="0" w:color="auto"/>
            <w:bottom w:val="none" w:sz="0" w:space="0" w:color="auto"/>
            <w:right w:val="none" w:sz="0" w:space="0" w:color="auto"/>
          </w:divBdr>
        </w:div>
        <w:div w:id="190463844">
          <w:marLeft w:val="0"/>
          <w:marRight w:val="0"/>
          <w:marTop w:val="0"/>
          <w:marBottom w:val="0"/>
          <w:divBdr>
            <w:top w:val="none" w:sz="0" w:space="0" w:color="auto"/>
            <w:left w:val="none" w:sz="0" w:space="0" w:color="auto"/>
            <w:bottom w:val="none" w:sz="0" w:space="0" w:color="auto"/>
            <w:right w:val="none" w:sz="0" w:space="0" w:color="auto"/>
          </w:divBdr>
        </w:div>
        <w:div w:id="247737405">
          <w:marLeft w:val="0"/>
          <w:marRight w:val="0"/>
          <w:marTop w:val="0"/>
          <w:marBottom w:val="0"/>
          <w:divBdr>
            <w:top w:val="none" w:sz="0" w:space="0" w:color="auto"/>
            <w:left w:val="none" w:sz="0" w:space="0" w:color="auto"/>
            <w:bottom w:val="none" w:sz="0" w:space="0" w:color="auto"/>
            <w:right w:val="none" w:sz="0" w:space="0" w:color="auto"/>
          </w:divBdr>
        </w:div>
        <w:div w:id="269362550">
          <w:marLeft w:val="0"/>
          <w:marRight w:val="0"/>
          <w:marTop w:val="0"/>
          <w:marBottom w:val="0"/>
          <w:divBdr>
            <w:top w:val="none" w:sz="0" w:space="0" w:color="auto"/>
            <w:left w:val="none" w:sz="0" w:space="0" w:color="auto"/>
            <w:bottom w:val="none" w:sz="0" w:space="0" w:color="auto"/>
            <w:right w:val="none" w:sz="0" w:space="0" w:color="auto"/>
          </w:divBdr>
        </w:div>
        <w:div w:id="358356661">
          <w:marLeft w:val="0"/>
          <w:marRight w:val="0"/>
          <w:marTop w:val="0"/>
          <w:marBottom w:val="0"/>
          <w:divBdr>
            <w:top w:val="none" w:sz="0" w:space="0" w:color="auto"/>
            <w:left w:val="none" w:sz="0" w:space="0" w:color="auto"/>
            <w:bottom w:val="none" w:sz="0" w:space="0" w:color="auto"/>
            <w:right w:val="none" w:sz="0" w:space="0" w:color="auto"/>
          </w:divBdr>
        </w:div>
        <w:div w:id="461659081">
          <w:marLeft w:val="0"/>
          <w:marRight w:val="0"/>
          <w:marTop w:val="0"/>
          <w:marBottom w:val="0"/>
          <w:divBdr>
            <w:top w:val="none" w:sz="0" w:space="0" w:color="auto"/>
            <w:left w:val="none" w:sz="0" w:space="0" w:color="auto"/>
            <w:bottom w:val="none" w:sz="0" w:space="0" w:color="auto"/>
            <w:right w:val="none" w:sz="0" w:space="0" w:color="auto"/>
          </w:divBdr>
        </w:div>
        <w:div w:id="1118063638">
          <w:marLeft w:val="0"/>
          <w:marRight w:val="0"/>
          <w:marTop w:val="0"/>
          <w:marBottom w:val="0"/>
          <w:divBdr>
            <w:top w:val="none" w:sz="0" w:space="0" w:color="auto"/>
            <w:left w:val="none" w:sz="0" w:space="0" w:color="auto"/>
            <w:bottom w:val="none" w:sz="0" w:space="0" w:color="auto"/>
            <w:right w:val="none" w:sz="0" w:space="0" w:color="auto"/>
          </w:divBdr>
        </w:div>
        <w:div w:id="1303732284">
          <w:marLeft w:val="0"/>
          <w:marRight w:val="0"/>
          <w:marTop w:val="0"/>
          <w:marBottom w:val="0"/>
          <w:divBdr>
            <w:top w:val="none" w:sz="0" w:space="0" w:color="auto"/>
            <w:left w:val="none" w:sz="0" w:space="0" w:color="auto"/>
            <w:bottom w:val="none" w:sz="0" w:space="0" w:color="auto"/>
            <w:right w:val="none" w:sz="0" w:space="0" w:color="auto"/>
          </w:divBdr>
        </w:div>
        <w:div w:id="1415740947">
          <w:marLeft w:val="0"/>
          <w:marRight w:val="0"/>
          <w:marTop w:val="0"/>
          <w:marBottom w:val="0"/>
          <w:divBdr>
            <w:top w:val="none" w:sz="0" w:space="0" w:color="auto"/>
            <w:left w:val="none" w:sz="0" w:space="0" w:color="auto"/>
            <w:bottom w:val="none" w:sz="0" w:space="0" w:color="auto"/>
            <w:right w:val="none" w:sz="0" w:space="0" w:color="auto"/>
          </w:divBdr>
        </w:div>
        <w:div w:id="1519738133">
          <w:marLeft w:val="0"/>
          <w:marRight w:val="0"/>
          <w:marTop w:val="0"/>
          <w:marBottom w:val="0"/>
          <w:divBdr>
            <w:top w:val="none" w:sz="0" w:space="0" w:color="auto"/>
            <w:left w:val="none" w:sz="0" w:space="0" w:color="auto"/>
            <w:bottom w:val="none" w:sz="0" w:space="0" w:color="auto"/>
            <w:right w:val="none" w:sz="0" w:space="0" w:color="auto"/>
          </w:divBdr>
        </w:div>
        <w:div w:id="1966232469">
          <w:marLeft w:val="0"/>
          <w:marRight w:val="0"/>
          <w:marTop w:val="0"/>
          <w:marBottom w:val="0"/>
          <w:divBdr>
            <w:top w:val="none" w:sz="0" w:space="0" w:color="auto"/>
            <w:left w:val="none" w:sz="0" w:space="0" w:color="auto"/>
            <w:bottom w:val="none" w:sz="0" w:space="0" w:color="auto"/>
            <w:right w:val="none" w:sz="0" w:space="0" w:color="auto"/>
          </w:divBdr>
        </w:div>
        <w:div w:id="2087145188">
          <w:marLeft w:val="0"/>
          <w:marRight w:val="0"/>
          <w:marTop w:val="0"/>
          <w:marBottom w:val="0"/>
          <w:divBdr>
            <w:top w:val="none" w:sz="0" w:space="0" w:color="auto"/>
            <w:left w:val="none" w:sz="0" w:space="0" w:color="auto"/>
            <w:bottom w:val="none" w:sz="0" w:space="0" w:color="auto"/>
            <w:right w:val="none" w:sz="0" w:space="0" w:color="auto"/>
          </w:divBdr>
        </w:div>
        <w:div w:id="2129935247">
          <w:marLeft w:val="0"/>
          <w:marRight w:val="0"/>
          <w:marTop w:val="0"/>
          <w:marBottom w:val="0"/>
          <w:divBdr>
            <w:top w:val="none" w:sz="0" w:space="0" w:color="auto"/>
            <w:left w:val="none" w:sz="0" w:space="0" w:color="auto"/>
            <w:bottom w:val="none" w:sz="0" w:space="0" w:color="auto"/>
            <w:right w:val="none" w:sz="0" w:space="0" w:color="auto"/>
          </w:divBdr>
        </w:div>
      </w:divsChild>
    </w:div>
    <w:div w:id="727848391">
      <w:bodyDiv w:val="1"/>
      <w:marLeft w:val="0"/>
      <w:marRight w:val="0"/>
      <w:marTop w:val="0"/>
      <w:marBottom w:val="0"/>
      <w:divBdr>
        <w:top w:val="none" w:sz="0" w:space="0" w:color="auto"/>
        <w:left w:val="none" w:sz="0" w:space="0" w:color="auto"/>
        <w:bottom w:val="none" w:sz="0" w:space="0" w:color="auto"/>
        <w:right w:val="none" w:sz="0" w:space="0" w:color="auto"/>
      </w:divBdr>
      <w:divsChild>
        <w:div w:id="9114806">
          <w:marLeft w:val="0"/>
          <w:marRight w:val="0"/>
          <w:marTop w:val="0"/>
          <w:marBottom w:val="0"/>
          <w:divBdr>
            <w:top w:val="none" w:sz="0" w:space="0" w:color="auto"/>
            <w:left w:val="none" w:sz="0" w:space="0" w:color="auto"/>
            <w:bottom w:val="none" w:sz="0" w:space="0" w:color="auto"/>
            <w:right w:val="none" w:sz="0" w:space="0" w:color="auto"/>
          </w:divBdr>
        </w:div>
        <w:div w:id="252007301">
          <w:marLeft w:val="0"/>
          <w:marRight w:val="0"/>
          <w:marTop w:val="0"/>
          <w:marBottom w:val="0"/>
          <w:divBdr>
            <w:top w:val="none" w:sz="0" w:space="0" w:color="auto"/>
            <w:left w:val="none" w:sz="0" w:space="0" w:color="auto"/>
            <w:bottom w:val="none" w:sz="0" w:space="0" w:color="auto"/>
            <w:right w:val="none" w:sz="0" w:space="0" w:color="auto"/>
          </w:divBdr>
        </w:div>
        <w:div w:id="561018632">
          <w:marLeft w:val="0"/>
          <w:marRight w:val="0"/>
          <w:marTop w:val="0"/>
          <w:marBottom w:val="0"/>
          <w:divBdr>
            <w:top w:val="none" w:sz="0" w:space="0" w:color="auto"/>
            <w:left w:val="none" w:sz="0" w:space="0" w:color="auto"/>
            <w:bottom w:val="none" w:sz="0" w:space="0" w:color="auto"/>
            <w:right w:val="none" w:sz="0" w:space="0" w:color="auto"/>
          </w:divBdr>
        </w:div>
        <w:div w:id="568157687">
          <w:marLeft w:val="0"/>
          <w:marRight w:val="0"/>
          <w:marTop w:val="0"/>
          <w:marBottom w:val="0"/>
          <w:divBdr>
            <w:top w:val="none" w:sz="0" w:space="0" w:color="auto"/>
            <w:left w:val="none" w:sz="0" w:space="0" w:color="auto"/>
            <w:bottom w:val="none" w:sz="0" w:space="0" w:color="auto"/>
            <w:right w:val="none" w:sz="0" w:space="0" w:color="auto"/>
          </w:divBdr>
          <w:divsChild>
            <w:div w:id="272439752">
              <w:marLeft w:val="0"/>
              <w:marRight w:val="0"/>
              <w:marTop w:val="0"/>
              <w:marBottom w:val="0"/>
              <w:divBdr>
                <w:top w:val="none" w:sz="0" w:space="0" w:color="auto"/>
                <w:left w:val="none" w:sz="0" w:space="0" w:color="auto"/>
                <w:bottom w:val="none" w:sz="0" w:space="0" w:color="auto"/>
                <w:right w:val="none" w:sz="0" w:space="0" w:color="auto"/>
              </w:divBdr>
            </w:div>
            <w:div w:id="1063984061">
              <w:marLeft w:val="0"/>
              <w:marRight w:val="0"/>
              <w:marTop w:val="0"/>
              <w:marBottom w:val="0"/>
              <w:divBdr>
                <w:top w:val="none" w:sz="0" w:space="0" w:color="auto"/>
                <w:left w:val="none" w:sz="0" w:space="0" w:color="auto"/>
                <w:bottom w:val="none" w:sz="0" w:space="0" w:color="auto"/>
                <w:right w:val="none" w:sz="0" w:space="0" w:color="auto"/>
              </w:divBdr>
            </w:div>
            <w:div w:id="1757550677">
              <w:marLeft w:val="0"/>
              <w:marRight w:val="0"/>
              <w:marTop w:val="0"/>
              <w:marBottom w:val="0"/>
              <w:divBdr>
                <w:top w:val="none" w:sz="0" w:space="0" w:color="auto"/>
                <w:left w:val="none" w:sz="0" w:space="0" w:color="auto"/>
                <w:bottom w:val="none" w:sz="0" w:space="0" w:color="auto"/>
                <w:right w:val="none" w:sz="0" w:space="0" w:color="auto"/>
              </w:divBdr>
            </w:div>
          </w:divsChild>
        </w:div>
        <w:div w:id="761069865">
          <w:marLeft w:val="0"/>
          <w:marRight w:val="0"/>
          <w:marTop w:val="0"/>
          <w:marBottom w:val="0"/>
          <w:divBdr>
            <w:top w:val="none" w:sz="0" w:space="0" w:color="auto"/>
            <w:left w:val="none" w:sz="0" w:space="0" w:color="auto"/>
            <w:bottom w:val="none" w:sz="0" w:space="0" w:color="auto"/>
            <w:right w:val="none" w:sz="0" w:space="0" w:color="auto"/>
          </w:divBdr>
        </w:div>
        <w:div w:id="844590020">
          <w:marLeft w:val="0"/>
          <w:marRight w:val="0"/>
          <w:marTop w:val="0"/>
          <w:marBottom w:val="0"/>
          <w:divBdr>
            <w:top w:val="none" w:sz="0" w:space="0" w:color="auto"/>
            <w:left w:val="none" w:sz="0" w:space="0" w:color="auto"/>
            <w:bottom w:val="none" w:sz="0" w:space="0" w:color="auto"/>
            <w:right w:val="none" w:sz="0" w:space="0" w:color="auto"/>
          </w:divBdr>
        </w:div>
        <w:div w:id="959337758">
          <w:marLeft w:val="0"/>
          <w:marRight w:val="0"/>
          <w:marTop w:val="0"/>
          <w:marBottom w:val="0"/>
          <w:divBdr>
            <w:top w:val="none" w:sz="0" w:space="0" w:color="auto"/>
            <w:left w:val="none" w:sz="0" w:space="0" w:color="auto"/>
            <w:bottom w:val="none" w:sz="0" w:space="0" w:color="auto"/>
            <w:right w:val="none" w:sz="0" w:space="0" w:color="auto"/>
          </w:divBdr>
          <w:divsChild>
            <w:div w:id="262956225">
              <w:marLeft w:val="0"/>
              <w:marRight w:val="0"/>
              <w:marTop w:val="0"/>
              <w:marBottom w:val="0"/>
              <w:divBdr>
                <w:top w:val="none" w:sz="0" w:space="0" w:color="auto"/>
                <w:left w:val="none" w:sz="0" w:space="0" w:color="auto"/>
                <w:bottom w:val="none" w:sz="0" w:space="0" w:color="auto"/>
                <w:right w:val="none" w:sz="0" w:space="0" w:color="auto"/>
              </w:divBdr>
            </w:div>
            <w:div w:id="451901410">
              <w:marLeft w:val="0"/>
              <w:marRight w:val="0"/>
              <w:marTop w:val="0"/>
              <w:marBottom w:val="0"/>
              <w:divBdr>
                <w:top w:val="none" w:sz="0" w:space="0" w:color="auto"/>
                <w:left w:val="none" w:sz="0" w:space="0" w:color="auto"/>
                <w:bottom w:val="none" w:sz="0" w:space="0" w:color="auto"/>
                <w:right w:val="none" w:sz="0" w:space="0" w:color="auto"/>
              </w:divBdr>
            </w:div>
            <w:div w:id="716399396">
              <w:marLeft w:val="0"/>
              <w:marRight w:val="0"/>
              <w:marTop w:val="0"/>
              <w:marBottom w:val="0"/>
              <w:divBdr>
                <w:top w:val="none" w:sz="0" w:space="0" w:color="auto"/>
                <w:left w:val="none" w:sz="0" w:space="0" w:color="auto"/>
                <w:bottom w:val="none" w:sz="0" w:space="0" w:color="auto"/>
                <w:right w:val="none" w:sz="0" w:space="0" w:color="auto"/>
              </w:divBdr>
            </w:div>
            <w:div w:id="1277374108">
              <w:marLeft w:val="0"/>
              <w:marRight w:val="0"/>
              <w:marTop w:val="0"/>
              <w:marBottom w:val="0"/>
              <w:divBdr>
                <w:top w:val="none" w:sz="0" w:space="0" w:color="auto"/>
                <w:left w:val="none" w:sz="0" w:space="0" w:color="auto"/>
                <w:bottom w:val="none" w:sz="0" w:space="0" w:color="auto"/>
                <w:right w:val="none" w:sz="0" w:space="0" w:color="auto"/>
              </w:divBdr>
            </w:div>
            <w:div w:id="1409769419">
              <w:marLeft w:val="0"/>
              <w:marRight w:val="0"/>
              <w:marTop w:val="0"/>
              <w:marBottom w:val="0"/>
              <w:divBdr>
                <w:top w:val="none" w:sz="0" w:space="0" w:color="auto"/>
                <w:left w:val="none" w:sz="0" w:space="0" w:color="auto"/>
                <w:bottom w:val="none" w:sz="0" w:space="0" w:color="auto"/>
                <w:right w:val="none" w:sz="0" w:space="0" w:color="auto"/>
              </w:divBdr>
            </w:div>
          </w:divsChild>
        </w:div>
        <w:div w:id="1042555953">
          <w:marLeft w:val="0"/>
          <w:marRight w:val="0"/>
          <w:marTop w:val="0"/>
          <w:marBottom w:val="0"/>
          <w:divBdr>
            <w:top w:val="none" w:sz="0" w:space="0" w:color="auto"/>
            <w:left w:val="none" w:sz="0" w:space="0" w:color="auto"/>
            <w:bottom w:val="none" w:sz="0" w:space="0" w:color="auto"/>
            <w:right w:val="none" w:sz="0" w:space="0" w:color="auto"/>
          </w:divBdr>
          <w:divsChild>
            <w:div w:id="29574135">
              <w:marLeft w:val="0"/>
              <w:marRight w:val="0"/>
              <w:marTop w:val="0"/>
              <w:marBottom w:val="0"/>
              <w:divBdr>
                <w:top w:val="none" w:sz="0" w:space="0" w:color="auto"/>
                <w:left w:val="none" w:sz="0" w:space="0" w:color="auto"/>
                <w:bottom w:val="none" w:sz="0" w:space="0" w:color="auto"/>
                <w:right w:val="none" w:sz="0" w:space="0" w:color="auto"/>
              </w:divBdr>
            </w:div>
            <w:div w:id="175460317">
              <w:marLeft w:val="0"/>
              <w:marRight w:val="0"/>
              <w:marTop w:val="0"/>
              <w:marBottom w:val="0"/>
              <w:divBdr>
                <w:top w:val="none" w:sz="0" w:space="0" w:color="auto"/>
                <w:left w:val="none" w:sz="0" w:space="0" w:color="auto"/>
                <w:bottom w:val="none" w:sz="0" w:space="0" w:color="auto"/>
                <w:right w:val="none" w:sz="0" w:space="0" w:color="auto"/>
              </w:divBdr>
            </w:div>
            <w:div w:id="538131777">
              <w:marLeft w:val="0"/>
              <w:marRight w:val="0"/>
              <w:marTop w:val="0"/>
              <w:marBottom w:val="0"/>
              <w:divBdr>
                <w:top w:val="none" w:sz="0" w:space="0" w:color="auto"/>
                <w:left w:val="none" w:sz="0" w:space="0" w:color="auto"/>
                <w:bottom w:val="none" w:sz="0" w:space="0" w:color="auto"/>
                <w:right w:val="none" w:sz="0" w:space="0" w:color="auto"/>
              </w:divBdr>
            </w:div>
            <w:div w:id="1111708118">
              <w:marLeft w:val="0"/>
              <w:marRight w:val="0"/>
              <w:marTop w:val="0"/>
              <w:marBottom w:val="0"/>
              <w:divBdr>
                <w:top w:val="none" w:sz="0" w:space="0" w:color="auto"/>
                <w:left w:val="none" w:sz="0" w:space="0" w:color="auto"/>
                <w:bottom w:val="none" w:sz="0" w:space="0" w:color="auto"/>
                <w:right w:val="none" w:sz="0" w:space="0" w:color="auto"/>
              </w:divBdr>
            </w:div>
            <w:div w:id="2005232309">
              <w:marLeft w:val="0"/>
              <w:marRight w:val="0"/>
              <w:marTop w:val="0"/>
              <w:marBottom w:val="0"/>
              <w:divBdr>
                <w:top w:val="none" w:sz="0" w:space="0" w:color="auto"/>
                <w:left w:val="none" w:sz="0" w:space="0" w:color="auto"/>
                <w:bottom w:val="none" w:sz="0" w:space="0" w:color="auto"/>
                <w:right w:val="none" w:sz="0" w:space="0" w:color="auto"/>
              </w:divBdr>
            </w:div>
          </w:divsChild>
        </w:div>
        <w:div w:id="1529947316">
          <w:marLeft w:val="0"/>
          <w:marRight w:val="0"/>
          <w:marTop w:val="0"/>
          <w:marBottom w:val="0"/>
          <w:divBdr>
            <w:top w:val="none" w:sz="0" w:space="0" w:color="auto"/>
            <w:left w:val="none" w:sz="0" w:space="0" w:color="auto"/>
            <w:bottom w:val="none" w:sz="0" w:space="0" w:color="auto"/>
            <w:right w:val="none" w:sz="0" w:space="0" w:color="auto"/>
          </w:divBdr>
        </w:div>
        <w:div w:id="1979258589">
          <w:marLeft w:val="0"/>
          <w:marRight w:val="0"/>
          <w:marTop w:val="0"/>
          <w:marBottom w:val="0"/>
          <w:divBdr>
            <w:top w:val="none" w:sz="0" w:space="0" w:color="auto"/>
            <w:left w:val="none" w:sz="0" w:space="0" w:color="auto"/>
            <w:bottom w:val="none" w:sz="0" w:space="0" w:color="auto"/>
            <w:right w:val="none" w:sz="0" w:space="0" w:color="auto"/>
          </w:divBdr>
          <w:divsChild>
            <w:div w:id="779419858">
              <w:marLeft w:val="-75"/>
              <w:marRight w:val="0"/>
              <w:marTop w:val="30"/>
              <w:marBottom w:val="30"/>
              <w:divBdr>
                <w:top w:val="none" w:sz="0" w:space="0" w:color="auto"/>
                <w:left w:val="none" w:sz="0" w:space="0" w:color="auto"/>
                <w:bottom w:val="none" w:sz="0" w:space="0" w:color="auto"/>
                <w:right w:val="none" w:sz="0" w:space="0" w:color="auto"/>
              </w:divBdr>
              <w:divsChild>
                <w:div w:id="327752818">
                  <w:marLeft w:val="0"/>
                  <w:marRight w:val="0"/>
                  <w:marTop w:val="0"/>
                  <w:marBottom w:val="0"/>
                  <w:divBdr>
                    <w:top w:val="none" w:sz="0" w:space="0" w:color="auto"/>
                    <w:left w:val="none" w:sz="0" w:space="0" w:color="auto"/>
                    <w:bottom w:val="none" w:sz="0" w:space="0" w:color="auto"/>
                    <w:right w:val="none" w:sz="0" w:space="0" w:color="auto"/>
                  </w:divBdr>
                  <w:divsChild>
                    <w:div w:id="370688001">
                      <w:marLeft w:val="0"/>
                      <w:marRight w:val="0"/>
                      <w:marTop w:val="0"/>
                      <w:marBottom w:val="0"/>
                      <w:divBdr>
                        <w:top w:val="none" w:sz="0" w:space="0" w:color="auto"/>
                        <w:left w:val="none" w:sz="0" w:space="0" w:color="auto"/>
                        <w:bottom w:val="none" w:sz="0" w:space="0" w:color="auto"/>
                        <w:right w:val="none" w:sz="0" w:space="0" w:color="auto"/>
                      </w:divBdr>
                    </w:div>
                    <w:div w:id="454951760">
                      <w:marLeft w:val="0"/>
                      <w:marRight w:val="0"/>
                      <w:marTop w:val="0"/>
                      <w:marBottom w:val="0"/>
                      <w:divBdr>
                        <w:top w:val="none" w:sz="0" w:space="0" w:color="auto"/>
                        <w:left w:val="none" w:sz="0" w:space="0" w:color="auto"/>
                        <w:bottom w:val="none" w:sz="0" w:space="0" w:color="auto"/>
                        <w:right w:val="none" w:sz="0" w:space="0" w:color="auto"/>
                      </w:divBdr>
                    </w:div>
                    <w:div w:id="1790004734">
                      <w:marLeft w:val="0"/>
                      <w:marRight w:val="0"/>
                      <w:marTop w:val="0"/>
                      <w:marBottom w:val="0"/>
                      <w:divBdr>
                        <w:top w:val="none" w:sz="0" w:space="0" w:color="auto"/>
                        <w:left w:val="none" w:sz="0" w:space="0" w:color="auto"/>
                        <w:bottom w:val="none" w:sz="0" w:space="0" w:color="auto"/>
                        <w:right w:val="none" w:sz="0" w:space="0" w:color="auto"/>
                      </w:divBdr>
                    </w:div>
                    <w:div w:id="1815367134">
                      <w:marLeft w:val="0"/>
                      <w:marRight w:val="0"/>
                      <w:marTop w:val="0"/>
                      <w:marBottom w:val="0"/>
                      <w:divBdr>
                        <w:top w:val="none" w:sz="0" w:space="0" w:color="auto"/>
                        <w:left w:val="none" w:sz="0" w:space="0" w:color="auto"/>
                        <w:bottom w:val="none" w:sz="0" w:space="0" w:color="auto"/>
                        <w:right w:val="none" w:sz="0" w:space="0" w:color="auto"/>
                      </w:divBdr>
                    </w:div>
                  </w:divsChild>
                </w:div>
                <w:div w:id="724067595">
                  <w:marLeft w:val="0"/>
                  <w:marRight w:val="0"/>
                  <w:marTop w:val="0"/>
                  <w:marBottom w:val="0"/>
                  <w:divBdr>
                    <w:top w:val="none" w:sz="0" w:space="0" w:color="auto"/>
                    <w:left w:val="none" w:sz="0" w:space="0" w:color="auto"/>
                    <w:bottom w:val="none" w:sz="0" w:space="0" w:color="auto"/>
                    <w:right w:val="none" w:sz="0" w:space="0" w:color="auto"/>
                  </w:divBdr>
                  <w:divsChild>
                    <w:div w:id="419563848">
                      <w:marLeft w:val="0"/>
                      <w:marRight w:val="0"/>
                      <w:marTop w:val="0"/>
                      <w:marBottom w:val="0"/>
                      <w:divBdr>
                        <w:top w:val="none" w:sz="0" w:space="0" w:color="auto"/>
                        <w:left w:val="none" w:sz="0" w:space="0" w:color="auto"/>
                        <w:bottom w:val="none" w:sz="0" w:space="0" w:color="auto"/>
                        <w:right w:val="none" w:sz="0" w:space="0" w:color="auto"/>
                      </w:divBdr>
                    </w:div>
                  </w:divsChild>
                </w:div>
                <w:div w:id="777679427">
                  <w:marLeft w:val="0"/>
                  <w:marRight w:val="0"/>
                  <w:marTop w:val="0"/>
                  <w:marBottom w:val="0"/>
                  <w:divBdr>
                    <w:top w:val="none" w:sz="0" w:space="0" w:color="auto"/>
                    <w:left w:val="none" w:sz="0" w:space="0" w:color="auto"/>
                    <w:bottom w:val="none" w:sz="0" w:space="0" w:color="auto"/>
                    <w:right w:val="none" w:sz="0" w:space="0" w:color="auto"/>
                  </w:divBdr>
                  <w:divsChild>
                    <w:div w:id="10494399">
                      <w:marLeft w:val="0"/>
                      <w:marRight w:val="0"/>
                      <w:marTop w:val="0"/>
                      <w:marBottom w:val="0"/>
                      <w:divBdr>
                        <w:top w:val="none" w:sz="0" w:space="0" w:color="auto"/>
                        <w:left w:val="none" w:sz="0" w:space="0" w:color="auto"/>
                        <w:bottom w:val="none" w:sz="0" w:space="0" w:color="auto"/>
                        <w:right w:val="none" w:sz="0" w:space="0" w:color="auto"/>
                      </w:divBdr>
                    </w:div>
                    <w:div w:id="75369067">
                      <w:marLeft w:val="0"/>
                      <w:marRight w:val="0"/>
                      <w:marTop w:val="0"/>
                      <w:marBottom w:val="0"/>
                      <w:divBdr>
                        <w:top w:val="none" w:sz="0" w:space="0" w:color="auto"/>
                        <w:left w:val="none" w:sz="0" w:space="0" w:color="auto"/>
                        <w:bottom w:val="none" w:sz="0" w:space="0" w:color="auto"/>
                        <w:right w:val="none" w:sz="0" w:space="0" w:color="auto"/>
                      </w:divBdr>
                    </w:div>
                    <w:div w:id="200871791">
                      <w:marLeft w:val="0"/>
                      <w:marRight w:val="0"/>
                      <w:marTop w:val="0"/>
                      <w:marBottom w:val="0"/>
                      <w:divBdr>
                        <w:top w:val="none" w:sz="0" w:space="0" w:color="auto"/>
                        <w:left w:val="none" w:sz="0" w:space="0" w:color="auto"/>
                        <w:bottom w:val="none" w:sz="0" w:space="0" w:color="auto"/>
                        <w:right w:val="none" w:sz="0" w:space="0" w:color="auto"/>
                      </w:divBdr>
                    </w:div>
                    <w:div w:id="516120346">
                      <w:marLeft w:val="0"/>
                      <w:marRight w:val="0"/>
                      <w:marTop w:val="0"/>
                      <w:marBottom w:val="0"/>
                      <w:divBdr>
                        <w:top w:val="none" w:sz="0" w:space="0" w:color="auto"/>
                        <w:left w:val="none" w:sz="0" w:space="0" w:color="auto"/>
                        <w:bottom w:val="none" w:sz="0" w:space="0" w:color="auto"/>
                        <w:right w:val="none" w:sz="0" w:space="0" w:color="auto"/>
                      </w:divBdr>
                    </w:div>
                    <w:div w:id="1395279435">
                      <w:marLeft w:val="0"/>
                      <w:marRight w:val="0"/>
                      <w:marTop w:val="0"/>
                      <w:marBottom w:val="0"/>
                      <w:divBdr>
                        <w:top w:val="none" w:sz="0" w:space="0" w:color="auto"/>
                        <w:left w:val="none" w:sz="0" w:space="0" w:color="auto"/>
                        <w:bottom w:val="none" w:sz="0" w:space="0" w:color="auto"/>
                        <w:right w:val="none" w:sz="0" w:space="0" w:color="auto"/>
                      </w:divBdr>
                    </w:div>
                    <w:div w:id="1957330219">
                      <w:marLeft w:val="0"/>
                      <w:marRight w:val="0"/>
                      <w:marTop w:val="0"/>
                      <w:marBottom w:val="0"/>
                      <w:divBdr>
                        <w:top w:val="none" w:sz="0" w:space="0" w:color="auto"/>
                        <w:left w:val="none" w:sz="0" w:space="0" w:color="auto"/>
                        <w:bottom w:val="none" w:sz="0" w:space="0" w:color="auto"/>
                        <w:right w:val="none" w:sz="0" w:space="0" w:color="auto"/>
                      </w:divBdr>
                    </w:div>
                  </w:divsChild>
                </w:div>
                <w:div w:id="1077091905">
                  <w:marLeft w:val="0"/>
                  <w:marRight w:val="0"/>
                  <w:marTop w:val="0"/>
                  <w:marBottom w:val="0"/>
                  <w:divBdr>
                    <w:top w:val="none" w:sz="0" w:space="0" w:color="auto"/>
                    <w:left w:val="none" w:sz="0" w:space="0" w:color="auto"/>
                    <w:bottom w:val="none" w:sz="0" w:space="0" w:color="auto"/>
                    <w:right w:val="none" w:sz="0" w:space="0" w:color="auto"/>
                  </w:divBdr>
                  <w:divsChild>
                    <w:div w:id="212813754">
                      <w:marLeft w:val="0"/>
                      <w:marRight w:val="0"/>
                      <w:marTop w:val="0"/>
                      <w:marBottom w:val="0"/>
                      <w:divBdr>
                        <w:top w:val="none" w:sz="0" w:space="0" w:color="auto"/>
                        <w:left w:val="none" w:sz="0" w:space="0" w:color="auto"/>
                        <w:bottom w:val="none" w:sz="0" w:space="0" w:color="auto"/>
                        <w:right w:val="none" w:sz="0" w:space="0" w:color="auto"/>
                      </w:divBdr>
                    </w:div>
                    <w:div w:id="1020162051">
                      <w:marLeft w:val="0"/>
                      <w:marRight w:val="0"/>
                      <w:marTop w:val="0"/>
                      <w:marBottom w:val="0"/>
                      <w:divBdr>
                        <w:top w:val="none" w:sz="0" w:space="0" w:color="auto"/>
                        <w:left w:val="none" w:sz="0" w:space="0" w:color="auto"/>
                        <w:bottom w:val="none" w:sz="0" w:space="0" w:color="auto"/>
                        <w:right w:val="none" w:sz="0" w:space="0" w:color="auto"/>
                      </w:divBdr>
                    </w:div>
                    <w:div w:id="1067649397">
                      <w:marLeft w:val="0"/>
                      <w:marRight w:val="0"/>
                      <w:marTop w:val="0"/>
                      <w:marBottom w:val="0"/>
                      <w:divBdr>
                        <w:top w:val="none" w:sz="0" w:space="0" w:color="auto"/>
                        <w:left w:val="none" w:sz="0" w:space="0" w:color="auto"/>
                        <w:bottom w:val="none" w:sz="0" w:space="0" w:color="auto"/>
                        <w:right w:val="none" w:sz="0" w:space="0" w:color="auto"/>
                      </w:divBdr>
                    </w:div>
                    <w:div w:id="1560164975">
                      <w:marLeft w:val="0"/>
                      <w:marRight w:val="0"/>
                      <w:marTop w:val="0"/>
                      <w:marBottom w:val="0"/>
                      <w:divBdr>
                        <w:top w:val="none" w:sz="0" w:space="0" w:color="auto"/>
                        <w:left w:val="none" w:sz="0" w:space="0" w:color="auto"/>
                        <w:bottom w:val="none" w:sz="0" w:space="0" w:color="auto"/>
                        <w:right w:val="none" w:sz="0" w:space="0" w:color="auto"/>
                      </w:divBdr>
                    </w:div>
                  </w:divsChild>
                </w:div>
                <w:div w:id="1372535317">
                  <w:marLeft w:val="0"/>
                  <w:marRight w:val="0"/>
                  <w:marTop w:val="0"/>
                  <w:marBottom w:val="0"/>
                  <w:divBdr>
                    <w:top w:val="none" w:sz="0" w:space="0" w:color="auto"/>
                    <w:left w:val="none" w:sz="0" w:space="0" w:color="auto"/>
                    <w:bottom w:val="none" w:sz="0" w:space="0" w:color="auto"/>
                    <w:right w:val="none" w:sz="0" w:space="0" w:color="auto"/>
                  </w:divBdr>
                  <w:divsChild>
                    <w:div w:id="95567928">
                      <w:marLeft w:val="0"/>
                      <w:marRight w:val="0"/>
                      <w:marTop w:val="0"/>
                      <w:marBottom w:val="0"/>
                      <w:divBdr>
                        <w:top w:val="none" w:sz="0" w:space="0" w:color="auto"/>
                        <w:left w:val="none" w:sz="0" w:space="0" w:color="auto"/>
                        <w:bottom w:val="none" w:sz="0" w:space="0" w:color="auto"/>
                        <w:right w:val="none" w:sz="0" w:space="0" w:color="auto"/>
                      </w:divBdr>
                    </w:div>
                  </w:divsChild>
                </w:div>
                <w:div w:id="1419016497">
                  <w:marLeft w:val="0"/>
                  <w:marRight w:val="0"/>
                  <w:marTop w:val="0"/>
                  <w:marBottom w:val="0"/>
                  <w:divBdr>
                    <w:top w:val="none" w:sz="0" w:space="0" w:color="auto"/>
                    <w:left w:val="none" w:sz="0" w:space="0" w:color="auto"/>
                    <w:bottom w:val="none" w:sz="0" w:space="0" w:color="auto"/>
                    <w:right w:val="none" w:sz="0" w:space="0" w:color="auto"/>
                  </w:divBdr>
                  <w:divsChild>
                    <w:div w:id="315955672">
                      <w:marLeft w:val="0"/>
                      <w:marRight w:val="0"/>
                      <w:marTop w:val="0"/>
                      <w:marBottom w:val="0"/>
                      <w:divBdr>
                        <w:top w:val="none" w:sz="0" w:space="0" w:color="auto"/>
                        <w:left w:val="none" w:sz="0" w:space="0" w:color="auto"/>
                        <w:bottom w:val="none" w:sz="0" w:space="0" w:color="auto"/>
                        <w:right w:val="none" w:sz="0" w:space="0" w:color="auto"/>
                      </w:divBdr>
                    </w:div>
                    <w:div w:id="1448305736">
                      <w:marLeft w:val="0"/>
                      <w:marRight w:val="0"/>
                      <w:marTop w:val="0"/>
                      <w:marBottom w:val="0"/>
                      <w:divBdr>
                        <w:top w:val="none" w:sz="0" w:space="0" w:color="auto"/>
                        <w:left w:val="none" w:sz="0" w:space="0" w:color="auto"/>
                        <w:bottom w:val="none" w:sz="0" w:space="0" w:color="auto"/>
                        <w:right w:val="none" w:sz="0" w:space="0" w:color="auto"/>
                      </w:divBdr>
                    </w:div>
                  </w:divsChild>
                </w:div>
                <w:div w:id="1491369346">
                  <w:marLeft w:val="0"/>
                  <w:marRight w:val="0"/>
                  <w:marTop w:val="0"/>
                  <w:marBottom w:val="0"/>
                  <w:divBdr>
                    <w:top w:val="none" w:sz="0" w:space="0" w:color="auto"/>
                    <w:left w:val="none" w:sz="0" w:space="0" w:color="auto"/>
                    <w:bottom w:val="none" w:sz="0" w:space="0" w:color="auto"/>
                    <w:right w:val="none" w:sz="0" w:space="0" w:color="auto"/>
                  </w:divBdr>
                  <w:divsChild>
                    <w:div w:id="630020584">
                      <w:marLeft w:val="0"/>
                      <w:marRight w:val="0"/>
                      <w:marTop w:val="0"/>
                      <w:marBottom w:val="0"/>
                      <w:divBdr>
                        <w:top w:val="none" w:sz="0" w:space="0" w:color="auto"/>
                        <w:left w:val="none" w:sz="0" w:space="0" w:color="auto"/>
                        <w:bottom w:val="none" w:sz="0" w:space="0" w:color="auto"/>
                        <w:right w:val="none" w:sz="0" w:space="0" w:color="auto"/>
                      </w:divBdr>
                    </w:div>
                    <w:div w:id="1115365013">
                      <w:marLeft w:val="0"/>
                      <w:marRight w:val="0"/>
                      <w:marTop w:val="0"/>
                      <w:marBottom w:val="0"/>
                      <w:divBdr>
                        <w:top w:val="none" w:sz="0" w:space="0" w:color="auto"/>
                        <w:left w:val="none" w:sz="0" w:space="0" w:color="auto"/>
                        <w:bottom w:val="none" w:sz="0" w:space="0" w:color="auto"/>
                        <w:right w:val="none" w:sz="0" w:space="0" w:color="auto"/>
                      </w:divBdr>
                    </w:div>
                    <w:div w:id="1310669800">
                      <w:marLeft w:val="0"/>
                      <w:marRight w:val="0"/>
                      <w:marTop w:val="0"/>
                      <w:marBottom w:val="0"/>
                      <w:divBdr>
                        <w:top w:val="none" w:sz="0" w:space="0" w:color="auto"/>
                        <w:left w:val="none" w:sz="0" w:space="0" w:color="auto"/>
                        <w:bottom w:val="none" w:sz="0" w:space="0" w:color="auto"/>
                        <w:right w:val="none" w:sz="0" w:space="0" w:color="auto"/>
                      </w:divBdr>
                    </w:div>
                    <w:div w:id="1578638035">
                      <w:marLeft w:val="0"/>
                      <w:marRight w:val="0"/>
                      <w:marTop w:val="0"/>
                      <w:marBottom w:val="0"/>
                      <w:divBdr>
                        <w:top w:val="none" w:sz="0" w:space="0" w:color="auto"/>
                        <w:left w:val="none" w:sz="0" w:space="0" w:color="auto"/>
                        <w:bottom w:val="none" w:sz="0" w:space="0" w:color="auto"/>
                        <w:right w:val="none" w:sz="0" w:space="0" w:color="auto"/>
                      </w:divBdr>
                    </w:div>
                  </w:divsChild>
                </w:div>
                <w:div w:id="1619528071">
                  <w:marLeft w:val="0"/>
                  <w:marRight w:val="0"/>
                  <w:marTop w:val="0"/>
                  <w:marBottom w:val="0"/>
                  <w:divBdr>
                    <w:top w:val="none" w:sz="0" w:space="0" w:color="auto"/>
                    <w:left w:val="none" w:sz="0" w:space="0" w:color="auto"/>
                    <w:bottom w:val="none" w:sz="0" w:space="0" w:color="auto"/>
                    <w:right w:val="none" w:sz="0" w:space="0" w:color="auto"/>
                  </w:divBdr>
                  <w:divsChild>
                    <w:div w:id="569510538">
                      <w:marLeft w:val="0"/>
                      <w:marRight w:val="0"/>
                      <w:marTop w:val="0"/>
                      <w:marBottom w:val="0"/>
                      <w:divBdr>
                        <w:top w:val="none" w:sz="0" w:space="0" w:color="auto"/>
                        <w:left w:val="none" w:sz="0" w:space="0" w:color="auto"/>
                        <w:bottom w:val="none" w:sz="0" w:space="0" w:color="auto"/>
                        <w:right w:val="none" w:sz="0" w:space="0" w:color="auto"/>
                      </w:divBdr>
                    </w:div>
                  </w:divsChild>
                </w:div>
                <w:div w:id="1991055309">
                  <w:marLeft w:val="0"/>
                  <w:marRight w:val="0"/>
                  <w:marTop w:val="0"/>
                  <w:marBottom w:val="0"/>
                  <w:divBdr>
                    <w:top w:val="none" w:sz="0" w:space="0" w:color="auto"/>
                    <w:left w:val="none" w:sz="0" w:space="0" w:color="auto"/>
                    <w:bottom w:val="none" w:sz="0" w:space="0" w:color="auto"/>
                    <w:right w:val="none" w:sz="0" w:space="0" w:color="auto"/>
                  </w:divBdr>
                  <w:divsChild>
                    <w:div w:id="300815499">
                      <w:marLeft w:val="0"/>
                      <w:marRight w:val="0"/>
                      <w:marTop w:val="0"/>
                      <w:marBottom w:val="0"/>
                      <w:divBdr>
                        <w:top w:val="none" w:sz="0" w:space="0" w:color="auto"/>
                        <w:left w:val="none" w:sz="0" w:space="0" w:color="auto"/>
                        <w:bottom w:val="none" w:sz="0" w:space="0" w:color="auto"/>
                        <w:right w:val="none" w:sz="0" w:space="0" w:color="auto"/>
                      </w:divBdr>
                    </w:div>
                    <w:div w:id="713165087">
                      <w:marLeft w:val="0"/>
                      <w:marRight w:val="0"/>
                      <w:marTop w:val="0"/>
                      <w:marBottom w:val="0"/>
                      <w:divBdr>
                        <w:top w:val="none" w:sz="0" w:space="0" w:color="auto"/>
                        <w:left w:val="none" w:sz="0" w:space="0" w:color="auto"/>
                        <w:bottom w:val="none" w:sz="0" w:space="0" w:color="auto"/>
                        <w:right w:val="none" w:sz="0" w:space="0" w:color="auto"/>
                      </w:divBdr>
                    </w:div>
                    <w:div w:id="2119710864">
                      <w:marLeft w:val="0"/>
                      <w:marRight w:val="0"/>
                      <w:marTop w:val="0"/>
                      <w:marBottom w:val="0"/>
                      <w:divBdr>
                        <w:top w:val="none" w:sz="0" w:space="0" w:color="auto"/>
                        <w:left w:val="none" w:sz="0" w:space="0" w:color="auto"/>
                        <w:bottom w:val="none" w:sz="0" w:space="0" w:color="auto"/>
                        <w:right w:val="none" w:sz="0" w:space="0" w:color="auto"/>
                      </w:divBdr>
                    </w:div>
                  </w:divsChild>
                </w:div>
                <w:div w:id="1999191564">
                  <w:marLeft w:val="0"/>
                  <w:marRight w:val="0"/>
                  <w:marTop w:val="0"/>
                  <w:marBottom w:val="0"/>
                  <w:divBdr>
                    <w:top w:val="none" w:sz="0" w:space="0" w:color="auto"/>
                    <w:left w:val="none" w:sz="0" w:space="0" w:color="auto"/>
                    <w:bottom w:val="none" w:sz="0" w:space="0" w:color="auto"/>
                    <w:right w:val="none" w:sz="0" w:space="0" w:color="auto"/>
                  </w:divBdr>
                  <w:divsChild>
                    <w:div w:id="122876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402692">
      <w:bodyDiv w:val="1"/>
      <w:marLeft w:val="0"/>
      <w:marRight w:val="0"/>
      <w:marTop w:val="0"/>
      <w:marBottom w:val="0"/>
      <w:divBdr>
        <w:top w:val="none" w:sz="0" w:space="0" w:color="auto"/>
        <w:left w:val="none" w:sz="0" w:space="0" w:color="auto"/>
        <w:bottom w:val="none" w:sz="0" w:space="0" w:color="auto"/>
        <w:right w:val="none" w:sz="0" w:space="0" w:color="auto"/>
      </w:divBdr>
    </w:div>
    <w:div w:id="1039402177">
      <w:bodyDiv w:val="1"/>
      <w:marLeft w:val="0"/>
      <w:marRight w:val="0"/>
      <w:marTop w:val="0"/>
      <w:marBottom w:val="0"/>
      <w:divBdr>
        <w:top w:val="none" w:sz="0" w:space="0" w:color="auto"/>
        <w:left w:val="none" w:sz="0" w:space="0" w:color="auto"/>
        <w:bottom w:val="none" w:sz="0" w:space="0" w:color="auto"/>
        <w:right w:val="none" w:sz="0" w:space="0" w:color="auto"/>
      </w:divBdr>
      <w:divsChild>
        <w:div w:id="212890301">
          <w:marLeft w:val="0"/>
          <w:marRight w:val="0"/>
          <w:marTop w:val="0"/>
          <w:marBottom w:val="0"/>
          <w:divBdr>
            <w:top w:val="none" w:sz="0" w:space="0" w:color="auto"/>
            <w:left w:val="none" w:sz="0" w:space="0" w:color="auto"/>
            <w:bottom w:val="none" w:sz="0" w:space="0" w:color="auto"/>
            <w:right w:val="none" w:sz="0" w:space="0" w:color="auto"/>
          </w:divBdr>
        </w:div>
        <w:div w:id="1448084653">
          <w:marLeft w:val="0"/>
          <w:marRight w:val="0"/>
          <w:marTop w:val="0"/>
          <w:marBottom w:val="0"/>
          <w:divBdr>
            <w:top w:val="none" w:sz="0" w:space="0" w:color="auto"/>
            <w:left w:val="none" w:sz="0" w:space="0" w:color="auto"/>
            <w:bottom w:val="none" w:sz="0" w:space="0" w:color="auto"/>
            <w:right w:val="none" w:sz="0" w:space="0" w:color="auto"/>
          </w:divBdr>
        </w:div>
        <w:div w:id="2031250887">
          <w:marLeft w:val="0"/>
          <w:marRight w:val="0"/>
          <w:marTop w:val="0"/>
          <w:marBottom w:val="0"/>
          <w:divBdr>
            <w:top w:val="none" w:sz="0" w:space="0" w:color="auto"/>
            <w:left w:val="none" w:sz="0" w:space="0" w:color="auto"/>
            <w:bottom w:val="none" w:sz="0" w:space="0" w:color="auto"/>
            <w:right w:val="none" w:sz="0" w:space="0" w:color="auto"/>
          </w:divBdr>
        </w:div>
      </w:divsChild>
    </w:div>
    <w:div w:id="1042360961">
      <w:bodyDiv w:val="1"/>
      <w:marLeft w:val="0"/>
      <w:marRight w:val="0"/>
      <w:marTop w:val="0"/>
      <w:marBottom w:val="0"/>
      <w:divBdr>
        <w:top w:val="none" w:sz="0" w:space="0" w:color="auto"/>
        <w:left w:val="none" w:sz="0" w:space="0" w:color="auto"/>
        <w:bottom w:val="none" w:sz="0" w:space="0" w:color="auto"/>
        <w:right w:val="none" w:sz="0" w:space="0" w:color="auto"/>
      </w:divBdr>
      <w:divsChild>
        <w:div w:id="723145161">
          <w:marLeft w:val="0"/>
          <w:marRight w:val="0"/>
          <w:marTop w:val="0"/>
          <w:marBottom w:val="0"/>
          <w:divBdr>
            <w:top w:val="none" w:sz="0" w:space="0" w:color="auto"/>
            <w:left w:val="none" w:sz="0" w:space="0" w:color="auto"/>
            <w:bottom w:val="none" w:sz="0" w:space="0" w:color="auto"/>
            <w:right w:val="none" w:sz="0" w:space="0" w:color="auto"/>
          </w:divBdr>
        </w:div>
        <w:div w:id="1733847212">
          <w:marLeft w:val="0"/>
          <w:marRight w:val="0"/>
          <w:marTop w:val="0"/>
          <w:marBottom w:val="0"/>
          <w:divBdr>
            <w:top w:val="none" w:sz="0" w:space="0" w:color="auto"/>
            <w:left w:val="none" w:sz="0" w:space="0" w:color="auto"/>
            <w:bottom w:val="none" w:sz="0" w:space="0" w:color="auto"/>
            <w:right w:val="none" w:sz="0" w:space="0" w:color="auto"/>
          </w:divBdr>
          <w:divsChild>
            <w:div w:id="403993624">
              <w:marLeft w:val="0"/>
              <w:marRight w:val="0"/>
              <w:marTop w:val="0"/>
              <w:marBottom w:val="0"/>
              <w:divBdr>
                <w:top w:val="none" w:sz="0" w:space="0" w:color="auto"/>
                <w:left w:val="none" w:sz="0" w:space="0" w:color="auto"/>
                <w:bottom w:val="none" w:sz="0" w:space="0" w:color="auto"/>
                <w:right w:val="none" w:sz="0" w:space="0" w:color="auto"/>
              </w:divBdr>
            </w:div>
            <w:div w:id="610861894">
              <w:marLeft w:val="0"/>
              <w:marRight w:val="0"/>
              <w:marTop w:val="0"/>
              <w:marBottom w:val="0"/>
              <w:divBdr>
                <w:top w:val="none" w:sz="0" w:space="0" w:color="auto"/>
                <w:left w:val="none" w:sz="0" w:space="0" w:color="auto"/>
                <w:bottom w:val="none" w:sz="0" w:space="0" w:color="auto"/>
                <w:right w:val="none" w:sz="0" w:space="0" w:color="auto"/>
              </w:divBdr>
            </w:div>
            <w:div w:id="1532721750">
              <w:marLeft w:val="0"/>
              <w:marRight w:val="0"/>
              <w:marTop w:val="0"/>
              <w:marBottom w:val="0"/>
              <w:divBdr>
                <w:top w:val="none" w:sz="0" w:space="0" w:color="auto"/>
                <w:left w:val="none" w:sz="0" w:space="0" w:color="auto"/>
                <w:bottom w:val="none" w:sz="0" w:space="0" w:color="auto"/>
                <w:right w:val="none" w:sz="0" w:space="0" w:color="auto"/>
              </w:divBdr>
            </w:div>
            <w:div w:id="15741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198570">
      <w:bodyDiv w:val="1"/>
      <w:marLeft w:val="0"/>
      <w:marRight w:val="0"/>
      <w:marTop w:val="0"/>
      <w:marBottom w:val="0"/>
      <w:divBdr>
        <w:top w:val="none" w:sz="0" w:space="0" w:color="auto"/>
        <w:left w:val="none" w:sz="0" w:space="0" w:color="auto"/>
        <w:bottom w:val="none" w:sz="0" w:space="0" w:color="auto"/>
        <w:right w:val="none" w:sz="0" w:space="0" w:color="auto"/>
      </w:divBdr>
      <w:divsChild>
        <w:div w:id="1068305288">
          <w:marLeft w:val="0"/>
          <w:marRight w:val="0"/>
          <w:marTop w:val="0"/>
          <w:marBottom w:val="0"/>
          <w:divBdr>
            <w:top w:val="none" w:sz="0" w:space="0" w:color="auto"/>
            <w:left w:val="none" w:sz="0" w:space="0" w:color="auto"/>
            <w:bottom w:val="none" w:sz="0" w:space="0" w:color="auto"/>
            <w:right w:val="none" w:sz="0" w:space="0" w:color="auto"/>
          </w:divBdr>
        </w:div>
        <w:div w:id="1879855703">
          <w:marLeft w:val="0"/>
          <w:marRight w:val="0"/>
          <w:marTop w:val="0"/>
          <w:marBottom w:val="0"/>
          <w:divBdr>
            <w:top w:val="none" w:sz="0" w:space="0" w:color="auto"/>
            <w:left w:val="none" w:sz="0" w:space="0" w:color="auto"/>
            <w:bottom w:val="none" w:sz="0" w:space="0" w:color="auto"/>
            <w:right w:val="none" w:sz="0" w:space="0" w:color="auto"/>
          </w:divBdr>
        </w:div>
        <w:div w:id="1916891423">
          <w:marLeft w:val="0"/>
          <w:marRight w:val="0"/>
          <w:marTop w:val="0"/>
          <w:marBottom w:val="0"/>
          <w:divBdr>
            <w:top w:val="none" w:sz="0" w:space="0" w:color="auto"/>
            <w:left w:val="none" w:sz="0" w:space="0" w:color="auto"/>
            <w:bottom w:val="none" w:sz="0" w:space="0" w:color="auto"/>
            <w:right w:val="none" w:sz="0" w:space="0" w:color="auto"/>
          </w:divBdr>
        </w:div>
      </w:divsChild>
    </w:div>
    <w:div w:id="1274240243">
      <w:bodyDiv w:val="1"/>
      <w:marLeft w:val="0"/>
      <w:marRight w:val="0"/>
      <w:marTop w:val="0"/>
      <w:marBottom w:val="0"/>
      <w:divBdr>
        <w:top w:val="none" w:sz="0" w:space="0" w:color="auto"/>
        <w:left w:val="none" w:sz="0" w:space="0" w:color="auto"/>
        <w:bottom w:val="none" w:sz="0" w:space="0" w:color="auto"/>
        <w:right w:val="none" w:sz="0" w:space="0" w:color="auto"/>
      </w:divBdr>
      <w:divsChild>
        <w:div w:id="6294116">
          <w:marLeft w:val="0"/>
          <w:marRight w:val="0"/>
          <w:marTop w:val="0"/>
          <w:marBottom w:val="0"/>
          <w:divBdr>
            <w:top w:val="none" w:sz="0" w:space="0" w:color="auto"/>
            <w:left w:val="none" w:sz="0" w:space="0" w:color="auto"/>
            <w:bottom w:val="none" w:sz="0" w:space="0" w:color="auto"/>
            <w:right w:val="none" w:sz="0" w:space="0" w:color="auto"/>
          </w:divBdr>
        </w:div>
        <w:div w:id="19165496">
          <w:marLeft w:val="0"/>
          <w:marRight w:val="0"/>
          <w:marTop w:val="0"/>
          <w:marBottom w:val="0"/>
          <w:divBdr>
            <w:top w:val="none" w:sz="0" w:space="0" w:color="auto"/>
            <w:left w:val="none" w:sz="0" w:space="0" w:color="auto"/>
            <w:bottom w:val="none" w:sz="0" w:space="0" w:color="auto"/>
            <w:right w:val="none" w:sz="0" w:space="0" w:color="auto"/>
          </w:divBdr>
        </w:div>
        <w:div w:id="70085586">
          <w:marLeft w:val="0"/>
          <w:marRight w:val="0"/>
          <w:marTop w:val="0"/>
          <w:marBottom w:val="0"/>
          <w:divBdr>
            <w:top w:val="none" w:sz="0" w:space="0" w:color="auto"/>
            <w:left w:val="none" w:sz="0" w:space="0" w:color="auto"/>
            <w:bottom w:val="none" w:sz="0" w:space="0" w:color="auto"/>
            <w:right w:val="none" w:sz="0" w:space="0" w:color="auto"/>
          </w:divBdr>
        </w:div>
        <w:div w:id="71706365">
          <w:marLeft w:val="0"/>
          <w:marRight w:val="0"/>
          <w:marTop w:val="0"/>
          <w:marBottom w:val="0"/>
          <w:divBdr>
            <w:top w:val="none" w:sz="0" w:space="0" w:color="auto"/>
            <w:left w:val="none" w:sz="0" w:space="0" w:color="auto"/>
            <w:bottom w:val="none" w:sz="0" w:space="0" w:color="auto"/>
            <w:right w:val="none" w:sz="0" w:space="0" w:color="auto"/>
          </w:divBdr>
          <w:divsChild>
            <w:div w:id="61176725">
              <w:marLeft w:val="0"/>
              <w:marRight w:val="0"/>
              <w:marTop w:val="0"/>
              <w:marBottom w:val="0"/>
              <w:divBdr>
                <w:top w:val="none" w:sz="0" w:space="0" w:color="auto"/>
                <w:left w:val="none" w:sz="0" w:space="0" w:color="auto"/>
                <w:bottom w:val="none" w:sz="0" w:space="0" w:color="auto"/>
                <w:right w:val="none" w:sz="0" w:space="0" w:color="auto"/>
              </w:divBdr>
            </w:div>
            <w:div w:id="101999650">
              <w:marLeft w:val="0"/>
              <w:marRight w:val="0"/>
              <w:marTop w:val="0"/>
              <w:marBottom w:val="0"/>
              <w:divBdr>
                <w:top w:val="none" w:sz="0" w:space="0" w:color="auto"/>
                <w:left w:val="none" w:sz="0" w:space="0" w:color="auto"/>
                <w:bottom w:val="none" w:sz="0" w:space="0" w:color="auto"/>
                <w:right w:val="none" w:sz="0" w:space="0" w:color="auto"/>
              </w:divBdr>
            </w:div>
            <w:div w:id="479617801">
              <w:marLeft w:val="0"/>
              <w:marRight w:val="0"/>
              <w:marTop w:val="0"/>
              <w:marBottom w:val="0"/>
              <w:divBdr>
                <w:top w:val="none" w:sz="0" w:space="0" w:color="auto"/>
                <w:left w:val="none" w:sz="0" w:space="0" w:color="auto"/>
                <w:bottom w:val="none" w:sz="0" w:space="0" w:color="auto"/>
                <w:right w:val="none" w:sz="0" w:space="0" w:color="auto"/>
              </w:divBdr>
            </w:div>
            <w:div w:id="1108232094">
              <w:marLeft w:val="0"/>
              <w:marRight w:val="0"/>
              <w:marTop w:val="0"/>
              <w:marBottom w:val="0"/>
              <w:divBdr>
                <w:top w:val="none" w:sz="0" w:space="0" w:color="auto"/>
                <w:left w:val="none" w:sz="0" w:space="0" w:color="auto"/>
                <w:bottom w:val="none" w:sz="0" w:space="0" w:color="auto"/>
                <w:right w:val="none" w:sz="0" w:space="0" w:color="auto"/>
              </w:divBdr>
            </w:div>
            <w:div w:id="1115976459">
              <w:marLeft w:val="0"/>
              <w:marRight w:val="0"/>
              <w:marTop w:val="0"/>
              <w:marBottom w:val="0"/>
              <w:divBdr>
                <w:top w:val="none" w:sz="0" w:space="0" w:color="auto"/>
                <w:left w:val="none" w:sz="0" w:space="0" w:color="auto"/>
                <w:bottom w:val="none" w:sz="0" w:space="0" w:color="auto"/>
                <w:right w:val="none" w:sz="0" w:space="0" w:color="auto"/>
              </w:divBdr>
            </w:div>
          </w:divsChild>
        </w:div>
        <w:div w:id="128590530">
          <w:marLeft w:val="0"/>
          <w:marRight w:val="0"/>
          <w:marTop w:val="0"/>
          <w:marBottom w:val="0"/>
          <w:divBdr>
            <w:top w:val="none" w:sz="0" w:space="0" w:color="auto"/>
            <w:left w:val="none" w:sz="0" w:space="0" w:color="auto"/>
            <w:bottom w:val="none" w:sz="0" w:space="0" w:color="auto"/>
            <w:right w:val="none" w:sz="0" w:space="0" w:color="auto"/>
          </w:divBdr>
        </w:div>
        <w:div w:id="184831818">
          <w:marLeft w:val="0"/>
          <w:marRight w:val="0"/>
          <w:marTop w:val="0"/>
          <w:marBottom w:val="0"/>
          <w:divBdr>
            <w:top w:val="none" w:sz="0" w:space="0" w:color="auto"/>
            <w:left w:val="none" w:sz="0" w:space="0" w:color="auto"/>
            <w:bottom w:val="none" w:sz="0" w:space="0" w:color="auto"/>
            <w:right w:val="none" w:sz="0" w:space="0" w:color="auto"/>
          </w:divBdr>
        </w:div>
        <w:div w:id="263533651">
          <w:marLeft w:val="0"/>
          <w:marRight w:val="0"/>
          <w:marTop w:val="0"/>
          <w:marBottom w:val="0"/>
          <w:divBdr>
            <w:top w:val="none" w:sz="0" w:space="0" w:color="auto"/>
            <w:left w:val="none" w:sz="0" w:space="0" w:color="auto"/>
            <w:bottom w:val="none" w:sz="0" w:space="0" w:color="auto"/>
            <w:right w:val="none" w:sz="0" w:space="0" w:color="auto"/>
          </w:divBdr>
        </w:div>
        <w:div w:id="300813107">
          <w:marLeft w:val="0"/>
          <w:marRight w:val="0"/>
          <w:marTop w:val="0"/>
          <w:marBottom w:val="0"/>
          <w:divBdr>
            <w:top w:val="none" w:sz="0" w:space="0" w:color="auto"/>
            <w:left w:val="none" w:sz="0" w:space="0" w:color="auto"/>
            <w:bottom w:val="none" w:sz="0" w:space="0" w:color="auto"/>
            <w:right w:val="none" w:sz="0" w:space="0" w:color="auto"/>
          </w:divBdr>
        </w:div>
        <w:div w:id="323557659">
          <w:marLeft w:val="0"/>
          <w:marRight w:val="0"/>
          <w:marTop w:val="0"/>
          <w:marBottom w:val="0"/>
          <w:divBdr>
            <w:top w:val="none" w:sz="0" w:space="0" w:color="auto"/>
            <w:left w:val="none" w:sz="0" w:space="0" w:color="auto"/>
            <w:bottom w:val="none" w:sz="0" w:space="0" w:color="auto"/>
            <w:right w:val="none" w:sz="0" w:space="0" w:color="auto"/>
          </w:divBdr>
        </w:div>
        <w:div w:id="399914076">
          <w:marLeft w:val="0"/>
          <w:marRight w:val="0"/>
          <w:marTop w:val="0"/>
          <w:marBottom w:val="0"/>
          <w:divBdr>
            <w:top w:val="none" w:sz="0" w:space="0" w:color="auto"/>
            <w:left w:val="none" w:sz="0" w:space="0" w:color="auto"/>
            <w:bottom w:val="none" w:sz="0" w:space="0" w:color="auto"/>
            <w:right w:val="none" w:sz="0" w:space="0" w:color="auto"/>
          </w:divBdr>
        </w:div>
        <w:div w:id="419837827">
          <w:marLeft w:val="0"/>
          <w:marRight w:val="0"/>
          <w:marTop w:val="0"/>
          <w:marBottom w:val="0"/>
          <w:divBdr>
            <w:top w:val="none" w:sz="0" w:space="0" w:color="auto"/>
            <w:left w:val="none" w:sz="0" w:space="0" w:color="auto"/>
            <w:bottom w:val="none" w:sz="0" w:space="0" w:color="auto"/>
            <w:right w:val="none" w:sz="0" w:space="0" w:color="auto"/>
          </w:divBdr>
        </w:div>
        <w:div w:id="590622447">
          <w:marLeft w:val="0"/>
          <w:marRight w:val="0"/>
          <w:marTop w:val="0"/>
          <w:marBottom w:val="0"/>
          <w:divBdr>
            <w:top w:val="none" w:sz="0" w:space="0" w:color="auto"/>
            <w:left w:val="none" w:sz="0" w:space="0" w:color="auto"/>
            <w:bottom w:val="none" w:sz="0" w:space="0" w:color="auto"/>
            <w:right w:val="none" w:sz="0" w:space="0" w:color="auto"/>
          </w:divBdr>
        </w:div>
        <w:div w:id="593783154">
          <w:marLeft w:val="0"/>
          <w:marRight w:val="0"/>
          <w:marTop w:val="0"/>
          <w:marBottom w:val="0"/>
          <w:divBdr>
            <w:top w:val="none" w:sz="0" w:space="0" w:color="auto"/>
            <w:left w:val="none" w:sz="0" w:space="0" w:color="auto"/>
            <w:bottom w:val="none" w:sz="0" w:space="0" w:color="auto"/>
            <w:right w:val="none" w:sz="0" w:space="0" w:color="auto"/>
          </w:divBdr>
        </w:div>
        <w:div w:id="600188904">
          <w:marLeft w:val="0"/>
          <w:marRight w:val="0"/>
          <w:marTop w:val="0"/>
          <w:marBottom w:val="0"/>
          <w:divBdr>
            <w:top w:val="none" w:sz="0" w:space="0" w:color="auto"/>
            <w:left w:val="none" w:sz="0" w:space="0" w:color="auto"/>
            <w:bottom w:val="none" w:sz="0" w:space="0" w:color="auto"/>
            <w:right w:val="none" w:sz="0" w:space="0" w:color="auto"/>
          </w:divBdr>
        </w:div>
        <w:div w:id="802161388">
          <w:marLeft w:val="0"/>
          <w:marRight w:val="0"/>
          <w:marTop w:val="0"/>
          <w:marBottom w:val="0"/>
          <w:divBdr>
            <w:top w:val="none" w:sz="0" w:space="0" w:color="auto"/>
            <w:left w:val="none" w:sz="0" w:space="0" w:color="auto"/>
            <w:bottom w:val="none" w:sz="0" w:space="0" w:color="auto"/>
            <w:right w:val="none" w:sz="0" w:space="0" w:color="auto"/>
          </w:divBdr>
        </w:div>
        <w:div w:id="861744324">
          <w:marLeft w:val="0"/>
          <w:marRight w:val="0"/>
          <w:marTop w:val="0"/>
          <w:marBottom w:val="0"/>
          <w:divBdr>
            <w:top w:val="none" w:sz="0" w:space="0" w:color="auto"/>
            <w:left w:val="none" w:sz="0" w:space="0" w:color="auto"/>
            <w:bottom w:val="none" w:sz="0" w:space="0" w:color="auto"/>
            <w:right w:val="none" w:sz="0" w:space="0" w:color="auto"/>
          </w:divBdr>
        </w:div>
        <w:div w:id="878979629">
          <w:marLeft w:val="0"/>
          <w:marRight w:val="0"/>
          <w:marTop w:val="0"/>
          <w:marBottom w:val="0"/>
          <w:divBdr>
            <w:top w:val="none" w:sz="0" w:space="0" w:color="auto"/>
            <w:left w:val="none" w:sz="0" w:space="0" w:color="auto"/>
            <w:bottom w:val="none" w:sz="0" w:space="0" w:color="auto"/>
            <w:right w:val="none" w:sz="0" w:space="0" w:color="auto"/>
          </w:divBdr>
        </w:div>
        <w:div w:id="952632843">
          <w:marLeft w:val="0"/>
          <w:marRight w:val="0"/>
          <w:marTop w:val="0"/>
          <w:marBottom w:val="0"/>
          <w:divBdr>
            <w:top w:val="none" w:sz="0" w:space="0" w:color="auto"/>
            <w:left w:val="none" w:sz="0" w:space="0" w:color="auto"/>
            <w:bottom w:val="none" w:sz="0" w:space="0" w:color="auto"/>
            <w:right w:val="none" w:sz="0" w:space="0" w:color="auto"/>
          </w:divBdr>
        </w:div>
        <w:div w:id="970868514">
          <w:marLeft w:val="0"/>
          <w:marRight w:val="0"/>
          <w:marTop w:val="0"/>
          <w:marBottom w:val="0"/>
          <w:divBdr>
            <w:top w:val="none" w:sz="0" w:space="0" w:color="auto"/>
            <w:left w:val="none" w:sz="0" w:space="0" w:color="auto"/>
            <w:bottom w:val="none" w:sz="0" w:space="0" w:color="auto"/>
            <w:right w:val="none" w:sz="0" w:space="0" w:color="auto"/>
          </w:divBdr>
        </w:div>
        <w:div w:id="1191988708">
          <w:marLeft w:val="0"/>
          <w:marRight w:val="0"/>
          <w:marTop w:val="0"/>
          <w:marBottom w:val="0"/>
          <w:divBdr>
            <w:top w:val="none" w:sz="0" w:space="0" w:color="auto"/>
            <w:left w:val="none" w:sz="0" w:space="0" w:color="auto"/>
            <w:bottom w:val="none" w:sz="0" w:space="0" w:color="auto"/>
            <w:right w:val="none" w:sz="0" w:space="0" w:color="auto"/>
          </w:divBdr>
        </w:div>
        <w:div w:id="1214274794">
          <w:marLeft w:val="0"/>
          <w:marRight w:val="0"/>
          <w:marTop w:val="0"/>
          <w:marBottom w:val="0"/>
          <w:divBdr>
            <w:top w:val="none" w:sz="0" w:space="0" w:color="auto"/>
            <w:left w:val="none" w:sz="0" w:space="0" w:color="auto"/>
            <w:bottom w:val="none" w:sz="0" w:space="0" w:color="auto"/>
            <w:right w:val="none" w:sz="0" w:space="0" w:color="auto"/>
          </w:divBdr>
        </w:div>
        <w:div w:id="1331248255">
          <w:marLeft w:val="0"/>
          <w:marRight w:val="0"/>
          <w:marTop w:val="0"/>
          <w:marBottom w:val="0"/>
          <w:divBdr>
            <w:top w:val="none" w:sz="0" w:space="0" w:color="auto"/>
            <w:left w:val="none" w:sz="0" w:space="0" w:color="auto"/>
            <w:bottom w:val="none" w:sz="0" w:space="0" w:color="auto"/>
            <w:right w:val="none" w:sz="0" w:space="0" w:color="auto"/>
          </w:divBdr>
        </w:div>
        <w:div w:id="1400202240">
          <w:marLeft w:val="0"/>
          <w:marRight w:val="0"/>
          <w:marTop w:val="0"/>
          <w:marBottom w:val="0"/>
          <w:divBdr>
            <w:top w:val="none" w:sz="0" w:space="0" w:color="auto"/>
            <w:left w:val="none" w:sz="0" w:space="0" w:color="auto"/>
            <w:bottom w:val="none" w:sz="0" w:space="0" w:color="auto"/>
            <w:right w:val="none" w:sz="0" w:space="0" w:color="auto"/>
          </w:divBdr>
        </w:div>
        <w:div w:id="1525750076">
          <w:marLeft w:val="0"/>
          <w:marRight w:val="0"/>
          <w:marTop w:val="0"/>
          <w:marBottom w:val="0"/>
          <w:divBdr>
            <w:top w:val="none" w:sz="0" w:space="0" w:color="auto"/>
            <w:left w:val="none" w:sz="0" w:space="0" w:color="auto"/>
            <w:bottom w:val="none" w:sz="0" w:space="0" w:color="auto"/>
            <w:right w:val="none" w:sz="0" w:space="0" w:color="auto"/>
          </w:divBdr>
        </w:div>
        <w:div w:id="1657295787">
          <w:marLeft w:val="0"/>
          <w:marRight w:val="0"/>
          <w:marTop w:val="0"/>
          <w:marBottom w:val="0"/>
          <w:divBdr>
            <w:top w:val="none" w:sz="0" w:space="0" w:color="auto"/>
            <w:left w:val="none" w:sz="0" w:space="0" w:color="auto"/>
            <w:bottom w:val="none" w:sz="0" w:space="0" w:color="auto"/>
            <w:right w:val="none" w:sz="0" w:space="0" w:color="auto"/>
          </w:divBdr>
        </w:div>
        <w:div w:id="1682856628">
          <w:marLeft w:val="0"/>
          <w:marRight w:val="0"/>
          <w:marTop w:val="0"/>
          <w:marBottom w:val="0"/>
          <w:divBdr>
            <w:top w:val="none" w:sz="0" w:space="0" w:color="auto"/>
            <w:left w:val="none" w:sz="0" w:space="0" w:color="auto"/>
            <w:bottom w:val="none" w:sz="0" w:space="0" w:color="auto"/>
            <w:right w:val="none" w:sz="0" w:space="0" w:color="auto"/>
          </w:divBdr>
        </w:div>
        <w:div w:id="1749113110">
          <w:marLeft w:val="0"/>
          <w:marRight w:val="0"/>
          <w:marTop w:val="0"/>
          <w:marBottom w:val="0"/>
          <w:divBdr>
            <w:top w:val="none" w:sz="0" w:space="0" w:color="auto"/>
            <w:left w:val="none" w:sz="0" w:space="0" w:color="auto"/>
            <w:bottom w:val="none" w:sz="0" w:space="0" w:color="auto"/>
            <w:right w:val="none" w:sz="0" w:space="0" w:color="auto"/>
          </w:divBdr>
        </w:div>
        <w:div w:id="1766265246">
          <w:marLeft w:val="0"/>
          <w:marRight w:val="0"/>
          <w:marTop w:val="0"/>
          <w:marBottom w:val="0"/>
          <w:divBdr>
            <w:top w:val="none" w:sz="0" w:space="0" w:color="auto"/>
            <w:left w:val="none" w:sz="0" w:space="0" w:color="auto"/>
            <w:bottom w:val="none" w:sz="0" w:space="0" w:color="auto"/>
            <w:right w:val="none" w:sz="0" w:space="0" w:color="auto"/>
          </w:divBdr>
        </w:div>
        <w:div w:id="1772045685">
          <w:marLeft w:val="0"/>
          <w:marRight w:val="0"/>
          <w:marTop w:val="0"/>
          <w:marBottom w:val="0"/>
          <w:divBdr>
            <w:top w:val="none" w:sz="0" w:space="0" w:color="auto"/>
            <w:left w:val="none" w:sz="0" w:space="0" w:color="auto"/>
            <w:bottom w:val="none" w:sz="0" w:space="0" w:color="auto"/>
            <w:right w:val="none" w:sz="0" w:space="0" w:color="auto"/>
          </w:divBdr>
        </w:div>
        <w:div w:id="1812600664">
          <w:marLeft w:val="0"/>
          <w:marRight w:val="0"/>
          <w:marTop w:val="0"/>
          <w:marBottom w:val="0"/>
          <w:divBdr>
            <w:top w:val="none" w:sz="0" w:space="0" w:color="auto"/>
            <w:left w:val="none" w:sz="0" w:space="0" w:color="auto"/>
            <w:bottom w:val="none" w:sz="0" w:space="0" w:color="auto"/>
            <w:right w:val="none" w:sz="0" w:space="0" w:color="auto"/>
          </w:divBdr>
        </w:div>
        <w:div w:id="1814713220">
          <w:marLeft w:val="0"/>
          <w:marRight w:val="0"/>
          <w:marTop w:val="0"/>
          <w:marBottom w:val="0"/>
          <w:divBdr>
            <w:top w:val="none" w:sz="0" w:space="0" w:color="auto"/>
            <w:left w:val="none" w:sz="0" w:space="0" w:color="auto"/>
            <w:bottom w:val="none" w:sz="0" w:space="0" w:color="auto"/>
            <w:right w:val="none" w:sz="0" w:space="0" w:color="auto"/>
          </w:divBdr>
        </w:div>
        <w:div w:id="1828595554">
          <w:marLeft w:val="0"/>
          <w:marRight w:val="0"/>
          <w:marTop w:val="0"/>
          <w:marBottom w:val="0"/>
          <w:divBdr>
            <w:top w:val="none" w:sz="0" w:space="0" w:color="auto"/>
            <w:left w:val="none" w:sz="0" w:space="0" w:color="auto"/>
            <w:bottom w:val="none" w:sz="0" w:space="0" w:color="auto"/>
            <w:right w:val="none" w:sz="0" w:space="0" w:color="auto"/>
          </w:divBdr>
          <w:divsChild>
            <w:div w:id="672758171">
              <w:marLeft w:val="0"/>
              <w:marRight w:val="0"/>
              <w:marTop w:val="0"/>
              <w:marBottom w:val="0"/>
              <w:divBdr>
                <w:top w:val="none" w:sz="0" w:space="0" w:color="auto"/>
                <w:left w:val="none" w:sz="0" w:space="0" w:color="auto"/>
                <w:bottom w:val="none" w:sz="0" w:space="0" w:color="auto"/>
                <w:right w:val="none" w:sz="0" w:space="0" w:color="auto"/>
              </w:divBdr>
            </w:div>
            <w:div w:id="887375411">
              <w:marLeft w:val="0"/>
              <w:marRight w:val="0"/>
              <w:marTop w:val="0"/>
              <w:marBottom w:val="0"/>
              <w:divBdr>
                <w:top w:val="none" w:sz="0" w:space="0" w:color="auto"/>
                <w:left w:val="none" w:sz="0" w:space="0" w:color="auto"/>
                <w:bottom w:val="none" w:sz="0" w:space="0" w:color="auto"/>
                <w:right w:val="none" w:sz="0" w:space="0" w:color="auto"/>
              </w:divBdr>
            </w:div>
            <w:div w:id="1321273597">
              <w:marLeft w:val="0"/>
              <w:marRight w:val="0"/>
              <w:marTop w:val="0"/>
              <w:marBottom w:val="0"/>
              <w:divBdr>
                <w:top w:val="none" w:sz="0" w:space="0" w:color="auto"/>
                <w:left w:val="none" w:sz="0" w:space="0" w:color="auto"/>
                <w:bottom w:val="none" w:sz="0" w:space="0" w:color="auto"/>
                <w:right w:val="none" w:sz="0" w:space="0" w:color="auto"/>
              </w:divBdr>
            </w:div>
            <w:div w:id="1392271337">
              <w:marLeft w:val="0"/>
              <w:marRight w:val="0"/>
              <w:marTop w:val="0"/>
              <w:marBottom w:val="0"/>
              <w:divBdr>
                <w:top w:val="none" w:sz="0" w:space="0" w:color="auto"/>
                <w:left w:val="none" w:sz="0" w:space="0" w:color="auto"/>
                <w:bottom w:val="none" w:sz="0" w:space="0" w:color="auto"/>
                <w:right w:val="none" w:sz="0" w:space="0" w:color="auto"/>
              </w:divBdr>
            </w:div>
            <w:div w:id="1815484480">
              <w:marLeft w:val="0"/>
              <w:marRight w:val="0"/>
              <w:marTop w:val="0"/>
              <w:marBottom w:val="0"/>
              <w:divBdr>
                <w:top w:val="none" w:sz="0" w:space="0" w:color="auto"/>
                <w:left w:val="none" w:sz="0" w:space="0" w:color="auto"/>
                <w:bottom w:val="none" w:sz="0" w:space="0" w:color="auto"/>
                <w:right w:val="none" w:sz="0" w:space="0" w:color="auto"/>
              </w:divBdr>
            </w:div>
          </w:divsChild>
        </w:div>
        <w:div w:id="1900969494">
          <w:marLeft w:val="0"/>
          <w:marRight w:val="0"/>
          <w:marTop w:val="0"/>
          <w:marBottom w:val="0"/>
          <w:divBdr>
            <w:top w:val="none" w:sz="0" w:space="0" w:color="auto"/>
            <w:left w:val="none" w:sz="0" w:space="0" w:color="auto"/>
            <w:bottom w:val="none" w:sz="0" w:space="0" w:color="auto"/>
            <w:right w:val="none" w:sz="0" w:space="0" w:color="auto"/>
          </w:divBdr>
        </w:div>
      </w:divsChild>
    </w:div>
    <w:div w:id="1381903800">
      <w:bodyDiv w:val="1"/>
      <w:marLeft w:val="0"/>
      <w:marRight w:val="0"/>
      <w:marTop w:val="0"/>
      <w:marBottom w:val="0"/>
      <w:divBdr>
        <w:top w:val="none" w:sz="0" w:space="0" w:color="auto"/>
        <w:left w:val="none" w:sz="0" w:space="0" w:color="auto"/>
        <w:bottom w:val="none" w:sz="0" w:space="0" w:color="auto"/>
        <w:right w:val="none" w:sz="0" w:space="0" w:color="auto"/>
      </w:divBdr>
    </w:div>
    <w:div w:id="1382486609">
      <w:bodyDiv w:val="1"/>
      <w:marLeft w:val="0"/>
      <w:marRight w:val="0"/>
      <w:marTop w:val="0"/>
      <w:marBottom w:val="0"/>
      <w:divBdr>
        <w:top w:val="none" w:sz="0" w:space="0" w:color="auto"/>
        <w:left w:val="none" w:sz="0" w:space="0" w:color="auto"/>
        <w:bottom w:val="none" w:sz="0" w:space="0" w:color="auto"/>
        <w:right w:val="none" w:sz="0" w:space="0" w:color="auto"/>
      </w:divBdr>
    </w:div>
    <w:div w:id="1432315816">
      <w:bodyDiv w:val="1"/>
      <w:marLeft w:val="0"/>
      <w:marRight w:val="0"/>
      <w:marTop w:val="0"/>
      <w:marBottom w:val="0"/>
      <w:divBdr>
        <w:top w:val="none" w:sz="0" w:space="0" w:color="auto"/>
        <w:left w:val="none" w:sz="0" w:space="0" w:color="auto"/>
        <w:bottom w:val="none" w:sz="0" w:space="0" w:color="auto"/>
        <w:right w:val="none" w:sz="0" w:space="0" w:color="auto"/>
      </w:divBdr>
      <w:divsChild>
        <w:div w:id="17120140">
          <w:marLeft w:val="0"/>
          <w:marRight w:val="0"/>
          <w:marTop w:val="0"/>
          <w:marBottom w:val="0"/>
          <w:divBdr>
            <w:top w:val="none" w:sz="0" w:space="0" w:color="auto"/>
            <w:left w:val="none" w:sz="0" w:space="0" w:color="auto"/>
            <w:bottom w:val="none" w:sz="0" w:space="0" w:color="auto"/>
            <w:right w:val="none" w:sz="0" w:space="0" w:color="auto"/>
          </w:divBdr>
        </w:div>
        <w:div w:id="165051371">
          <w:marLeft w:val="0"/>
          <w:marRight w:val="0"/>
          <w:marTop w:val="0"/>
          <w:marBottom w:val="0"/>
          <w:divBdr>
            <w:top w:val="none" w:sz="0" w:space="0" w:color="auto"/>
            <w:left w:val="none" w:sz="0" w:space="0" w:color="auto"/>
            <w:bottom w:val="none" w:sz="0" w:space="0" w:color="auto"/>
            <w:right w:val="none" w:sz="0" w:space="0" w:color="auto"/>
          </w:divBdr>
        </w:div>
        <w:div w:id="263269554">
          <w:marLeft w:val="0"/>
          <w:marRight w:val="0"/>
          <w:marTop w:val="0"/>
          <w:marBottom w:val="0"/>
          <w:divBdr>
            <w:top w:val="none" w:sz="0" w:space="0" w:color="auto"/>
            <w:left w:val="none" w:sz="0" w:space="0" w:color="auto"/>
            <w:bottom w:val="none" w:sz="0" w:space="0" w:color="auto"/>
            <w:right w:val="none" w:sz="0" w:space="0" w:color="auto"/>
          </w:divBdr>
        </w:div>
        <w:div w:id="329912268">
          <w:marLeft w:val="0"/>
          <w:marRight w:val="0"/>
          <w:marTop w:val="0"/>
          <w:marBottom w:val="0"/>
          <w:divBdr>
            <w:top w:val="none" w:sz="0" w:space="0" w:color="auto"/>
            <w:left w:val="none" w:sz="0" w:space="0" w:color="auto"/>
            <w:bottom w:val="none" w:sz="0" w:space="0" w:color="auto"/>
            <w:right w:val="none" w:sz="0" w:space="0" w:color="auto"/>
          </w:divBdr>
        </w:div>
        <w:div w:id="388843208">
          <w:marLeft w:val="0"/>
          <w:marRight w:val="0"/>
          <w:marTop w:val="0"/>
          <w:marBottom w:val="0"/>
          <w:divBdr>
            <w:top w:val="none" w:sz="0" w:space="0" w:color="auto"/>
            <w:left w:val="none" w:sz="0" w:space="0" w:color="auto"/>
            <w:bottom w:val="none" w:sz="0" w:space="0" w:color="auto"/>
            <w:right w:val="none" w:sz="0" w:space="0" w:color="auto"/>
          </w:divBdr>
        </w:div>
        <w:div w:id="755907457">
          <w:marLeft w:val="0"/>
          <w:marRight w:val="0"/>
          <w:marTop w:val="0"/>
          <w:marBottom w:val="0"/>
          <w:divBdr>
            <w:top w:val="none" w:sz="0" w:space="0" w:color="auto"/>
            <w:left w:val="none" w:sz="0" w:space="0" w:color="auto"/>
            <w:bottom w:val="none" w:sz="0" w:space="0" w:color="auto"/>
            <w:right w:val="none" w:sz="0" w:space="0" w:color="auto"/>
          </w:divBdr>
        </w:div>
        <w:div w:id="910773657">
          <w:marLeft w:val="0"/>
          <w:marRight w:val="0"/>
          <w:marTop w:val="0"/>
          <w:marBottom w:val="0"/>
          <w:divBdr>
            <w:top w:val="none" w:sz="0" w:space="0" w:color="auto"/>
            <w:left w:val="none" w:sz="0" w:space="0" w:color="auto"/>
            <w:bottom w:val="none" w:sz="0" w:space="0" w:color="auto"/>
            <w:right w:val="none" w:sz="0" w:space="0" w:color="auto"/>
          </w:divBdr>
        </w:div>
        <w:div w:id="1366520024">
          <w:marLeft w:val="0"/>
          <w:marRight w:val="0"/>
          <w:marTop w:val="0"/>
          <w:marBottom w:val="0"/>
          <w:divBdr>
            <w:top w:val="none" w:sz="0" w:space="0" w:color="auto"/>
            <w:left w:val="none" w:sz="0" w:space="0" w:color="auto"/>
            <w:bottom w:val="none" w:sz="0" w:space="0" w:color="auto"/>
            <w:right w:val="none" w:sz="0" w:space="0" w:color="auto"/>
          </w:divBdr>
        </w:div>
        <w:div w:id="2041271758">
          <w:marLeft w:val="0"/>
          <w:marRight w:val="0"/>
          <w:marTop w:val="0"/>
          <w:marBottom w:val="0"/>
          <w:divBdr>
            <w:top w:val="none" w:sz="0" w:space="0" w:color="auto"/>
            <w:left w:val="none" w:sz="0" w:space="0" w:color="auto"/>
            <w:bottom w:val="none" w:sz="0" w:space="0" w:color="auto"/>
            <w:right w:val="none" w:sz="0" w:space="0" w:color="auto"/>
          </w:divBdr>
        </w:div>
      </w:divsChild>
    </w:div>
    <w:div w:id="1454594237">
      <w:bodyDiv w:val="1"/>
      <w:marLeft w:val="0"/>
      <w:marRight w:val="0"/>
      <w:marTop w:val="0"/>
      <w:marBottom w:val="0"/>
      <w:divBdr>
        <w:top w:val="none" w:sz="0" w:space="0" w:color="auto"/>
        <w:left w:val="none" w:sz="0" w:space="0" w:color="auto"/>
        <w:bottom w:val="none" w:sz="0" w:space="0" w:color="auto"/>
        <w:right w:val="none" w:sz="0" w:space="0" w:color="auto"/>
      </w:divBdr>
      <w:divsChild>
        <w:div w:id="131291271">
          <w:marLeft w:val="0"/>
          <w:marRight w:val="0"/>
          <w:marTop w:val="0"/>
          <w:marBottom w:val="0"/>
          <w:divBdr>
            <w:top w:val="none" w:sz="0" w:space="0" w:color="auto"/>
            <w:left w:val="none" w:sz="0" w:space="0" w:color="auto"/>
            <w:bottom w:val="none" w:sz="0" w:space="0" w:color="auto"/>
            <w:right w:val="none" w:sz="0" w:space="0" w:color="auto"/>
          </w:divBdr>
          <w:divsChild>
            <w:div w:id="729039151">
              <w:marLeft w:val="0"/>
              <w:marRight w:val="0"/>
              <w:marTop w:val="0"/>
              <w:marBottom w:val="0"/>
              <w:divBdr>
                <w:top w:val="none" w:sz="0" w:space="0" w:color="auto"/>
                <w:left w:val="none" w:sz="0" w:space="0" w:color="auto"/>
                <w:bottom w:val="none" w:sz="0" w:space="0" w:color="auto"/>
                <w:right w:val="none" w:sz="0" w:space="0" w:color="auto"/>
              </w:divBdr>
            </w:div>
            <w:div w:id="857815144">
              <w:marLeft w:val="0"/>
              <w:marRight w:val="0"/>
              <w:marTop w:val="0"/>
              <w:marBottom w:val="0"/>
              <w:divBdr>
                <w:top w:val="none" w:sz="0" w:space="0" w:color="auto"/>
                <w:left w:val="none" w:sz="0" w:space="0" w:color="auto"/>
                <w:bottom w:val="none" w:sz="0" w:space="0" w:color="auto"/>
                <w:right w:val="none" w:sz="0" w:space="0" w:color="auto"/>
              </w:divBdr>
            </w:div>
            <w:div w:id="978848596">
              <w:marLeft w:val="0"/>
              <w:marRight w:val="0"/>
              <w:marTop w:val="0"/>
              <w:marBottom w:val="0"/>
              <w:divBdr>
                <w:top w:val="none" w:sz="0" w:space="0" w:color="auto"/>
                <w:left w:val="none" w:sz="0" w:space="0" w:color="auto"/>
                <w:bottom w:val="none" w:sz="0" w:space="0" w:color="auto"/>
                <w:right w:val="none" w:sz="0" w:space="0" w:color="auto"/>
              </w:divBdr>
            </w:div>
          </w:divsChild>
        </w:div>
        <w:div w:id="231627389">
          <w:marLeft w:val="0"/>
          <w:marRight w:val="0"/>
          <w:marTop w:val="0"/>
          <w:marBottom w:val="0"/>
          <w:divBdr>
            <w:top w:val="none" w:sz="0" w:space="0" w:color="auto"/>
            <w:left w:val="none" w:sz="0" w:space="0" w:color="auto"/>
            <w:bottom w:val="none" w:sz="0" w:space="0" w:color="auto"/>
            <w:right w:val="none" w:sz="0" w:space="0" w:color="auto"/>
          </w:divBdr>
          <w:divsChild>
            <w:div w:id="1328048609">
              <w:marLeft w:val="0"/>
              <w:marRight w:val="0"/>
              <w:marTop w:val="0"/>
              <w:marBottom w:val="0"/>
              <w:divBdr>
                <w:top w:val="none" w:sz="0" w:space="0" w:color="auto"/>
                <w:left w:val="none" w:sz="0" w:space="0" w:color="auto"/>
                <w:bottom w:val="none" w:sz="0" w:space="0" w:color="auto"/>
                <w:right w:val="none" w:sz="0" w:space="0" w:color="auto"/>
              </w:divBdr>
            </w:div>
          </w:divsChild>
        </w:div>
        <w:div w:id="378750071">
          <w:marLeft w:val="0"/>
          <w:marRight w:val="0"/>
          <w:marTop w:val="0"/>
          <w:marBottom w:val="0"/>
          <w:divBdr>
            <w:top w:val="none" w:sz="0" w:space="0" w:color="auto"/>
            <w:left w:val="none" w:sz="0" w:space="0" w:color="auto"/>
            <w:bottom w:val="none" w:sz="0" w:space="0" w:color="auto"/>
            <w:right w:val="none" w:sz="0" w:space="0" w:color="auto"/>
          </w:divBdr>
          <w:divsChild>
            <w:div w:id="16738672">
              <w:marLeft w:val="0"/>
              <w:marRight w:val="0"/>
              <w:marTop w:val="0"/>
              <w:marBottom w:val="0"/>
              <w:divBdr>
                <w:top w:val="none" w:sz="0" w:space="0" w:color="auto"/>
                <w:left w:val="none" w:sz="0" w:space="0" w:color="auto"/>
                <w:bottom w:val="none" w:sz="0" w:space="0" w:color="auto"/>
                <w:right w:val="none" w:sz="0" w:space="0" w:color="auto"/>
              </w:divBdr>
            </w:div>
          </w:divsChild>
        </w:div>
        <w:div w:id="529339983">
          <w:marLeft w:val="0"/>
          <w:marRight w:val="0"/>
          <w:marTop w:val="0"/>
          <w:marBottom w:val="0"/>
          <w:divBdr>
            <w:top w:val="none" w:sz="0" w:space="0" w:color="auto"/>
            <w:left w:val="none" w:sz="0" w:space="0" w:color="auto"/>
            <w:bottom w:val="none" w:sz="0" w:space="0" w:color="auto"/>
            <w:right w:val="none" w:sz="0" w:space="0" w:color="auto"/>
          </w:divBdr>
          <w:divsChild>
            <w:div w:id="1519586556">
              <w:marLeft w:val="0"/>
              <w:marRight w:val="0"/>
              <w:marTop w:val="0"/>
              <w:marBottom w:val="0"/>
              <w:divBdr>
                <w:top w:val="none" w:sz="0" w:space="0" w:color="auto"/>
                <w:left w:val="none" w:sz="0" w:space="0" w:color="auto"/>
                <w:bottom w:val="none" w:sz="0" w:space="0" w:color="auto"/>
                <w:right w:val="none" w:sz="0" w:space="0" w:color="auto"/>
              </w:divBdr>
            </w:div>
          </w:divsChild>
        </w:div>
        <w:div w:id="751585839">
          <w:marLeft w:val="0"/>
          <w:marRight w:val="0"/>
          <w:marTop w:val="0"/>
          <w:marBottom w:val="0"/>
          <w:divBdr>
            <w:top w:val="none" w:sz="0" w:space="0" w:color="auto"/>
            <w:left w:val="none" w:sz="0" w:space="0" w:color="auto"/>
            <w:bottom w:val="none" w:sz="0" w:space="0" w:color="auto"/>
            <w:right w:val="none" w:sz="0" w:space="0" w:color="auto"/>
          </w:divBdr>
          <w:divsChild>
            <w:div w:id="158427918">
              <w:marLeft w:val="0"/>
              <w:marRight w:val="0"/>
              <w:marTop w:val="0"/>
              <w:marBottom w:val="0"/>
              <w:divBdr>
                <w:top w:val="none" w:sz="0" w:space="0" w:color="auto"/>
                <w:left w:val="none" w:sz="0" w:space="0" w:color="auto"/>
                <w:bottom w:val="none" w:sz="0" w:space="0" w:color="auto"/>
                <w:right w:val="none" w:sz="0" w:space="0" w:color="auto"/>
              </w:divBdr>
            </w:div>
          </w:divsChild>
        </w:div>
        <w:div w:id="1345324478">
          <w:marLeft w:val="0"/>
          <w:marRight w:val="0"/>
          <w:marTop w:val="0"/>
          <w:marBottom w:val="0"/>
          <w:divBdr>
            <w:top w:val="none" w:sz="0" w:space="0" w:color="auto"/>
            <w:left w:val="none" w:sz="0" w:space="0" w:color="auto"/>
            <w:bottom w:val="none" w:sz="0" w:space="0" w:color="auto"/>
            <w:right w:val="none" w:sz="0" w:space="0" w:color="auto"/>
          </w:divBdr>
          <w:divsChild>
            <w:div w:id="54194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54859">
      <w:bodyDiv w:val="1"/>
      <w:marLeft w:val="0"/>
      <w:marRight w:val="0"/>
      <w:marTop w:val="0"/>
      <w:marBottom w:val="0"/>
      <w:divBdr>
        <w:top w:val="none" w:sz="0" w:space="0" w:color="auto"/>
        <w:left w:val="none" w:sz="0" w:space="0" w:color="auto"/>
        <w:bottom w:val="none" w:sz="0" w:space="0" w:color="auto"/>
        <w:right w:val="none" w:sz="0" w:space="0" w:color="auto"/>
      </w:divBdr>
    </w:div>
    <w:div w:id="1653213969">
      <w:bodyDiv w:val="1"/>
      <w:marLeft w:val="0"/>
      <w:marRight w:val="0"/>
      <w:marTop w:val="0"/>
      <w:marBottom w:val="0"/>
      <w:divBdr>
        <w:top w:val="none" w:sz="0" w:space="0" w:color="auto"/>
        <w:left w:val="none" w:sz="0" w:space="0" w:color="auto"/>
        <w:bottom w:val="none" w:sz="0" w:space="0" w:color="auto"/>
        <w:right w:val="none" w:sz="0" w:space="0" w:color="auto"/>
      </w:divBdr>
      <w:divsChild>
        <w:div w:id="163207">
          <w:marLeft w:val="0"/>
          <w:marRight w:val="0"/>
          <w:marTop w:val="0"/>
          <w:marBottom w:val="0"/>
          <w:divBdr>
            <w:top w:val="none" w:sz="0" w:space="0" w:color="auto"/>
            <w:left w:val="none" w:sz="0" w:space="0" w:color="auto"/>
            <w:bottom w:val="none" w:sz="0" w:space="0" w:color="auto"/>
            <w:right w:val="none" w:sz="0" w:space="0" w:color="auto"/>
          </w:divBdr>
        </w:div>
        <w:div w:id="13574755">
          <w:marLeft w:val="0"/>
          <w:marRight w:val="0"/>
          <w:marTop w:val="0"/>
          <w:marBottom w:val="0"/>
          <w:divBdr>
            <w:top w:val="none" w:sz="0" w:space="0" w:color="auto"/>
            <w:left w:val="none" w:sz="0" w:space="0" w:color="auto"/>
            <w:bottom w:val="none" w:sz="0" w:space="0" w:color="auto"/>
            <w:right w:val="none" w:sz="0" w:space="0" w:color="auto"/>
          </w:divBdr>
        </w:div>
        <w:div w:id="20127414">
          <w:marLeft w:val="0"/>
          <w:marRight w:val="0"/>
          <w:marTop w:val="0"/>
          <w:marBottom w:val="0"/>
          <w:divBdr>
            <w:top w:val="none" w:sz="0" w:space="0" w:color="auto"/>
            <w:left w:val="none" w:sz="0" w:space="0" w:color="auto"/>
            <w:bottom w:val="none" w:sz="0" w:space="0" w:color="auto"/>
            <w:right w:val="none" w:sz="0" w:space="0" w:color="auto"/>
          </w:divBdr>
        </w:div>
        <w:div w:id="77559483">
          <w:marLeft w:val="0"/>
          <w:marRight w:val="0"/>
          <w:marTop w:val="0"/>
          <w:marBottom w:val="0"/>
          <w:divBdr>
            <w:top w:val="none" w:sz="0" w:space="0" w:color="auto"/>
            <w:left w:val="none" w:sz="0" w:space="0" w:color="auto"/>
            <w:bottom w:val="none" w:sz="0" w:space="0" w:color="auto"/>
            <w:right w:val="none" w:sz="0" w:space="0" w:color="auto"/>
          </w:divBdr>
        </w:div>
        <w:div w:id="90898954">
          <w:marLeft w:val="0"/>
          <w:marRight w:val="0"/>
          <w:marTop w:val="0"/>
          <w:marBottom w:val="0"/>
          <w:divBdr>
            <w:top w:val="none" w:sz="0" w:space="0" w:color="auto"/>
            <w:left w:val="none" w:sz="0" w:space="0" w:color="auto"/>
            <w:bottom w:val="none" w:sz="0" w:space="0" w:color="auto"/>
            <w:right w:val="none" w:sz="0" w:space="0" w:color="auto"/>
          </w:divBdr>
          <w:divsChild>
            <w:div w:id="80415968">
              <w:marLeft w:val="0"/>
              <w:marRight w:val="0"/>
              <w:marTop w:val="0"/>
              <w:marBottom w:val="0"/>
              <w:divBdr>
                <w:top w:val="none" w:sz="0" w:space="0" w:color="auto"/>
                <w:left w:val="none" w:sz="0" w:space="0" w:color="auto"/>
                <w:bottom w:val="none" w:sz="0" w:space="0" w:color="auto"/>
                <w:right w:val="none" w:sz="0" w:space="0" w:color="auto"/>
              </w:divBdr>
            </w:div>
            <w:div w:id="645665713">
              <w:marLeft w:val="0"/>
              <w:marRight w:val="0"/>
              <w:marTop w:val="0"/>
              <w:marBottom w:val="0"/>
              <w:divBdr>
                <w:top w:val="none" w:sz="0" w:space="0" w:color="auto"/>
                <w:left w:val="none" w:sz="0" w:space="0" w:color="auto"/>
                <w:bottom w:val="none" w:sz="0" w:space="0" w:color="auto"/>
                <w:right w:val="none" w:sz="0" w:space="0" w:color="auto"/>
              </w:divBdr>
            </w:div>
            <w:div w:id="1066880939">
              <w:marLeft w:val="0"/>
              <w:marRight w:val="0"/>
              <w:marTop w:val="0"/>
              <w:marBottom w:val="0"/>
              <w:divBdr>
                <w:top w:val="none" w:sz="0" w:space="0" w:color="auto"/>
                <w:left w:val="none" w:sz="0" w:space="0" w:color="auto"/>
                <w:bottom w:val="none" w:sz="0" w:space="0" w:color="auto"/>
                <w:right w:val="none" w:sz="0" w:space="0" w:color="auto"/>
              </w:divBdr>
            </w:div>
            <w:div w:id="1772121519">
              <w:marLeft w:val="0"/>
              <w:marRight w:val="0"/>
              <w:marTop w:val="0"/>
              <w:marBottom w:val="0"/>
              <w:divBdr>
                <w:top w:val="none" w:sz="0" w:space="0" w:color="auto"/>
                <w:left w:val="none" w:sz="0" w:space="0" w:color="auto"/>
                <w:bottom w:val="none" w:sz="0" w:space="0" w:color="auto"/>
                <w:right w:val="none" w:sz="0" w:space="0" w:color="auto"/>
              </w:divBdr>
            </w:div>
          </w:divsChild>
        </w:div>
        <w:div w:id="113598712">
          <w:marLeft w:val="0"/>
          <w:marRight w:val="0"/>
          <w:marTop w:val="0"/>
          <w:marBottom w:val="0"/>
          <w:divBdr>
            <w:top w:val="none" w:sz="0" w:space="0" w:color="auto"/>
            <w:left w:val="none" w:sz="0" w:space="0" w:color="auto"/>
            <w:bottom w:val="none" w:sz="0" w:space="0" w:color="auto"/>
            <w:right w:val="none" w:sz="0" w:space="0" w:color="auto"/>
          </w:divBdr>
          <w:divsChild>
            <w:div w:id="378819817">
              <w:marLeft w:val="0"/>
              <w:marRight w:val="0"/>
              <w:marTop w:val="0"/>
              <w:marBottom w:val="0"/>
              <w:divBdr>
                <w:top w:val="none" w:sz="0" w:space="0" w:color="auto"/>
                <w:left w:val="none" w:sz="0" w:space="0" w:color="auto"/>
                <w:bottom w:val="none" w:sz="0" w:space="0" w:color="auto"/>
                <w:right w:val="none" w:sz="0" w:space="0" w:color="auto"/>
              </w:divBdr>
            </w:div>
            <w:div w:id="990451380">
              <w:marLeft w:val="0"/>
              <w:marRight w:val="0"/>
              <w:marTop w:val="0"/>
              <w:marBottom w:val="0"/>
              <w:divBdr>
                <w:top w:val="none" w:sz="0" w:space="0" w:color="auto"/>
                <w:left w:val="none" w:sz="0" w:space="0" w:color="auto"/>
                <w:bottom w:val="none" w:sz="0" w:space="0" w:color="auto"/>
                <w:right w:val="none" w:sz="0" w:space="0" w:color="auto"/>
              </w:divBdr>
            </w:div>
            <w:div w:id="1820146481">
              <w:marLeft w:val="0"/>
              <w:marRight w:val="0"/>
              <w:marTop w:val="0"/>
              <w:marBottom w:val="0"/>
              <w:divBdr>
                <w:top w:val="none" w:sz="0" w:space="0" w:color="auto"/>
                <w:left w:val="none" w:sz="0" w:space="0" w:color="auto"/>
                <w:bottom w:val="none" w:sz="0" w:space="0" w:color="auto"/>
                <w:right w:val="none" w:sz="0" w:space="0" w:color="auto"/>
              </w:divBdr>
            </w:div>
            <w:div w:id="2136100268">
              <w:marLeft w:val="0"/>
              <w:marRight w:val="0"/>
              <w:marTop w:val="0"/>
              <w:marBottom w:val="0"/>
              <w:divBdr>
                <w:top w:val="none" w:sz="0" w:space="0" w:color="auto"/>
                <w:left w:val="none" w:sz="0" w:space="0" w:color="auto"/>
                <w:bottom w:val="none" w:sz="0" w:space="0" w:color="auto"/>
                <w:right w:val="none" w:sz="0" w:space="0" w:color="auto"/>
              </w:divBdr>
            </w:div>
          </w:divsChild>
        </w:div>
        <w:div w:id="123891402">
          <w:marLeft w:val="0"/>
          <w:marRight w:val="0"/>
          <w:marTop w:val="0"/>
          <w:marBottom w:val="0"/>
          <w:divBdr>
            <w:top w:val="none" w:sz="0" w:space="0" w:color="auto"/>
            <w:left w:val="none" w:sz="0" w:space="0" w:color="auto"/>
            <w:bottom w:val="none" w:sz="0" w:space="0" w:color="auto"/>
            <w:right w:val="none" w:sz="0" w:space="0" w:color="auto"/>
          </w:divBdr>
        </w:div>
        <w:div w:id="139153389">
          <w:marLeft w:val="0"/>
          <w:marRight w:val="0"/>
          <w:marTop w:val="0"/>
          <w:marBottom w:val="0"/>
          <w:divBdr>
            <w:top w:val="none" w:sz="0" w:space="0" w:color="auto"/>
            <w:left w:val="none" w:sz="0" w:space="0" w:color="auto"/>
            <w:bottom w:val="none" w:sz="0" w:space="0" w:color="auto"/>
            <w:right w:val="none" w:sz="0" w:space="0" w:color="auto"/>
          </w:divBdr>
        </w:div>
        <w:div w:id="141436398">
          <w:marLeft w:val="0"/>
          <w:marRight w:val="0"/>
          <w:marTop w:val="0"/>
          <w:marBottom w:val="0"/>
          <w:divBdr>
            <w:top w:val="none" w:sz="0" w:space="0" w:color="auto"/>
            <w:left w:val="none" w:sz="0" w:space="0" w:color="auto"/>
            <w:bottom w:val="none" w:sz="0" w:space="0" w:color="auto"/>
            <w:right w:val="none" w:sz="0" w:space="0" w:color="auto"/>
          </w:divBdr>
        </w:div>
        <w:div w:id="159004111">
          <w:marLeft w:val="0"/>
          <w:marRight w:val="0"/>
          <w:marTop w:val="0"/>
          <w:marBottom w:val="0"/>
          <w:divBdr>
            <w:top w:val="none" w:sz="0" w:space="0" w:color="auto"/>
            <w:left w:val="none" w:sz="0" w:space="0" w:color="auto"/>
            <w:bottom w:val="none" w:sz="0" w:space="0" w:color="auto"/>
            <w:right w:val="none" w:sz="0" w:space="0" w:color="auto"/>
          </w:divBdr>
        </w:div>
        <w:div w:id="207038478">
          <w:marLeft w:val="0"/>
          <w:marRight w:val="0"/>
          <w:marTop w:val="0"/>
          <w:marBottom w:val="0"/>
          <w:divBdr>
            <w:top w:val="none" w:sz="0" w:space="0" w:color="auto"/>
            <w:left w:val="none" w:sz="0" w:space="0" w:color="auto"/>
            <w:bottom w:val="none" w:sz="0" w:space="0" w:color="auto"/>
            <w:right w:val="none" w:sz="0" w:space="0" w:color="auto"/>
          </w:divBdr>
        </w:div>
        <w:div w:id="224415680">
          <w:marLeft w:val="0"/>
          <w:marRight w:val="0"/>
          <w:marTop w:val="0"/>
          <w:marBottom w:val="0"/>
          <w:divBdr>
            <w:top w:val="none" w:sz="0" w:space="0" w:color="auto"/>
            <w:left w:val="none" w:sz="0" w:space="0" w:color="auto"/>
            <w:bottom w:val="none" w:sz="0" w:space="0" w:color="auto"/>
            <w:right w:val="none" w:sz="0" w:space="0" w:color="auto"/>
          </w:divBdr>
        </w:div>
        <w:div w:id="272396223">
          <w:marLeft w:val="0"/>
          <w:marRight w:val="0"/>
          <w:marTop w:val="0"/>
          <w:marBottom w:val="0"/>
          <w:divBdr>
            <w:top w:val="none" w:sz="0" w:space="0" w:color="auto"/>
            <w:left w:val="none" w:sz="0" w:space="0" w:color="auto"/>
            <w:bottom w:val="none" w:sz="0" w:space="0" w:color="auto"/>
            <w:right w:val="none" w:sz="0" w:space="0" w:color="auto"/>
          </w:divBdr>
        </w:div>
        <w:div w:id="286668897">
          <w:marLeft w:val="0"/>
          <w:marRight w:val="0"/>
          <w:marTop w:val="0"/>
          <w:marBottom w:val="0"/>
          <w:divBdr>
            <w:top w:val="none" w:sz="0" w:space="0" w:color="auto"/>
            <w:left w:val="none" w:sz="0" w:space="0" w:color="auto"/>
            <w:bottom w:val="none" w:sz="0" w:space="0" w:color="auto"/>
            <w:right w:val="none" w:sz="0" w:space="0" w:color="auto"/>
          </w:divBdr>
        </w:div>
        <w:div w:id="339897595">
          <w:marLeft w:val="0"/>
          <w:marRight w:val="0"/>
          <w:marTop w:val="0"/>
          <w:marBottom w:val="0"/>
          <w:divBdr>
            <w:top w:val="none" w:sz="0" w:space="0" w:color="auto"/>
            <w:left w:val="none" w:sz="0" w:space="0" w:color="auto"/>
            <w:bottom w:val="none" w:sz="0" w:space="0" w:color="auto"/>
            <w:right w:val="none" w:sz="0" w:space="0" w:color="auto"/>
          </w:divBdr>
        </w:div>
        <w:div w:id="367221775">
          <w:marLeft w:val="0"/>
          <w:marRight w:val="0"/>
          <w:marTop w:val="0"/>
          <w:marBottom w:val="0"/>
          <w:divBdr>
            <w:top w:val="none" w:sz="0" w:space="0" w:color="auto"/>
            <w:left w:val="none" w:sz="0" w:space="0" w:color="auto"/>
            <w:bottom w:val="none" w:sz="0" w:space="0" w:color="auto"/>
            <w:right w:val="none" w:sz="0" w:space="0" w:color="auto"/>
          </w:divBdr>
        </w:div>
        <w:div w:id="402529424">
          <w:marLeft w:val="0"/>
          <w:marRight w:val="0"/>
          <w:marTop w:val="0"/>
          <w:marBottom w:val="0"/>
          <w:divBdr>
            <w:top w:val="none" w:sz="0" w:space="0" w:color="auto"/>
            <w:left w:val="none" w:sz="0" w:space="0" w:color="auto"/>
            <w:bottom w:val="none" w:sz="0" w:space="0" w:color="auto"/>
            <w:right w:val="none" w:sz="0" w:space="0" w:color="auto"/>
          </w:divBdr>
        </w:div>
        <w:div w:id="416168764">
          <w:marLeft w:val="0"/>
          <w:marRight w:val="0"/>
          <w:marTop w:val="0"/>
          <w:marBottom w:val="0"/>
          <w:divBdr>
            <w:top w:val="none" w:sz="0" w:space="0" w:color="auto"/>
            <w:left w:val="none" w:sz="0" w:space="0" w:color="auto"/>
            <w:bottom w:val="none" w:sz="0" w:space="0" w:color="auto"/>
            <w:right w:val="none" w:sz="0" w:space="0" w:color="auto"/>
          </w:divBdr>
        </w:div>
        <w:div w:id="417294973">
          <w:marLeft w:val="0"/>
          <w:marRight w:val="0"/>
          <w:marTop w:val="0"/>
          <w:marBottom w:val="0"/>
          <w:divBdr>
            <w:top w:val="none" w:sz="0" w:space="0" w:color="auto"/>
            <w:left w:val="none" w:sz="0" w:space="0" w:color="auto"/>
            <w:bottom w:val="none" w:sz="0" w:space="0" w:color="auto"/>
            <w:right w:val="none" w:sz="0" w:space="0" w:color="auto"/>
          </w:divBdr>
          <w:divsChild>
            <w:div w:id="683284873">
              <w:marLeft w:val="0"/>
              <w:marRight w:val="0"/>
              <w:marTop w:val="0"/>
              <w:marBottom w:val="0"/>
              <w:divBdr>
                <w:top w:val="none" w:sz="0" w:space="0" w:color="auto"/>
                <w:left w:val="none" w:sz="0" w:space="0" w:color="auto"/>
                <w:bottom w:val="none" w:sz="0" w:space="0" w:color="auto"/>
                <w:right w:val="none" w:sz="0" w:space="0" w:color="auto"/>
              </w:divBdr>
            </w:div>
            <w:div w:id="843281190">
              <w:marLeft w:val="0"/>
              <w:marRight w:val="0"/>
              <w:marTop w:val="0"/>
              <w:marBottom w:val="0"/>
              <w:divBdr>
                <w:top w:val="none" w:sz="0" w:space="0" w:color="auto"/>
                <w:left w:val="none" w:sz="0" w:space="0" w:color="auto"/>
                <w:bottom w:val="none" w:sz="0" w:space="0" w:color="auto"/>
                <w:right w:val="none" w:sz="0" w:space="0" w:color="auto"/>
              </w:divBdr>
            </w:div>
            <w:div w:id="1050806577">
              <w:marLeft w:val="0"/>
              <w:marRight w:val="0"/>
              <w:marTop w:val="0"/>
              <w:marBottom w:val="0"/>
              <w:divBdr>
                <w:top w:val="none" w:sz="0" w:space="0" w:color="auto"/>
                <w:left w:val="none" w:sz="0" w:space="0" w:color="auto"/>
                <w:bottom w:val="none" w:sz="0" w:space="0" w:color="auto"/>
                <w:right w:val="none" w:sz="0" w:space="0" w:color="auto"/>
              </w:divBdr>
            </w:div>
            <w:div w:id="1575628107">
              <w:marLeft w:val="0"/>
              <w:marRight w:val="0"/>
              <w:marTop w:val="0"/>
              <w:marBottom w:val="0"/>
              <w:divBdr>
                <w:top w:val="none" w:sz="0" w:space="0" w:color="auto"/>
                <w:left w:val="none" w:sz="0" w:space="0" w:color="auto"/>
                <w:bottom w:val="none" w:sz="0" w:space="0" w:color="auto"/>
                <w:right w:val="none" w:sz="0" w:space="0" w:color="auto"/>
              </w:divBdr>
            </w:div>
            <w:div w:id="2138906685">
              <w:marLeft w:val="0"/>
              <w:marRight w:val="0"/>
              <w:marTop w:val="0"/>
              <w:marBottom w:val="0"/>
              <w:divBdr>
                <w:top w:val="none" w:sz="0" w:space="0" w:color="auto"/>
                <w:left w:val="none" w:sz="0" w:space="0" w:color="auto"/>
                <w:bottom w:val="none" w:sz="0" w:space="0" w:color="auto"/>
                <w:right w:val="none" w:sz="0" w:space="0" w:color="auto"/>
              </w:divBdr>
            </w:div>
          </w:divsChild>
        </w:div>
        <w:div w:id="417599108">
          <w:marLeft w:val="0"/>
          <w:marRight w:val="0"/>
          <w:marTop w:val="0"/>
          <w:marBottom w:val="0"/>
          <w:divBdr>
            <w:top w:val="none" w:sz="0" w:space="0" w:color="auto"/>
            <w:left w:val="none" w:sz="0" w:space="0" w:color="auto"/>
            <w:bottom w:val="none" w:sz="0" w:space="0" w:color="auto"/>
            <w:right w:val="none" w:sz="0" w:space="0" w:color="auto"/>
          </w:divBdr>
        </w:div>
        <w:div w:id="422067898">
          <w:marLeft w:val="0"/>
          <w:marRight w:val="0"/>
          <w:marTop w:val="0"/>
          <w:marBottom w:val="0"/>
          <w:divBdr>
            <w:top w:val="none" w:sz="0" w:space="0" w:color="auto"/>
            <w:left w:val="none" w:sz="0" w:space="0" w:color="auto"/>
            <w:bottom w:val="none" w:sz="0" w:space="0" w:color="auto"/>
            <w:right w:val="none" w:sz="0" w:space="0" w:color="auto"/>
          </w:divBdr>
        </w:div>
        <w:div w:id="452526589">
          <w:marLeft w:val="0"/>
          <w:marRight w:val="0"/>
          <w:marTop w:val="0"/>
          <w:marBottom w:val="0"/>
          <w:divBdr>
            <w:top w:val="none" w:sz="0" w:space="0" w:color="auto"/>
            <w:left w:val="none" w:sz="0" w:space="0" w:color="auto"/>
            <w:bottom w:val="none" w:sz="0" w:space="0" w:color="auto"/>
            <w:right w:val="none" w:sz="0" w:space="0" w:color="auto"/>
          </w:divBdr>
        </w:div>
        <w:div w:id="458496230">
          <w:marLeft w:val="0"/>
          <w:marRight w:val="0"/>
          <w:marTop w:val="0"/>
          <w:marBottom w:val="0"/>
          <w:divBdr>
            <w:top w:val="none" w:sz="0" w:space="0" w:color="auto"/>
            <w:left w:val="none" w:sz="0" w:space="0" w:color="auto"/>
            <w:bottom w:val="none" w:sz="0" w:space="0" w:color="auto"/>
            <w:right w:val="none" w:sz="0" w:space="0" w:color="auto"/>
          </w:divBdr>
        </w:div>
        <w:div w:id="582570330">
          <w:marLeft w:val="0"/>
          <w:marRight w:val="0"/>
          <w:marTop w:val="0"/>
          <w:marBottom w:val="0"/>
          <w:divBdr>
            <w:top w:val="none" w:sz="0" w:space="0" w:color="auto"/>
            <w:left w:val="none" w:sz="0" w:space="0" w:color="auto"/>
            <w:bottom w:val="none" w:sz="0" w:space="0" w:color="auto"/>
            <w:right w:val="none" w:sz="0" w:space="0" w:color="auto"/>
          </w:divBdr>
          <w:divsChild>
            <w:div w:id="43454922">
              <w:marLeft w:val="0"/>
              <w:marRight w:val="0"/>
              <w:marTop w:val="0"/>
              <w:marBottom w:val="0"/>
              <w:divBdr>
                <w:top w:val="none" w:sz="0" w:space="0" w:color="auto"/>
                <w:left w:val="none" w:sz="0" w:space="0" w:color="auto"/>
                <w:bottom w:val="none" w:sz="0" w:space="0" w:color="auto"/>
                <w:right w:val="none" w:sz="0" w:space="0" w:color="auto"/>
              </w:divBdr>
            </w:div>
            <w:div w:id="1031341015">
              <w:marLeft w:val="0"/>
              <w:marRight w:val="0"/>
              <w:marTop w:val="0"/>
              <w:marBottom w:val="0"/>
              <w:divBdr>
                <w:top w:val="none" w:sz="0" w:space="0" w:color="auto"/>
                <w:left w:val="none" w:sz="0" w:space="0" w:color="auto"/>
                <w:bottom w:val="none" w:sz="0" w:space="0" w:color="auto"/>
                <w:right w:val="none" w:sz="0" w:space="0" w:color="auto"/>
              </w:divBdr>
            </w:div>
            <w:div w:id="1688405229">
              <w:marLeft w:val="0"/>
              <w:marRight w:val="0"/>
              <w:marTop w:val="0"/>
              <w:marBottom w:val="0"/>
              <w:divBdr>
                <w:top w:val="none" w:sz="0" w:space="0" w:color="auto"/>
                <w:left w:val="none" w:sz="0" w:space="0" w:color="auto"/>
                <w:bottom w:val="none" w:sz="0" w:space="0" w:color="auto"/>
                <w:right w:val="none" w:sz="0" w:space="0" w:color="auto"/>
              </w:divBdr>
            </w:div>
            <w:div w:id="1872303901">
              <w:marLeft w:val="0"/>
              <w:marRight w:val="0"/>
              <w:marTop w:val="0"/>
              <w:marBottom w:val="0"/>
              <w:divBdr>
                <w:top w:val="none" w:sz="0" w:space="0" w:color="auto"/>
                <w:left w:val="none" w:sz="0" w:space="0" w:color="auto"/>
                <w:bottom w:val="none" w:sz="0" w:space="0" w:color="auto"/>
                <w:right w:val="none" w:sz="0" w:space="0" w:color="auto"/>
              </w:divBdr>
            </w:div>
            <w:div w:id="2060007949">
              <w:marLeft w:val="0"/>
              <w:marRight w:val="0"/>
              <w:marTop w:val="0"/>
              <w:marBottom w:val="0"/>
              <w:divBdr>
                <w:top w:val="none" w:sz="0" w:space="0" w:color="auto"/>
                <w:left w:val="none" w:sz="0" w:space="0" w:color="auto"/>
                <w:bottom w:val="none" w:sz="0" w:space="0" w:color="auto"/>
                <w:right w:val="none" w:sz="0" w:space="0" w:color="auto"/>
              </w:divBdr>
            </w:div>
          </w:divsChild>
        </w:div>
        <w:div w:id="622199656">
          <w:marLeft w:val="0"/>
          <w:marRight w:val="0"/>
          <w:marTop w:val="0"/>
          <w:marBottom w:val="0"/>
          <w:divBdr>
            <w:top w:val="none" w:sz="0" w:space="0" w:color="auto"/>
            <w:left w:val="none" w:sz="0" w:space="0" w:color="auto"/>
            <w:bottom w:val="none" w:sz="0" w:space="0" w:color="auto"/>
            <w:right w:val="none" w:sz="0" w:space="0" w:color="auto"/>
          </w:divBdr>
        </w:div>
        <w:div w:id="651762924">
          <w:marLeft w:val="0"/>
          <w:marRight w:val="0"/>
          <w:marTop w:val="0"/>
          <w:marBottom w:val="0"/>
          <w:divBdr>
            <w:top w:val="none" w:sz="0" w:space="0" w:color="auto"/>
            <w:left w:val="none" w:sz="0" w:space="0" w:color="auto"/>
            <w:bottom w:val="none" w:sz="0" w:space="0" w:color="auto"/>
            <w:right w:val="none" w:sz="0" w:space="0" w:color="auto"/>
          </w:divBdr>
        </w:div>
        <w:div w:id="689185576">
          <w:marLeft w:val="0"/>
          <w:marRight w:val="0"/>
          <w:marTop w:val="0"/>
          <w:marBottom w:val="0"/>
          <w:divBdr>
            <w:top w:val="none" w:sz="0" w:space="0" w:color="auto"/>
            <w:left w:val="none" w:sz="0" w:space="0" w:color="auto"/>
            <w:bottom w:val="none" w:sz="0" w:space="0" w:color="auto"/>
            <w:right w:val="none" w:sz="0" w:space="0" w:color="auto"/>
          </w:divBdr>
        </w:div>
        <w:div w:id="735476178">
          <w:marLeft w:val="0"/>
          <w:marRight w:val="0"/>
          <w:marTop w:val="0"/>
          <w:marBottom w:val="0"/>
          <w:divBdr>
            <w:top w:val="none" w:sz="0" w:space="0" w:color="auto"/>
            <w:left w:val="none" w:sz="0" w:space="0" w:color="auto"/>
            <w:bottom w:val="none" w:sz="0" w:space="0" w:color="auto"/>
            <w:right w:val="none" w:sz="0" w:space="0" w:color="auto"/>
          </w:divBdr>
        </w:div>
        <w:div w:id="750855578">
          <w:marLeft w:val="0"/>
          <w:marRight w:val="0"/>
          <w:marTop w:val="0"/>
          <w:marBottom w:val="0"/>
          <w:divBdr>
            <w:top w:val="none" w:sz="0" w:space="0" w:color="auto"/>
            <w:left w:val="none" w:sz="0" w:space="0" w:color="auto"/>
            <w:bottom w:val="none" w:sz="0" w:space="0" w:color="auto"/>
            <w:right w:val="none" w:sz="0" w:space="0" w:color="auto"/>
          </w:divBdr>
          <w:divsChild>
            <w:div w:id="114953511">
              <w:marLeft w:val="0"/>
              <w:marRight w:val="0"/>
              <w:marTop w:val="0"/>
              <w:marBottom w:val="0"/>
              <w:divBdr>
                <w:top w:val="none" w:sz="0" w:space="0" w:color="auto"/>
                <w:left w:val="none" w:sz="0" w:space="0" w:color="auto"/>
                <w:bottom w:val="none" w:sz="0" w:space="0" w:color="auto"/>
                <w:right w:val="none" w:sz="0" w:space="0" w:color="auto"/>
              </w:divBdr>
            </w:div>
            <w:div w:id="279580391">
              <w:marLeft w:val="0"/>
              <w:marRight w:val="0"/>
              <w:marTop w:val="0"/>
              <w:marBottom w:val="0"/>
              <w:divBdr>
                <w:top w:val="none" w:sz="0" w:space="0" w:color="auto"/>
                <w:left w:val="none" w:sz="0" w:space="0" w:color="auto"/>
                <w:bottom w:val="none" w:sz="0" w:space="0" w:color="auto"/>
                <w:right w:val="none" w:sz="0" w:space="0" w:color="auto"/>
              </w:divBdr>
            </w:div>
            <w:div w:id="296490904">
              <w:marLeft w:val="0"/>
              <w:marRight w:val="0"/>
              <w:marTop w:val="0"/>
              <w:marBottom w:val="0"/>
              <w:divBdr>
                <w:top w:val="none" w:sz="0" w:space="0" w:color="auto"/>
                <w:left w:val="none" w:sz="0" w:space="0" w:color="auto"/>
                <w:bottom w:val="none" w:sz="0" w:space="0" w:color="auto"/>
                <w:right w:val="none" w:sz="0" w:space="0" w:color="auto"/>
              </w:divBdr>
            </w:div>
            <w:div w:id="499395894">
              <w:marLeft w:val="0"/>
              <w:marRight w:val="0"/>
              <w:marTop w:val="0"/>
              <w:marBottom w:val="0"/>
              <w:divBdr>
                <w:top w:val="none" w:sz="0" w:space="0" w:color="auto"/>
                <w:left w:val="none" w:sz="0" w:space="0" w:color="auto"/>
                <w:bottom w:val="none" w:sz="0" w:space="0" w:color="auto"/>
                <w:right w:val="none" w:sz="0" w:space="0" w:color="auto"/>
              </w:divBdr>
            </w:div>
            <w:div w:id="1274048480">
              <w:marLeft w:val="0"/>
              <w:marRight w:val="0"/>
              <w:marTop w:val="0"/>
              <w:marBottom w:val="0"/>
              <w:divBdr>
                <w:top w:val="none" w:sz="0" w:space="0" w:color="auto"/>
                <w:left w:val="none" w:sz="0" w:space="0" w:color="auto"/>
                <w:bottom w:val="none" w:sz="0" w:space="0" w:color="auto"/>
                <w:right w:val="none" w:sz="0" w:space="0" w:color="auto"/>
              </w:divBdr>
            </w:div>
          </w:divsChild>
        </w:div>
        <w:div w:id="853374674">
          <w:marLeft w:val="0"/>
          <w:marRight w:val="0"/>
          <w:marTop w:val="0"/>
          <w:marBottom w:val="0"/>
          <w:divBdr>
            <w:top w:val="none" w:sz="0" w:space="0" w:color="auto"/>
            <w:left w:val="none" w:sz="0" w:space="0" w:color="auto"/>
            <w:bottom w:val="none" w:sz="0" w:space="0" w:color="auto"/>
            <w:right w:val="none" w:sz="0" w:space="0" w:color="auto"/>
          </w:divBdr>
        </w:div>
        <w:div w:id="858935749">
          <w:marLeft w:val="0"/>
          <w:marRight w:val="0"/>
          <w:marTop w:val="0"/>
          <w:marBottom w:val="0"/>
          <w:divBdr>
            <w:top w:val="none" w:sz="0" w:space="0" w:color="auto"/>
            <w:left w:val="none" w:sz="0" w:space="0" w:color="auto"/>
            <w:bottom w:val="none" w:sz="0" w:space="0" w:color="auto"/>
            <w:right w:val="none" w:sz="0" w:space="0" w:color="auto"/>
          </w:divBdr>
        </w:div>
        <w:div w:id="892083553">
          <w:marLeft w:val="0"/>
          <w:marRight w:val="0"/>
          <w:marTop w:val="0"/>
          <w:marBottom w:val="0"/>
          <w:divBdr>
            <w:top w:val="none" w:sz="0" w:space="0" w:color="auto"/>
            <w:left w:val="none" w:sz="0" w:space="0" w:color="auto"/>
            <w:bottom w:val="none" w:sz="0" w:space="0" w:color="auto"/>
            <w:right w:val="none" w:sz="0" w:space="0" w:color="auto"/>
          </w:divBdr>
        </w:div>
        <w:div w:id="898054839">
          <w:marLeft w:val="0"/>
          <w:marRight w:val="0"/>
          <w:marTop w:val="0"/>
          <w:marBottom w:val="0"/>
          <w:divBdr>
            <w:top w:val="none" w:sz="0" w:space="0" w:color="auto"/>
            <w:left w:val="none" w:sz="0" w:space="0" w:color="auto"/>
            <w:bottom w:val="none" w:sz="0" w:space="0" w:color="auto"/>
            <w:right w:val="none" w:sz="0" w:space="0" w:color="auto"/>
          </w:divBdr>
        </w:div>
        <w:div w:id="899560930">
          <w:marLeft w:val="0"/>
          <w:marRight w:val="0"/>
          <w:marTop w:val="0"/>
          <w:marBottom w:val="0"/>
          <w:divBdr>
            <w:top w:val="none" w:sz="0" w:space="0" w:color="auto"/>
            <w:left w:val="none" w:sz="0" w:space="0" w:color="auto"/>
            <w:bottom w:val="none" w:sz="0" w:space="0" w:color="auto"/>
            <w:right w:val="none" w:sz="0" w:space="0" w:color="auto"/>
          </w:divBdr>
        </w:div>
        <w:div w:id="1002902012">
          <w:marLeft w:val="0"/>
          <w:marRight w:val="0"/>
          <w:marTop w:val="0"/>
          <w:marBottom w:val="0"/>
          <w:divBdr>
            <w:top w:val="none" w:sz="0" w:space="0" w:color="auto"/>
            <w:left w:val="none" w:sz="0" w:space="0" w:color="auto"/>
            <w:bottom w:val="none" w:sz="0" w:space="0" w:color="auto"/>
            <w:right w:val="none" w:sz="0" w:space="0" w:color="auto"/>
          </w:divBdr>
          <w:divsChild>
            <w:div w:id="703405640">
              <w:marLeft w:val="0"/>
              <w:marRight w:val="0"/>
              <w:marTop w:val="0"/>
              <w:marBottom w:val="0"/>
              <w:divBdr>
                <w:top w:val="none" w:sz="0" w:space="0" w:color="auto"/>
                <w:left w:val="none" w:sz="0" w:space="0" w:color="auto"/>
                <w:bottom w:val="none" w:sz="0" w:space="0" w:color="auto"/>
                <w:right w:val="none" w:sz="0" w:space="0" w:color="auto"/>
              </w:divBdr>
            </w:div>
            <w:div w:id="882860712">
              <w:marLeft w:val="0"/>
              <w:marRight w:val="0"/>
              <w:marTop w:val="0"/>
              <w:marBottom w:val="0"/>
              <w:divBdr>
                <w:top w:val="none" w:sz="0" w:space="0" w:color="auto"/>
                <w:left w:val="none" w:sz="0" w:space="0" w:color="auto"/>
                <w:bottom w:val="none" w:sz="0" w:space="0" w:color="auto"/>
                <w:right w:val="none" w:sz="0" w:space="0" w:color="auto"/>
              </w:divBdr>
            </w:div>
            <w:div w:id="1820803240">
              <w:marLeft w:val="0"/>
              <w:marRight w:val="0"/>
              <w:marTop w:val="0"/>
              <w:marBottom w:val="0"/>
              <w:divBdr>
                <w:top w:val="none" w:sz="0" w:space="0" w:color="auto"/>
                <w:left w:val="none" w:sz="0" w:space="0" w:color="auto"/>
                <w:bottom w:val="none" w:sz="0" w:space="0" w:color="auto"/>
                <w:right w:val="none" w:sz="0" w:space="0" w:color="auto"/>
              </w:divBdr>
            </w:div>
            <w:div w:id="1880849366">
              <w:marLeft w:val="0"/>
              <w:marRight w:val="0"/>
              <w:marTop w:val="0"/>
              <w:marBottom w:val="0"/>
              <w:divBdr>
                <w:top w:val="none" w:sz="0" w:space="0" w:color="auto"/>
                <w:left w:val="none" w:sz="0" w:space="0" w:color="auto"/>
                <w:bottom w:val="none" w:sz="0" w:space="0" w:color="auto"/>
                <w:right w:val="none" w:sz="0" w:space="0" w:color="auto"/>
              </w:divBdr>
            </w:div>
            <w:div w:id="2124616341">
              <w:marLeft w:val="0"/>
              <w:marRight w:val="0"/>
              <w:marTop w:val="0"/>
              <w:marBottom w:val="0"/>
              <w:divBdr>
                <w:top w:val="none" w:sz="0" w:space="0" w:color="auto"/>
                <w:left w:val="none" w:sz="0" w:space="0" w:color="auto"/>
                <w:bottom w:val="none" w:sz="0" w:space="0" w:color="auto"/>
                <w:right w:val="none" w:sz="0" w:space="0" w:color="auto"/>
              </w:divBdr>
            </w:div>
          </w:divsChild>
        </w:div>
        <w:div w:id="1020737222">
          <w:marLeft w:val="0"/>
          <w:marRight w:val="0"/>
          <w:marTop w:val="0"/>
          <w:marBottom w:val="0"/>
          <w:divBdr>
            <w:top w:val="none" w:sz="0" w:space="0" w:color="auto"/>
            <w:left w:val="none" w:sz="0" w:space="0" w:color="auto"/>
            <w:bottom w:val="none" w:sz="0" w:space="0" w:color="auto"/>
            <w:right w:val="none" w:sz="0" w:space="0" w:color="auto"/>
          </w:divBdr>
        </w:div>
        <w:div w:id="1023628734">
          <w:marLeft w:val="0"/>
          <w:marRight w:val="0"/>
          <w:marTop w:val="0"/>
          <w:marBottom w:val="0"/>
          <w:divBdr>
            <w:top w:val="none" w:sz="0" w:space="0" w:color="auto"/>
            <w:left w:val="none" w:sz="0" w:space="0" w:color="auto"/>
            <w:bottom w:val="none" w:sz="0" w:space="0" w:color="auto"/>
            <w:right w:val="none" w:sz="0" w:space="0" w:color="auto"/>
          </w:divBdr>
          <w:divsChild>
            <w:div w:id="178199397">
              <w:marLeft w:val="0"/>
              <w:marRight w:val="0"/>
              <w:marTop w:val="0"/>
              <w:marBottom w:val="0"/>
              <w:divBdr>
                <w:top w:val="none" w:sz="0" w:space="0" w:color="auto"/>
                <w:left w:val="none" w:sz="0" w:space="0" w:color="auto"/>
                <w:bottom w:val="none" w:sz="0" w:space="0" w:color="auto"/>
                <w:right w:val="none" w:sz="0" w:space="0" w:color="auto"/>
              </w:divBdr>
            </w:div>
            <w:div w:id="878591680">
              <w:marLeft w:val="0"/>
              <w:marRight w:val="0"/>
              <w:marTop w:val="0"/>
              <w:marBottom w:val="0"/>
              <w:divBdr>
                <w:top w:val="none" w:sz="0" w:space="0" w:color="auto"/>
                <w:left w:val="none" w:sz="0" w:space="0" w:color="auto"/>
                <w:bottom w:val="none" w:sz="0" w:space="0" w:color="auto"/>
                <w:right w:val="none" w:sz="0" w:space="0" w:color="auto"/>
              </w:divBdr>
            </w:div>
            <w:div w:id="1436748885">
              <w:marLeft w:val="0"/>
              <w:marRight w:val="0"/>
              <w:marTop w:val="0"/>
              <w:marBottom w:val="0"/>
              <w:divBdr>
                <w:top w:val="none" w:sz="0" w:space="0" w:color="auto"/>
                <w:left w:val="none" w:sz="0" w:space="0" w:color="auto"/>
                <w:bottom w:val="none" w:sz="0" w:space="0" w:color="auto"/>
                <w:right w:val="none" w:sz="0" w:space="0" w:color="auto"/>
              </w:divBdr>
            </w:div>
            <w:div w:id="1600481382">
              <w:marLeft w:val="0"/>
              <w:marRight w:val="0"/>
              <w:marTop w:val="0"/>
              <w:marBottom w:val="0"/>
              <w:divBdr>
                <w:top w:val="none" w:sz="0" w:space="0" w:color="auto"/>
                <w:left w:val="none" w:sz="0" w:space="0" w:color="auto"/>
                <w:bottom w:val="none" w:sz="0" w:space="0" w:color="auto"/>
                <w:right w:val="none" w:sz="0" w:space="0" w:color="auto"/>
              </w:divBdr>
            </w:div>
            <w:div w:id="1734354672">
              <w:marLeft w:val="0"/>
              <w:marRight w:val="0"/>
              <w:marTop w:val="0"/>
              <w:marBottom w:val="0"/>
              <w:divBdr>
                <w:top w:val="none" w:sz="0" w:space="0" w:color="auto"/>
                <w:left w:val="none" w:sz="0" w:space="0" w:color="auto"/>
                <w:bottom w:val="none" w:sz="0" w:space="0" w:color="auto"/>
                <w:right w:val="none" w:sz="0" w:space="0" w:color="auto"/>
              </w:divBdr>
            </w:div>
          </w:divsChild>
        </w:div>
        <w:div w:id="1030450682">
          <w:marLeft w:val="0"/>
          <w:marRight w:val="0"/>
          <w:marTop w:val="0"/>
          <w:marBottom w:val="0"/>
          <w:divBdr>
            <w:top w:val="none" w:sz="0" w:space="0" w:color="auto"/>
            <w:left w:val="none" w:sz="0" w:space="0" w:color="auto"/>
            <w:bottom w:val="none" w:sz="0" w:space="0" w:color="auto"/>
            <w:right w:val="none" w:sz="0" w:space="0" w:color="auto"/>
          </w:divBdr>
          <w:divsChild>
            <w:div w:id="468984950">
              <w:marLeft w:val="0"/>
              <w:marRight w:val="0"/>
              <w:marTop w:val="0"/>
              <w:marBottom w:val="0"/>
              <w:divBdr>
                <w:top w:val="none" w:sz="0" w:space="0" w:color="auto"/>
                <w:left w:val="none" w:sz="0" w:space="0" w:color="auto"/>
                <w:bottom w:val="none" w:sz="0" w:space="0" w:color="auto"/>
                <w:right w:val="none" w:sz="0" w:space="0" w:color="auto"/>
              </w:divBdr>
            </w:div>
            <w:div w:id="799375116">
              <w:marLeft w:val="0"/>
              <w:marRight w:val="0"/>
              <w:marTop w:val="0"/>
              <w:marBottom w:val="0"/>
              <w:divBdr>
                <w:top w:val="none" w:sz="0" w:space="0" w:color="auto"/>
                <w:left w:val="none" w:sz="0" w:space="0" w:color="auto"/>
                <w:bottom w:val="none" w:sz="0" w:space="0" w:color="auto"/>
                <w:right w:val="none" w:sz="0" w:space="0" w:color="auto"/>
              </w:divBdr>
            </w:div>
            <w:div w:id="1292708455">
              <w:marLeft w:val="0"/>
              <w:marRight w:val="0"/>
              <w:marTop w:val="0"/>
              <w:marBottom w:val="0"/>
              <w:divBdr>
                <w:top w:val="none" w:sz="0" w:space="0" w:color="auto"/>
                <w:left w:val="none" w:sz="0" w:space="0" w:color="auto"/>
                <w:bottom w:val="none" w:sz="0" w:space="0" w:color="auto"/>
                <w:right w:val="none" w:sz="0" w:space="0" w:color="auto"/>
              </w:divBdr>
            </w:div>
            <w:div w:id="1953511902">
              <w:marLeft w:val="0"/>
              <w:marRight w:val="0"/>
              <w:marTop w:val="0"/>
              <w:marBottom w:val="0"/>
              <w:divBdr>
                <w:top w:val="none" w:sz="0" w:space="0" w:color="auto"/>
                <w:left w:val="none" w:sz="0" w:space="0" w:color="auto"/>
                <w:bottom w:val="none" w:sz="0" w:space="0" w:color="auto"/>
                <w:right w:val="none" w:sz="0" w:space="0" w:color="auto"/>
              </w:divBdr>
            </w:div>
          </w:divsChild>
        </w:div>
        <w:div w:id="1132868770">
          <w:marLeft w:val="0"/>
          <w:marRight w:val="0"/>
          <w:marTop w:val="0"/>
          <w:marBottom w:val="0"/>
          <w:divBdr>
            <w:top w:val="none" w:sz="0" w:space="0" w:color="auto"/>
            <w:left w:val="none" w:sz="0" w:space="0" w:color="auto"/>
            <w:bottom w:val="none" w:sz="0" w:space="0" w:color="auto"/>
            <w:right w:val="none" w:sz="0" w:space="0" w:color="auto"/>
          </w:divBdr>
        </w:div>
        <w:div w:id="1159493140">
          <w:marLeft w:val="0"/>
          <w:marRight w:val="0"/>
          <w:marTop w:val="0"/>
          <w:marBottom w:val="0"/>
          <w:divBdr>
            <w:top w:val="none" w:sz="0" w:space="0" w:color="auto"/>
            <w:left w:val="none" w:sz="0" w:space="0" w:color="auto"/>
            <w:bottom w:val="none" w:sz="0" w:space="0" w:color="auto"/>
            <w:right w:val="none" w:sz="0" w:space="0" w:color="auto"/>
          </w:divBdr>
        </w:div>
        <w:div w:id="1187447634">
          <w:marLeft w:val="0"/>
          <w:marRight w:val="0"/>
          <w:marTop w:val="0"/>
          <w:marBottom w:val="0"/>
          <w:divBdr>
            <w:top w:val="none" w:sz="0" w:space="0" w:color="auto"/>
            <w:left w:val="none" w:sz="0" w:space="0" w:color="auto"/>
            <w:bottom w:val="none" w:sz="0" w:space="0" w:color="auto"/>
            <w:right w:val="none" w:sz="0" w:space="0" w:color="auto"/>
          </w:divBdr>
        </w:div>
        <w:div w:id="1204904105">
          <w:marLeft w:val="0"/>
          <w:marRight w:val="0"/>
          <w:marTop w:val="0"/>
          <w:marBottom w:val="0"/>
          <w:divBdr>
            <w:top w:val="none" w:sz="0" w:space="0" w:color="auto"/>
            <w:left w:val="none" w:sz="0" w:space="0" w:color="auto"/>
            <w:bottom w:val="none" w:sz="0" w:space="0" w:color="auto"/>
            <w:right w:val="none" w:sz="0" w:space="0" w:color="auto"/>
          </w:divBdr>
        </w:div>
        <w:div w:id="1230118806">
          <w:marLeft w:val="0"/>
          <w:marRight w:val="0"/>
          <w:marTop w:val="0"/>
          <w:marBottom w:val="0"/>
          <w:divBdr>
            <w:top w:val="none" w:sz="0" w:space="0" w:color="auto"/>
            <w:left w:val="none" w:sz="0" w:space="0" w:color="auto"/>
            <w:bottom w:val="none" w:sz="0" w:space="0" w:color="auto"/>
            <w:right w:val="none" w:sz="0" w:space="0" w:color="auto"/>
          </w:divBdr>
        </w:div>
        <w:div w:id="1243838097">
          <w:marLeft w:val="0"/>
          <w:marRight w:val="0"/>
          <w:marTop w:val="0"/>
          <w:marBottom w:val="0"/>
          <w:divBdr>
            <w:top w:val="none" w:sz="0" w:space="0" w:color="auto"/>
            <w:left w:val="none" w:sz="0" w:space="0" w:color="auto"/>
            <w:bottom w:val="none" w:sz="0" w:space="0" w:color="auto"/>
            <w:right w:val="none" w:sz="0" w:space="0" w:color="auto"/>
          </w:divBdr>
        </w:div>
        <w:div w:id="1270771187">
          <w:marLeft w:val="0"/>
          <w:marRight w:val="0"/>
          <w:marTop w:val="0"/>
          <w:marBottom w:val="0"/>
          <w:divBdr>
            <w:top w:val="none" w:sz="0" w:space="0" w:color="auto"/>
            <w:left w:val="none" w:sz="0" w:space="0" w:color="auto"/>
            <w:bottom w:val="none" w:sz="0" w:space="0" w:color="auto"/>
            <w:right w:val="none" w:sz="0" w:space="0" w:color="auto"/>
          </w:divBdr>
          <w:divsChild>
            <w:div w:id="306402486">
              <w:marLeft w:val="0"/>
              <w:marRight w:val="0"/>
              <w:marTop w:val="0"/>
              <w:marBottom w:val="0"/>
              <w:divBdr>
                <w:top w:val="none" w:sz="0" w:space="0" w:color="auto"/>
                <w:left w:val="none" w:sz="0" w:space="0" w:color="auto"/>
                <w:bottom w:val="none" w:sz="0" w:space="0" w:color="auto"/>
                <w:right w:val="none" w:sz="0" w:space="0" w:color="auto"/>
              </w:divBdr>
            </w:div>
            <w:div w:id="1243443055">
              <w:marLeft w:val="0"/>
              <w:marRight w:val="0"/>
              <w:marTop w:val="0"/>
              <w:marBottom w:val="0"/>
              <w:divBdr>
                <w:top w:val="none" w:sz="0" w:space="0" w:color="auto"/>
                <w:left w:val="none" w:sz="0" w:space="0" w:color="auto"/>
                <w:bottom w:val="none" w:sz="0" w:space="0" w:color="auto"/>
                <w:right w:val="none" w:sz="0" w:space="0" w:color="auto"/>
              </w:divBdr>
            </w:div>
            <w:div w:id="1313677072">
              <w:marLeft w:val="0"/>
              <w:marRight w:val="0"/>
              <w:marTop w:val="0"/>
              <w:marBottom w:val="0"/>
              <w:divBdr>
                <w:top w:val="none" w:sz="0" w:space="0" w:color="auto"/>
                <w:left w:val="none" w:sz="0" w:space="0" w:color="auto"/>
                <w:bottom w:val="none" w:sz="0" w:space="0" w:color="auto"/>
                <w:right w:val="none" w:sz="0" w:space="0" w:color="auto"/>
              </w:divBdr>
            </w:div>
            <w:div w:id="1980920148">
              <w:marLeft w:val="0"/>
              <w:marRight w:val="0"/>
              <w:marTop w:val="0"/>
              <w:marBottom w:val="0"/>
              <w:divBdr>
                <w:top w:val="none" w:sz="0" w:space="0" w:color="auto"/>
                <w:left w:val="none" w:sz="0" w:space="0" w:color="auto"/>
                <w:bottom w:val="none" w:sz="0" w:space="0" w:color="auto"/>
                <w:right w:val="none" w:sz="0" w:space="0" w:color="auto"/>
              </w:divBdr>
            </w:div>
            <w:div w:id="2121483109">
              <w:marLeft w:val="0"/>
              <w:marRight w:val="0"/>
              <w:marTop w:val="0"/>
              <w:marBottom w:val="0"/>
              <w:divBdr>
                <w:top w:val="none" w:sz="0" w:space="0" w:color="auto"/>
                <w:left w:val="none" w:sz="0" w:space="0" w:color="auto"/>
                <w:bottom w:val="none" w:sz="0" w:space="0" w:color="auto"/>
                <w:right w:val="none" w:sz="0" w:space="0" w:color="auto"/>
              </w:divBdr>
            </w:div>
          </w:divsChild>
        </w:div>
        <w:div w:id="1338919744">
          <w:marLeft w:val="0"/>
          <w:marRight w:val="0"/>
          <w:marTop w:val="0"/>
          <w:marBottom w:val="0"/>
          <w:divBdr>
            <w:top w:val="none" w:sz="0" w:space="0" w:color="auto"/>
            <w:left w:val="none" w:sz="0" w:space="0" w:color="auto"/>
            <w:bottom w:val="none" w:sz="0" w:space="0" w:color="auto"/>
            <w:right w:val="none" w:sz="0" w:space="0" w:color="auto"/>
          </w:divBdr>
        </w:div>
        <w:div w:id="1469515787">
          <w:marLeft w:val="0"/>
          <w:marRight w:val="0"/>
          <w:marTop w:val="0"/>
          <w:marBottom w:val="0"/>
          <w:divBdr>
            <w:top w:val="none" w:sz="0" w:space="0" w:color="auto"/>
            <w:left w:val="none" w:sz="0" w:space="0" w:color="auto"/>
            <w:bottom w:val="none" w:sz="0" w:space="0" w:color="auto"/>
            <w:right w:val="none" w:sz="0" w:space="0" w:color="auto"/>
          </w:divBdr>
        </w:div>
        <w:div w:id="1475025735">
          <w:marLeft w:val="0"/>
          <w:marRight w:val="0"/>
          <w:marTop w:val="0"/>
          <w:marBottom w:val="0"/>
          <w:divBdr>
            <w:top w:val="none" w:sz="0" w:space="0" w:color="auto"/>
            <w:left w:val="none" w:sz="0" w:space="0" w:color="auto"/>
            <w:bottom w:val="none" w:sz="0" w:space="0" w:color="auto"/>
            <w:right w:val="none" w:sz="0" w:space="0" w:color="auto"/>
          </w:divBdr>
        </w:div>
        <w:div w:id="1547176119">
          <w:marLeft w:val="0"/>
          <w:marRight w:val="0"/>
          <w:marTop w:val="0"/>
          <w:marBottom w:val="0"/>
          <w:divBdr>
            <w:top w:val="none" w:sz="0" w:space="0" w:color="auto"/>
            <w:left w:val="none" w:sz="0" w:space="0" w:color="auto"/>
            <w:bottom w:val="none" w:sz="0" w:space="0" w:color="auto"/>
            <w:right w:val="none" w:sz="0" w:space="0" w:color="auto"/>
          </w:divBdr>
        </w:div>
        <w:div w:id="1558665537">
          <w:marLeft w:val="0"/>
          <w:marRight w:val="0"/>
          <w:marTop w:val="0"/>
          <w:marBottom w:val="0"/>
          <w:divBdr>
            <w:top w:val="none" w:sz="0" w:space="0" w:color="auto"/>
            <w:left w:val="none" w:sz="0" w:space="0" w:color="auto"/>
            <w:bottom w:val="none" w:sz="0" w:space="0" w:color="auto"/>
            <w:right w:val="none" w:sz="0" w:space="0" w:color="auto"/>
          </w:divBdr>
        </w:div>
        <w:div w:id="1580865438">
          <w:marLeft w:val="0"/>
          <w:marRight w:val="0"/>
          <w:marTop w:val="0"/>
          <w:marBottom w:val="0"/>
          <w:divBdr>
            <w:top w:val="none" w:sz="0" w:space="0" w:color="auto"/>
            <w:left w:val="none" w:sz="0" w:space="0" w:color="auto"/>
            <w:bottom w:val="none" w:sz="0" w:space="0" w:color="auto"/>
            <w:right w:val="none" w:sz="0" w:space="0" w:color="auto"/>
          </w:divBdr>
        </w:div>
        <w:div w:id="1723867005">
          <w:marLeft w:val="0"/>
          <w:marRight w:val="0"/>
          <w:marTop w:val="0"/>
          <w:marBottom w:val="0"/>
          <w:divBdr>
            <w:top w:val="none" w:sz="0" w:space="0" w:color="auto"/>
            <w:left w:val="none" w:sz="0" w:space="0" w:color="auto"/>
            <w:bottom w:val="none" w:sz="0" w:space="0" w:color="auto"/>
            <w:right w:val="none" w:sz="0" w:space="0" w:color="auto"/>
          </w:divBdr>
        </w:div>
        <w:div w:id="1795710941">
          <w:marLeft w:val="0"/>
          <w:marRight w:val="0"/>
          <w:marTop w:val="0"/>
          <w:marBottom w:val="0"/>
          <w:divBdr>
            <w:top w:val="none" w:sz="0" w:space="0" w:color="auto"/>
            <w:left w:val="none" w:sz="0" w:space="0" w:color="auto"/>
            <w:bottom w:val="none" w:sz="0" w:space="0" w:color="auto"/>
            <w:right w:val="none" w:sz="0" w:space="0" w:color="auto"/>
          </w:divBdr>
        </w:div>
        <w:div w:id="1822040520">
          <w:marLeft w:val="0"/>
          <w:marRight w:val="0"/>
          <w:marTop w:val="0"/>
          <w:marBottom w:val="0"/>
          <w:divBdr>
            <w:top w:val="none" w:sz="0" w:space="0" w:color="auto"/>
            <w:left w:val="none" w:sz="0" w:space="0" w:color="auto"/>
            <w:bottom w:val="none" w:sz="0" w:space="0" w:color="auto"/>
            <w:right w:val="none" w:sz="0" w:space="0" w:color="auto"/>
          </w:divBdr>
        </w:div>
        <w:div w:id="1839730965">
          <w:marLeft w:val="0"/>
          <w:marRight w:val="0"/>
          <w:marTop w:val="0"/>
          <w:marBottom w:val="0"/>
          <w:divBdr>
            <w:top w:val="none" w:sz="0" w:space="0" w:color="auto"/>
            <w:left w:val="none" w:sz="0" w:space="0" w:color="auto"/>
            <w:bottom w:val="none" w:sz="0" w:space="0" w:color="auto"/>
            <w:right w:val="none" w:sz="0" w:space="0" w:color="auto"/>
          </w:divBdr>
        </w:div>
        <w:div w:id="1904564877">
          <w:marLeft w:val="0"/>
          <w:marRight w:val="0"/>
          <w:marTop w:val="0"/>
          <w:marBottom w:val="0"/>
          <w:divBdr>
            <w:top w:val="none" w:sz="0" w:space="0" w:color="auto"/>
            <w:left w:val="none" w:sz="0" w:space="0" w:color="auto"/>
            <w:bottom w:val="none" w:sz="0" w:space="0" w:color="auto"/>
            <w:right w:val="none" w:sz="0" w:space="0" w:color="auto"/>
          </w:divBdr>
        </w:div>
        <w:div w:id="1958179884">
          <w:marLeft w:val="0"/>
          <w:marRight w:val="0"/>
          <w:marTop w:val="0"/>
          <w:marBottom w:val="0"/>
          <w:divBdr>
            <w:top w:val="none" w:sz="0" w:space="0" w:color="auto"/>
            <w:left w:val="none" w:sz="0" w:space="0" w:color="auto"/>
            <w:bottom w:val="none" w:sz="0" w:space="0" w:color="auto"/>
            <w:right w:val="none" w:sz="0" w:space="0" w:color="auto"/>
          </w:divBdr>
          <w:divsChild>
            <w:div w:id="233510870">
              <w:marLeft w:val="0"/>
              <w:marRight w:val="0"/>
              <w:marTop w:val="0"/>
              <w:marBottom w:val="0"/>
              <w:divBdr>
                <w:top w:val="none" w:sz="0" w:space="0" w:color="auto"/>
                <w:left w:val="none" w:sz="0" w:space="0" w:color="auto"/>
                <w:bottom w:val="none" w:sz="0" w:space="0" w:color="auto"/>
                <w:right w:val="none" w:sz="0" w:space="0" w:color="auto"/>
              </w:divBdr>
            </w:div>
            <w:div w:id="429592124">
              <w:marLeft w:val="0"/>
              <w:marRight w:val="0"/>
              <w:marTop w:val="0"/>
              <w:marBottom w:val="0"/>
              <w:divBdr>
                <w:top w:val="none" w:sz="0" w:space="0" w:color="auto"/>
                <w:left w:val="none" w:sz="0" w:space="0" w:color="auto"/>
                <w:bottom w:val="none" w:sz="0" w:space="0" w:color="auto"/>
                <w:right w:val="none" w:sz="0" w:space="0" w:color="auto"/>
              </w:divBdr>
            </w:div>
            <w:div w:id="694354883">
              <w:marLeft w:val="0"/>
              <w:marRight w:val="0"/>
              <w:marTop w:val="0"/>
              <w:marBottom w:val="0"/>
              <w:divBdr>
                <w:top w:val="none" w:sz="0" w:space="0" w:color="auto"/>
                <w:left w:val="none" w:sz="0" w:space="0" w:color="auto"/>
                <w:bottom w:val="none" w:sz="0" w:space="0" w:color="auto"/>
                <w:right w:val="none" w:sz="0" w:space="0" w:color="auto"/>
              </w:divBdr>
            </w:div>
            <w:div w:id="1843156194">
              <w:marLeft w:val="0"/>
              <w:marRight w:val="0"/>
              <w:marTop w:val="0"/>
              <w:marBottom w:val="0"/>
              <w:divBdr>
                <w:top w:val="none" w:sz="0" w:space="0" w:color="auto"/>
                <w:left w:val="none" w:sz="0" w:space="0" w:color="auto"/>
                <w:bottom w:val="none" w:sz="0" w:space="0" w:color="auto"/>
                <w:right w:val="none" w:sz="0" w:space="0" w:color="auto"/>
              </w:divBdr>
            </w:div>
            <w:div w:id="2024092639">
              <w:marLeft w:val="0"/>
              <w:marRight w:val="0"/>
              <w:marTop w:val="0"/>
              <w:marBottom w:val="0"/>
              <w:divBdr>
                <w:top w:val="none" w:sz="0" w:space="0" w:color="auto"/>
                <w:left w:val="none" w:sz="0" w:space="0" w:color="auto"/>
                <w:bottom w:val="none" w:sz="0" w:space="0" w:color="auto"/>
                <w:right w:val="none" w:sz="0" w:space="0" w:color="auto"/>
              </w:divBdr>
            </w:div>
          </w:divsChild>
        </w:div>
        <w:div w:id="1966304530">
          <w:marLeft w:val="0"/>
          <w:marRight w:val="0"/>
          <w:marTop w:val="0"/>
          <w:marBottom w:val="0"/>
          <w:divBdr>
            <w:top w:val="none" w:sz="0" w:space="0" w:color="auto"/>
            <w:left w:val="none" w:sz="0" w:space="0" w:color="auto"/>
            <w:bottom w:val="none" w:sz="0" w:space="0" w:color="auto"/>
            <w:right w:val="none" w:sz="0" w:space="0" w:color="auto"/>
          </w:divBdr>
        </w:div>
        <w:div w:id="2036880950">
          <w:marLeft w:val="0"/>
          <w:marRight w:val="0"/>
          <w:marTop w:val="0"/>
          <w:marBottom w:val="0"/>
          <w:divBdr>
            <w:top w:val="none" w:sz="0" w:space="0" w:color="auto"/>
            <w:left w:val="none" w:sz="0" w:space="0" w:color="auto"/>
            <w:bottom w:val="none" w:sz="0" w:space="0" w:color="auto"/>
            <w:right w:val="none" w:sz="0" w:space="0" w:color="auto"/>
          </w:divBdr>
        </w:div>
        <w:div w:id="2039112616">
          <w:marLeft w:val="0"/>
          <w:marRight w:val="0"/>
          <w:marTop w:val="0"/>
          <w:marBottom w:val="0"/>
          <w:divBdr>
            <w:top w:val="none" w:sz="0" w:space="0" w:color="auto"/>
            <w:left w:val="none" w:sz="0" w:space="0" w:color="auto"/>
            <w:bottom w:val="none" w:sz="0" w:space="0" w:color="auto"/>
            <w:right w:val="none" w:sz="0" w:space="0" w:color="auto"/>
          </w:divBdr>
        </w:div>
        <w:div w:id="2062090558">
          <w:marLeft w:val="0"/>
          <w:marRight w:val="0"/>
          <w:marTop w:val="0"/>
          <w:marBottom w:val="0"/>
          <w:divBdr>
            <w:top w:val="none" w:sz="0" w:space="0" w:color="auto"/>
            <w:left w:val="none" w:sz="0" w:space="0" w:color="auto"/>
            <w:bottom w:val="none" w:sz="0" w:space="0" w:color="auto"/>
            <w:right w:val="none" w:sz="0" w:space="0" w:color="auto"/>
          </w:divBdr>
          <w:divsChild>
            <w:div w:id="368728954">
              <w:marLeft w:val="0"/>
              <w:marRight w:val="0"/>
              <w:marTop w:val="0"/>
              <w:marBottom w:val="0"/>
              <w:divBdr>
                <w:top w:val="none" w:sz="0" w:space="0" w:color="auto"/>
                <w:left w:val="none" w:sz="0" w:space="0" w:color="auto"/>
                <w:bottom w:val="none" w:sz="0" w:space="0" w:color="auto"/>
                <w:right w:val="none" w:sz="0" w:space="0" w:color="auto"/>
              </w:divBdr>
            </w:div>
            <w:div w:id="1035547882">
              <w:marLeft w:val="0"/>
              <w:marRight w:val="0"/>
              <w:marTop w:val="0"/>
              <w:marBottom w:val="0"/>
              <w:divBdr>
                <w:top w:val="none" w:sz="0" w:space="0" w:color="auto"/>
                <w:left w:val="none" w:sz="0" w:space="0" w:color="auto"/>
                <w:bottom w:val="none" w:sz="0" w:space="0" w:color="auto"/>
                <w:right w:val="none" w:sz="0" w:space="0" w:color="auto"/>
              </w:divBdr>
            </w:div>
            <w:div w:id="1403134769">
              <w:marLeft w:val="0"/>
              <w:marRight w:val="0"/>
              <w:marTop w:val="0"/>
              <w:marBottom w:val="0"/>
              <w:divBdr>
                <w:top w:val="none" w:sz="0" w:space="0" w:color="auto"/>
                <w:left w:val="none" w:sz="0" w:space="0" w:color="auto"/>
                <w:bottom w:val="none" w:sz="0" w:space="0" w:color="auto"/>
                <w:right w:val="none" w:sz="0" w:space="0" w:color="auto"/>
              </w:divBdr>
            </w:div>
            <w:div w:id="1774089152">
              <w:marLeft w:val="0"/>
              <w:marRight w:val="0"/>
              <w:marTop w:val="0"/>
              <w:marBottom w:val="0"/>
              <w:divBdr>
                <w:top w:val="none" w:sz="0" w:space="0" w:color="auto"/>
                <w:left w:val="none" w:sz="0" w:space="0" w:color="auto"/>
                <w:bottom w:val="none" w:sz="0" w:space="0" w:color="auto"/>
                <w:right w:val="none" w:sz="0" w:space="0" w:color="auto"/>
              </w:divBdr>
            </w:div>
            <w:div w:id="1993636351">
              <w:marLeft w:val="0"/>
              <w:marRight w:val="0"/>
              <w:marTop w:val="0"/>
              <w:marBottom w:val="0"/>
              <w:divBdr>
                <w:top w:val="none" w:sz="0" w:space="0" w:color="auto"/>
                <w:left w:val="none" w:sz="0" w:space="0" w:color="auto"/>
                <w:bottom w:val="none" w:sz="0" w:space="0" w:color="auto"/>
                <w:right w:val="none" w:sz="0" w:space="0" w:color="auto"/>
              </w:divBdr>
            </w:div>
          </w:divsChild>
        </w:div>
        <w:div w:id="2084638186">
          <w:marLeft w:val="0"/>
          <w:marRight w:val="0"/>
          <w:marTop w:val="0"/>
          <w:marBottom w:val="0"/>
          <w:divBdr>
            <w:top w:val="none" w:sz="0" w:space="0" w:color="auto"/>
            <w:left w:val="none" w:sz="0" w:space="0" w:color="auto"/>
            <w:bottom w:val="none" w:sz="0" w:space="0" w:color="auto"/>
            <w:right w:val="none" w:sz="0" w:space="0" w:color="auto"/>
          </w:divBdr>
          <w:divsChild>
            <w:div w:id="623343048">
              <w:marLeft w:val="0"/>
              <w:marRight w:val="0"/>
              <w:marTop w:val="0"/>
              <w:marBottom w:val="0"/>
              <w:divBdr>
                <w:top w:val="none" w:sz="0" w:space="0" w:color="auto"/>
                <w:left w:val="none" w:sz="0" w:space="0" w:color="auto"/>
                <w:bottom w:val="none" w:sz="0" w:space="0" w:color="auto"/>
                <w:right w:val="none" w:sz="0" w:space="0" w:color="auto"/>
              </w:divBdr>
            </w:div>
            <w:div w:id="908928289">
              <w:marLeft w:val="0"/>
              <w:marRight w:val="0"/>
              <w:marTop w:val="0"/>
              <w:marBottom w:val="0"/>
              <w:divBdr>
                <w:top w:val="none" w:sz="0" w:space="0" w:color="auto"/>
                <w:left w:val="none" w:sz="0" w:space="0" w:color="auto"/>
                <w:bottom w:val="none" w:sz="0" w:space="0" w:color="auto"/>
                <w:right w:val="none" w:sz="0" w:space="0" w:color="auto"/>
              </w:divBdr>
            </w:div>
            <w:div w:id="968895170">
              <w:marLeft w:val="0"/>
              <w:marRight w:val="0"/>
              <w:marTop w:val="0"/>
              <w:marBottom w:val="0"/>
              <w:divBdr>
                <w:top w:val="none" w:sz="0" w:space="0" w:color="auto"/>
                <w:left w:val="none" w:sz="0" w:space="0" w:color="auto"/>
                <w:bottom w:val="none" w:sz="0" w:space="0" w:color="auto"/>
                <w:right w:val="none" w:sz="0" w:space="0" w:color="auto"/>
              </w:divBdr>
            </w:div>
            <w:div w:id="14443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532933">
      <w:bodyDiv w:val="1"/>
      <w:marLeft w:val="0"/>
      <w:marRight w:val="0"/>
      <w:marTop w:val="0"/>
      <w:marBottom w:val="0"/>
      <w:divBdr>
        <w:top w:val="none" w:sz="0" w:space="0" w:color="auto"/>
        <w:left w:val="none" w:sz="0" w:space="0" w:color="auto"/>
        <w:bottom w:val="none" w:sz="0" w:space="0" w:color="auto"/>
        <w:right w:val="none" w:sz="0" w:space="0" w:color="auto"/>
      </w:divBdr>
    </w:div>
    <w:div w:id="1899779244">
      <w:bodyDiv w:val="1"/>
      <w:marLeft w:val="0"/>
      <w:marRight w:val="0"/>
      <w:marTop w:val="0"/>
      <w:marBottom w:val="0"/>
      <w:divBdr>
        <w:top w:val="none" w:sz="0" w:space="0" w:color="auto"/>
        <w:left w:val="none" w:sz="0" w:space="0" w:color="auto"/>
        <w:bottom w:val="none" w:sz="0" w:space="0" w:color="auto"/>
        <w:right w:val="none" w:sz="0" w:space="0" w:color="auto"/>
      </w:divBdr>
      <w:divsChild>
        <w:div w:id="64308178">
          <w:marLeft w:val="60"/>
          <w:marRight w:val="0"/>
          <w:marTop w:val="0"/>
          <w:marBottom w:val="0"/>
          <w:divBdr>
            <w:top w:val="none" w:sz="0" w:space="0" w:color="auto"/>
            <w:left w:val="none" w:sz="0" w:space="0" w:color="auto"/>
            <w:bottom w:val="none" w:sz="0" w:space="0" w:color="auto"/>
            <w:right w:val="none" w:sz="0" w:space="0" w:color="auto"/>
          </w:divBdr>
        </w:div>
      </w:divsChild>
    </w:div>
    <w:div w:id="1940023797">
      <w:bodyDiv w:val="1"/>
      <w:marLeft w:val="0"/>
      <w:marRight w:val="0"/>
      <w:marTop w:val="0"/>
      <w:marBottom w:val="0"/>
      <w:divBdr>
        <w:top w:val="none" w:sz="0" w:space="0" w:color="auto"/>
        <w:left w:val="none" w:sz="0" w:space="0" w:color="auto"/>
        <w:bottom w:val="none" w:sz="0" w:space="0" w:color="auto"/>
        <w:right w:val="none" w:sz="0" w:space="0" w:color="auto"/>
      </w:divBdr>
    </w:div>
    <w:div w:id="1942688891">
      <w:bodyDiv w:val="1"/>
      <w:marLeft w:val="0"/>
      <w:marRight w:val="0"/>
      <w:marTop w:val="0"/>
      <w:marBottom w:val="0"/>
      <w:divBdr>
        <w:top w:val="none" w:sz="0" w:space="0" w:color="auto"/>
        <w:left w:val="none" w:sz="0" w:space="0" w:color="auto"/>
        <w:bottom w:val="none" w:sz="0" w:space="0" w:color="auto"/>
        <w:right w:val="none" w:sz="0" w:space="0" w:color="auto"/>
      </w:divBdr>
    </w:div>
    <w:div w:id="2027754262">
      <w:bodyDiv w:val="1"/>
      <w:marLeft w:val="0"/>
      <w:marRight w:val="0"/>
      <w:marTop w:val="0"/>
      <w:marBottom w:val="0"/>
      <w:divBdr>
        <w:top w:val="none" w:sz="0" w:space="0" w:color="auto"/>
        <w:left w:val="none" w:sz="0" w:space="0" w:color="auto"/>
        <w:bottom w:val="none" w:sz="0" w:space="0" w:color="auto"/>
        <w:right w:val="none" w:sz="0" w:space="0" w:color="auto"/>
      </w:divBdr>
    </w:div>
    <w:div w:id="2030568574">
      <w:bodyDiv w:val="1"/>
      <w:marLeft w:val="0"/>
      <w:marRight w:val="0"/>
      <w:marTop w:val="0"/>
      <w:marBottom w:val="0"/>
      <w:divBdr>
        <w:top w:val="none" w:sz="0" w:space="0" w:color="auto"/>
        <w:left w:val="none" w:sz="0" w:space="0" w:color="auto"/>
        <w:bottom w:val="none" w:sz="0" w:space="0" w:color="auto"/>
        <w:right w:val="none" w:sz="0" w:space="0" w:color="auto"/>
      </w:divBdr>
    </w:div>
    <w:div w:id="208417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yperlink" Target="https://community.secop.gov.co/Public/Tendering/OpportunityDetail/Index?noticeUID=CO1.NTC.4823751&amp;isFromPublicArea=True&amp;isModal=true&amp;asPopupView=true" TargetMode="External"/><Relationship Id="rId47" Type="http://schemas.openxmlformats.org/officeDocument/2006/relationships/hyperlink" Target="https://community.secop.gov.co/Public/Tendering/OpportunityDetail/Index?noticeUID=CO1.NTC.5022233&amp;isFromPublicArea=True&amp;isModal=true&amp;asPopupView=true" TargetMode="External"/><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yperlink" Target="http://www.secretariasenado.gov.co/senado/basedoc/ley_0607_2000.html"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community.secop.gov.co/Public/Tendering/OpportunityDetail/Index?noticeUID=CO1.NTC.4961617&amp;isFromPublicArea=True&amp;isModal=False" TargetMode="External"/><Relationship Id="rId53" Type="http://schemas.openxmlformats.org/officeDocument/2006/relationships/image" Target="media/image34.png"/><Relationship Id="rId58" Type="http://schemas.openxmlformats.org/officeDocument/2006/relationships/image" Target="media/image39.png"/><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community.secop.gov.co/Public/Tendering/OpportunityDetail/Index?noticeUID=CO1.NTC.4833910&amp;isFromPublicArea=True&amp;isModal=true&amp;asPopupView=true" TargetMode="External"/><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32.png"/><Relationship Id="rId3" Type="http://schemas.openxmlformats.org/officeDocument/2006/relationships/customXml" Target="../customXml/item3.xml"/><Relationship Id="rId12" Type="http://schemas.openxmlformats.org/officeDocument/2006/relationships/hyperlink" Target="https://usc-word-edit.officeapps.live.com/we/wordeditorframe.aspx?ui=es-ES&amp;rs=es-ES&amp;wopisrc=https%3A%2F%2Fadrgov.sharepoint.com%2Fsites%2FExtensinAgropecuaria-DireccindeAsistenciaTcnica%2F_vti_bin%2Fwopi.ashx%2Ffiles%2F1e1e01832afa4b14a61d3267c6527824&amp;wdenableroaming=1&amp;mscc=1&amp;hid=AECF53A1-E0BE-6000-8BA9-AE5830C89224.0&amp;uih=sharepointcom&amp;wdlcid=es-ES&amp;jsapi=1&amp;jsapiver=v2&amp;corrid=d08b9393-6a39-d485-c82f-912de852761f&amp;usid=d08b9393-6a39-d485-c82f-912de852761f&amp;newsession=1&amp;sftc=1&amp;uihit=docaspx&amp;muv=1&amp;cac=1&amp;sams=1&amp;mtf=1&amp;sfp=1&amp;sdp=1&amp;hch=1&amp;hwfh=1&amp;dchat=1&amp;sc=%7B%22pmo%22%3A%22https%3A%2F%2Fadrgov.sharepoint.com%22%2C%22pmshare%22%3Atrue%7D&amp;ctp=LeastProtected&amp;rct=Normal&amp;wdorigin=ItemsView&amp;wdhostclicktime=1727295000937&amp;instantedit=1&amp;wopicomplete=1&amp;wdredirectionreason=Unified_SingleFlush"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https://community.secop.gov.co/Public/Tendering/OpportunityDetail/Index?noticeUID=CO1.NTC.5021027&amp;isFromPublicArea=True&amp;isModal=true&amp;asPopupView=true" TargetMode="External"/><Relationship Id="rId59" Type="http://schemas.openxmlformats.org/officeDocument/2006/relationships/image" Target="media/image40.png"/><Relationship Id="rId20" Type="http://schemas.openxmlformats.org/officeDocument/2006/relationships/image" Target="media/image8.png"/><Relationship Id="rId41" Type="http://schemas.openxmlformats.org/officeDocument/2006/relationships/hyperlink" Target="https://community.secop.gov.co/Public/Tendering/OpportunityDetail/Index?noticeUID=CO1.NTC.4823751&amp;isFromPublicArea=True&amp;isModal=true&amp;asPopupView=true" TargetMode="External"/><Relationship Id="rId54" Type="http://schemas.openxmlformats.org/officeDocument/2006/relationships/image" Target="media/image35.png"/><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hyperlink" Target="https://community.secop.gov.co/Public/Tendering/OpportunityDetail/Index?noticeUID=CO1.NTC.4961613&amp;isFromPublicArea=True&amp;isModal=False" TargetMode="External"/><Relationship Id="rId52" Type="http://schemas.openxmlformats.org/officeDocument/2006/relationships/image" Target="media/image33.png"/><Relationship Id="rId60" Type="http://schemas.openxmlformats.org/officeDocument/2006/relationships/header" Target="header1.xml"/><Relationship Id="rId65"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s>
</file>

<file path=word/_rels/footnotes.xml.rels><?xml version="1.0" encoding="UTF-8" standalone="yes"?>
<Relationships xmlns="http://schemas.openxmlformats.org/package/2006/relationships"><Relationship Id="rId3" Type="http://schemas.openxmlformats.org/officeDocument/2006/relationships/hyperlink" Target="https://www.dane.gov.co/files/operaciones/EMS/bol-EMS-may2024.pdf" TargetMode="External"/><Relationship Id="rId2" Type="http://schemas.openxmlformats.org/officeDocument/2006/relationships/hyperlink" Target="http://www.dane.gov.co/index.php/estadisticas-por-tema/precios-y-costos/indice-de-precios-al-consumidor-ipc/ipc-informacion-tecnica" TargetMode="External"/><Relationship Id="rId1" Type="http://schemas.openxmlformats.org/officeDocument/2006/relationships/hyperlink" Target="https://www.dane.gov.co/index.php/estadisticas-por-tema/cuentas-nacionales/cuentas-nacionales-trimestrales/pib-informacion-tecnica" TargetMode="External"/><Relationship Id="rId6" Type="http://schemas.openxmlformats.org/officeDocument/2006/relationships/hyperlink" Target="https://www.imf.org/es/Publications/WEO/Issues/2024/04/16/world-economic-outlook-april-2024" TargetMode="External"/><Relationship Id="rId5" Type="http://schemas.openxmlformats.org/officeDocument/2006/relationships/hyperlink" Target="http://www.dane.gov.co/index.php/estadisticas-por-tema/agropecuario/encuesta-nacional-agropecuaria-ena" TargetMode="External"/><Relationship Id="rId4" Type="http://schemas.openxmlformats.org/officeDocument/2006/relationships/hyperlink" Target="http://www.dane.gov.co/index.php/estadisticas-por-tema/agropecuario/encuesta-nacional-agropecuaria-en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2.png"/><Relationship Id="rId1" Type="http://schemas.openxmlformats.org/officeDocument/2006/relationships/image" Target="media/image4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9c85635-0a81-44dc-b01d-825b31b9c2bc" xsi:nil="true"/>
    <Creacion xmlns="a9c85635-0a81-44dc-b01d-825b31b9c2bc">2022-12-02T00:00:00+00:00</Creacion>
    <lcf76f155ced4ddcb4097134ff3c332f xmlns="a9c85635-0a81-44dc-b01d-825b31b9c2bc">
      <Terms xmlns="http://schemas.microsoft.com/office/infopath/2007/PartnerControls"/>
    </lcf76f155ced4ddcb4097134ff3c332f>
    <TaxCatchAll xmlns="7e41fd7a-5aa7-4186-871b-b595bd8952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65835A1B0899F45A9E254CF172F98B2" ma:contentTypeVersion="20" ma:contentTypeDescription="Crear nuevo documento." ma:contentTypeScope="" ma:versionID="128fbbee00fe024e52702759351deebc">
  <xsd:schema xmlns:xsd="http://www.w3.org/2001/XMLSchema" xmlns:xs="http://www.w3.org/2001/XMLSchema" xmlns:p="http://schemas.microsoft.com/office/2006/metadata/properties" xmlns:ns2="a9c85635-0a81-44dc-b01d-825b31b9c2bc" xmlns:ns3="7e41fd7a-5aa7-4186-871b-b595bd89528a" targetNamespace="http://schemas.microsoft.com/office/2006/metadata/properties" ma:root="true" ma:fieldsID="a8624a1a2fd7faccd1692c397aa25ebb" ns2:_="" ns3:_="">
    <xsd:import namespace="a9c85635-0a81-44dc-b01d-825b31b9c2bc"/>
    <xsd:import namespace="7e41fd7a-5aa7-4186-871b-b595bd895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_Flow_SignoffStatus" minOccurs="0"/>
                <xsd:element ref="ns2:lcf76f155ced4ddcb4097134ff3c332f" minOccurs="0"/>
                <xsd:element ref="ns3:TaxCatchAll" minOccurs="0"/>
                <xsd:element ref="ns2:Creacion"/>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c85635-0a81-44dc-b01d-825b31b9c2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4b6557d-1cbe-47b6-86b8-81baa7a081c4" ma:termSetId="09814cd3-568e-fe90-9814-8d621ff8fb84" ma:anchorId="fba54fb3-c3e1-fe81-a776-ca4b69148c4d" ma:open="true" ma:isKeyword="false">
      <xsd:complexType>
        <xsd:sequence>
          <xsd:element ref="pc:Terms" minOccurs="0" maxOccurs="1"/>
        </xsd:sequence>
      </xsd:complexType>
    </xsd:element>
    <xsd:element name="Creacion" ma:index="25" ma:displayName="Creacion" ma:default="2022-12-02T00:00:00Z" ma:format="DateOnly" ma:internalName="Creacion">
      <xsd:simpleType>
        <xsd:restriction base="dms:DateTim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41fd7a-5aa7-4186-871b-b595bd89528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3a421a2e-dc28-4498-b9d5-04a54b642851}" ma:internalName="TaxCatchAll" ma:showField="CatchAllData" ma:web="7e41fd7a-5aa7-4186-871b-b595bd895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D9AD95-DC1A-4D06-9AB9-5B009EBE2FA9}">
  <ds:schemaRefs>
    <ds:schemaRef ds:uri="http://schemas.microsoft.com/office/2006/metadata/properties"/>
    <ds:schemaRef ds:uri="http://schemas.microsoft.com/office/infopath/2007/PartnerControls"/>
    <ds:schemaRef ds:uri="a9c85635-0a81-44dc-b01d-825b31b9c2bc"/>
    <ds:schemaRef ds:uri="7e41fd7a-5aa7-4186-871b-b595bd89528a"/>
  </ds:schemaRefs>
</ds:datastoreItem>
</file>

<file path=customXml/itemProps2.xml><?xml version="1.0" encoding="utf-8"?>
<ds:datastoreItem xmlns:ds="http://schemas.openxmlformats.org/officeDocument/2006/customXml" ds:itemID="{FD9A1DFB-0D63-45F1-9841-1904095497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c85635-0a81-44dc-b01d-825b31b9c2bc"/>
    <ds:schemaRef ds:uri="7e41fd7a-5aa7-4186-871b-b595bd895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1693A6-6645-497F-AD2C-6222864B8602}">
  <ds:schemaRefs>
    <ds:schemaRef ds:uri="http://schemas.openxmlformats.org/officeDocument/2006/bibliography"/>
  </ds:schemaRefs>
</ds:datastoreItem>
</file>

<file path=customXml/itemProps4.xml><?xml version="1.0" encoding="utf-8"?>
<ds:datastoreItem xmlns:ds="http://schemas.openxmlformats.org/officeDocument/2006/customXml" ds:itemID="{9C320B65-A8D6-4D8B-AF53-7BD32B717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32952</Words>
  <Characters>181241</Characters>
  <Application>Microsoft Office Word</Application>
  <DocSecurity>0</DocSecurity>
  <Lines>1510</Lines>
  <Paragraphs>427</Paragraphs>
  <ScaleCrop>false</ScaleCrop>
  <Company/>
  <LinksUpToDate>false</LinksUpToDate>
  <CharactersWithSpaces>213766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Patricia Luna Noreña</dc:creator>
  <cp:keywords/>
  <dc:description/>
  <cp:lastModifiedBy>Catalina Forero Rodríguez</cp:lastModifiedBy>
  <cp:revision>2</cp:revision>
  <dcterms:created xsi:type="dcterms:W3CDTF">2024-10-09T20:34:00Z</dcterms:created>
  <dcterms:modified xsi:type="dcterms:W3CDTF">2024-10-09T20:34:00Z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0x010100D65835A1B0899F45A9E254CF172F98B2</vt:lpwstr>
  </property>
  <property fmtid="{D5CDD505-2E9C-101B-9397-08002B2CF9AE}" pid="3" name="MediaServiceImageTags">
    <vt:lpwstr/>
  </property>
</Properties>
</file>