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8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50"/>
      </w:tblGrid>
      <w:tr w:rsidR="00301BA9" w:rsidRPr="00FA2F24" w:rsidTr="008E5D64">
        <w:trPr>
          <w:trHeight w:val="255"/>
          <w:jc w:val="center"/>
        </w:trPr>
        <w:tc>
          <w:tcPr>
            <w:tcW w:w="4556" w:type="pct"/>
            <w:tcBorders>
              <w:top w:val="nil"/>
              <w:left w:val="nil"/>
              <w:bottom w:val="nil"/>
            </w:tcBorders>
            <w:vAlign w:val="center"/>
          </w:tcPr>
          <w:p w:rsidR="00301BA9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ind w:left="142" w:right="191"/>
              <w:jc w:val="center"/>
              <w:outlineLvl w:val="0"/>
              <w:rPr>
                <w:rFonts w:ascii="Arial" w:hAnsi="Arial" w:cs="Arial"/>
                <w:b/>
                <w:bCs/>
                <w:sz w:val="14"/>
              </w:rPr>
            </w:pPr>
            <w:bookmarkStart w:id="0" w:name="_GoBack"/>
            <w:bookmarkEnd w:id="0"/>
            <w:r w:rsidRPr="00FA2F24">
              <w:rPr>
                <w:rFonts w:ascii="Arial" w:hAnsi="Arial" w:cs="Arial"/>
                <w:b/>
                <w:bCs/>
                <w:sz w:val="14"/>
              </w:rPr>
              <w:t>ANEXO “L”</w:t>
            </w:r>
          </w:p>
          <w:p w:rsidR="00301BA9" w:rsidRPr="00FA2F24" w:rsidRDefault="00301BA9" w:rsidP="008E5D64">
            <w:pPr>
              <w:ind w:left="142" w:right="191"/>
              <w:jc w:val="center"/>
              <w:outlineLvl w:val="0"/>
              <w:rPr>
                <w:rFonts w:ascii="Arial" w:hAnsi="Arial" w:cs="Arial"/>
                <w:b/>
                <w:bCs/>
                <w:sz w:val="14"/>
              </w:rPr>
            </w:pPr>
            <w:r w:rsidRPr="00FA2F24">
              <w:rPr>
                <w:rFonts w:ascii="Arial" w:hAnsi="Arial" w:cs="Arial"/>
                <w:b/>
                <w:bCs/>
                <w:sz w:val="14"/>
              </w:rPr>
              <w:t>“MATRIZ DE RIESGOS”</w:t>
            </w:r>
          </w:p>
          <w:p w:rsidR="00301BA9" w:rsidRPr="00FA2F24" w:rsidRDefault="00301BA9" w:rsidP="008E5D64">
            <w:pPr>
              <w:ind w:left="142" w:right="191"/>
              <w:jc w:val="center"/>
              <w:outlineLvl w:val="0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jc w:val="center"/>
              <w:rPr>
                <w:rFonts w:ascii="Arial" w:hAnsi="Arial" w:cs="Arial"/>
                <w:b/>
                <w:bCs/>
                <w:sz w:val="14"/>
              </w:rPr>
            </w:pPr>
            <w:r w:rsidRPr="00FA2F24">
              <w:rPr>
                <w:rFonts w:ascii="Arial" w:hAnsi="Arial" w:cs="Arial"/>
                <w:b/>
                <w:bCs/>
                <w:sz w:val="14"/>
              </w:rPr>
              <w:t>Tabla 1 Matriz de riesgos</w:t>
            </w:r>
          </w:p>
          <w:p w:rsidR="00301BA9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tbl>
            <w:tblPr>
              <w:tblW w:w="3448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1"/>
              <w:gridCol w:w="998"/>
              <w:gridCol w:w="1144"/>
              <w:gridCol w:w="1037"/>
              <w:gridCol w:w="306"/>
              <w:gridCol w:w="1446"/>
              <w:gridCol w:w="745"/>
              <w:gridCol w:w="1053"/>
              <w:gridCol w:w="741"/>
              <w:gridCol w:w="1321"/>
            </w:tblGrid>
            <w:tr w:rsidR="00301BA9" w:rsidRPr="00FA2F24" w:rsidTr="008E5D64">
              <w:trPr>
                <w:trHeight w:val="184"/>
              </w:trPr>
              <w:tc>
                <w:tcPr>
                  <w:tcW w:w="22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NUMERICA</w:t>
                  </w:r>
                </w:p>
              </w:tc>
              <w:tc>
                <w:tcPr>
                  <w:tcW w:w="65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HISTORICA</w:t>
                  </w:r>
                </w:p>
              </w:tc>
              <w:tc>
                <w:tcPr>
                  <w:tcW w:w="59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17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2796" w:type="pct"/>
                  <w:gridSpan w:val="5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808080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IMPACTO</w:t>
                  </w:r>
                </w:p>
              </w:tc>
            </w:tr>
            <w:tr w:rsidR="00301BA9" w:rsidRPr="00FA2F24" w:rsidTr="008E5D64">
              <w:trPr>
                <w:trHeight w:val="171"/>
              </w:trPr>
              <w:tc>
                <w:tcPr>
                  <w:tcW w:w="22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noProof/>
                      <w:sz w:val="14"/>
                      <w:szCs w:val="12"/>
                      <w:lang w:val="en-US"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01047967" wp14:editId="23B210DA">
                            <wp:simplePos x="0" y="0"/>
                            <wp:positionH relativeFrom="column">
                              <wp:posOffset>313690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123825" cy="142875"/>
                            <wp:effectExtent l="19050" t="0" r="47625" b="47625"/>
                            <wp:wrapNone/>
                            <wp:docPr id="4" name="Flecha abajo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23825" cy="1428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4F81BD"/>
                                    </a:solidFill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281A58B" id="_x0000_t67" coordsize="21600,21600" o:spt="67" adj="16200,5400" path="m0@0l@1@0@1,0@2,0@2@0,21600@0,10800,216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10800,0;0,@0;10800,21600;21600,@0" o:connectangles="270,180,90,0" textboxrect="@1,0,@2,@6"/>
                            <v:handles>
                              <v:h position="#1,#0" xrange="0,10800" yrange="0,21600"/>
                            </v:handles>
                          </v:shapetype>
                          <v:shape id="Flecha abajo 4" o:spid="_x0000_s1026" type="#_x0000_t67" style="position:absolute;margin-left:24.7pt;margin-top:1.2pt;width:9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" adj="12240" fillcolor="#4f81bd" strokecolor="#385d8a" strokeweight="2pt">
                            <v:path arrowok="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5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noProof/>
                      <w:sz w:val="14"/>
                      <w:szCs w:val="12"/>
                      <w:lang w:val="en-US"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13D4A06" wp14:editId="274D8A75">
                            <wp:simplePos x="0" y="0"/>
                            <wp:positionH relativeFrom="column">
                              <wp:posOffset>255905</wp:posOffset>
                            </wp:positionH>
                            <wp:positionV relativeFrom="paragraph">
                              <wp:posOffset>24765</wp:posOffset>
                            </wp:positionV>
                            <wp:extent cx="123825" cy="142875"/>
                            <wp:effectExtent l="19050" t="0" r="47625" b="47625"/>
                            <wp:wrapNone/>
                            <wp:docPr id="3" name="Flecha abajo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23825" cy="1428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4F81BD"/>
                                    </a:solidFill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0D57ABF" id="Flecha abajo 3" o:spid="_x0000_s1026" type="#_x0000_t67" style="position:absolute;margin-left:20.15pt;margin-top:1.95pt;width:9.7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" adj="12240" fillcolor="#4f81bd" strokecolor="#385d8a" strokeweight="2pt">
                            <v:path arrowok="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9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17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8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INSIGNIFICANTE</w:t>
                  </w:r>
                </w:p>
              </w:tc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MENOR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MODERADO</w:t>
                  </w: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MAYOR</w:t>
                  </w:r>
                </w:p>
              </w:tc>
              <w:tc>
                <w:tcPr>
                  <w:tcW w:w="5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CATASTROFICO</w:t>
                  </w:r>
                </w:p>
              </w:tc>
            </w:tr>
            <w:tr w:rsidR="00301BA9" w:rsidRPr="00FA2F24" w:rsidTr="008E5D64">
              <w:trPr>
                <w:trHeight w:val="184"/>
              </w:trPr>
              <w:tc>
                <w:tcPr>
                  <w:tcW w:w="222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651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9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1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822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1</w:t>
                  </w:r>
                </w:p>
              </w:tc>
              <w:tc>
                <w:tcPr>
                  <w:tcW w:w="424" w:type="pct"/>
                  <w:tcBorders>
                    <w:top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2</w:t>
                  </w:r>
                </w:p>
              </w:tc>
              <w:tc>
                <w:tcPr>
                  <w:tcW w:w="599" w:type="pct"/>
                  <w:tcBorders>
                    <w:top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3</w:t>
                  </w:r>
                </w:p>
              </w:tc>
              <w:tc>
                <w:tcPr>
                  <w:tcW w:w="421" w:type="pct"/>
                  <w:tcBorders>
                    <w:top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4</w:t>
                  </w:r>
                </w:p>
              </w:tc>
              <w:tc>
                <w:tcPr>
                  <w:tcW w:w="530" w:type="pct"/>
                  <w:tcBorders>
                    <w:top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5</w:t>
                  </w:r>
                </w:p>
              </w:tc>
            </w:tr>
            <w:tr w:rsidR="00301BA9" w:rsidRPr="00FA2F24" w:rsidTr="008E5D64">
              <w:trPr>
                <w:trHeight w:val="424"/>
              </w:trPr>
              <w:tc>
                <w:tcPr>
                  <w:tcW w:w="222" w:type="pct"/>
                  <w:vMerge w:val="restart"/>
                  <w:tcBorders>
                    <w:top w:val="single" w:sz="4" w:space="0" w:color="auto"/>
                  </w:tcBorders>
                  <w:shd w:val="clear" w:color="auto" w:fill="000000"/>
                  <w:textDirection w:val="btLr"/>
                </w:tcPr>
                <w:p w:rsidR="00301BA9" w:rsidRPr="00FA2F24" w:rsidRDefault="00301BA9" w:rsidP="008E5D64">
                  <w:pPr>
                    <w:ind w:left="113" w:right="113"/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PROBABILIDAD</w:t>
                  </w:r>
                </w:p>
              </w:tc>
              <w:tc>
                <w:tcPr>
                  <w:tcW w:w="567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1 EN 10.000-100.000</w:t>
                  </w:r>
                </w:p>
              </w:tc>
              <w:tc>
                <w:tcPr>
                  <w:tcW w:w="651" w:type="pct"/>
                  <w:tcBorders>
                    <w:top w:val="single" w:sz="4" w:space="0" w:color="auto"/>
                  </w:tcBorders>
                  <w:shd w:val="clear" w:color="auto" w:fill="auto"/>
                </w:tcPr>
                <w:p w:rsidR="00301BA9" w:rsidRPr="00FA2F24" w:rsidRDefault="00301BA9" w:rsidP="008E5D64">
                  <w:pPr>
                    <w:jc w:val="both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Puede ocurrir pero solo en circunstancias excepcionales</w:t>
                  </w:r>
                </w:p>
              </w:tc>
              <w:tc>
                <w:tcPr>
                  <w:tcW w:w="590" w:type="pct"/>
                  <w:tcBorders>
                    <w:top w:val="single" w:sz="4" w:space="0" w:color="auto"/>
                  </w:tcBorders>
                  <w:shd w:val="clear" w:color="auto" w:fill="D9D9D9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RARO</w:t>
                  </w:r>
                </w:p>
              </w:tc>
              <w:tc>
                <w:tcPr>
                  <w:tcW w:w="174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1</w:t>
                  </w:r>
                </w:p>
              </w:tc>
              <w:tc>
                <w:tcPr>
                  <w:tcW w:w="822" w:type="pct"/>
                  <w:shd w:val="clear" w:color="auto" w:fill="00B05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2</w:t>
                  </w:r>
                </w:p>
              </w:tc>
              <w:tc>
                <w:tcPr>
                  <w:tcW w:w="424" w:type="pct"/>
                  <w:shd w:val="clear" w:color="auto" w:fill="00B05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3</w:t>
                  </w:r>
                </w:p>
              </w:tc>
              <w:tc>
                <w:tcPr>
                  <w:tcW w:w="599" w:type="pct"/>
                  <w:shd w:val="clear" w:color="auto" w:fill="00B05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4</w:t>
                  </w:r>
                </w:p>
              </w:tc>
              <w:tc>
                <w:tcPr>
                  <w:tcW w:w="421" w:type="pct"/>
                  <w:shd w:val="clear" w:color="auto" w:fill="FFFF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5</w:t>
                  </w:r>
                </w:p>
              </w:tc>
              <w:tc>
                <w:tcPr>
                  <w:tcW w:w="530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6</w:t>
                  </w:r>
                </w:p>
              </w:tc>
            </w:tr>
            <w:tr w:rsidR="00301BA9" w:rsidRPr="00FA2F24" w:rsidTr="008E5D64">
              <w:trPr>
                <w:trHeight w:val="141"/>
              </w:trPr>
              <w:tc>
                <w:tcPr>
                  <w:tcW w:w="222" w:type="pct"/>
                  <w:vMerge/>
                  <w:shd w:val="clear" w:color="auto" w:fill="000000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1 EN 1.000-10.000</w:t>
                  </w:r>
                </w:p>
              </w:tc>
              <w:tc>
                <w:tcPr>
                  <w:tcW w:w="651" w:type="pct"/>
                  <w:shd w:val="clear" w:color="auto" w:fill="auto"/>
                </w:tcPr>
                <w:p w:rsidR="00301BA9" w:rsidRPr="00FA2F24" w:rsidRDefault="00301BA9" w:rsidP="008E5D64">
                  <w:pPr>
                    <w:jc w:val="both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Podría  ocurrir pero dudoso</w:t>
                  </w:r>
                </w:p>
              </w:tc>
              <w:tc>
                <w:tcPr>
                  <w:tcW w:w="590" w:type="pct"/>
                  <w:shd w:val="clear" w:color="auto" w:fill="D9D9D9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IMPROBABLE</w:t>
                  </w:r>
                </w:p>
              </w:tc>
              <w:tc>
                <w:tcPr>
                  <w:tcW w:w="174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2</w:t>
                  </w:r>
                </w:p>
              </w:tc>
              <w:tc>
                <w:tcPr>
                  <w:tcW w:w="822" w:type="pct"/>
                  <w:shd w:val="clear" w:color="auto" w:fill="00B05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3</w:t>
                  </w:r>
                </w:p>
              </w:tc>
              <w:tc>
                <w:tcPr>
                  <w:tcW w:w="424" w:type="pct"/>
                  <w:shd w:val="clear" w:color="auto" w:fill="00B05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4</w:t>
                  </w:r>
                </w:p>
              </w:tc>
              <w:tc>
                <w:tcPr>
                  <w:tcW w:w="599" w:type="pct"/>
                  <w:shd w:val="clear" w:color="auto" w:fill="FFFF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5</w:t>
                  </w:r>
                </w:p>
              </w:tc>
              <w:tc>
                <w:tcPr>
                  <w:tcW w:w="421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6</w:t>
                  </w:r>
                </w:p>
              </w:tc>
              <w:tc>
                <w:tcPr>
                  <w:tcW w:w="530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7</w:t>
                  </w:r>
                </w:p>
              </w:tc>
            </w:tr>
            <w:tr w:rsidR="00301BA9" w:rsidRPr="00FA2F24" w:rsidTr="008E5D64">
              <w:trPr>
                <w:trHeight w:val="141"/>
              </w:trPr>
              <w:tc>
                <w:tcPr>
                  <w:tcW w:w="222" w:type="pct"/>
                  <w:vMerge/>
                  <w:shd w:val="clear" w:color="auto" w:fill="000000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1 EN 100-1.000</w:t>
                  </w:r>
                </w:p>
              </w:tc>
              <w:tc>
                <w:tcPr>
                  <w:tcW w:w="651" w:type="pct"/>
                  <w:shd w:val="clear" w:color="auto" w:fill="auto"/>
                </w:tcPr>
                <w:p w:rsidR="00301BA9" w:rsidRPr="00FA2F24" w:rsidRDefault="00301BA9" w:rsidP="008E5D64">
                  <w:pPr>
                    <w:jc w:val="both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Podría ocurrir en cualquier momento futuro</w:t>
                  </w:r>
                </w:p>
              </w:tc>
              <w:tc>
                <w:tcPr>
                  <w:tcW w:w="590" w:type="pct"/>
                  <w:shd w:val="clear" w:color="auto" w:fill="D9D9D9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POSIBLE</w:t>
                  </w:r>
                </w:p>
              </w:tc>
              <w:tc>
                <w:tcPr>
                  <w:tcW w:w="174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3</w:t>
                  </w:r>
                </w:p>
              </w:tc>
              <w:tc>
                <w:tcPr>
                  <w:tcW w:w="822" w:type="pct"/>
                  <w:shd w:val="clear" w:color="auto" w:fill="00B05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4</w:t>
                  </w:r>
                </w:p>
              </w:tc>
              <w:tc>
                <w:tcPr>
                  <w:tcW w:w="424" w:type="pct"/>
                  <w:shd w:val="clear" w:color="auto" w:fill="FFFF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5</w:t>
                  </w:r>
                </w:p>
              </w:tc>
              <w:tc>
                <w:tcPr>
                  <w:tcW w:w="599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6</w:t>
                  </w:r>
                </w:p>
              </w:tc>
              <w:tc>
                <w:tcPr>
                  <w:tcW w:w="421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7</w:t>
                  </w:r>
                </w:p>
              </w:tc>
              <w:tc>
                <w:tcPr>
                  <w:tcW w:w="530" w:type="pct"/>
                  <w:shd w:val="clear" w:color="auto" w:fill="FF0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8</w:t>
                  </w:r>
                </w:p>
              </w:tc>
            </w:tr>
            <w:tr w:rsidR="00301BA9" w:rsidRPr="00FA2F24" w:rsidTr="008E5D64">
              <w:trPr>
                <w:trHeight w:val="141"/>
              </w:trPr>
              <w:tc>
                <w:tcPr>
                  <w:tcW w:w="222" w:type="pct"/>
                  <w:vMerge/>
                  <w:shd w:val="clear" w:color="auto" w:fill="000000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1 EN 10-100</w:t>
                  </w:r>
                </w:p>
              </w:tc>
              <w:tc>
                <w:tcPr>
                  <w:tcW w:w="651" w:type="pct"/>
                  <w:shd w:val="clear" w:color="auto" w:fill="auto"/>
                </w:tcPr>
                <w:p w:rsidR="00301BA9" w:rsidRPr="00FA2F24" w:rsidRDefault="00301BA9" w:rsidP="008E5D64">
                  <w:pPr>
                    <w:jc w:val="both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Probablemente ocurrirá</w:t>
                  </w:r>
                </w:p>
              </w:tc>
              <w:tc>
                <w:tcPr>
                  <w:tcW w:w="590" w:type="pct"/>
                  <w:shd w:val="clear" w:color="auto" w:fill="D9D9D9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PROBABLE</w:t>
                  </w:r>
                </w:p>
              </w:tc>
              <w:tc>
                <w:tcPr>
                  <w:tcW w:w="174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4</w:t>
                  </w:r>
                </w:p>
              </w:tc>
              <w:tc>
                <w:tcPr>
                  <w:tcW w:w="822" w:type="pct"/>
                  <w:shd w:val="clear" w:color="auto" w:fill="FFFF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5</w:t>
                  </w:r>
                </w:p>
              </w:tc>
              <w:tc>
                <w:tcPr>
                  <w:tcW w:w="424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6</w:t>
                  </w:r>
                </w:p>
              </w:tc>
              <w:tc>
                <w:tcPr>
                  <w:tcW w:w="599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7</w:t>
                  </w:r>
                </w:p>
              </w:tc>
              <w:tc>
                <w:tcPr>
                  <w:tcW w:w="421" w:type="pct"/>
                  <w:shd w:val="clear" w:color="auto" w:fill="FF0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8</w:t>
                  </w:r>
                </w:p>
              </w:tc>
              <w:tc>
                <w:tcPr>
                  <w:tcW w:w="530" w:type="pct"/>
                  <w:shd w:val="clear" w:color="auto" w:fill="FF0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9</w:t>
                  </w:r>
                </w:p>
              </w:tc>
            </w:tr>
            <w:tr w:rsidR="00301BA9" w:rsidRPr="00FA2F24" w:rsidTr="008E5D64">
              <w:trPr>
                <w:trHeight w:val="141"/>
              </w:trPr>
              <w:tc>
                <w:tcPr>
                  <w:tcW w:w="222" w:type="pct"/>
                  <w:vMerge/>
                  <w:shd w:val="clear" w:color="auto" w:fill="000000"/>
                </w:tcPr>
                <w:p w:rsidR="00301BA9" w:rsidRPr="00FA2F24" w:rsidRDefault="00301BA9" w:rsidP="008E5D64">
                  <w:pPr>
                    <w:rPr>
                      <w:rFonts w:ascii="Tahoma" w:hAnsi="Tahoma" w:cs="Tahoma"/>
                      <w:sz w:val="14"/>
                      <w:szCs w:val="12"/>
                    </w:rPr>
                  </w:pPr>
                </w:p>
              </w:tc>
              <w:tc>
                <w:tcPr>
                  <w:tcW w:w="567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1 EN 10</w:t>
                  </w:r>
                </w:p>
              </w:tc>
              <w:tc>
                <w:tcPr>
                  <w:tcW w:w="651" w:type="pct"/>
                  <w:shd w:val="clear" w:color="auto" w:fill="auto"/>
                </w:tcPr>
                <w:p w:rsidR="00301BA9" w:rsidRPr="00FA2F24" w:rsidRDefault="00301BA9" w:rsidP="008E5D64">
                  <w:pPr>
                    <w:jc w:val="both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Se espera que ocurra en la mayoría de  circunstancias</w:t>
                  </w:r>
                </w:p>
              </w:tc>
              <w:tc>
                <w:tcPr>
                  <w:tcW w:w="590" w:type="pct"/>
                  <w:shd w:val="clear" w:color="auto" w:fill="D9D9D9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CASI CIERTO</w:t>
                  </w:r>
                </w:p>
              </w:tc>
              <w:tc>
                <w:tcPr>
                  <w:tcW w:w="174" w:type="pct"/>
                  <w:shd w:val="clear" w:color="auto" w:fill="auto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5</w:t>
                  </w:r>
                </w:p>
              </w:tc>
              <w:tc>
                <w:tcPr>
                  <w:tcW w:w="822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6</w:t>
                  </w:r>
                </w:p>
              </w:tc>
              <w:tc>
                <w:tcPr>
                  <w:tcW w:w="424" w:type="pct"/>
                  <w:shd w:val="clear" w:color="auto" w:fill="FFC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sz w:val="14"/>
                      <w:szCs w:val="12"/>
                    </w:rPr>
                    <w:t>7</w:t>
                  </w:r>
                </w:p>
              </w:tc>
              <w:tc>
                <w:tcPr>
                  <w:tcW w:w="599" w:type="pct"/>
                  <w:shd w:val="clear" w:color="auto" w:fill="FF0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8</w:t>
                  </w:r>
                </w:p>
              </w:tc>
              <w:tc>
                <w:tcPr>
                  <w:tcW w:w="421" w:type="pct"/>
                  <w:shd w:val="clear" w:color="auto" w:fill="FF0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9</w:t>
                  </w:r>
                </w:p>
              </w:tc>
              <w:tc>
                <w:tcPr>
                  <w:tcW w:w="530" w:type="pct"/>
                  <w:shd w:val="clear" w:color="auto" w:fill="FF0000"/>
                  <w:vAlign w:val="center"/>
                </w:tcPr>
                <w:p w:rsidR="00301BA9" w:rsidRPr="00FA2F24" w:rsidRDefault="00301BA9" w:rsidP="008E5D64">
                  <w:pPr>
                    <w:jc w:val="center"/>
                    <w:rPr>
                      <w:rFonts w:ascii="Tahoma" w:hAnsi="Tahoma" w:cs="Tahoma"/>
                      <w:b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sz w:val="14"/>
                      <w:szCs w:val="12"/>
                    </w:rPr>
                    <w:t>10</w:t>
                  </w:r>
                </w:p>
              </w:tc>
            </w:tr>
          </w:tbl>
          <w:p w:rsidR="00301BA9" w:rsidRPr="00FA2F24" w:rsidRDefault="00301BA9" w:rsidP="008E5D64">
            <w:pPr>
              <w:rPr>
                <w:rFonts w:ascii="Tahoma" w:hAnsi="Tahoma" w:cs="Tahoma"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sz w:val="14"/>
              </w:rPr>
            </w:pPr>
          </w:p>
          <w:p w:rsidR="00301BA9" w:rsidRPr="00FA2F24" w:rsidRDefault="00301BA9" w:rsidP="008E5D64">
            <w:pPr>
              <w:jc w:val="both"/>
              <w:rPr>
                <w:rFonts w:ascii="Tahoma" w:hAnsi="Tahoma" w:cs="Tahoma"/>
                <w:sz w:val="14"/>
              </w:rPr>
            </w:pPr>
            <w:r w:rsidRPr="00FA2F24">
              <w:rPr>
                <w:rFonts w:ascii="Tahoma" w:hAnsi="Tahoma" w:cs="Tahoma"/>
                <w:sz w:val="14"/>
              </w:rPr>
              <w:t>El orden de prioridades fue establecido asignando un puntaje de acuerdo con la probabilidad de ocurrencia (raro; improbable; posible; probable; casi cierto) y de su impacto (insignificante; menor; moderado; mayor; catastrófico). Los riesgos fueron clasificados teniendo cuenta su calificación de acuerdo con Tabla 2.</w:t>
            </w: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  <w:r w:rsidRPr="00FA2F24">
              <w:rPr>
                <w:rFonts w:ascii="Tahoma" w:hAnsi="Tahoma" w:cs="Tahoma"/>
                <w:b/>
                <w:bCs/>
                <w:sz w:val="14"/>
              </w:rPr>
              <w:t>Tabla 2 Prioridad de tratamiento y control del riesgo</w:t>
            </w: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26"/>
              <w:gridCol w:w="5245"/>
            </w:tblGrid>
            <w:tr w:rsidR="00301BA9" w:rsidRPr="00FA2F24" w:rsidTr="008E5D64">
              <w:trPr>
                <w:jc w:val="center"/>
              </w:trPr>
              <w:tc>
                <w:tcPr>
                  <w:tcW w:w="1526" w:type="dxa"/>
                  <w:shd w:val="clear" w:color="auto" w:fill="808080"/>
                  <w:vAlign w:val="center"/>
                </w:tcPr>
                <w:p w:rsidR="00301BA9" w:rsidRPr="00FA2F24" w:rsidRDefault="00301BA9" w:rsidP="008E5D64">
                  <w:pPr>
                    <w:pStyle w:val="Default"/>
                    <w:jc w:val="center"/>
                    <w:rPr>
                      <w:rFonts w:ascii="Tahoma" w:hAnsi="Tahoma" w:cs="Tahoma"/>
                      <w:b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color w:val="auto"/>
                      <w:sz w:val="14"/>
                      <w:szCs w:val="12"/>
                    </w:rPr>
                    <w:t>N°</w:t>
                  </w:r>
                </w:p>
              </w:tc>
              <w:tc>
                <w:tcPr>
                  <w:tcW w:w="5245" w:type="dxa"/>
                  <w:shd w:val="clear" w:color="auto" w:fill="808080"/>
                  <w:vAlign w:val="center"/>
                </w:tcPr>
                <w:p w:rsidR="00301BA9" w:rsidRPr="00FA2F24" w:rsidRDefault="00301BA9" w:rsidP="008E5D64">
                  <w:pPr>
                    <w:pStyle w:val="Default"/>
                    <w:jc w:val="center"/>
                    <w:rPr>
                      <w:rFonts w:ascii="Tahoma" w:hAnsi="Tahoma" w:cs="Tahoma"/>
                      <w:b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b/>
                      <w:color w:val="auto"/>
                      <w:sz w:val="14"/>
                      <w:szCs w:val="12"/>
                    </w:rPr>
                    <w:t>Factor de escogencia y calificación</w:t>
                  </w:r>
                </w:p>
              </w:tc>
            </w:tr>
            <w:tr w:rsidR="00301BA9" w:rsidRPr="00FA2F24" w:rsidTr="008E5D64">
              <w:trPr>
                <w:jc w:val="center"/>
              </w:trPr>
              <w:tc>
                <w:tcPr>
                  <w:tcW w:w="1526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&gt; 7 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Extremo: Se requiere un plan de acción detallado </w:t>
                  </w:r>
                </w:p>
              </w:tc>
            </w:tr>
            <w:tr w:rsidR="00301BA9" w:rsidRPr="00FA2F24" w:rsidTr="008E5D64">
              <w:trPr>
                <w:jc w:val="center"/>
              </w:trPr>
              <w:tc>
                <w:tcPr>
                  <w:tcW w:w="1526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6 &lt;= Riesgo &lt;= 7 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Alto: Se necesita una atención mayor de la administración </w:t>
                  </w:r>
                </w:p>
              </w:tc>
            </w:tr>
            <w:tr w:rsidR="00301BA9" w:rsidRPr="00FA2F24" w:rsidTr="008E5D64">
              <w:trPr>
                <w:jc w:val="center"/>
              </w:trPr>
              <w:tc>
                <w:tcPr>
                  <w:tcW w:w="1526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= 5 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Medio: Especificar responsabilidad de la administración </w:t>
                  </w:r>
                </w:p>
              </w:tc>
            </w:tr>
            <w:tr w:rsidR="00301BA9" w:rsidRPr="00FA2F24" w:rsidTr="008E5D64">
              <w:trPr>
                <w:jc w:val="center"/>
              </w:trPr>
              <w:tc>
                <w:tcPr>
                  <w:tcW w:w="1526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&lt; 5 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01BA9" w:rsidRPr="00FA2F24" w:rsidRDefault="00301BA9" w:rsidP="008E5D64">
                  <w:pPr>
                    <w:pStyle w:val="Default"/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</w:pPr>
                  <w:r w:rsidRPr="00FA2F24">
                    <w:rPr>
                      <w:rFonts w:ascii="Tahoma" w:hAnsi="Tahoma" w:cs="Tahoma"/>
                      <w:color w:val="auto"/>
                      <w:sz w:val="14"/>
                      <w:szCs w:val="12"/>
                    </w:rPr>
                    <w:t xml:space="preserve">Riesgo Bajo: Administrar por procedimientos de rutina </w:t>
                  </w:r>
                </w:p>
              </w:tc>
            </w:tr>
          </w:tbl>
          <w:p w:rsidR="00301BA9" w:rsidRPr="00FA2F24" w:rsidRDefault="00301BA9" w:rsidP="008E5D64">
            <w:pPr>
              <w:jc w:val="center"/>
              <w:rPr>
                <w:rFonts w:ascii="Tahoma" w:hAnsi="Tahoma" w:cs="Tahoma"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  <w:r w:rsidRPr="00FA2F24">
              <w:rPr>
                <w:rFonts w:ascii="Tahoma" w:hAnsi="Tahoma" w:cs="Tahoma"/>
                <w:b/>
                <w:bCs/>
                <w:sz w:val="14"/>
              </w:rPr>
              <w:br w:type="page"/>
            </w: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120"/>
              <w:rPr>
                <w:rFonts w:ascii="Tahoma" w:hAnsi="Tahoma" w:cs="Tahoma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301BA9" w:rsidRPr="00FA2F24" w:rsidRDefault="00301BA9" w:rsidP="008E5D64">
            <w:pPr>
              <w:spacing w:after="200" w:line="276" w:lineRule="auto"/>
              <w:jc w:val="center"/>
              <w:rPr>
                <w:rFonts w:ascii="Arial" w:hAnsi="Arial" w:cs="Arial"/>
                <w:sz w:val="14"/>
                <w:szCs w:val="12"/>
              </w:rPr>
            </w:pPr>
            <w:r w:rsidRPr="00FA2F24">
              <w:rPr>
                <w:rFonts w:ascii="Arial" w:hAnsi="Arial" w:cs="Arial"/>
                <w:b/>
                <w:bCs/>
                <w:sz w:val="14"/>
              </w:rPr>
              <w:t xml:space="preserve">Tabla 3 Mapa de identificación de riesgos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4"/>
              <w:gridCol w:w="284"/>
              <w:gridCol w:w="284"/>
              <w:gridCol w:w="284"/>
              <w:gridCol w:w="284"/>
              <w:gridCol w:w="1021"/>
              <w:gridCol w:w="1128"/>
              <w:gridCol w:w="284"/>
              <w:gridCol w:w="284"/>
              <w:gridCol w:w="284"/>
              <w:gridCol w:w="284"/>
              <w:gridCol w:w="284"/>
              <w:gridCol w:w="1021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914"/>
              <w:gridCol w:w="808"/>
            </w:tblGrid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Clase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Área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Etapa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Tipo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descripción (qué puede pasar y, si es posible, cómo puede pasar)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Consecuencia de la ocurrencia del evento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Probabilidad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Impacto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Calificación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Prioridad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A quien se le asigna?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Tratamiento/controles a ser implementados</w:t>
                  </w:r>
                </w:p>
              </w:tc>
              <w:tc>
                <w:tcPr>
                  <w:tcW w:w="0" w:type="auto"/>
                  <w:gridSpan w:val="3"/>
                  <w:shd w:val="clear" w:color="000000" w:fill="BFBFBF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Impacto después del tratamiento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Afecta la ejecución el contrato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Persona que implementa el tratamiento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Fecha inicio tratamiento</w:t>
                  </w:r>
                </w:p>
              </w:tc>
              <w:tc>
                <w:tcPr>
                  <w:tcW w:w="0" w:type="auto"/>
                  <w:vMerge w:val="restart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Fecha término tratamiento</w:t>
                  </w:r>
                </w:p>
              </w:tc>
              <w:tc>
                <w:tcPr>
                  <w:tcW w:w="0" w:type="auto"/>
                  <w:gridSpan w:val="2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Monitoreo y revisión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probabilidad</w:t>
                  </w:r>
                </w:p>
              </w:tc>
              <w:tc>
                <w:tcPr>
                  <w:tcW w:w="0" w:type="auto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impacto</w:t>
                  </w:r>
                </w:p>
              </w:tc>
              <w:tc>
                <w:tcPr>
                  <w:tcW w:w="0" w:type="auto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Valoración del riesgo</w:t>
                  </w: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Forma de realizar monitoreo</w:t>
                  </w:r>
                </w:p>
              </w:tc>
              <w:tc>
                <w:tcPr>
                  <w:tcW w:w="0" w:type="auto"/>
                  <w:shd w:val="clear" w:color="000000" w:fill="BFBFBF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Periodicidad monitoreo / Cuando?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General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Externo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Planeación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Social o político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dispersión de la normatividad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En materia de contratación estatal, existan numerosas normas, directrices, conceptos e interpretaciones sobre el procedimiento de contratación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 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Hacer seguimiento de las normas de contratación y de sus modificaciones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Asesor de Contratación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mayo-20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dic-20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Verificando el portal de CCE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Semanal</w:t>
                  </w:r>
                </w:p>
              </w:tc>
            </w:tr>
            <w:tr w:rsidR="00301BA9" w:rsidRPr="00E96F05" w:rsidTr="008E5D64">
              <w:trPr>
                <w:cantSplit/>
                <w:trHeight w:val="1256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General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Planeación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deficiente planeación de los contratos en la unidad delegataria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Que no se armonicen los elementos a adquirir con cargo al futuro contrato con el sistema presupuestal y el Plan Anual de Adquisiciones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El bien objeto del futuro contrato debe estar incluido dentro del  Plan Anual de Adquisiciones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Dependencia Usuaria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Mayo-20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Dic de 20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Formato Plan Anual de Adquisiciones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Previo a la apertura del proceso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General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Planeación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deficiente determinación de especificaciones técnicas mínimas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Las especificaciones técnicas mínimas no permiten que se satisfaga la necesidad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Se efectúa verificación del estudio previo presentado realizando observaciones cuando las especificaciones no ofrecen claridad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Asesor de contratación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Con la llegada del estudio previo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Cinco días hábiles siguientes a la recepción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Documento solicitando aclaración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Llegada estudio previo corregido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General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Planeación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manejo del proceso de contratación por personal que no está calificado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El proceso de adquisiciones se encuentra impulsado por personal que no tiene las calidades y conocimiento de la normatividad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Capacitar al personal de Abastecimientos en la normatividad vigente en el proceso de contratación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Jefe división precontractual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Mayo-20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Dic -20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Acta de la capacitación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semestral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General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Planeación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el objeto del futuro contrato no sirve como instrumento de desarrollo de la unidad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Los elementos, bienes o servicios a adquirir, no son sirven para dar cumplimiento a la función de la unidad delegataria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Los bienes y/o servicios a adquirir son un medio para cumplir la función asignada eficaz y eficientemente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Supervisor / Dependencia Usuaria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 plazo de ejecución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 plazo de ejecución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Entradas de almacén/ actas de recibo de los servicios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Permanente</w:t>
                  </w:r>
                </w:p>
              </w:tc>
            </w:tr>
            <w:tr w:rsidR="00301BA9" w:rsidRPr="00E96F05" w:rsidTr="008E5D64">
              <w:trPr>
                <w:cantSplit/>
                <w:trHeight w:val="1515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General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Selección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Operacional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seleccionar proponentes  que no cumplan con la totalidad de los requisitos habilitantes o se encuentren incursos en alguna inhabilidad o incompatibilidad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Incumplimiento de los principios de selección objetiva y </w:t>
                  </w:r>
                  <w:proofErr w:type="gramStart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transparencia.-</w:t>
                  </w:r>
                  <w:proofErr w:type="gramEnd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El bien o servicio que se pretende adquirir no cumpla con los requisitos exigidos. Violación al régimen de inhabilidades e incompatibilidades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Designar personal capacitado y con perfil adecuado para evaluar las propuestas con fines de incurrir en mínimos errores. 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Comité evaluador  respectivo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Termino de evaluación de propuestas 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Termino de adjudicación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Revisión de evaluaciones y observaciones a las mismas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previo a la adjudicación 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General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Externo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Contratación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Operacional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 suscripción del contrato.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Retraso en la ejecución y cumplimiento del contrato, y por lo tanto no satisfacción oportuna de la necesidad.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5(Riesgo medio)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  <w:hideMark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Proponente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Adjudicación del contrato a proponente en segundo menor valor o declarar desierto El proceso si no hay más proponentes. -Hacer efectiva póliza de garantía de seriedad de la propuesta en caso de haberse solicitado.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Jefe División precontractual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Termino para la firma del contrato 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Vigencia garantía de seriedad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Seguimiento </w:t>
                  </w:r>
                  <w:proofErr w:type="spellStart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</w:t>
                  </w:r>
                  <w:proofErr w:type="spellEnd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proceso de reclamo de garantía de seriedad  y/o revisión adjudicación segundo menor valor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Posterior a la adjudicación y previo al vencimiento del plazo de ejecución </w:t>
                  </w:r>
                </w:p>
              </w:tc>
            </w:tr>
            <w:tr w:rsidR="00301BA9" w:rsidRPr="00E96F05" w:rsidTr="008E5D64">
              <w:trPr>
                <w:cantSplit/>
                <w:trHeight w:val="1134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lastRenderedPageBreak/>
                    <w:t>8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General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Externo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Contratación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Operacional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 se presenten las garantías requeridas en los documentos del proceso de contratación o que su presentación sea tardía.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Retraso en el inicio de la ejecución y cumplimiento del contrato, y por lo tanto no satisfacción oportuna de la necesidad.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5(Riesgo medio)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Proponente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Hacer efectiva póliza de garantía de seriedad de la propuesta en caso de haberse solicitado. -Iniciar proceso de reclamo de garantías por Incumplimiento del contrato.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Jefe División precontractual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Termino para la firma del contrato 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Vigencia garantía de seriedad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Seguimiento </w:t>
                  </w:r>
                  <w:proofErr w:type="spellStart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</w:t>
                  </w:r>
                  <w:proofErr w:type="spellEnd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proceso de reclamo de garantía de seriedad  y/o revisión adjudicación segundo menor valor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Posterior a la adjudicación y previo al vencimiento del plazo de ejecución </w:t>
                  </w:r>
                </w:p>
              </w:tc>
            </w:tr>
          </w:tbl>
          <w:p w:rsidR="00301BA9" w:rsidRPr="00C937CC" w:rsidRDefault="00301BA9" w:rsidP="008E5D64">
            <w:pPr>
              <w:jc w:val="center"/>
              <w:rPr>
                <w:rFonts w:ascii="Arial" w:hAnsi="Arial" w:cs="Arial"/>
                <w:sz w:val="2"/>
                <w:szCs w:val="1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"/>
              <w:gridCol w:w="284"/>
              <w:gridCol w:w="284"/>
              <w:gridCol w:w="284"/>
              <w:gridCol w:w="284"/>
              <w:gridCol w:w="951"/>
              <w:gridCol w:w="977"/>
              <w:gridCol w:w="284"/>
              <w:gridCol w:w="284"/>
              <w:gridCol w:w="284"/>
              <w:gridCol w:w="505"/>
              <w:gridCol w:w="284"/>
              <w:gridCol w:w="928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949"/>
              <w:gridCol w:w="876"/>
            </w:tblGrid>
            <w:tr w:rsidR="00301BA9" w:rsidRPr="00E96F05" w:rsidTr="008E5D64">
              <w:trPr>
                <w:cantSplit/>
                <w:trHeight w:val="1320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General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Interno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Contratación 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Operacional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incumplimiento del registro presupuestal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Retraso en el inicio de la ejecución y cumplimiento del </w:t>
                  </w:r>
                  <w:proofErr w:type="gramStart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contrato,  y</w:t>
                  </w:r>
                  <w:proofErr w:type="gramEnd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por lo tanto no satisfacción oportuna de la necesidad. -Incumplimiento de pago del contrato.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Gestión oportuna para agilizar expedición de CRP una vez suscrito el contrato.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Dependencia Presupuesto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Termino para el cumplimiento de requisitos de ejecución 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Termino para el cumplimiento de requisitos de ejecución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Verificación expedición de certificado de registro presupuestal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Una vez suscrito el contrato </w:t>
                  </w:r>
                </w:p>
              </w:tc>
            </w:tr>
            <w:tr w:rsidR="00301BA9" w:rsidRPr="00E96F05" w:rsidTr="008E5D64">
              <w:trPr>
                <w:cantSplit/>
                <w:trHeight w:val="1350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General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Ejecución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Económico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incumplimiento de los plazos de pago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Incumplir el plazo de pago del valor del contrato al contratista, impidiendo la liquidez para el cumplimiento de las obligaciones derivadas del contrato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2(Riesgo bajo)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Entidad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Dar cumplimiento al procedimiento de la cadena presupuestal y el Programa Anual </w:t>
                  </w:r>
                  <w:proofErr w:type="spellStart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Mensualizado</w:t>
                  </w:r>
                  <w:proofErr w:type="spellEnd"/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de Caja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Jefe División Presupuesto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 plazo de ejecución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mensual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Documentos soporte para pago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mensual</w:t>
                  </w:r>
                </w:p>
              </w:tc>
            </w:tr>
            <w:tr w:rsidR="00301BA9" w:rsidRPr="00E96F05" w:rsidTr="008E5D64">
              <w:trPr>
                <w:cantSplit/>
                <w:trHeight w:val="1290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Especifico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Ejecución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retrasos en la entrega de bienes y/o servicios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Que no se entreguen oportunamente los bienes y/o servicios impidiendo el normal desarrollo del proceso de adquisiciones en la Unidad Delegataria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 (Riesgo alto)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b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Contratista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Establecer plazos dentro del contrato para la entrega de los conceptos y determinar un procedimiento para su revisión y aprobación por parte del supervisor del contrato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Dependencia Usuaria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 plazo de ejecución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31 de diciembre/20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Verificación de actas de levantamiento de requerimientos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Mensual (acuerdo lo necesitado por la dependencia)</w:t>
                  </w:r>
                </w:p>
              </w:tc>
            </w:tr>
            <w:tr w:rsidR="00301BA9" w:rsidRPr="00E96F05" w:rsidTr="008E5D64">
              <w:trPr>
                <w:cantSplit/>
                <w:trHeight w:val="1290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Especifico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Ejecución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Deficiencia en la calidad de los bienes y/o servicios adquiridos.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Que los bienes y/o servicios no correspondan a los requeridos por la entidad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 (Riesgo Medio)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Contratista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Dar cumplimiento al estándar de calidad que será verificado por el supervisor del contrato durante la fabricación y la entrega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Supervisor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Cumplimiento requisitos ejecución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Plazo de ejecución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Verificación del material previa recepción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Mensual/a criterio del supervisor</w:t>
                  </w:r>
                </w:p>
              </w:tc>
            </w:tr>
            <w:tr w:rsidR="00301BA9" w:rsidRPr="00E96F05" w:rsidTr="008E5D64">
              <w:trPr>
                <w:cantSplit/>
                <w:trHeight w:val="1290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b/>
                      <w:bCs/>
                      <w:color w:val="000000"/>
                      <w:sz w:val="12"/>
                      <w:szCs w:val="12"/>
                    </w:rPr>
                    <w:t>13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Especifico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Interno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Ejecución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Operacional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contratista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Durante la ejecución de los trabajos pueden presentarse accidentes por parte del contratista.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 (Riesgo medio)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</w:t>
                  </w:r>
                </w:p>
              </w:tc>
              <w:tc>
                <w:tcPr>
                  <w:tcW w:w="0" w:type="auto"/>
                  <w:shd w:val="clear" w:color="auto" w:fill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Contratista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Exigir al contratista que los trabajadores se encuentren afiliados a EPS, ARL PENSION, y que durante la ejecución de los trabajos cumplan con las normas de seguridad industrial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SI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Supervisor del contrato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 plazo de ejecución</w:t>
                  </w:r>
                </w:p>
              </w:tc>
              <w:tc>
                <w:tcPr>
                  <w:tcW w:w="0" w:type="auto"/>
                  <w:textDirection w:val="btLr"/>
                  <w:vAlign w:val="center"/>
                </w:tcPr>
                <w:p w:rsidR="00301BA9" w:rsidRPr="00E96F05" w:rsidRDefault="00301BA9" w:rsidP="008E5D64">
                  <w:pPr>
                    <w:ind w:left="113" w:right="113"/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Ver plazo de ejecución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Exigir los soportes de los pagos a EPS, ARL, PENSION y los elementos de vio-seguridad </w:t>
                  </w:r>
                </w:p>
              </w:tc>
              <w:tc>
                <w:tcPr>
                  <w:tcW w:w="0" w:type="auto"/>
                  <w:vAlign w:val="center"/>
                </w:tcPr>
                <w:p w:rsidR="00301BA9" w:rsidRPr="00E96F05" w:rsidRDefault="00301BA9" w:rsidP="008E5D64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E96F05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mensual</w:t>
                  </w:r>
                </w:p>
              </w:tc>
            </w:tr>
          </w:tbl>
          <w:p w:rsidR="00301BA9" w:rsidRPr="00FA2F24" w:rsidRDefault="00301BA9" w:rsidP="008E5D64">
            <w:pPr>
              <w:jc w:val="center"/>
              <w:rPr>
                <w:rFonts w:ascii="Arial" w:hAnsi="Arial" w:cs="Arial"/>
                <w:sz w:val="14"/>
                <w:szCs w:val="12"/>
              </w:rPr>
            </w:pPr>
            <w:r w:rsidRPr="00FA2F24">
              <w:rPr>
                <w:rFonts w:ascii="Arial" w:hAnsi="Arial" w:cs="Arial"/>
                <w:sz w:val="14"/>
                <w:szCs w:val="12"/>
              </w:rPr>
              <w:t>Matriz elaborada por la Escuela Naval “Almirante Padilla”</w:t>
            </w:r>
          </w:p>
        </w:tc>
      </w:tr>
    </w:tbl>
    <w:p w:rsidR="00301BA9" w:rsidRPr="00074D7E" w:rsidRDefault="00301BA9" w:rsidP="00301BA9">
      <w:pPr>
        <w:spacing w:after="120"/>
        <w:rPr>
          <w:rFonts w:ascii="Arial" w:hAnsi="Arial" w:cs="Arial"/>
          <w:sz w:val="22"/>
          <w:szCs w:val="22"/>
        </w:rPr>
      </w:pPr>
    </w:p>
    <w:p w:rsidR="004E1DE8" w:rsidRDefault="004E1DE8"/>
    <w:sectPr w:rsidR="004E1DE8" w:rsidSect="00B06D3C">
      <w:headerReference w:type="even" r:id="rId6"/>
      <w:headerReference w:type="first" r:id="rId7"/>
      <w:footerReference w:type="first" r:id="rId8"/>
      <w:pgSz w:w="12240" w:h="15840" w:code="1"/>
      <w:pgMar w:top="1134" w:right="1701" w:bottom="1134" w:left="1701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585" w:rsidRDefault="005E6585" w:rsidP="00301BA9">
      <w:r>
        <w:separator/>
      </w:r>
    </w:p>
  </w:endnote>
  <w:endnote w:type="continuationSeparator" w:id="0">
    <w:p w:rsidR="005E6585" w:rsidRDefault="005E6585" w:rsidP="0030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68" w:type="dxa"/>
      <w:tblInd w:w="-492" w:type="dxa"/>
      <w:tblLayout w:type="fixed"/>
      <w:tblLook w:val="01E0" w:firstRow="1" w:lastRow="1" w:firstColumn="1" w:lastColumn="1" w:noHBand="0" w:noVBand="0"/>
    </w:tblPr>
    <w:tblGrid>
      <w:gridCol w:w="648"/>
      <w:gridCol w:w="8120"/>
    </w:tblGrid>
    <w:tr w:rsidR="00D1602D" w:rsidRPr="00C204D6" w:rsidTr="0048702E">
      <w:trPr>
        <w:trHeight w:val="1276"/>
      </w:trPr>
      <w:tc>
        <w:tcPr>
          <w:tcW w:w="648" w:type="dxa"/>
        </w:tcPr>
        <w:p w:rsidR="00D1602D" w:rsidRPr="0036418A" w:rsidRDefault="005E6585" w:rsidP="006F2CC2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8120" w:type="dxa"/>
        </w:tcPr>
        <w:p w:rsidR="00D1602D" w:rsidRPr="003F2B31" w:rsidRDefault="005E6585" w:rsidP="00B06D3C">
          <w:pPr>
            <w:rPr>
              <w:rFonts w:ascii="Arial" w:hAnsi="Arial" w:cs="Arial"/>
              <w:color w:val="000000"/>
              <w:sz w:val="12"/>
              <w:szCs w:val="12"/>
              <w:lang w:val="es-ES"/>
            </w:rPr>
          </w:pPr>
        </w:p>
        <w:p w:rsidR="00D1602D" w:rsidRPr="00B23D58" w:rsidRDefault="005E6585" w:rsidP="004D5103">
          <w:pPr>
            <w:ind w:left="-2943" w:firstLine="2943"/>
            <w:rPr>
              <w:rFonts w:ascii="Arial" w:hAnsi="Arial" w:cs="Aharoni"/>
              <w:b/>
              <w:sz w:val="6"/>
              <w:szCs w:val="6"/>
            </w:rPr>
          </w:pPr>
        </w:p>
      </w:tc>
    </w:tr>
  </w:tbl>
  <w:p w:rsidR="00D1602D" w:rsidRPr="00B06D3C" w:rsidRDefault="005E6585" w:rsidP="00667C9B">
    <w:pPr>
      <w:pStyle w:val="Piedepgina"/>
      <w:rPr>
        <w:rFonts w:ascii="Arial" w:hAnsi="Arial"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585" w:rsidRDefault="005E6585" w:rsidP="00301BA9">
      <w:r>
        <w:separator/>
      </w:r>
    </w:p>
  </w:footnote>
  <w:footnote w:type="continuationSeparator" w:id="0">
    <w:p w:rsidR="005E6585" w:rsidRDefault="005E6585" w:rsidP="00301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02D" w:rsidRPr="00DC515D" w:rsidRDefault="005E6585">
    <w:pPr>
      <w:pStyle w:val="Encabezado"/>
      <w:jc w:val="right"/>
      <w:rPr>
        <w:rFonts w:ascii="Arial" w:hAnsi="Arial" w:cs="Arial"/>
        <w:sz w:val="16"/>
        <w:szCs w:val="16"/>
      </w:rPr>
    </w:pPr>
    <w:r w:rsidRPr="00DC515D">
      <w:rPr>
        <w:rFonts w:ascii="Arial" w:hAnsi="Arial" w:cs="Arial"/>
        <w:sz w:val="16"/>
        <w:szCs w:val="16"/>
      </w:rPr>
      <w:t xml:space="preserve">Página </w:t>
    </w:r>
    <w:r w:rsidRPr="00DC515D">
      <w:rPr>
        <w:rFonts w:ascii="Arial" w:hAnsi="Arial" w:cs="Arial"/>
        <w:b/>
        <w:sz w:val="16"/>
        <w:szCs w:val="16"/>
      </w:rPr>
      <w:fldChar w:fldCharType="begin"/>
    </w:r>
    <w:r w:rsidRPr="00DC515D">
      <w:rPr>
        <w:rFonts w:ascii="Arial" w:hAnsi="Arial" w:cs="Arial"/>
        <w:b/>
        <w:sz w:val="16"/>
        <w:szCs w:val="16"/>
      </w:rPr>
      <w:instrText>PAGE</w:instrText>
    </w:r>
    <w:r w:rsidRPr="00DC515D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</w:t>
    </w:r>
    <w:r w:rsidRPr="00DC515D">
      <w:rPr>
        <w:rFonts w:ascii="Arial" w:hAnsi="Arial" w:cs="Arial"/>
        <w:b/>
        <w:sz w:val="16"/>
        <w:szCs w:val="16"/>
      </w:rPr>
      <w:fldChar w:fldCharType="end"/>
    </w:r>
    <w:r w:rsidRPr="00DC515D">
      <w:rPr>
        <w:rFonts w:ascii="Arial" w:hAnsi="Arial" w:cs="Arial"/>
        <w:sz w:val="16"/>
        <w:szCs w:val="16"/>
      </w:rPr>
      <w:t xml:space="preserve"> de </w:t>
    </w:r>
    <w:r w:rsidRPr="00DC515D">
      <w:rPr>
        <w:rFonts w:ascii="Arial" w:hAnsi="Arial" w:cs="Arial"/>
        <w:b/>
        <w:sz w:val="16"/>
        <w:szCs w:val="16"/>
      </w:rPr>
      <w:fldChar w:fldCharType="begin"/>
    </w:r>
    <w:r w:rsidRPr="00DC515D">
      <w:rPr>
        <w:rFonts w:ascii="Arial" w:hAnsi="Arial" w:cs="Arial"/>
        <w:b/>
        <w:sz w:val="16"/>
        <w:szCs w:val="16"/>
      </w:rPr>
      <w:instrText>NUMPAGES</w:instrText>
    </w:r>
    <w:r w:rsidRPr="00DC515D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DC515D">
      <w:rPr>
        <w:rFonts w:ascii="Arial" w:hAnsi="Arial" w:cs="Arial"/>
        <w:b/>
        <w:sz w:val="16"/>
        <w:szCs w:val="16"/>
      </w:rPr>
      <w:fldChar w:fldCharType="end"/>
    </w:r>
  </w:p>
  <w:p w:rsidR="00D1602D" w:rsidRDefault="005E6585">
    <w:pPr>
      <w:pStyle w:val="Encabezado"/>
    </w:pPr>
    <w:r w:rsidRPr="002526FA">
      <w:rPr>
        <w:rFonts w:ascii="Arial" w:hAnsi="Arial" w:cs="Arial"/>
        <w:iCs/>
        <w:sz w:val="18"/>
        <w:szCs w:val="18"/>
      </w:rPr>
      <w:t xml:space="preserve">OFICIO </w:t>
    </w:r>
    <w:r>
      <w:rPr>
        <w:rFonts w:ascii="Arial" w:hAnsi="Arial" w:cs="Arial"/>
        <w:sz w:val="18"/>
        <w:szCs w:val="18"/>
      </w:rPr>
      <w:t>20204268280241161</w:t>
    </w:r>
    <w:r>
      <w:rPr>
        <w:rFonts w:ascii="Arial" w:hAnsi="Arial" w:cs="Arial"/>
        <w:iCs/>
        <w:sz w:val="18"/>
        <w:szCs w:val="18"/>
      </w:rPr>
      <w:t xml:space="preserve"> LINEA DE MANDO</w:t>
    </w:r>
    <w:r w:rsidRPr="002526FA">
      <w:rPr>
        <w:rFonts w:ascii="Arial" w:hAnsi="Arial" w:cs="Arial"/>
        <w:iCs/>
        <w:sz w:val="18"/>
        <w:szCs w:val="18"/>
      </w:rPr>
      <w:t xml:space="preserve"> – </w:t>
    </w:r>
    <w:r>
      <w:rPr>
        <w:rFonts w:ascii="Arial" w:hAnsi="Arial" w:cs="Arial"/>
        <w:iCs/>
        <w:sz w:val="18"/>
        <w:szCs w:val="18"/>
      </w:rPr>
      <w:t>COD_TRD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02D" w:rsidRDefault="005E6585" w:rsidP="00105D23">
    <w:pPr>
      <w:pStyle w:val="Encabezado"/>
    </w:pPr>
  </w:p>
  <w:p w:rsidR="00D1602D" w:rsidRPr="00B65AC2" w:rsidRDefault="005E6585" w:rsidP="00B65A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A9"/>
    <w:rsid w:val="00301BA9"/>
    <w:rsid w:val="004D5103"/>
    <w:rsid w:val="004E1DE8"/>
    <w:rsid w:val="005E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0FABDA-190B-4400-8C14-F6CE4B00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01BA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01B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1BA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301B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01BA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inespaciado">
    <w:name w:val="No Spacing"/>
    <w:link w:val="SinespaciadoCar"/>
    <w:uiPriority w:val="1"/>
    <w:qFormat/>
    <w:rsid w:val="00301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01BA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01BA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01BA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">
    <w:name w:val="Title"/>
    <w:aliases w:val="AL Título,Título AL,Títulos Principales sin numeración,TITULO 1,Título1,Título Car Car Car,Título Car Car Car Car,Título Car Car Car Car Car,Car Car Car,Puesto,Puesto2"/>
    <w:basedOn w:val="Normal"/>
    <w:link w:val="TtuloCar"/>
    <w:qFormat/>
    <w:rsid w:val="00301BA9"/>
    <w:pPr>
      <w:autoSpaceDE w:val="0"/>
      <w:autoSpaceDN w:val="0"/>
      <w:adjustRightInd w:val="0"/>
      <w:jc w:val="center"/>
    </w:pPr>
    <w:rPr>
      <w:rFonts w:ascii="Arial" w:hAnsi="Arial"/>
      <w:b/>
      <w:color w:val="000000"/>
      <w:sz w:val="22"/>
      <w:szCs w:val="20"/>
      <w:lang w:val="es-ES"/>
    </w:rPr>
  </w:style>
  <w:style w:type="character" w:customStyle="1" w:styleId="TtuloCar">
    <w:name w:val="Título Car"/>
    <w:aliases w:val="AL Título Car,Título AL Car,Títulos Principales sin numeración Car,TITULO 1 Car,Título1 Car,Título Car Car Car Car1,Título Car Car Car Car Car1,Título Car Car Car Car Car Car,Car Car Car Car,Puesto Car1,Puesto2 Car"/>
    <w:basedOn w:val="Fuentedeprrafopredeter"/>
    <w:link w:val="Ttulo"/>
    <w:rsid w:val="00301BA9"/>
    <w:rPr>
      <w:rFonts w:ascii="Arial" w:eastAsia="Times New Roman" w:hAnsi="Arial" w:cs="Times New Roman"/>
      <w:b/>
      <w:color w:val="000000"/>
      <w:szCs w:val="20"/>
      <w:lang w:val="es-ES" w:eastAsia="es-ES"/>
    </w:rPr>
  </w:style>
  <w:style w:type="paragraph" w:customStyle="1" w:styleId="Default">
    <w:name w:val="Default"/>
    <w:link w:val="DefaultCar"/>
    <w:rsid w:val="00301BA9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301BA9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01B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01BA9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</dc:creator>
  <cp:keywords/>
  <dc:description/>
  <cp:lastModifiedBy>SOPORTE</cp:lastModifiedBy>
  <cp:revision>2</cp:revision>
  <dcterms:created xsi:type="dcterms:W3CDTF">2020-06-23T19:15:00Z</dcterms:created>
  <dcterms:modified xsi:type="dcterms:W3CDTF">2020-06-23T19:18:00Z</dcterms:modified>
</cp:coreProperties>
</file>