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EFC" w:rsidRPr="00501FE7" w:rsidRDefault="00A73EFC" w:rsidP="00A73EFC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  <w:r w:rsidRPr="00501FE7">
        <w:rPr>
          <w:rFonts w:cs="Arial"/>
          <w:b/>
          <w:sz w:val="18"/>
          <w:szCs w:val="18"/>
        </w:rPr>
        <w:t>ANEXO No. 3</w:t>
      </w:r>
    </w:p>
    <w:p w:rsidR="00A73EFC" w:rsidRPr="00501FE7" w:rsidRDefault="00A73EFC" w:rsidP="00A73EFC">
      <w:pPr>
        <w:jc w:val="center"/>
        <w:rPr>
          <w:b/>
          <w:bCs/>
          <w:sz w:val="18"/>
          <w:szCs w:val="18"/>
        </w:rPr>
      </w:pPr>
      <w:r w:rsidRPr="00501FE7">
        <w:rPr>
          <w:b/>
          <w:bCs/>
          <w:sz w:val="18"/>
          <w:szCs w:val="18"/>
        </w:rPr>
        <w:t>TIPIFICACIÓN, ESTIMACIÓN Y ASIGNACIÓN DE RIESGOS Y DETERMINACIÓN DE GARANTÍAS.</w:t>
      </w:r>
    </w:p>
    <w:p w:rsidR="00A73EFC" w:rsidRPr="00501FE7" w:rsidRDefault="00A73EFC" w:rsidP="00A73EFC">
      <w:pPr>
        <w:jc w:val="center"/>
        <w:rPr>
          <w:b/>
          <w:bCs/>
          <w:sz w:val="18"/>
          <w:szCs w:val="18"/>
        </w:rPr>
      </w:pPr>
    </w:p>
    <w:p w:rsidR="00A73EFC" w:rsidRPr="00501FE7" w:rsidRDefault="00A73EFC" w:rsidP="00A73EFC">
      <w:pPr>
        <w:jc w:val="center"/>
        <w:rPr>
          <w:b/>
          <w:bCs/>
          <w:sz w:val="18"/>
          <w:szCs w:val="18"/>
        </w:rPr>
      </w:pPr>
    </w:p>
    <w:p w:rsidR="00A73EFC" w:rsidRPr="00501FE7" w:rsidRDefault="00A73EFC" w:rsidP="00A73EFC">
      <w:pPr>
        <w:jc w:val="center"/>
        <w:rPr>
          <w:b/>
          <w:bCs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0"/>
        <w:gridCol w:w="1400"/>
        <w:gridCol w:w="1418"/>
        <w:gridCol w:w="1239"/>
        <w:gridCol w:w="1284"/>
        <w:gridCol w:w="2087"/>
      </w:tblGrid>
      <w:tr w:rsidR="00A73EFC" w:rsidTr="00662CA6">
        <w:trPr>
          <w:trHeight w:val="20"/>
          <w:jc w:val="center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MECANISMO</w:t>
            </w:r>
          </w:p>
          <w:p w:rsidR="00A73EFC" w:rsidRDefault="00A73EFC" w:rsidP="00662CA6">
            <w:pPr>
              <w:tabs>
                <w:tab w:val="left" w:pos="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 COBERTURA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TIPIFICACIÓN DEL RIESGO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ESTIMACIÓN DEL RIESGO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ASIGNACIÓN DEL RIESGO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VIGENCIA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426"/>
              </w:tabs>
              <w:jc w:val="center"/>
              <w:rPr>
                <w:rFonts w:eastAsia="MS Mincho"/>
                <w:b/>
                <w:sz w:val="16"/>
                <w:szCs w:val="16"/>
              </w:rPr>
            </w:pPr>
            <w:r>
              <w:rPr>
                <w:rFonts w:eastAsia="MS Mincho"/>
                <w:b/>
                <w:sz w:val="16"/>
                <w:szCs w:val="16"/>
              </w:rPr>
              <w:t>JUSTIFICACIÓN COBERTURA / VIGENCIA</w:t>
            </w:r>
          </w:p>
        </w:tc>
      </w:tr>
      <w:tr w:rsidR="00A73EFC" w:rsidTr="00662CA6">
        <w:trPr>
          <w:trHeight w:val="20"/>
          <w:jc w:val="center"/>
        </w:trPr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Garantía Única</w:t>
            </w:r>
          </w:p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  <w:p w:rsidR="00A73EFC" w:rsidRDefault="00A73EFC" w:rsidP="00662CA6">
            <w:pPr>
              <w:tabs>
                <w:tab w:val="left" w:pos="0"/>
              </w:tabs>
              <w:rPr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Incumplimiento del contrato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20%  del Valor del Contrato</w:t>
            </w:r>
          </w:p>
        </w:tc>
        <w:tc>
          <w:tcPr>
            <w:tcW w:w="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Contratista</w:t>
            </w:r>
          </w:p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Vigente por un término igual a la vigencia del  contrato. (Incluyendo el tiempo de la garantía técnica).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426"/>
              </w:tabs>
              <w:jc w:val="both"/>
              <w:rPr>
                <w:rFonts w:eastAsia="MS Mincho"/>
                <w:sz w:val="16"/>
                <w:szCs w:val="16"/>
              </w:rPr>
            </w:pPr>
            <w:r>
              <w:rPr>
                <w:rFonts w:eastAsia="MS Mincho"/>
                <w:sz w:val="16"/>
                <w:szCs w:val="16"/>
              </w:rPr>
              <w:t xml:space="preserve">Ampara el riesgo de incumplimiento durante el plazo de ejecución y liquidación del contrato. La estimación del riesgo cubre el 20% del valor del contrato como quiera que se pretenda el pago parcial o definitivo de los perjuicios que cause a la entidad, en los mismos términos de </w:t>
            </w:r>
            <w:smartTag w:uri="urn:schemas-microsoft-com:office:smarttags" w:element="PersonName">
              <w:smartTagPr>
                <w:attr w:name="ProductID" w:val="la Cl￡usula Penal"/>
              </w:smartTagPr>
              <w:r>
                <w:rPr>
                  <w:rFonts w:eastAsia="MS Mincho"/>
                  <w:sz w:val="16"/>
                  <w:szCs w:val="16"/>
                </w:rPr>
                <w:t>la Cláusula Penal</w:t>
              </w:r>
            </w:smartTag>
            <w:r>
              <w:rPr>
                <w:rFonts w:eastAsia="MS Mincho"/>
                <w:sz w:val="16"/>
                <w:szCs w:val="16"/>
              </w:rPr>
              <w:t xml:space="preserve"> pecuniaria.</w:t>
            </w:r>
          </w:p>
        </w:tc>
      </w:tr>
      <w:tr w:rsidR="00A73EFC" w:rsidTr="00662CA6">
        <w:trPr>
          <w:trHeight w:val="20"/>
          <w:jc w:val="center"/>
        </w:trPr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rPr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Calidad del servicio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50%  del Valor del Contrato</w:t>
            </w:r>
          </w:p>
        </w:tc>
        <w:tc>
          <w:tcPr>
            <w:tcW w:w="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rPr>
                <w:sz w:val="16"/>
                <w:szCs w:val="16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FC" w:rsidRDefault="00A73EFC" w:rsidP="00662CA6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  <w:p w:rsidR="00A73EFC" w:rsidRDefault="00A73EFC" w:rsidP="00662CA6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Vigente por un término igual a la vigencia del contrato y un </w:t>
            </w:r>
            <w:r>
              <w:rPr>
                <w:b/>
                <w:i/>
                <w:sz w:val="16"/>
                <w:szCs w:val="16"/>
              </w:rPr>
              <w:t>(1) año más</w:t>
            </w:r>
            <w:r>
              <w:rPr>
                <w:sz w:val="16"/>
                <w:szCs w:val="16"/>
              </w:rPr>
              <w:t xml:space="preserve"> (incluyendo el tiempo de la garantía técnica).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426"/>
              </w:tabs>
              <w:jc w:val="both"/>
              <w:rPr>
                <w:rFonts w:eastAsia="MS Mincho"/>
                <w:sz w:val="16"/>
                <w:szCs w:val="16"/>
              </w:rPr>
            </w:pPr>
            <w:r>
              <w:rPr>
                <w:rFonts w:eastAsia="MS Mincho"/>
                <w:sz w:val="16"/>
                <w:szCs w:val="16"/>
              </w:rPr>
              <w:t xml:space="preserve">Ampara  el riesgo de mala calidad de los bienes o servicios  durante el plazo de ejecución y el  tiempo que cubre la garantía técnica, buscando resarcir  </w:t>
            </w:r>
            <w:r>
              <w:rPr>
                <w:sz w:val="16"/>
                <w:szCs w:val="16"/>
              </w:rPr>
              <w:t>el detrimento causado a la entidad durante la vigencia del contrato y el tiempo que ampare la garantía técnica.</w:t>
            </w:r>
          </w:p>
        </w:tc>
      </w:tr>
      <w:tr w:rsidR="00A73EFC" w:rsidTr="00662CA6">
        <w:trPr>
          <w:trHeight w:val="20"/>
          <w:jc w:val="center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Póliza de Responsabilidad Civil 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Póliza de Responsabilidad Civil Profesional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$100.000.000,00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Contratista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Vigente por un término igual a la vigencia del contrato (incluyendo el tiempo de la garantía técnica).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426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MERGEFIELD EL_LA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El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CONTRATISTA</w:t>
            </w:r>
            <w:r>
              <w:rPr>
                <w:sz w:val="16"/>
                <w:szCs w:val="16"/>
              </w:rPr>
              <w:t xml:space="preserve">, constituirá esta garantía para cubrir a la asegurada </w:t>
            </w:r>
            <w:r>
              <w:rPr>
                <w:b/>
                <w:sz w:val="16"/>
                <w:szCs w:val="16"/>
              </w:rPr>
              <w:t>LA NACIÓN -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POLICÍA NACIONAL - DIRECCIÓN DE SANIDAD</w:t>
            </w:r>
            <w:r>
              <w:rPr>
                <w:sz w:val="16"/>
                <w:szCs w:val="16"/>
              </w:rPr>
              <w:t xml:space="preserve">, por condenas judiciales o conciliatorias que se presenten en su contra , durante el periodo de vigencia del contrato por la que se viera obligada legalmente a pagar el asegurado por un acto incorrecto (errores u omisiones), derivado de su actividad profesional, dicha garantía se constituirá por la suma de </w:t>
            </w:r>
            <w:r>
              <w:rPr>
                <w:b/>
                <w:bCs/>
                <w:sz w:val="16"/>
                <w:szCs w:val="16"/>
              </w:rPr>
              <w:t>CIEN MILLONES DE PESOS ($100´000.000.oo</w:t>
            </w:r>
            <w:r>
              <w:rPr>
                <w:sz w:val="16"/>
                <w:szCs w:val="16"/>
              </w:rPr>
              <w:t>)</w:t>
            </w:r>
          </w:p>
        </w:tc>
      </w:tr>
      <w:tr w:rsidR="00A73EFC" w:rsidTr="00662CA6">
        <w:trPr>
          <w:trHeight w:val="20"/>
          <w:jc w:val="center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Multas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Multas Incumplimiento parcial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Valor del incumplimiento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Multas cuyo valor se liquidará con base en un cero punto cinco por ciento (0.5</w:t>
            </w:r>
            <w:r>
              <w:rPr>
                <w:color w:val="000000"/>
                <w:sz w:val="16"/>
                <w:szCs w:val="16"/>
              </w:rPr>
              <w:t>%)</w:t>
            </w:r>
            <w:r>
              <w:rPr>
                <w:sz w:val="16"/>
                <w:szCs w:val="16"/>
              </w:rPr>
              <w:t xml:space="preserve"> del valor dejado de cumplir o entregar por cada día de retardo hasta por un plazo de quince (15) </w:t>
            </w:r>
            <w:r>
              <w:rPr>
                <w:sz w:val="16"/>
                <w:szCs w:val="16"/>
              </w:rPr>
              <w:lastRenderedPageBreak/>
              <w:t xml:space="preserve">días calendario, que se descontará del saldo que le adeude </w:t>
            </w:r>
            <w:smartTag w:uri="urn:schemas-microsoft-com:office:smarttags" w:element="PersonName">
              <w:smartTagPr>
                <w:attr w:name="ProductID" w:val="la Entidad. Esta"/>
              </w:smartTagPr>
              <w:r>
                <w:rPr>
                  <w:sz w:val="16"/>
                  <w:szCs w:val="16"/>
                </w:rPr>
                <w:t>la Entidad. Esta</w:t>
              </w:r>
            </w:smartTag>
            <w:r>
              <w:rPr>
                <w:sz w:val="16"/>
                <w:szCs w:val="16"/>
              </w:rPr>
              <w:t xml:space="preserve"> sanción se impondrá mediante acto administrativo motivado, en el que se expresará las causas que dieron lugar a ella.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Ampara la mora o incumplimiento parcial de alguna obligación derivada del contrato por causas imputables al contratista.</w:t>
            </w:r>
          </w:p>
        </w:tc>
      </w:tr>
      <w:tr w:rsidR="00A73EFC" w:rsidTr="00662CA6">
        <w:trPr>
          <w:trHeight w:val="20"/>
          <w:jc w:val="center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Multas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Clausula Penal Pecuniaria - Incumplimiento total – declaratoria de caducidad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20% del valor total de contrato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  <w:p w:rsidR="00A73EFC" w:rsidRDefault="00A73EFC" w:rsidP="00662CA6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  <w:p w:rsidR="00A73EFC" w:rsidRDefault="00A73EFC" w:rsidP="00662CA6">
            <w:pPr>
              <w:tabs>
                <w:tab w:val="left" w:pos="0"/>
              </w:tabs>
              <w:rPr>
                <w:sz w:val="16"/>
                <w:szCs w:val="16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 20% del valor total del contrato cuando se trate de incumplimiento total del mismo y proporcional al incumplimiento parcial del contrato.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EFC" w:rsidRDefault="00A73EFC" w:rsidP="00662CA6">
            <w:pPr>
              <w:tabs>
                <w:tab w:val="left" w:pos="426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Ampara el incumplimiento parcial o definitivo del contrato por parte del contratista, se busca el pago parcial y definitivo de los perjuicios que se causen a la entidad</w:t>
            </w:r>
          </w:p>
        </w:tc>
      </w:tr>
    </w:tbl>
    <w:p w:rsidR="00A73EFC" w:rsidRPr="00501FE7" w:rsidRDefault="00A73EFC" w:rsidP="00A73EFC">
      <w:pPr>
        <w:jc w:val="center"/>
        <w:rPr>
          <w:b/>
          <w:bCs/>
          <w:sz w:val="18"/>
          <w:szCs w:val="18"/>
        </w:rPr>
      </w:pPr>
    </w:p>
    <w:p w:rsidR="00A73EFC" w:rsidRPr="00501FE7" w:rsidRDefault="00A73EFC" w:rsidP="00A73EFC">
      <w:pPr>
        <w:pStyle w:val="Prrafodelista"/>
        <w:tabs>
          <w:tab w:val="left" w:pos="240"/>
        </w:tabs>
        <w:ind w:left="0"/>
        <w:jc w:val="center"/>
        <w:rPr>
          <w:rFonts w:cs="Arial"/>
          <w:b/>
          <w:sz w:val="18"/>
          <w:szCs w:val="18"/>
        </w:rPr>
      </w:pPr>
    </w:p>
    <w:p w:rsidR="00A73EFC" w:rsidRPr="00501FE7" w:rsidRDefault="00A73EFC" w:rsidP="00A73EFC">
      <w:pPr>
        <w:pStyle w:val="Prrafodelista"/>
        <w:tabs>
          <w:tab w:val="left" w:pos="240"/>
        </w:tabs>
        <w:ind w:left="0"/>
        <w:jc w:val="center"/>
        <w:rPr>
          <w:rFonts w:cs="Arial"/>
          <w:b/>
          <w:sz w:val="18"/>
          <w:szCs w:val="18"/>
        </w:rPr>
      </w:pPr>
    </w:p>
    <w:p w:rsidR="00C84EF4" w:rsidRDefault="00A73EFC">
      <w:bookmarkStart w:id="0" w:name="_GoBack"/>
      <w:bookmarkEnd w:id="0"/>
    </w:p>
    <w:sectPr w:rsidR="00C84E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FC"/>
    <w:rsid w:val="00A73EFC"/>
    <w:rsid w:val="00C130F0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7E32A5D-01D9-40C7-AAB9-B1196FAAF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EFC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A73EFC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link w:val="Prrafodelista"/>
    <w:rsid w:val="00A73EFC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YENNY ALEXANDRA GOMEZ PATIÑO</dc:creator>
  <cp:keywords/>
  <dc:description/>
  <cp:lastModifiedBy>DISAN - YENNY ALEXANDRA GOMEZ PATIÑO</cp:lastModifiedBy>
  <cp:revision>1</cp:revision>
  <dcterms:created xsi:type="dcterms:W3CDTF">2018-04-12T14:20:00Z</dcterms:created>
  <dcterms:modified xsi:type="dcterms:W3CDTF">2018-04-12T14:21:00Z</dcterms:modified>
</cp:coreProperties>
</file>