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D478C2" w14:textId="77777777" w:rsidR="00A05934" w:rsidRDefault="00A05934" w:rsidP="00C50568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</w:p>
    <w:p w14:paraId="7EF52DB1" w14:textId="0DF912DD" w:rsidR="00B52C2B" w:rsidRPr="00F90DCA" w:rsidRDefault="00F90DCA" w:rsidP="00DF4FE5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rPr>
          <w:rFonts w:cs="Arial"/>
          <w:b/>
          <w:lang w:val="en-US"/>
        </w:rPr>
      </w:pPr>
      <w:r w:rsidRPr="00F90DCA">
        <w:rPr>
          <w:rFonts w:cs="Arial"/>
          <w:color w:val="auto"/>
          <w:szCs w:val="20"/>
          <w:lang w:val="en-US"/>
        </w:rPr>
        <w:t>IP-DT-ATL-0</w:t>
      </w:r>
      <w:r w:rsidR="001D2814">
        <w:rPr>
          <w:rFonts w:cs="Arial"/>
          <w:color w:val="auto"/>
          <w:szCs w:val="20"/>
          <w:lang w:val="en-US"/>
        </w:rPr>
        <w:t>1</w:t>
      </w:r>
      <w:r w:rsidRPr="00F90DCA">
        <w:rPr>
          <w:rFonts w:cs="Arial"/>
          <w:color w:val="auto"/>
          <w:szCs w:val="20"/>
          <w:lang w:val="en-US"/>
        </w:rPr>
        <w:t>1-2024</w:t>
      </w:r>
    </w:p>
    <w:p w14:paraId="5B382D67" w14:textId="1E8211E5" w:rsidR="00C50568" w:rsidRPr="00F90DCA" w:rsidRDefault="00C50568" w:rsidP="00B52C2B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cs="Arial"/>
          <w:b/>
          <w:color w:val="000000" w:themeColor="text1"/>
          <w:szCs w:val="20"/>
          <w:lang w:val="en-US"/>
        </w:rPr>
      </w:pPr>
      <w:r w:rsidRPr="00F90DCA">
        <w:rPr>
          <w:rFonts w:cs="Arial"/>
          <w:b/>
          <w:color w:val="000000" w:themeColor="text1"/>
          <w:szCs w:val="20"/>
          <w:lang w:val="en-US"/>
        </w:rPr>
        <w:t>ANEXO 3</w:t>
      </w:r>
    </w:p>
    <w:p w14:paraId="1532BD89" w14:textId="18A05029" w:rsidR="00C50568" w:rsidRPr="00EE481E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color w:val="000000" w:themeColor="text1"/>
          <w:szCs w:val="20"/>
        </w:rPr>
      </w:pPr>
      <w:r>
        <w:rPr>
          <w:rFonts w:cs="Arial"/>
          <w:b/>
          <w:color w:val="000000" w:themeColor="text1"/>
          <w:szCs w:val="20"/>
        </w:rPr>
        <w:t xml:space="preserve">AVISO LIMITACIÓN DEL </w:t>
      </w:r>
      <w:r w:rsidR="00ED60D6">
        <w:rPr>
          <w:rFonts w:cs="Arial"/>
          <w:b/>
          <w:color w:val="000000" w:themeColor="text1"/>
          <w:szCs w:val="20"/>
        </w:rPr>
        <w:t>PROCESO DE CONTRATACIÓN A MIPYME</w:t>
      </w:r>
    </w:p>
    <w:p w14:paraId="3FD53E5C" w14:textId="77777777" w:rsidR="00C22712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yellow"/>
          <w:lang w:eastAsia="es-ES"/>
        </w:rPr>
      </w:pPr>
    </w:p>
    <w:p w14:paraId="78D05B6D" w14:textId="5FEED4C4" w:rsidR="00C22712" w:rsidRPr="00ED60D6" w:rsidRDefault="00ED60D6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[L</w:t>
      </w:r>
      <w:r w:rsidR="00C22712"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a Entidad, en atención a las solicitudes realizadas por los interesados para limitar la convocatoria a </w:t>
      </w:r>
      <w:proofErr w:type="spellStart"/>
      <w:r w:rsidR="00C22712"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Mipyme</w:t>
      </w:r>
      <w:proofErr w:type="spellEnd"/>
      <w:r w:rsidR="00C22712"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, incluirá alguna de las dos (2) opciones:] </w:t>
      </w:r>
    </w:p>
    <w:p w14:paraId="08071CFD" w14:textId="77777777" w:rsidR="005C1BC1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[Si procede la limitación de las convocatorias del Proceso de Contratación a </w:t>
      </w:r>
      <w:proofErr w:type="spellStart"/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Mipyme</w:t>
      </w:r>
      <w:proofErr w:type="spellEnd"/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] </w:t>
      </w:r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La Entidad limita la convocatoria de este Proceso de Contratación a las </w:t>
      </w:r>
      <w:proofErr w:type="spellStart"/>
      <w:r w:rsidRPr="00ED60D6">
        <w:rPr>
          <w:rFonts w:eastAsia="Arial Narrow" w:cs="Arial"/>
          <w:color w:val="000000" w:themeColor="text1"/>
          <w:szCs w:val="20"/>
          <w:lang w:eastAsia="es-ES"/>
        </w:rPr>
        <w:t>Mipyme</w:t>
      </w:r>
      <w:proofErr w:type="spellEnd"/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 colombianas por haberse verificado las condiciones establecidas en los artículos 2.2.1.2.4.2.2. y 2.2.1.2.4.2.4 del Decreto 1082 de 2015 o la norma que lo modifique, complemente o sustituya.</w:t>
      </w:r>
    </w:p>
    <w:p w14:paraId="6C506240" w14:textId="37EFF9B5" w:rsidR="00C22712" w:rsidRPr="00ED60D6" w:rsidRDefault="005C1BC1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>
        <w:rPr>
          <w:rFonts w:eastAsia="Arial Narrow" w:cs="Arial"/>
          <w:color w:val="000000" w:themeColor="text1"/>
          <w:szCs w:val="20"/>
          <w:lang w:eastAsia="es-ES"/>
        </w:rPr>
        <w:t xml:space="preserve">En tal sentido, la Entidad verificó que las siguientes </w:t>
      </w:r>
      <w:proofErr w:type="spellStart"/>
      <w:r>
        <w:rPr>
          <w:rFonts w:eastAsia="Arial Narrow" w:cs="Arial"/>
          <w:color w:val="000000" w:themeColor="text1"/>
          <w:szCs w:val="20"/>
          <w:lang w:eastAsia="es-ES"/>
        </w:rPr>
        <w:t>Mipyme</w:t>
      </w:r>
      <w:proofErr w:type="spellEnd"/>
      <w:r>
        <w:rPr>
          <w:rFonts w:eastAsia="Arial Narrow" w:cs="Arial"/>
          <w:color w:val="000000" w:themeColor="text1"/>
          <w:szCs w:val="20"/>
          <w:lang w:eastAsia="es-ES"/>
        </w:rPr>
        <w:t xml:space="preserve"> </w:t>
      </w:r>
      <w:r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[Indicar </w:t>
      </w:r>
      <w:r w:rsidR="00A96ADF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el nombre de las </w:t>
      </w:r>
      <w:r w:rsidR="00B92C9A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dos (2) o más </w:t>
      </w:r>
      <w:proofErr w:type="spellStart"/>
      <w:r w:rsidR="00A96ADF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Mipyme</w:t>
      </w:r>
      <w:proofErr w:type="spellEnd"/>
      <w:r w:rsidR="00A96ADF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</w:t>
      </w:r>
      <w:r w:rsidR="000326E1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que solicitaron </w:t>
      </w:r>
      <w:r w:rsidR="00E679A5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limitar el proceso </w:t>
      </w:r>
      <w:r w:rsidR="00412204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de contratación a </w:t>
      </w:r>
      <w:proofErr w:type="spellStart"/>
      <w:r w:rsidR="00412204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Mipyme</w:t>
      </w:r>
      <w:proofErr w:type="spellEnd"/>
      <w:r w:rsidR="004851DF">
        <w:rPr>
          <w:rFonts w:eastAsia="Arial Narrow" w:cs="Arial"/>
          <w:color w:val="000000" w:themeColor="text1"/>
          <w:szCs w:val="20"/>
          <w:lang w:eastAsia="es-ES"/>
        </w:rPr>
        <w:t>]</w:t>
      </w:r>
      <w:r w:rsidR="00B16E82">
        <w:rPr>
          <w:rFonts w:eastAsia="Arial Narrow" w:cs="Arial"/>
          <w:color w:val="000000" w:themeColor="text1"/>
          <w:szCs w:val="20"/>
          <w:lang w:eastAsia="es-ES"/>
        </w:rPr>
        <w:t xml:space="preserve"> cumplieron los </w:t>
      </w:r>
      <w:r w:rsidR="00B16E82" w:rsidRPr="00B16E82">
        <w:rPr>
          <w:rFonts w:eastAsia="Arial Narrow" w:cs="Arial"/>
          <w:color w:val="000000" w:themeColor="text1"/>
          <w:szCs w:val="20"/>
          <w:lang w:eastAsia="es-ES"/>
        </w:rPr>
        <w:t>requisitos definidos en el artículo 2.2.1.2.4.2.4 del Decreto 1082 de 2015</w:t>
      </w:r>
      <w:r w:rsidR="00B16E82">
        <w:rPr>
          <w:rFonts w:eastAsia="Arial Narrow" w:cs="Arial"/>
          <w:color w:val="000000" w:themeColor="text1"/>
          <w:szCs w:val="20"/>
          <w:lang w:eastAsia="es-ES"/>
        </w:rPr>
        <w:t>.</w:t>
      </w:r>
      <w:r w:rsidR="00055698">
        <w:rPr>
          <w:rFonts w:eastAsia="Arial Narrow" w:cs="Arial"/>
          <w:color w:val="000000" w:themeColor="text1"/>
          <w:szCs w:val="20"/>
          <w:lang w:eastAsia="es-ES"/>
        </w:rPr>
        <w:t xml:space="preserve"> </w:t>
      </w:r>
      <w:r w:rsidR="00C22712"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[En todo caso, la Entidad en esta sección determinará si la limitación es territorial, en los términos del artículo 2.2.1.2.4.2.3. del Decreto 1082 de 2015 y las reglas contenidas en</w:t>
      </w:r>
      <w:r w:rsidR="00633534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la invitación</w:t>
      </w:r>
      <w:r w:rsidR="00C22712"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]</w:t>
      </w:r>
    </w:p>
    <w:p w14:paraId="62D6229D" w14:textId="77777777" w:rsidR="00C22712" w:rsidRPr="00297D33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A595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5233D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Si </w:t>
      </w:r>
      <w:r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no procede la limitación de las convocatorias del Proceso de Contratación a </w:t>
      </w:r>
      <w:proofErr w:type="spellStart"/>
      <w:r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Mipyme</w:t>
      </w:r>
      <w:proofErr w:type="spellEnd"/>
      <w:r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, la Entidad incluirá lo siguiente]</w:t>
      </w:r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 La Entidad no limita el Proceso de Contratación a las </w:t>
      </w:r>
      <w:proofErr w:type="spellStart"/>
      <w:r w:rsidRPr="00ED60D6">
        <w:rPr>
          <w:rFonts w:eastAsia="Arial Narrow" w:cs="Arial"/>
          <w:color w:val="000000" w:themeColor="text1"/>
          <w:szCs w:val="20"/>
          <w:lang w:eastAsia="es-ES"/>
        </w:rPr>
        <w:t>Mipyme</w:t>
      </w:r>
      <w:proofErr w:type="spellEnd"/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 colombianas, por no haberse cumplido las condiciones establecidas en los artículos 2.2.1.2.4.2.2. y 2.2.1.2.4.2.4 del Decreto 1082 de 2015 o la norma que lo modifique, complemente o sustituya. En consecuencia, podrá participar cualquier interesado.</w:t>
      </w:r>
    </w:p>
    <w:p w14:paraId="7D8A3325" w14:textId="77777777" w:rsidR="00342EEB" w:rsidRPr="00342EEB" w:rsidRDefault="00342EEB" w:rsidP="00342EEB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05569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P</w:t>
      </w:r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ara los procesos adelantados en el </w:t>
      </w:r>
      <w:r w:rsidRPr="00342EEB">
        <w:rPr>
          <w:rFonts w:eastAsia="Arial Narrow" w:cs="Arial"/>
          <w:b/>
          <w:bCs/>
          <w:color w:val="000000" w:themeColor="text1"/>
          <w:szCs w:val="20"/>
          <w:highlight w:val="lightGray"/>
          <w:lang w:eastAsia="es-ES"/>
        </w:rPr>
        <w:t>SECOP II</w:t>
      </w:r>
      <w:r w:rsidRPr="00EA595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,</w:t>
      </w:r>
      <w:r w:rsidRPr="005233D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</w:t>
      </w:r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la Entidad, en atención a las solicitudes realizadas por los interesados para limitar la convocatoria a </w:t>
      </w:r>
      <w:proofErr w:type="spellStart"/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Mipyme</w:t>
      </w:r>
      <w:proofErr w:type="spellEnd"/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, incluirá la limitación del Proceso de Contratación a </w:t>
      </w:r>
      <w:proofErr w:type="spellStart"/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Mipyme</w:t>
      </w:r>
      <w:proofErr w:type="spellEnd"/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en el espacio dispuesto por la plataforma del SECOP II.]</w:t>
      </w:r>
    </w:p>
    <w:p w14:paraId="5C1A07E2" w14:textId="77777777" w:rsidR="0010503A" w:rsidRDefault="0010503A"/>
    <w:sectPr w:rsidR="0010503A" w:rsidSect="00CD77DC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24E21C" w14:textId="77777777" w:rsidR="00D27D2F" w:rsidRDefault="00D27D2F" w:rsidP="00FD5FDD">
      <w:pPr>
        <w:spacing w:after="0" w:line="240" w:lineRule="auto"/>
      </w:pPr>
      <w:r>
        <w:separator/>
      </w:r>
    </w:p>
  </w:endnote>
  <w:endnote w:type="continuationSeparator" w:id="0">
    <w:p w14:paraId="66F27A72" w14:textId="77777777" w:rsidR="00D27D2F" w:rsidRDefault="00D27D2F" w:rsidP="00FD5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CD77DC" w:rsidRPr="00DA45C0" w14:paraId="2D6513C4" w14:textId="77777777" w:rsidTr="008B49DE">
      <w:trPr>
        <w:trHeight w:val="132"/>
      </w:trPr>
      <w:tc>
        <w:tcPr>
          <w:tcW w:w="965" w:type="dxa"/>
        </w:tcPr>
        <w:p w14:paraId="4FFFBCA9" w14:textId="77777777" w:rsidR="00CD77DC" w:rsidRPr="00DA45C0" w:rsidRDefault="00CD77DC" w:rsidP="00CD77DC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0F58EAA" w14:textId="23A74B48" w:rsidR="00CD77DC" w:rsidRPr="00DA45C0" w:rsidRDefault="00CD77DC" w:rsidP="00CD77DC">
          <w:pPr>
            <w:pStyle w:val="Piedepgina"/>
            <w:rPr>
              <w:sz w:val="16"/>
              <w:szCs w:val="18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CCE-EICP-IDI-45</w:t>
          </w:r>
        </w:p>
      </w:tc>
      <w:tc>
        <w:tcPr>
          <w:tcW w:w="857" w:type="dxa"/>
        </w:tcPr>
        <w:p w14:paraId="076EDF7C" w14:textId="77777777" w:rsidR="00CD77DC" w:rsidRPr="00DA45C0" w:rsidRDefault="00CD77DC" w:rsidP="00CD77DC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438055B7" w14:textId="685B5D56" w:rsidR="00CD77DC" w:rsidRPr="00DA45C0" w:rsidRDefault="00CD77DC" w:rsidP="00CD77DC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1</w:t>
          </w:r>
        </w:p>
      </w:tc>
    </w:tr>
  </w:tbl>
  <w:p w14:paraId="5EE9799D" w14:textId="77777777" w:rsidR="00CD77DC" w:rsidRDefault="00CD77D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07576E" w14:textId="77777777" w:rsidR="00D27D2F" w:rsidRDefault="00D27D2F" w:rsidP="00FD5FDD">
      <w:pPr>
        <w:spacing w:after="0" w:line="240" w:lineRule="auto"/>
      </w:pPr>
      <w:r>
        <w:separator/>
      </w:r>
    </w:p>
  </w:footnote>
  <w:footnote w:type="continuationSeparator" w:id="0">
    <w:p w14:paraId="1E3F07DB" w14:textId="77777777" w:rsidR="00D27D2F" w:rsidRDefault="00D27D2F" w:rsidP="00FD5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5318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49"/>
      <w:gridCol w:w="2476"/>
      <w:gridCol w:w="5964"/>
    </w:tblGrid>
    <w:tr w:rsidR="00FD5FDD" w:rsidRPr="00F26AA4" w14:paraId="44F37264" w14:textId="77777777" w:rsidTr="005D6967">
      <w:trPr>
        <w:trHeight w:val="193"/>
        <w:jc w:val="center"/>
      </w:trPr>
      <w:tc>
        <w:tcPr>
          <w:tcW w:w="599" w:type="pct"/>
          <w:shd w:val="clear" w:color="auto" w:fill="auto"/>
          <w:vAlign w:val="center"/>
        </w:tcPr>
        <w:p w14:paraId="732AB730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48C28F58" w14:textId="48259BBC" w:rsidR="00FD5FDD" w:rsidRPr="004A5C40" w:rsidRDefault="005D6967" w:rsidP="00FD5FD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CCE-EICP-IDI-45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6B01F3D0" w14:textId="77777777" w:rsidR="00FD5FDD" w:rsidRPr="004A5C40" w:rsidRDefault="00FD5FDD" w:rsidP="00FD5FDD">
          <w:pPr>
            <w:spacing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>
            <w:rPr>
              <w:rFonts w:eastAsia="Arial" w:cs="Arial"/>
              <w:b/>
              <w:sz w:val="16"/>
              <w:szCs w:val="16"/>
              <w:lang w:eastAsia="es-CO"/>
            </w:rPr>
            <w:t xml:space="preserve"> – VERSIÓN 2</w:t>
          </w:r>
          <w:r w:rsidRPr="004A5C40" w:rsidDel="00A41D97">
            <w:rPr>
              <w:rFonts w:eastAsia="Arial" w:cs="Arial"/>
              <w:b/>
              <w:sz w:val="16"/>
              <w:szCs w:val="16"/>
              <w:lang w:eastAsia="es-CO"/>
            </w:rPr>
            <w:t xml:space="preserve"> </w:t>
          </w:r>
        </w:p>
      </w:tc>
    </w:tr>
    <w:tr w:rsidR="00FD5FDD" w:rsidRPr="00F26AA4" w14:paraId="5E364846" w14:textId="77777777" w:rsidTr="005D6967">
      <w:trPr>
        <w:trHeight w:val="60"/>
        <w:jc w:val="center"/>
      </w:trPr>
      <w:tc>
        <w:tcPr>
          <w:tcW w:w="599" w:type="pct"/>
          <w:shd w:val="clear" w:color="auto" w:fill="auto"/>
          <w:vAlign w:val="center"/>
        </w:tcPr>
        <w:p w14:paraId="4A783BAC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01960B0E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  <w:tc>
        <w:tcPr>
          <w:tcW w:w="3110" w:type="pct"/>
          <w:vMerge/>
          <w:shd w:val="clear" w:color="auto" w:fill="auto"/>
          <w:vAlign w:val="center"/>
        </w:tcPr>
        <w:p w14:paraId="7432DC31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sz w:val="18"/>
              <w:szCs w:val="18"/>
              <w:lang w:eastAsia="es-CO"/>
            </w:rPr>
          </w:pPr>
        </w:p>
      </w:tc>
    </w:tr>
  </w:tbl>
  <w:p w14:paraId="39D5BC1A" w14:textId="2993FDB3" w:rsidR="00FD5FDD" w:rsidRDefault="00FD5FD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5BBB809"/>
    <w:rsid w:val="000326E1"/>
    <w:rsid w:val="00046051"/>
    <w:rsid w:val="00055698"/>
    <w:rsid w:val="000B1A5D"/>
    <w:rsid w:val="00104373"/>
    <w:rsid w:val="0010503A"/>
    <w:rsid w:val="001D2814"/>
    <w:rsid w:val="00207DD8"/>
    <w:rsid w:val="002E674B"/>
    <w:rsid w:val="00342EEB"/>
    <w:rsid w:val="00371FB2"/>
    <w:rsid w:val="00412204"/>
    <w:rsid w:val="00423507"/>
    <w:rsid w:val="004457E1"/>
    <w:rsid w:val="004851DF"/>
    <w:rsid w:val="004A6C97"/>
    <w:rsid w:val="004A726F"/>
    <w:rsid w:val="005233D8"/>
    <w:rsid w:val="005705D2"/>
    <w:rsid w:val="005C1BC1"/>
    <w:rsid w:val="005D6967"/>
    <w:rsid w:val="00633534"/>
    <w:rsid w:val="00690163"/>
    <w:rsid w:val="00773651"/>
    <w:rsid w:val="00814E07"/>
    <w:rsid w:val="00833F5D"/>
    <w:rsid w:val="00A05934"/>
    <w:rsid w:val="00A702BF"/>
    <w:rsid w:val="00A96ADF"/>
    <w:rsid w:val="00AD39DD"/>
    <w:rsid w:val="00B16E82"/>
    <w:rsid w:val="00B52C2B"/>
    <w:rsid w:val="00B92C9A"/>
    <w:rsid w:val="00BA0355"/>
    <w:rsid w:val="00C22712"/>
    <w:rsid w:val="00C40375"/>
    <w:rsid w:val="00C50568"/>
    <w:rsid w:val="00C65AD0"/>
    <w:rsid w:val="00CA7620"/>
    <w:rsid w:val="00CD77DC"/>
    <w:rsid w:val="00D27D2F"/>
    <w:rsid w:val="00DF4FE5"/>
    <w:rsid w:val="00E228AA"/>
    <w:rsid w:val="00E679A5"/>
    <w:rsid w:val="00EA5958"/>
    <w:rsid w:val="00ED60D6"/>
    <w:rsid w:val="00F90DCA"/>
    <w:rsid w:val="00FD5FDD"/>
    <w:rsid w:val="45BBB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BBB809"/>
  <w15:chartTrackingRefBased/>
  <w15:docId w15:val="{DB4ADD7B-763C-4CC7-BE3E-211F516D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712"/>
    <w:rPr>
      <w:rFonts w:ascii="Arial" w:hAnsi="Arial"/>
      <w:color w:val="3B3838" w:themeColor="background2" w:themeShade="40"/>
      <w:sz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5FDD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5FD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33534"/>
    <w:pPr>
      <w:spacing w:after="0" w:line="240" w:lineRule="auto"/>
    </w:pPr>
    <w:rPr>
      <w:rFonts w:ascii="Arial" w:hAnsi="Arial"/>
      <w:color w:val="3B3838" w:themeColor="background2" w:themeShade="40"/>
      <w:sz w:val="20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71F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1FB2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1FB2"/>
    <w:rPr>
      <w:rFonts w:ascii="Arial" w:hAnsi="Arial"/>
      <w:color w:val="3B3838" w:themeColor="background2" w:themeShade="40"/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1F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1FB2"/>
    <w:rPr>
      <w:rFonts w:ascii="Arial" w:hAnsi="Arial"/>
      <w:b/>
      <w:bCs/>
      <w:color w:val="3B3838" w:themeColor="background2" w:themeShade="40"/>
      <w:sz w:val="20"/>
      <w:szCs w:val="20"/>
      <w:lang w:val="es-CO"/>
    </w:rPr>
  </w:style>
  <w:style w:type="table" w:styleId="Tablaconcuadrcula">
    <w:name w:val="Table Grid"/>
    <w:basedOn w:val="Tablanormal"/>
    <w:uiPriority w:val="59"/>
    <w:rsid w:val="00CD77DC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41B961EB-DD03-4D51-BE0A-03540CD194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FD1060-AF85-4229-A85E-72C3FE1ED3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ECB60C-6335-41A5-AE7C-69F058FC221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271</Words>
  <Characters>1491</Characters>
  <Application>Microsoft Office Word</Application>
  <DocSecurity>0</DocSecurity>
  <Lines>12</Lines>
  <Paragraphs>3</Paragraphs>
  <ScaleCrop>false</ScaleCrop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Nelson Gutierrez</cp:lastModifiedBy>
  <cp:revision>10</cp:revision>
  <dcterms:created xsi:type="dcterms:W3CDTF">2022-12-12T16:33:00Z</dcterms:created>
  <dcterms:modified xsi:type="dcterms:W3CDTF">2024-11-02T02:49:00Z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