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A6944" w14:textId="77777777" w:rsidR="00A24EE9" w:rsidRDefault="00A24EE9">
      <w:pPr>
        <w:pStyle w:val="Textoindependiente"/>
        <w:rPr>
          <w:rFonts w:ascii="Times New Roman"/>
          <w:sz w:val="20"/>
        </w:rPr>
      </w:pPr>
    </w:p>
    <w:p w14:paraId="622FF74D" w14:textId="77777777" w:rsidR="00A24EE9" w:rsidRDefault="00A24EE9">
      <w:pPr>
        <w:pStyle w:val="Textoindependiente"/>
        <w:spacing w:before="4"/>
        <w:rPr>
          <w:rFonts w:ascii="Times New Roman"/>
          <w:sz w:val="21"/>
        </w:rPr>
      </w:pPr>
    </w:p>
    <w:p w14:paraId="7C744A6D" w14:textId="77777777" w:rsidR="000A597D" w:rsidRDefault="000A597D">
      <w:pPr>
        <w:pStyle w:val="Ttulo"/>
        <w:rPr>
          <w:w w:val="80"/>
        </w:rPr>
      </w:pPr>
    </w:p>
    <w:p w14:paraId="652F1F7C" w14:textId="51B3DEB9" w:rsidR="00A24EE9" w:rsidRDefault="00000000">
      <w:pPr>
        <w:pStyle w:val="Ttulo"/>
      </w:pPr>
      <w:r>
        <w:rPr>
          <w:w w:val="80"/>
        </w:rPr>
        <w:t>ANEXO</w:t>
      </w:r>
      <w:r>
        <w:rPr>
          <w:spacing w:val="16"/>
          <w:w w:val="80"/>
        </w:rPr>
        <w:t xml:space="preserve"> </w:t>
      </w:r>
      <w:r>
        <w:rPr>
          <w:w w:val="80"/>
        </w:rPr>
        <w:t>APROPIACIÓN</w:t>
      </w:r>
      <w:r>
        <w:rPr>
          <w:spacing w:val="14"/>
          <w:w w:val="80"/>
        </w:rPr>
        <w:t xml:space="preserve"> </w:t>
      </w:r>
      <w:r>
        <w:rPr>
          <w:w w:val="80"/>
        </w:rPr>
        <w:t>DE</w:t>
      </w:r>
      <w:r>
        <w:rPr>
          <w:spacing w:val="15"/>
          <w:w w:val="80"/>
        </w:rPr>
        <w:t xml:space="preserve"> </w:t>
      </w:r>
      <w:r>
        <w:rPr>
          <w:w w:val="80"/>
        </w:rPr>
        <w:t>LOS</w:t>
      </w:r>
      <w:r>
        <w:rPr>
          <w:spacing w:val="16"/>
          <w:w w:val="80"/>
        </w:rPr>
        <w:t xml:space="preserve"> </w:t>
      </w:r>
      <w:r>
        <w:rPr>
          <w:w w:val="80"/>
        </w:rPr>
        <w:t>ESTUDIOS</w:t>
      </w:r>
      <w:r>
        <w:rPr>
          <w:spacing w:val="15"/>
          <w:w w:val="80"/>
        </w:rPr>
        <w:t xml:space="preserve"> </w:t>
      </w:r>
      <w:r>
        <w:rPr>
          <w:w w:val="80"/>
        </w:rPr>
        <w:t>Y</w:t>
      </w:r>
      <w:r>
        <w:rPr>
          <w:spacing w:val="15"/>
          <w:w w:val="80"/>
        </w:rPr>
        <w:t xml:space="preserve"> </w:t>
      </w:r>
      <w:r>
        <w:rPr>
          <w:w w:val="80"/>
        </w:rPr>
        <w:t>DISEÑOS</w:t>
      </w:r>
      <w:r>
        <w:rPr>
          <w:spacing w:val="14"/>
          <w:w w:val="80"/>
        </w:rPr>
        <w:t xml:space="preserve"> </w:t>
      </w:r>
      <w:r>
        <w:rPr>
          <w:w w:val="80"/>
        </w:rPr>
        <w:t>DEL</w:t>
      </w:r>
      <w:r>
        <w:rPr>
          <w:spacing w:val="15"/>
          <w:w w:val="80"/>
        </w:rPr>
        <w:t xml:space="preserve"> </w:t>
      </w:r>
      <w:r>
        <w:rPr>
          <w:w w:val="80"/>
        </w:rPr>
        <w:t>PROYECT</w:t>
      </w:r>
      <w:r w:rsidR="00853345">
        <w:rPr>
          <w:w w:val="80"/>
        </w:rPr>
        <w:t>O</w:t>
      </w:r>
    </w:p>
    <w:p w14:paraId="0C07226E" w14:textId="77777777" w:rsidR="00FB5131" w:rsidRDefault="00FB5131" w:rsidP="00FB5131">
      <w:pPr>
        <w:ind w:left="113" w:right="136"/>
        <w:jc w:val="both"/>
        <w:rPr>
          <w:w w:val="80"/>
        </w:rPr>
      </w:pPr>
    </w:p>
    <w:p w14:paraId="395C6817" w14:textId="04A0130A" w:rsidR="0092701D" w:rsidRDefault="00000000" w:rsidP="00FB5131">
      <w:pPr>
        <w:ind w:left="113" w:right="136"/>
        <w:jc w:val="both"/>
        <w:rPr>
          <w:rFonts w:ascii="Arial Narrow" w:eastAsia="Arial Narrow" w:hAnsi="Arial Narrow" w:cs="Arial Narrow"/>
          <w:bCs/>
        </w:rPr>
      </w:pPr>
      <w:r w:rsidRPr="00C53E79">
        <w:rPr>
          <w:rFonts w:ascii="Arial Narrow" w:eastAsia="Arial Narrow" w:hAnsi="Arial Narrow" w:cs="Arial Narrow"/>
          <w:bCs/>
        </w:rPr>
        <w:t>En la etapa de preconstrucción el contratista tiene la obligación de realizar la apropiación de los estudios y diseños (así como la revisión</w:t>
      </w:r>
      <w:r w:rsidR="0092701D" w:rsidRPr="00C53E79">
        <w:rPr>
          <w:rFonts w:ascii="Arial Narrow" w:eastAsia="Arial Narrow" w:hAnsi="Arial Narrow" w:cs="Arial Narrow"/>
          <w:bCs/>
        </w:rPr>
        <w:t xml:space="preserve"> y/o verificación y/o ajuste </w:t>
      </w:r>
      <w:r w:rsidRPr="00C53E79">
        <w:rPr>
          <w:rFonts w:ascii="Arial Narrow" w:eastAsia="Arial Narrow" w:hAnsi="Arial Narrow" w:cs="Arial Narrow"/>
          <w:bCs/>
        </w:rPr>
        <w:t>y/o actualización y/o complementación en caso de requerirse) de los estudios y diseños entregados a la Entidad por</w:t>
      </w:r>
      <w:r w:rsidR="0092701D" w:rsidRPr="00C53E79">
        <w:rPr>
          <w:rFonts w:ascii="Arial Narrow" w:eastAsia="Arial Narrow" w:hAnsi="Arial Narrow" w:cs="Arial Narrow"/>
          <w:bCs/>
        </w:rPr>
        <w:t>:</w:t>
      </w:r>
    </w:p>
    <w:p w14:paraId="53D325FF" w14:textId="77777777" w:rsidR="00C53E79" w:rsidRPr="00C53E79" w:rsidRDefault="00C53E79" w:rsidP="00FB5131">
      <w:pPr>
        <w:ind w:left="113" w:right="136"/>
        <w:jc w:val="both"/>
        <w:rPr>
          <w:rFonts w:ascii="Arial Narrow" w:eastAsia="Arial Narrow" w:hAnsi="Arial Narrow" w:cs="Arial Narrow"/>
          <w:bCs/>
        </w:rPr>
      </w:pPr>
    </w:p>
    <w:p w14:paraId="59A038EE" w14:textId="1F7DDA13" w:rsidR="00C53E79" w:rsidRDefault="0092701D" w:rsidP="000F15EF">
      <w:pPr>
        <w:pStyle w:val="Prrafodelista"/>
        <w:numPr>
          <w:ilvl w:val="0"/>
          <w:numId w:val="12"/>
        </w:numPr>
        <w:ind w:right="136"/>
        <w:rPr>
          <w:rFonts w:ascii="Arial Narrow" w:eastAsia="Arial Narrow" w:hAnsi="Arial Narrow" w:cs="Arial Narrow"/>
          <w:bCs/>
        </w:rPr>
      </w:pPr>
      <w:r w:rsidRPr="00C53E79">
        <w:rPr>
          <w:rFonts w:ascii="Arial Narrow" w:eastAsia="Arial Narrow" w:hAnsi="Arial Narrow" w:cs="Arial Narrow"/>
          <w:bCs/>
        </w:rPr>
        <w:t>El contrato 18001566 H4 de 2018 cuyo objeto es “MANTENIMIENTO DE LAS CALLES DE RODAJE DE LA PISTA SUR (INCLUYE LAS CALLES TRANSVERSALES) DEL AEROPUERTO EL DORADO”.</w:t>
      </w:r>
    </w:p>
    <w:p w14:paraId="0D50529B" w14:textId="77777777" w:rsidR="00C53E79" w:rsidRPr="00C53E79" w:rsidRDefault="00C53E79" w:rsidP="00C53E79">
      <w:pPr>
        <w:ind w:left="157" w:right="136"/>
        <w:rPr>
          <w:rFonts w:ascii="Arial Narrow" w:eastAsia="Arial Narrow" w:hAnsi="Arial Narrow" w:cs="Arial Narrow"/>
          <w:bCs/>
        </w:rPr>
      </w:pPr>
    </w:p>
    <w:p w14:paraId="078DF2D9" w14:textId="5FECCF60" w:rsidR="0092701D" w:rsidRPr="00C53E79" w:rsidRDefault="0092701D" w:rsidP="000F15EF">
      <w:pPr>
        <w:pStyle w:val="Prrafodelista"/>
        <w:numPr>
          <w:ilvl w:val="0"/>
          <w:numId w:val="12"/>
        </w:numPr>
        <w:ind w:right="136"/>
        <w:rPr>
          <w:rFonts w:ascii="Arial Narrow" w:eastAsia="Arial Narrow" w:hAnsi="Arial Narrow" w:cs="Arial Narrow"/>
          <w:bCs/>
        </w:rPr>
      </w:pPr>
      <w:r w:rsidRPr="00C53E79">
        <w:rPr>
          <w:rFonts w:ascii="Arial Narrow" w:eastAsia="Arial Narrow" w:hAnsi="Arial Narrow" w:cs="Arial Narrow"/>
          <w:bCs/>
        </w:rPr>
        <w:t>El contrato 18000908 H3 de 2018 cuyo objeto es “ESTUDIOS Y DISEÑOS PARA LA CONSTRUCCIÓN Y/O MANTENIMIENTO DEL SISTEMA DE DRENAJE DEL AEROPUERTO INTERNACIONAL EL DORADO</w:t>
      </w:r>
      <w:r w:rsidR="00FB5131" w:rsidRPr="00C53E79">
        <w:rPr>
          <w:rFonts w:ascii="Arial Narrow" w:eastAsia="Arial Narrow" w:hAnsi="Arial Narrow" w:cs="Arial Narrow"/>
          <w:bCs/>
        </w:rPr>
        <w:t>”</w:t>
      </w:r>
      <w:r w:rsidRPr="00C53E79">
        <w:rPr>
          <w:rFonts w:ascii="Arial Narrow" w:eastAsia="Arial Narrow" w:hAnsi="Arial Narrow" w:cs="Arial Narrow"/>
          <w:bCs/>
        </w:rPr>
        <w:t>.</w:t>
      </w:r>
    </w:p>
    <w:p w14:paraId="034BD7E7" w14:textId="77777777" w:rsidR="0092701D" w:rsidRPr="00C53E79" w:rsidRDefault="0092701D">
      <w:pPr>
        <w:pStyle w:val="Textoindependiente"/>
        <w:spacing w:before="156" w:line="259" w:lineRule="auto"/>
        <w:ind w:left="112" w:right="138"/>
        <w:jc w:val="both"/>
        <w:rPr>
          <w:rFonts w:ascii="Arial Narrow" w:eastAsia="Arial Narrow" w:hAnsi="Arial Narrow" w:cs="Arial Narrow"/>
          <w:bCs/>
        </w:rPr>
      </w:pPr>
    </w:p>
    <w:p w14:paraId="7F3D0733" w14:textId="631CF78B" w:rsidR="00A24EE9" w:rsidRPr="00C53E79" w:rsidRDefault="00000000" w:rsidP="0092701D">
      <w:pPr>
        <w:pStyle w:val="Textoindependiente"/>
        <w:ind w:left="113" w:right="136"/>
        <w:jc w:val="both"/>
        <w:rPr>
          <w:rFonts w:ascii="Arial Narrow" w:eastAsia="Arial Narrow" w:hAnsi="Arial Narrow" w:cs="Arial Narrow"/>
          <w:bCs/>
        </w:rPr>
      </w:pPr>
      <w:r w:rsidRPr="00C53E79">
        <w:rPr>
          <w:rFonts w:ascii="Arial Narrow" w:eastAsia="Arial Narrow" w:hAnsi="Arial Narrow" w:cs="Arial Narrow"/>
          <w:bCs/>
        </w:rPr>
        <w:t xml:space="preserve">La etapa de preconstrucción tendrá un plazo máximo de </w:t>
      </w:r>
      <w:r w:rsidR="00FB5131" w:rsidRPr="00C53E79">
        <w:rPr>
          <w:rFonts w:ascii="Arial Narrow" w:eastAsia="Arial Narrow" w:hAnsi="Arial Narrow" w:cs="Arial Narrow"/>
          <w:bCs/>
        </w:rPr>
        <w:t>dos</w:t>
      </w:r>
      <w:r w:rsidRPr="00C53E79">
        <w:rPr>
          <w:rFonts w:ascii="Arial Narrow" w:eastAsia="Arial Narrow" w:hAnsi="Arial Narrow" w:cs="Arial Narrow"/>
          <w:bCs/>
        </w:rPr>
        <w:t xml:space="preserve"> (</w:t>
      </w:r>
      <w:r w:rsidR="00FB5131" w:rsidRPr="00C53E79">
        <w:rPr>
          <w:rFonts w:ascii="Arial Narrow" w:eastAsia="Arial Narrow" w:hAnsi="Arial Narrow" w:cs="Arial Narrow"/>
          <w:bCs/>
        </w:rPr>
        <w:t>2</w:t>
      </w:r>
      <w:r w:rsidRPr="00C53E79">
        <w:rPr>
          <w:rFonts w:ascii="Arial Narrow" w:eastAsia="Arial Narrow" w:hAnsi="Arial Narrow" w:cs="Arial Narrow"/>
          <w:bCs/>
        </w:rPr>
        <w:t>) meses contados a partir de la suscripción del acta de inicio. La etapa de preconstrucción se compone de las actividades necesarias para el desarrollo de los siguientes productos:</w:t>
      </w:r>
    </w:p>
    <w:p w14:paraId="2A513C8C" w14:textId="77777777" w:rsidR="00FB5131" w:rsidRPr="00C53E79" w:rsidRDefault="00FB5131" w:rsidP="0092701D">
      <w:pPr>
        <w:pStyle w:val="Textoindependiente"/>
        <w:ind w:left="113" w:right="136"/>
        <w:jc w:val="both"/>
        <w:rPr>
          <w:rFonts w:ascii="Arial Narrow" w:hAnsi="Arial Narrow"/>
        </w:rPr>
      </w:pPr>
    </w:p>
    <w:p w14:paraId="5744DBD8" w14:textId="304AA225" w:rsidR="00585B5C" w:rsidRPr="00EC1C48" w:rsidRDefault="00585B5C" w:rsidP="00585B5C">
      <w:pPr>
        <w:pStyle w:val="Textoindependiente"/>
        <w:numPr>
          <w:ilvl w:val="0"/>
          <w:numId w:val="13"/>
        </w:numPr>
        <w:spacing w:before="22"/>
        <w:ind w:right="157"/>
        <w:jc w:val="both"/>
        <w:rPr>
          <w:rFonts w:ascii="Arial Narrow" w:eastAsia="Arial Narrow" w:hAnsi="Arial Narrow" w:cs="Arial Narrow"/>
        </w:rPr>
      </w:pPr>
      <w:r w:rsidRPr="00EC1C48">
        <w:rPr>
          <w:rFonts w:ascii="Arial Narrow" w:eastAsia="Arial Narrow" w:hAnsi="Arial Narrow" w:cs="Arial Narrow"/>
          <w:lang w:val="es-MX"/>
        </w:rPr>
        <w:t xml:space="preserve">Apropiación de estudios y diseños </w:t>
      </w:r>
      <w:r w:rsidRPr="00EC1C48">
        <w:rPr>
          <w:rFonts w:ascii="Arial Narrow" w:eastAsia="Arial Narrow" w:hAnsi="Arial Narrow" w:cs="Arial Narrow"/>
        </w:rPr>
        <w:t xml:space="preserve">de la evaluación técnica de las Calles de </w:t>
      </w:r>
      <w:r w:rsidRPr="00EC1C48">
        <w:rPr>
          <w:rFonts w:ascii="Arial Narrow" w:eastAsia="Arial Narrow" w:hAnsi="Arial Narrow" w:cs="Arial Narrow"/>
          <w:bCs/>
        </w:rPr>
        <w:t>Rodaje Kilo y November Aeropuerto El Dorado</w:t>
      </w:r>
      <w:r>
        <w:rPr>
          <w:rFonts w:ascii="Arial Narrow" w:eastAsia="Arial Narrow" w:hAnsi="Arial Narrow" w:cs="Arial Narrow"/>
        </w:rPr>
        <w:t>.</w:t>
      </w:r>
    </w:p>
    <w:p w14:paraId="07B2D360" w14:textId="77777777" w:rsidR="00585B5C" w:rsidRPr="00EC1C48" w:rsidRDefault="00585B5C" w:rsidP="00585B5C">
      <w:pPr>
        <w:pStyle w:val="Textoindependiente"/>
        <w:spacing w:before="22"/>
        <w:ind w:left="720" w:right="157"/>
        <w:jc w:val="both"/>
        <w:rPr>
          <w:rFonts w:ascii="Arial Narrow" w:eastAsia="Arial Narrow" w:hAnsi="Arial Narrow" w:cs="Arial Narrow"/>
        </w:rPr>
      </w:pPr>
    </w:p>
    <w:p w14:paraId="7263BE8C" w14:textId="54606DBB" w:rsidR="00585B5C" w:rsidRPr="005950F4" w:rsidRDefault="00585B5C" w:rsidP="00585B5C">
      <w:pPr>
        <w:pStyle w:val="Textoindependiente"/>
        <w:numPr>
          <w:ilvl w:val="0"/>
          <w:numId w:val="13"/>
        </w:numPr>
        <w:spacing w:before="22"/>
        <w:ind w:right="157"/>
        <w:jc w:val="both"/>
        <w:rPr>
          <w:rFonts w:ascii="Arial Narrow" w:eastAsia="Arial Narrow" w:hAnsi="Arial Narrow" w:cs="Arial Narrow"/>
        </w:rPr>
      </w:pPr>
      <w:r w:rsidRPr="005950F4">
        <w:rPr>
          <w:rFonts w:ascii="Arial Narrow" w:eastAsia="Arial Narrow" w:hAnsi="Arial Narrow" w:cs="Arial Narrow"/>
          <w:lang w:val="es-MX"/>
        </w:rPr>
        <w:t>Apropiación de estudios y diseños</w:t>
      </w:r>
      <w:r>
        <w:rPr>
          <w:rFonts w:ascii="Arial Narrow" w:eastAsia="Arial Narrow" w:hAnsi="Arial Narrow" w:cs="Arial Narrow"/>
          <w:lang w:val="es-MX"/>
        </w:rPr>
        <w:t xml:space="preserve"> </w:t>
      </w:r>
      <w:r w:rsidRPr="00E1728B">
        <w:rPr>
          <w:rFonts w:ascii="Arial Narrow" w:eastAsia="Arial Narrow" w:hAnsi="Arial Narrow" w:cs="Arial Narrow"/>
        </w:rPr>
        <w:t>del sistema de drenaje el aeropuerto El Dorado</w:t>
      </w:r>
      <w:r>
        <w:rPr>
          <w:rFonts w:ascii="Arial Narrow" w:eastAsia="Arial Narrow" w:hAnsi="Arial Narrow" w:cs="Arial Narrow"/>
        </w:rPr>
        <w:t xml:space="preserve"> y </w:t>
      </w:r>
      <w:r w:rsidRPr="00E1728B">
        <w:rPr>
          <w:rFonts w:ascii="Arial Narrow" w:eastAsia="Arial Narrow" w:hAnsi="Arial Narrow" w:cs="Arial Narrow"/>
        </w:rPr>
        <w:t>estudios y diseños para la construcción de canal</w:t>
      </w:r>
      <w:r>
        <w:rPr>
          <w:rFonts w:ascii="Arial Narrow" w:eastAsia="Arial Narrow" w:hAnsi="Arial Narrow" w:cs="Arial Narrow"/>
        </w:rPr>
        <w:t xml:space="preserve"> </w:t>
      </w:r>
      <w:r w:rsidRPr="00E1728B">
        <w:rPr>
          <w:rFonts w:ascii="Arial Narrow" w:eastAsia="Arial Narrow" w:hAnsi="Arial Narrow" w:cs="Arial Narrow"/>
        </w:rPr>
        <w:t>que se encuentra paralelo a la calle de rodaje kilo y la pista sur</w:t>
      </w:r>
      <w:r>
        <w:rPr>
          <w:rFonts w:ascii="Arial Narrow" w:eastAsia="Arial Narrow" w:hAnsi="Arial Narrow" w:cs="Arial Narrow"/>
        </w:rPr>
        <w:t>.</w:t>
      </w:r>
    </w:p>
    <w:p w14:paraId="1029490F" w14:textId="77777777" w:rsidR="00A24EE9" w:rsidRPr="00C53E79" w:rsidRDefault="00A24EE9">
      <w:pPr>
        <w:pStyle w:val="Textoindependiente"/>
        <w:spacing w:before="11"/>
        <w:rPr>
          <w:rFonts w:ascii="Arial Narrow" w:hAnsi="Arial Narrow"/>
          <w:sz w:val="21"/>
        </w:rPr>
      </w:pPr>
    </w:p>
    <w:p w14:paraId="1AE470A9" w14:textId="6F34B5EE" w:rsidR="00A24EE9" w:rsidRPr="00C53E79" w:rsidRDefault="00000000" w:rsidP="00C53E79">
      <w:pPr>
        <w:ind w:left="113" w:right="136"/>
        <w:jc w:val="both"/>
        <w:rPr>
          <w:rFonts w:ascii="Arial Narrow" w:eastAsia="Arial Narrow" w:hAnsi="Arial Narrow" w:cs="Arial Narrow"/>
          <w:bCs/>
        </w:rPr>
      </w:pPr>
      <w:r w:rsidRPr="00C53E79">
        <w:rPr>
          <w:rFonts w:ascii="Arial Narrow" w:eastAsia="Arial Narrow" w:hAnsi="Arial Narrow" w:cs="Arial Narrow"/>
          <w:bCs/>
        </w:rPr>
        <w:t xml:space="preserve">Entiéndase la apropiación de los estudios y diseños como un requerimiento contractual del contratista de obra, que se genera como un resultado de adelantar todas las actividades necesarias para generar los productos </w:t>
      </w:r>
      <w:r w:rsidR="00F7527A">
        <w:rPr>
          <w:rFonts w:ascii="Arial Narrow" w:eastAsia="Arial Narrow" w:hAnsi="Arial Narrow" w:cs="Arial Narrow"/>
          <w:bCs/>
        </w:rPr>
        <w:t>de la etapa</w:t>
      </w:r>
      <w:r w:rsidRPr="00C53E79">
        <w:rPr>
          <w:rFonts w:ascii="Arial Narrow" w:eastAsia="Arial Narrow" w:hAnsi="Arial Narrow" w:cs="Arial Narrow"/>
          <w:bCs/>
        </w:rPr>
        <w:t xml:space="preserve"> de preconstrucción en los términos exigidos por la Aerocivil y debidamente aprobados por la </w:t>
      </w:r>
      <w:r w:rsidR="00FB5131" w:rsidRPr="00C53E79">
        <w:rPr>
          <w:rFonts w:ascii="Arial Narrow" w:eastAsia="Arial Narrow" w:hAnsi="Arial Narrow" w:cs="Arial Narrow"/>
          <w:bCs/>
        </w:rPr>
        <w:t>interventoría</w:t>
      </w:r>
      <w:r w:rsidRPr="00C53E79">
        <w:rPr>
          <w:rFonts w:ascii="Arial Narrow" w:eastAsia="Arial Narrow" w:hAnsi="Arial Narrow" w:cs="Arial Narrow"/>
          <w:bCs/>
        </w:rPr>
        <w:t>; esto con el fin de garantizar la ejecución adecuada de todas las actividades constructivas requeridas para la materialización de la infraestructura.</w:t>
      </w:r>
    </w:p>
    <w:p w14:paraId="61C87899" w14:textId="77777777" w:rsidR="00C53E79" w:rsidRDefault="00C53E79" w:rsidP="00C53E79">
      <w:pPr>
        <w:ind w:left="113" w:right="136"/>
        <w:jc w:val="both"/>
        <w:rPr>
          <w:rFonts w:ascii="Arial Narrow" w:eastAsia="Arial Narrow" w:hAnsi="Arial Narrow" w:cs="Arial Narrow"/>
          <w:bCs/>
        </w:rPr>
      </w:pPr>
    </w:p>
    <w:p w14:paraId="48C2BD50" w14:textId="66659315" w:rsidR="00A24EE9" w:rsidRPr="00C53E79" w:rsidRDefault="00000000" w:rsidP="00C53E79">
      <w:pPr>
        <w:ind w:left="113" w:right="136"/>
        <w:jc w:val="both"/>
        <w:rPr>
          <w:rFonts w:ascii="Arial Narrow" w:eastAsia="Arial Narrow" w:hAnsi="Arial Narrow" w:cs="Arial Narrow"/>
          <w:bCs/>
        </w:rPr>
      </w:pPr>
      <w:r w:rsidRPr="00C53E79">
        <w:rPr>
          <w:rFonts w:ascii="Arial Narrow" w:eastAsia="Arial Narrow" w:hAnsi="Arial Narrow" w:cs="Arial Narrow"/>
          <w:bCs/>
        </w:rPr>
        <w:t>La actualización incluye la verificación del cumplimiento de la normativa de construcción vigente de todos los productos que forman parte de los estudios y diseños, y de los que sean adelantados por el contratista de obra como complemento.</w:t>
      </w:r>
    </w:p>
    <w:p w14:paraId="19EBB2A3" w14:textId="77777777" w:rsidR="00C53E79" w:rsidRDefault="00C53E79" w:rsidP="00C53E79">
      <w:pPr>
        <w:ind w:left="113" w:right="136"/>
        <w:jc w:val="both"/>
        <w:rPr>
          <w:rFonts w:ascii="Arial Narrow" w:eastAsia="Arial Narrow" w:hAnsi="Arial Narrow" w:cs="Arial Narrow"/>
          <w:bCs/>
        </w:rPr>
      </w:pPr>
    </w:p>
    <w:p w14:paraId="71E58F8F" w14:textId="02354C7C" w:rsidR="00A24EE9" w:rsidRPr="00C53E79" w:rsidRDefault="00000000" w:rsidP="00C53E79">
      <w:pPr>
        <w:ind w:left="113" w:right="136"/>
        <w:jc w:val="both"/>
        <w:rPr>
          <w:rFonts w:ascii="Arial Narrow" w:eastAsia="Arial Narrow" w:hAnsi="Arial Narrow" w:cs="Arial Narrow"/>
          <w:bCs/>
        </w:rPr>
      </w:pPr>
      <w:r w:rsidRPr="00C53E79">
        <w:rPr>
          <w:rFonts w:ascii="Arial Narrow" w:eastAsia="Arial Narrow" w:hAnsi="Arial Narrow" w:cs="Arial Narrow"/>
          <w:bCs/>
        </w:rPr>
        <w:t xml:space="preserve">Los estudios y diseños no podrán sufrir cambios significativos en el dimensionamiento, tipo de materiales, estructuras </w:t>
      </w:r>
      <w:r w:rsidR="00F7527A">
        <w:rPr>
          <w:rFonts w:ascii="Arial Narrow" w:eastAsia="Arial Narrow" w:hAnsi="Arial Narrow" w:cs="Arial Narrow"/>
          <w:bCs/>
        </w:rPr>
        <w:t>pavimento</w:t>
      </w:r>
      <w:r w:rsidRPr="00C53E79">
        <w:rPr>
          <w:rFonts w:ascii="Arial Narrow" w:eastAsia="Arial Narrow" w:hAnsi="Arial Narrow" w:cs="Arial Narrow"/>
          <w:bCs/>
        </w:rPr>
        <w:t>,</w:t>
      </w:r>
      <w:r w:rsidR="00F7527A">
        <w:rPr>
          <w:rFonts w:ascii="Arial Narrow" w:eastAsia="Arial Narrow" w:hAnsi="Arial Narrow" w:cs="Arial Narrow"/>
          <w:bCs/>
        </w:rPr>
        <w:t xml:space="preserve"> diseños geométricos, diseños de drenajes,</w:t>
      </w:r>
      <w:r w:rsidRPr="00C53E79">
        <w:rPr>
          <w:rFonts w:ascii="Arial Narrow" w:eastAsia="Arial Narrow" w:hAnsi="Arial Narrow" w:cs="Arial Narrow"/>
          <w:bCs/>
        </w:rPr>
        <w:t xml:space="preserve"> salvo la excepción de situaciones en dónde los diseños existentes no cubran con los requisitos </w:t>
      </w:r>
      <w:r w:rsidR="00F7527A">
        <w:rPr>
          <w:rFonts w:ascii="Arial Narrow" w:eastAsia="Arial Narrow" w:hAnsi="Arial Narrow" w:cs="Arial Narrow"/>
          <w:bCs/>
        </w:rPr>
        <w:t>técnicos requeridos por la normatividad vigente</w:t>
      </w:r>
      <w:r w:rsidRPr="00C53E79">
        <w:rPr>
          <w:rFonts w:ascii="Arial Narrow" w:eastAsia="Arial Narrow" w:hAnsi="Arial Narrow" w:cs="Arial Narrow"/>
          <w:bCs/>
        </w:rPr>
        <w:t>. En todo caso ningún ajuste y/o complementación y/o actualización podrá suponer una mejora económica de los precios ofertados por el contratista en su fase de selección o una desmejora en las especificaciones técnicas del proyecto.</w:t>
      </w:r>
    </w:p>
    <w:p w14:paraId="2535D5F7" w14:textId="77777777" w:rsidR="00C53E79" w:rsidRDefault="00C53E79" w:rsidP="00C53E79">
      <w:pPr>
        <w:ind w:left="113" w:right="136"/>
        <w:jc w:val="both"/>
        <w:rPr>
          <w:rFonts w:ascii="Arial Narrow" w:eastAsia="Arial Narrow" w:hAnsi="Arial Narrow" w:cs="Arial Narrow"/>
          <w:bCs/>
        </w:rPr>
      </w:pPr>
    </w:p>
    <w:p w14:paraId="0EC15790" w14:textId="5ADC0DB4" w:rsidR="00A24EE9" w:rsidRPr="00C53E79" w:rsidRDefault="00000000" w:rsidP="00C53E79">
      <w:pPr>
        <w:ind w:left="113" w:right="136"/>
        <w:jc w:val="both"/>
        <w:rPr>
          <w:rFonts w:ascii="Arial Narrow" w:eastAsia="Arial Narrow" w:hAnsi="Arial Narrow" w:cs="Arial Narrow"/>
          <w:bCs/>
        </w:rPr>
      </w:pPr>
      <w:r w:rsidRPr="00C53E79">
        <w:rPr>
          <w:rFonts w:ascii="Arial Narrow" w:eastAsia="Arial Narrow" w:hAnsi="Arial Narrow" w:cs="Arial Narrow"/>
          <w:bCs/>
        </w:rPr>
        <w:t>En caso de que se presenten controversias entre la Aerocivil y el Contratista de Obra durante la Etapa de Preconstrucción respecto de las actividades de revisión,</w:t>
      </w:r>
      <w:r w:rsidR="00F7527A">
        <w:rPr>
          <w:rFonts w:ascii="Arial Narrow" w:eastAsia="Arial Narrow" w:hAnsi="Arial Narrow" w:cs="Arial Narrow"/>
          <w:bCs/>
        </w:rPr>
        <w:t xml:space="preserve"> verificación</w:t>
      </w:r>
      <w:r w:rsidRPr="00C53E79">
        <w:rPr>
          <w:rFonts w:ascii="Arial Narrow" w:eastAsia="Arial Narrow" w:hAnsi="Arial Narrow" w:cs="Arial Narrow"/>
          <w:bCs/>
        </w:rPr>
        <w:t xml:space="preserve"> ajuste, actualización</w:t>
      </w:r>
      <w:r w:rsidR="00F7527A">
        <w:rPr>
          <w:rFonts w:ascii="Arial Narrow" w:eastAsia="Arial Narrow" w:hAnsi="Arial Narrow" w:cs="Arial Narrow"/>
          <w:bCs/>
        </w:rPr>
        <w:t>, complementación</w:t>
      </w:r>
      <w:r w:rsidRPr="00C53E79">
        <w:rPr>
          <w:rFonts w:ascii="Arial Narrow" w:eastAsia="Arial Narrow" w:hAnsi="Arial Narrow" w:cs="Arial Narrow"/>
          <w:bCs/>
        </w:rPr>
        <w:t xml:space="preserve"> y/o modificaciones de los estudios y diseños suministrados por la Entidad y ante la imposibilidad absoluta del Contratista de apropiarlos para la construcción o la imposibilidad de apropiación de uno o más componentes, se seguirán las siguientes reglas:</w:t>
      </w:r>
    </w:p>
    <w:p w14:paraId="419C4659" w14:textId="77777777" w:rsidR="00C53E79" w:rsidRDefault="00C53E79" w:rsidP="00C53E79">
      <w:pPr>
        <w:ind w:left="113" w:right="136"/>
        <w:jc w:val="both"/>
        <w:rPr>
          <w:rFonts w:ascii="Arial Narrow" w:eastAsia="Arial Narrow" w:hAnsi="Arial Narrow" w:cs="Arial Narrow"/>
          <w:bCs/>
        </w:rPr>
      </w:pPr>
    </w:p>
    <w:p w14:paraId="2A48F778" w14:textId="51C5A3E6" w:rsidR="00A24EE9" w:rsidRPr="00C53E79" w:rsidRDefault="00000000" w:rsidP="00C53E79">
      <w:pPr>
        <w:pStyle w:val="Prrafodelista"/>
        <w:numPr>
          <w:ilvl w:val="0"/>
          <w:numId w:val="9"/>
        </w:numPr>
        <w:ind w:right="136"/>
        <w:rPr>
          <w:rFonts w:ascii="Arial Narrow" w:eastAsia="Arial Narrow" w:hAnsi="Arial Narrow" w:cs="Arial Narrow"/>
          <w:bCs/>
        </w:rPr>
      </w:pPr>
      <w:r w:rsidRPr="00C53E79">
        <w:rPr>
          <w:rFonts w:ascii="Arial Narrow" w:eastAsia="Arial Narrow" w:hAnsi="Arial Narrow" w:cs="Arial Narrow"/>
          <w:bCs/>
        </w:rPr>
        <w:lastRenderedPageBreak/>
        <w:t>El contratista de obra informará a la interventoría antes de transcurrido el cincuenta (50%) del plazo total de la etapa de preconstrucción, las razones técnicas de la no apropiación de los estudios y diseños suministrados por la Entidad, así como el alcance específico que considera debe ser ajustado, complementado y/o corregido.</w:t>
      </w:r>
    </w:p>
    <w:p w14:paraId="4C4A8D5C" w14:textId="77777777" w:rsidR="00A24EE9" w:rsidRPr="00C53E79" w:rsidRDefault="00A24EE9" w:rsidP="00C53E79">
      <w:pPr>
        <w:ind w:left="113" w:right="136"/>
        <w:jc w:val="both"/>
        <w:rPr>
          <w:rFonts w:ascii="Arial Narrow" w:eastAsia="Arial Narrow" w:hAnsi="Arial Narrow" w:cs="Arial Narrow"/>
          <w:bCs/>
        </w:rPr>
      </w:pPr>
    </w:p>
    <w:p w14:paraId="0A463E52" w14:textId="77777777" w:rsidR="00F7527A" w:rsidRDefault="00000000" w:rsidP="00F7527A">
      <w:pPr>
        <w:pStyle w:val="Prrafodelista"/>
        <w:numPr>
          <w:ilvl w:val="0"/>
          <w:numId w:val="9"/>
        </w:numPr>
        <w:ind w:right="136"/>
        <w:rPr>
          <w:rFonts w:ascii="Arial Narrow" w:eastAsia="Arial Narrow" w:hAnsi="Arial Narrow" w:cs="Arial Narrow"/>
          <w:bCs/>
        </w:rPr>
      </w:pPr>
      <w:r w:rsidRPr="00C53E79">
        <w:rPr>
          <w:rFonts w:ascii="Arial Narrow" w:eastAsia="Arial Narrow" w:hAnsi="Arial Narrow" w:cs="Arial Narrow"/>
          <w:bCs/>
        </w:rPr>
        <w:t>La interventoría realizará el análisis del informe suministrado por el Contratista en un plazo no mayor a cinco (5) días hábiles y presentará a la Entidad un informe técnico sustentado donde emita su concepto, indicando si aprueba o no la propuesta y/o lo manifestado por el Contratista de Obra frente a los entregables objetados.</w:t>
      </w:r>
    </w:p>
    <w:p w14:paraId="43D19493" w14:textId="77777777" w:rsidR="00F7527A" w:rsidRPr="00F7527A" w:rsidRDefault="00F7527A" w:rsidP="00F7527A">
      <w:pPr>
        <w:pStyle w:val="Prrafodelista"/>
        <w:rPr>
          <w:rFonts w:ascii="Arial Narrow" w:eastAsia="Arial Narrow" w:hAnsi="Arial Narrow" w:cs="Arial Narrow"/>
          <w:bCs/>
        </w:rPr>
      </w:pPr>
    </w:p>
    <w:p w14:paraId="7BCD8CC0" w14:textId="77FD7D90" w:rsidR="00A24EE9" w:rsidRPr="00F7527A" w:rsidRDefault="00F7527A" w:rsidP="00F7527A">
      <w:pPr>
        <w:pStyle w:val="Prrafodelista"/>
        <w:numPr>
          <w:ilvl w:val="0"/>
          <w:numId w:val="9"/>
        </w:numPr>
        <w:ind w:right="136"/>
        <w:rPr>
          <w:rFonts w:ascii="Arial Narrow" w:eastAsia="Arial Narrow" w:hAnsi="Arial Narrow" w:cs="Arial Narrow"/>
          <w:bCs/>
        </w:rPr>
      </w:pPr>
      <w:r>
        <w:rPr>
          <w:rFonts w:ascii="Arial Narrow" w:eastAsia="Arial Narrow" w:hAnsi="Arial Narrow" w:cs="Arial Narrow"/>
          <w:bCs/>
        </w:rPr>
        <w:t>R</w:t>
      </w:r>
      <w:r w:rsidRPr="00F7527A">
        <w:rPr>
          <w:rFonts w:ascii="Arial Narrow" w:eastAsia="Arial Narrow" w:hAnsi="Arial Narrow" w:cs="Arial Narrow"/>
          <w:bCs/>
        </w:rPr>
        <w:t xml:space="preserve">ecibido el Informe de la Interventoría del contrato de obra, la Entidad realizará dentro de los días (2) hábiles siguientes una solicitud formal tanto al Consultor de los Estudios y Diseños suministrados como referencia, como a la Interventoría de aquél, con el fin de que tanto el mencionado consultor, como su interventor, respondan y subsanen cada una de las observaciones realizadas correspondientes a yerros técnicos, deficiencias u omisiones de los Estudios y Diseños. Lo anterior de conformidad con lo establecido en la Ley 842 de 2003 </w:t>
      </w:r>
    </w:p>
    <w:p w14:paraId="60592604" w14:textId="77777777" w:rsidR="00F7527A" w:rsidRPr="00F7527A" w:rsidRDefault="00F7527A" w:rsidP="00F7527A">
      <w:pPr>
        <w:pStyle w:val="Prrafodelista"/>
        <w:rPr>
          <w:rFonts w:ascii="Arial Narrow" w:eastAsia="Arial Narrow" w:hAnsi="Arial Narrow" w:cs="Arial Narrow"/>
          <w:bCs/>
        </w:rPr>
      </w:pPr>
    </w:p>
    <w:p w14:paraId="179D95AB" w14:textId="7C5A608E" w:rsidR="00A24EE9" w:rsidRPr="00C53E79" w:rsidRDefault="00000000" w:rsidP="00C53E79">
      <w:pPr>
        <w:pStyle w:val="Prrafodelista"/>
        <w:numPr>
          <w:ilvl w:val="0"/>
          <w:numId w:val="9"/>
        </w:numPr>
        <w:ind w:right="136"/>
        <w:rPr>
          <w:rFonts w:ascii="Arial Narrow" w:eastAsia="Arial Narrow" w:hAnsi="Arial Narrow" w:cs="Arial Narrow"/>
          <w:bCs/>
        </w:rPr>
      </w:pPr>
      <w:r w:rsidRPr="00C53E79">
        <w:rPr>
          <w:rFonts w:ascii="Arial Narrow" w:eastAsia="Arial Narrow" w:hAnsi="Arial Narrow" w:cs="Arial Narrow"/>
          <w:bCs/>
        </w:rPr>
        <w:t>Para el efecto, la Entidad a través del supervisor del contrato de interventoría de la consultoría concederá un término preclusivo no mayor a diez (10) días hábiles, agotado el cual, y sin recibir respuesta, deberá dar inicio al procedimiento para la efectividad del amparo de calidad citado, con fundamento en las consideraciones técnicas del Contratista de Obra y del Interventor.</w:t>
      </w:r>
    </w:p>
    <w:p w14:paraId="13838B87" w14:textId="77777777" w:rsidR="00A24EE9" w:rsidRPr="00C53E79" w:rsidRDefault="00A24EE9" w:rsidP="00C53E79">
      <w:pPr>
        <w:ind w:left="113" w:right="136"/>
        <w:jc w:val="both"/>
        <w:rPr>
          <w:rFonts w:ascii="Arial Narrow" w:eastAsia="Arial Narrow" w:hAnsi="Arial Narrow" w:cs="Arial Narrow"/>
          <w:bCs/>
        </w:rPr>
      </w:pPr>
    </w:p>
    <w:p w14:paraId="388C7BAE" w14:textId="58FA7669" w:rsidR="00A24EE9" w:rsidRPr="00C53E79" w:rsidRDefault="00000000" w:rsidP="00C53E79">
      <w:pPr>
        <w:pStyle w:val="Prrafodelista"/>
        <w:numPr>
          <w:ilvl w:val="0"/>
          <w:numId w:val="9"/>
        </w:numPr>
        <w:ind w:right="136"/>
        <w:rPr>
          <w:rFonts w:ascii="Arial Narrow" w:eastAsia="Arial Narrow" w:hAnsi="Arial Narrow" w:cs="Arial Narrow"/>
          <w:bCs/>
        </w:rPr>
      </w:pPr>
      <w:r w:rsidRPr="00C53E79">
        <w:rPr>
          <w:rFonts w:ascii="Arial Narrow" w:eastAsia="Arial Narrow" w:hAnsi="Arial Narrow" w:cs="Arial Narrow"/>
          <w:bCs/>
        </w:rPr>
        <w:t>Si tras la revisión del Contratista Consultor y la Interventoría de aquél se presenta una controversia que no permita a la Entidad definir si se aceptan o no las observaciones presentadas por el Contratista de Obra y avaladas por la Interventoría de éste, de acuerdo con lo establecido por la Ley 1682 de 2013, la Entidad, en uso de los mecanismos alternativos de solución de conflictos, solicitará la intervención de un tercero imparcial y con idoneidad técnica</w:t>
      </w:r>
      <w:r w:rsidR="00512CE2">
        <w:rPr>
          <w:rFonts w:ascii="Arial Narrow" w:eastAsia="Arial Narrow" w:hAnsi="Arial Narrow" w:cs="Arial Narrow"/>
          <w:bCs/>
        </w:rPr>
        <w:t>1</w:t>
      </w:r>
      <w:r w:rsidRPr="00C53E79">
        <w:rPr>
          <w:rFonts w:ascii="Arial Narrow" w:eastAsia="Arial Narrow" w:hAnsi="Arial Narrow" w:cs="Arial Narrow"/>
          <w:bCs/>
        </w:rPr>
        <w:t xml:space="preserve"> para dirimir la controversia presentada, que permita establecer la viabilidad de los entregables de los estudios y diseños de referencia objetados o la pertinencia y viabilidad de la propuesta presentada por el Contratista de obra. El tercero designado por la entidad será reconocido por el Contratista de Obra como el idóneo para llevar a cabo el análisis solicitado en un término no mayor a quince (15) días hábiles y las partes reconocen que se someterán a las conclusiones que arroje la revisión, de manera que no se paralice el cumplimiento de la finalidad pública a satisfacer. La remuneración por los honorarios del tercero imparcial y con idoneidad técnica se asumirán por el Contratista. Si el tercero imparcial y con idoneidad técnica diera la razón a la Parte que inició la controversia, la otra Parte deberá reembolsar la totalidad del valor pagado por ésta al inicio de la controversia. En el evento en que sus solicitudes fueran atendidas parcialmente, cada una de las Partes asumirá el cincuenta (50%) del valor. El reembolso deberá hacerse dentro de los treinta (30) días siguientes a la decisión del tercero imparcial y con idoneidad técnica.</w:t>
      </w:r>
    </w:p>
    <w:p w14:paraId="0071A08D" w14:textId="77777777" w:rsidR="00A24EE9" w:rsidRPr="00C53E79" w:rsidRDefault="00A24EE9" w:rsidP="00C53E79">
      <w:pPr>
        <w:ind w:left="113" w:right="136"/>
        <w:jc w:val="both"/>
        <w:rPr>
          <w:rFonts w:ascii="Arial Narrow" w:eastAsia="Arial Narrow" w:hAnsi="Arial Narrow" w:cs="Arial Narrow"/>
          <w:bCs/>
        </w:rPr>
      </w:pPr>
    </w:p>
    <w:p w14:paraId="2228E8A3" w14:textId="7F084F78" w:rsidR="00A24EE9" w:rsidRPr="00C53E79" w:rsidRDefault="00000000" w:rsidP="00C53E79">
      <w:pPr>
        <w:pStyle w:val="Prrafodelista"/>
        <w:numPr>
          <w:ilvl w:val="0"/>
          <w:numId w:val="9"/>
        </w:numPr>
        <w:ind w:right="136"/>
        <w:rPr>
          <w:rFonts w:ascii="Arial Narrow" w:eastAsia="Arial Narrow" w:hAnsi="Arial Narrow" w:cs="Arial Narrow"/>
          <w:bCs/>
        </w:rPr>
      </w:pPr>
      <w:r w:rsidRPr="00C53E79">
        <w:rPr>
          <w:rFonts w:ascii="Arial Narrow" w:eastAsia="Arial Narrow" w:hAnsi="Arial Narrow" w:cs="Arial Narrow"/>
          <w:bCs/>
        </w:rPr>
        <w:t>En el evento que el resultado entregado por el tercero idóneo implique la aceptación de la modificación propuesta por el Contratista de Obra, para continuar con la etapa de construcción y en el caso que la implementación de las modificaciones, ajustes y/o correcciones planteadas a los estudios y diseños alteren el valor del contrato:</w:t>
      </w:r>
    </w:p>
    <w:p w14:paraId="16717D86" w14:textId="77777777" w:rsidR="00A24EE9" w:rsidRPr="00C53E79" w:rsidRDefault="00A24EE9" w:rsidP="00C53E79">
      <w:pPr>
        <w:ind w:left="113" w:right="136"/>
        <w:jc w:val="both"/>
        <w:rPr>
          <w:rFonts w:ascii="Arial Narrow" w:eastAsia="Arial Narrow" w:hAnsi="Arial Narrow" w:cs="Arial Narrow"/>
          <w:bCs/>
        </w:rPr>
      </w:pPr>
    </w:p>
    <w:p w14:paraId="1AE94786" w14:textId="617B1293" w:rsidR="00A24EE9" w:rsidRDefault="00000000" w:rsidP="00C53E79">
      <w:pPr>
        <w:pStyle w:val="Prrafodelista"/>
        <w:numPr>
          <w:ilvl w:val="0"/>
          <w:numId w:val="11"/>
        </w:numPr>
        <w:ind w:right="136"/>
        <w:rPr>
          <w:rFonts w:ascii="Arial Narrow" w:eastAsia="Arial Narrow" w:hAnsi="Arial Narrow" w:cs="Arial Narrow"/>
          <w:bCs/>
        </w:rPr>
      </w:pPr>
      <w:r w:rsidRPr="00C53E79">
        <w:rPr>
          <w:rFonts w:ascii="Arial Narrow" w:eastAsia="Arial Narrow" w:hAnsi="Arial Narrow" w:cs="Arial Narrow"/>
          <w:bCs/>
        </w:rPr>
        <w:t>La Aerocivil dispondrá de ser posible los recursos que sean requeridos para dar continuidad al proyecto, en uso de las potestades excepcionales de la entidad (art. 14 ley 80 de 1993) y/o restablecimiento del equilibrio económico (art. 5 ley 80 de 1993), según sea el caso, con la respectiva justificación.</w:t>
      </w:r>
    </w:p>
    <w:p w14:paraId="2623897A" w14:textId="77777777" w:rsidR="00C53E79" w:rsidRPr="00C53E79" w:rsidRDefault="00000000" w:rsidP="00C53E79">
      <w:pPr>
        <w:pStyle w:val="Prrafodelista"/>
        <w:numPr>
          <w:ilvl w:val="0"/>
          <w:numId w:val="11"/>
        </w:numPr>
        <w:ind w:right="136"/>
        <w:rPr>
          <w:rFonts w:ascii="Arial Narrow" w:eastAsia="Arial Narrow" w:hAnsi="Arial Narrow" w:cs="Arial Narrow"/>
          <w:bCs/>
        </w:rPr>
      </w:pPr>
      <w:r w:rsidRPr="00C53E79">
        <w:rPr>
          <w:rFonts w:ascii="Arial Narrow" w:eastAsia="Arial Narrow" w:hAnsi="Arial Narrow" w:cs="Arial Narrow"/>
          <w:bCs/>
        </w:rPr>
        <w:t>En el evento de no contar con recursos adicionales para poner a disposición del Contrato de Obra y de Interventoría, terminarán de forma automática por la imposibilidad de ejecutar los respectivos objetos</w:t>
      </w:r>
      <w:r w:rsidR="00C53E79" w:rsidRPr="00C53E79">
        <w:rPr>
          <w:rFonts w:ascii="Arial Narrow" w:eastAsia="Arial Narrow" w:hAnsi="Arial Narrow" w:cs="Arial Narrow"/>
          <w:bCs/>
        </w:rPr>
        <w:t xml:space="preserve"> contractuales (los Contratos de Obra e interventoría), con el reconocimiento de los valores causados a la fecha de adoptar esa decisión determinados en la liquidación de los respectivos contratos y, en consecuencia:</w:t>
      </w:r>
    </w:p>
    <w:p w14:paraId="1B916346" w14:textId="77777777" w:rsidR="00C53E79" w:rsidRDefault="00C53E79" w:rsidP="00C53E79">
      <w:pPr>
        <w:ind w:left="113" w:right="136"/>
        <w:jc w:val="both"/>
        <w:rPr>
          <w:rFonts w:ascii="Arial Narrow" w:eastAsia="Arial Narrow" w:hAnsi="Arial Narrow" w:cs="Arial Narrow"/>
          <w:bCs/>
        </w:rPr>
      </w:pPr>
    </w:p>
    <w:p w14:paraId="1F07BF01" w14:textId="20E7E9CA" w:rsidR="00A24EE9" w:rsidRPr="00C53E79" w:rsidRDefault="00C53E79" w:rsidP="00C53E79">
      <w:pPr>
        <w:ind w:left="113" w:right="136"/>
        <w:jc w:val="both"/>
        <w:rPr>
          <w:rFonts w:ascii="Arial Narrow" w:eastAsia="Arial Narrow" w:hAnsi="Arial Narrow" w:cs="Arial Narrow"/>
          <w:bCs/>
          <w:sz w:val="18"/>
          <w:szCs w:val="18"/>
        </w:rPr>
      </w:pPr>
      <w:r w:rsidRPr="00C53E79">
        <w:rPr>
          <w:rFonts w:ascii="Arial Narrow" w:eastAsia="Arial Narrow" w:hAnsi="Arial Narrow" w:cs="Arial Narrow"/>
          <w:bCs/>
          <w:noProof/>
        </w:rPr>
        <mc:AlternateContent>
          <mc:Choice Requires="wps">
            <w:drawing>
              <wp:anchor distT="0" distB="0" distL="0" distR="0" simplePos="0" relativeHeight="251657728" behindDoc="1" locked="0" layoutInCell="1" allowOverlap="1" wp14:anchorId="5B98CBBE" wp14:editId="4DEFE9A8">
                <wp:simplePos x="0" y="0"/>
                <wp:positionH relativeFrom="page">
                  <wp:posOffset>871220</wp:posOffset>
                </wp:positionH>
                <wp:positionV relativeFrom="paragraph">
                  <wp:posOffset>73660</wp:posOffset>
                </wp:positionV>
                <wp:extent cx="1828800" cy="8890"/>
                <wp:effectExtent l="0" t="0" r="0" b="0"/>
                <wp:wrapTopAndBottom/>
                <wp:docPr id="82872744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7B96171" id="Rectangle 2" o:spid="_x0000_s1026" style="position:absolute;margin-left:68.6pt;margin-top:5.8pt;width:2in;height:.7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" fillcolor="black" stroked="f">
                <w10:wrap type="topAndBottom" anchorx="page"/>
              </v:rect>
            </w:pict>
          </mc:Fallback>
        </mc:AlternateContent>
      </w:r>
      <w:r w:rsidRPr="00C53E79">
        <w:rPr>
          <w:rFonts w:ascii="Arial Narrow" w:eastAsia="Arial Narrow" w:hAnsi="Arial Narrow" w:cs="Arial Narrow"/>
          <w:bCs/>
          <w:sz w:val="18"/>
          <w:szCs w:val="18"/>
        </w:rPr>
        <w:t>1 entiéndase como idoneidad técnica que cumpla con lo establecido en el TITULO IV. “REVISION DE LOS DISEÑOS”. ARTICULO 17. “IDONEIDAD DEL REVISOR DE LOS DISEÑOS” y en el CAPITULO III. “REVISORES DE DISEÑOS” de la Ley 400 del 19 de agosto</w:t>
      </w:r>
    </w:p>
    <w:p w14:paraId="073752E9" w14:textId="77777777" w:rsidR="00A24EE9" w:rsidRPr="00C53E79" w:rsidRDefault="00000000" w:rsidP="00C53E79">
      <w:pPr>
        <w:ind w:left="113" w:right="136"/>
        <w:jc w:val="both"/>
        <w:rPr>
          <w:rFonts w:ascii="Arial Narrow" w:eastAsia="Arial Narrow" w:hAnsi="Arial Narrow" w:cs="Arial Narrow"/>
          <w:bCs/>
          <w:sz w:val="18"/>
          <w:szCs w:val="18"/>
        </w:rPr>
      </w:pPr>
      <w:r w:rsidRPr="00C53E79">
        <w:rPr>
          <w:rFonts w:ascii="Arial Narrow" w:eastAsia="Arial Narrow" w:hAnsi="Arial Narrow" w:cs="Arial Narrow"/>
          <w:bCs/>
          <w:sz w:val="18"/>
          <w:szCs w:val="18"/>
        </w:rPr>
        <w:lastRenderedPageBreak/>
        <w:t>de 1997, aplicable a todas las especialidades que sean requeridas.</w:t>
      </w:r>
    </w:p>
    <w:p w14:paraId="70745FB0" w14:textId="77777777" w:rsidR="00A24EE9" w:rsidRPr="00C53E79" w:rsidRDefault="00A24EE9" w:rsidP="00C53E79">
      <w:pPr>
        <w:ind w:left="113" w:right="136"/>
        <w:jc w:val="both"/>
        <w:rPr>
          <w:rFonts w:ascii="Arial Narrow" w:eastAsia="Arial Narrow" w:hAnsi="Arial Narrow" w:cs="Arial Narrow"/>
          <w:bCs/>
        </w:rPr>
        <w:sectPr w:rsidR="00A24EE9" w:rsidRPr="00C53E79" w:rsidSect="00C53E79">
          <w:headerReference w:type="default" r:id="rId7"/>
          <w:pgSz w:w="12240" w:h="15840"/>
          <w:pgMar w:top="2761" w:right="1134" w:bottom="1077" w:left="1134" w:header="714" w:footer="0" w:gutter="0"/>
          <w:cols w:space="720"/>
        </w:sectPr>
      </w:pPr>
    </w:p>
    <w:p w14:paraId="3B87DD7C" w14:textId="77777777" w:rsidR="00A24EE9" w:rsidRPr="00C53E79" w:rsidRDefault="00A24EE9" w:rsidP="00C53E79">
      <w:pPr>
        <w:ind w:left="113" w:right="136"/>
        <w:jc w:val="both"/>
        <w:rPr>
          <w:rFonts w:ascii="Arial Narrow" w:eastAsia="Arial Narrow" w:hAnsi="Arial Narrow" w:cs="Arial Narrow"/>
          <w:bCs/>
        </w:rPr>
      </w:pPr>
    </w:p>
    <w:p w14:paraId="0C50AD55" w14:textId="77777777" w:rsidR="00A24EE9" w:rsidRPr="00C53E79" w:rsidRDefault="00A24EE9" w:rsidP="00C53E79">
      <w:pPr>
        <w:ind w:left="113" w:right="136"/>
        <w:jc w:val="both"/>
        <w:rPr>
          <w:rFonts w:ascii="Arial Narrow" w:eastAsia="Arial Narrow" w:hAnsi="Arial Narrow" w:cs="Arial Narrow"/>
          <w:bCs/>
        </w:rPr>
      </w:pPr>
    </w:p>
    <w:p w14:paraId="0E1658F1" w14:textId="77777777" w:rsidR="00A24EE9" w:rsidRPr="00C53E79" w:rsidRDefault="00000000" w:rsidP="00C53E79">
      <w:pPr>
        <w:pStyle w:val="Prrafodelista"/>
        <w:numPr>
          <w:ilvl w:val="0"/>
          <w:numId w:val="7"/>
        </w:numPr>
        <w:ind w:right="136"/>
        <w:rPr>
          <w:rFonts w:ascii="Arial Narrow" w:eastAsia="Arial Narrow" w:hAnsi="Arial Narrow" w:cs="Arial Narrow"/>
          <w:bCs/>
        </w:rPr>
      </w:pPr>
      <w:r w:rsidRPr="00C53E79">
        <w:rPr>
          <w:rFonts w:ascii="Arial Narrow" w:eastAsia="Arial Narrow" w:hAnsi="Arial Narrow" w:cs="Arial Narrow"/>
          <w:bCs/>
        </w:rPr>
        <w:t>Los contratistas no podrán adelantar reclamación administrativa y/o judicial alguna contra la Aerocivil.</w:t>
      </w:r>
    </w:p>
    <w:p w14:paraId="0A5EDED6" w14:textId="77777777" w:rsidR="00A24EE9" w:rsidRPr="00C53E79" w:rsidRDefault="00000000" w:rsidP="00C53E79">
      <w:pPr>
        <w:pStyle w:val="Prrafodelista"/>
        <w:numPr>
          <w:ilvl w:val="0"/>
          <w:numId w:val="7"/>
        </w:numPr>
        <w:ind w:right="136"/>
        <w:rPr>
          <w:rFonts w:ascii="Arial Narrow" w:eastAsia="Arial Narrow" w:hAnsi="Arial Narrow" w:cs="Arial Narrow"/>
          <w:bCs/>
        </w:rPr>
      </w:pPr>
      <w:r w:rsidRPr="00C53E79">
        <w:rPr>
          <w:rFonts w:ascii="Arial Narrow" w:eastAsia="Arial Narrow" w:hAnsi="Arial Narrow" w:cs="Arial Narrow"/>
          <w:bCs/>
        </w:rPr>
        <w:t>Dar aplicación a la asignación de riesgos establecida en la matriz de riesgos del proceso. Matriz que fue puesta en conocimiento del contratista de obra desde la etapa precontractual y socializada en la audiencia de la matriz de riesgos.</w:t>
      </w:r>
    </w:p>
    <w:p w14:paraId="74975D94" w14:textId="77777777" w:rsidR="00A24EE9" w:rsidRPr="00C53E79" w:rsidRDefault="00A24EE9" w:rsidP="00C53E79">
      <w:pPr>
        <w:ind w:left="113" w:right="136"/>
        <w:jc w:val="both"/>
        <w:rPr>
          <w:rFonts w:ascii="Arial Narrow" w:eastAsia="Arial Narrow" w:hAnsi="Arial Narrow" w:cs="Arial Narrow"/>
          <w:bCs/>
        </w:rPr>
      </w:pPr>
    </w:p>
    <w:p w14:paraId="6DEDEC8D" w14:textId="77777777" w:rsidR="00A24EE9" w:rsidRPr="00C53E79" w:rsidRDefault="00000000" w:rsidP="00C53E79">
      <w:pPr>
        <w:ind w:left="113" w:right="136"/>
        <w:jc w:val="both"/>
        <w:rPr>
          <w:rFonts w:ascii="Arial Narrow" w:eastAsia="Arial Narrow" w:hAnsi="Arial Narrow" w:cs="Arial Narrow"/>
          <w:bCs/>
        </w:rPr>
      </w:pPr>
      <w:r w:rsidRPr="00C53E79">
        <w:rPr>
          <w:rFonts w:ascii="Arial Narrow" w:eastAsia="Arial Narrow" w:hAnsi="Arial Narrow" w:cs="Arial Narrow"/>
          <w:bCs/>
        </w:rPr>
        <w:t>En el evento en que el resultado entregado por el tercero idóneo implique la NO aceptación de la modificación propuesta por el Contratista de Obra, éste se obliga a apropiar los estudios y diseños y continuar con la ejecución del negocio jurídico en los términos inicialmente pactados, acorde con los documentos puestos en conocimiento del contratista desde la etapa precontractual y las obligaciones establecidas en los documentos contractuales.</w:t>
      </w:r>
    </w:p>
    <w:sectPr w:rsidR="00A24EE9" w:rsidRPr="00C53E79">
      <w:pgSz w:w="12240" w:h="15840"/>
      <w:pgMar w:top="2760" w:right="900" w:bottom="280" w:left="880" w:header="71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02130" w14:textId="77777777" w:rsidR="00F902D9" w:rsidRDefault="00F902D9">
      <w:r>
        <w:separator/>
      </w:r>
    </w:p>
  </w:endnote>
  <w:endnote w:type="continuationSeparator" w:id="0">
    <w:p w14:paraId="633C5B9A" w14:textId="77777777" w:rsidR="00F902D9" w:rsidRDefault="00F90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ACF60" w14:textId="77777777" w:rsidR="00F902D9" w:rsidRDefault="00F902D9">
      <w:r>
        <w:separator/>
      </w:r>
    </w:p>
  </w:footnote>
  <w:footnote w:type="continuationSeparator" w:id="0">
    <w:p w14:paraId="52CFD4DE" w14:textId="77777777" w:rsidR="00F902D9" w:rsidRDefault="00F90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E0C8" w14:textId="3319B5FC" w:rsidR="00A24EE9" w:rsidRDefault="00FB5131">
    <w:pPr>
      <w:pStyle w:val="Textoindependiente"/>
      <w:spacing w:line="14" w:lineRule="auto"/>
      <w:rPr>
        <w:sz w:val="20"/>
      </w:rPr>
    </w:pPr>
    <w:r>
      <w:rPr>
        <w:noProof/>
      </w:rPr>
      <mc:AlternateContent>
        <mc:Choice Requires="wps">
          <w:drawing>
            <wp:anchor distT="0" distB="0" distL="114300" distR="114300" simplePos="0" relativeHeight="15728640" behindDoc="0" locked="0" layoutInCell="1" allowOverlap="1" wp14:anchorId="1306C4DA" wp14:editId="38B2815E">
              <wp:simplePos x="0" y="0"/>
              <wp:positionH relativeFrom="page">
                <wp:posOffset>643255</wp:posOffset>
              </wp:positionH>
              <wp:positionV relativeFrom="page">
                <wp:posOffset>449580</wp:posOffset>
              </wp:positionV>
              <wp:extent cx="6490335" cy="1316990"/>
              <wp:effectExtent l="0" t="0" r="0" b="0"/>
              <wp:wrapNone/>
              <wp:docPr id="20360585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0335" cy="1316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655"/>
                          </w:tblGrid>
                          <w:tr w:rsidR="00A24EE9" w14:paraId="06376681" w14:textId="77777777">
                            <w:trPr>
                              <w:trHeight w:val="399"/>
                            </w:trPr>
                            <w:tc>
                              <w:tcPr>
                                <w:tcW w:w="2552" w:type="dxa"/>
                                <w:vMerge w:val="restart"/>
                              </w:tcPr>
                              <w:p w14:paraId="08DE514B" w14:textId="77777777" w:rsidR="00A24EE9" w:rsidRDefault="00A24EE9">
                                <w:pPr>
                                  <w:pStyle w:val="TableParagraph"/>
                                  <w:rPr>
                                    <w:rFonts w:ascii="Times New Roman"/>
                                    <w:sz w:val="20"/>
                                  </w:rPr>
                                </w:pPr>
                              </w:p>
                            </w:tc>
                            <w:tc>
                              <w:tcPr>
                                <w:tcW w:w="7655" w:type="dxa"/>
                                <w:shd w:val="clear" w:color="auto" w:fill="BEBEBE"/>
                              </w:tcPr>
                              <w:p w14:paraId="53E152EE" w14:textId="77777777" w:rsidR="00A24EE9" w:rsidRDefault="00000000">
                                <w:pPr>
                                  <w:pStyle w:val="TableParagraph"/>
                                  <w:spacing w:before="53"/>
                                  <w:ind w:left="1135" w:right="1127"/>
                                  <w:jc w:val="center"/>
                                  <w:rPr>
                                    <w:rFonts w:ascii="Calibri"/>
                                    <w:b/>
                                    <w:sz w:val="24"/>
                                  </w:rPr>
                                </w:pPr>
                                <w:r>
                                  <w:rPr>
                                    <w:rFonts w:ascii="Calibri"/>
                                    <w:b/>
                                    <w:sz w:val="24"/>
                                  </w:rPr>
                                  <w:t>FORMATO</w:t>
                                </w:r>
                              </w:p>
                            </w:tc>
                          </w:tr>
                          <w:tr w:rsidR="00A24EE9" w14:paraId="0C0D6F79" w14:textId="77777777">
                            <w:trPr>
                              <w:trHeight w:val="1645"/>
                            </w:trPr>
                            <w:tc>
                              <w:tcPr>
                                <w:tcW w:w="2552" w:type="dxa"/>
                                <w:vMerge/>
                                <w:tcBorders>
                                  <w:top w:val="nil"/>
                                </w:tcBorders>
                              </w:tcPr>
                              <w:p w14:paraId="166427E0" w14:textId="77777777" w:rsidR="00A24EE9" w:rsidRDefault="00A24EE9">
                                <w:pPr>
                                  <w:rPr>
                                    <w:sz w:val="2"/>
                                    <w:szCs w:val="2"/>
                                  </w:rPr>
                                </w:pPr>
                              </w:p>
                            </w:tc>
                            <w:tc>
                              <w:tcPr>
                                <w:tcW w:w="7655" w:type="dxa"/>
                              </w:tcPr>
                              <w:p w14:paraId="1B5A7B05" w14:textId="77777777" w:rsidR="00A24EE9" w:rsidRDefault="00A24EE9">
                                <w:pPr>
                                  <w:pStyle w:val="TableParagraph"/>
                                  <w:rPr>
                                    <w:rFonts w:ascii="Times New Roman"/>
                                    <w:sz w:val="26"/>
                                  </w:rPr>
                                </w:pPr>
                              </w:p>
                              <w:p w14:paraId="792E1C98" w14:textId="77777777" w:rsidR="00A24EE9" w:rsidRDefault="00A24EE9">
                                <w:pPr>
                                  <w:pStyle w:val="TableParagraph"/>
                                  <w:spacing w:before="7"/>
                                  <w:rPr>
                                    <w:rFonts w:ascii="Times New Roman"/>
                                    <w:sz w:val="21"/>
                                  </w:rPr>
                                </w:pPr>
                              </w:p>
                              <w:p w14:paraId="790BF2BE" w14:textId="77777777" w:rsidR="00A24EE9" w:rsidRDefault="00000000">
                                <w:pPr>
                                  <w:pStyle w:val="TableParagraph"/>
                                  <w:ind w:left="1133" w:right="1127"/>
                                  <w:jc w:val="center"/>
                                  <w:rPr>
                                    <w:rFonts w:ascii="Arial"/>
                                    <w:b/>
                                    <w:sz w:val="24"/>
                                  </w:rPr>
                                </w:pPr>
                                <w:r>
                                  <w:rPr>
                                    <w:rFonts w:ascii="Arial"/>
                                    <w:b/>
                                    <w:sz w:val="24"/>
                                  </w:rPr>
                                  <w:t>ANEXO</w:t>
                                </w:r>
                              </w:p>
                              <w:p w14:paraId="5A6C6938" w14:textId="77777777" w:rsidR="00A24EE9" w:rsidRDefault="00000000">
                                <w:pPr>
                                  <w:pStyle w:val="TableParagraph"/>
                                  <w:ind w:left="1200" w:right="1127"/>
                                  <w:jc w:val="center"/>
                                  <w:rPr>
                                    <w:sz w:val="24"/>
                                  </w:rPr>
                                </w:pPr>
                                <w:r>
                                  <w:rPr>
                                    <w:sz w:val="24"/>
                                  </w:rPr>
                                  <w:t>APROPIACIÓN</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ESTUDIOS</w:t>
                                </w:r>
                                <w:r>
                                  <w:rPr>
                                    <w:spacing w:val="-1"/>
                                    <w:sz w:val="24"/>
                                  </w:rPr>
                                  <w:t xml:space="preserve"> </w:t>
                                </w:r>
                                <w:r>
                                  <w:rPr>
                                    <w:sz w:val="24"/>
                                  </w:rPr>
                                  <w:t>Y</w:t>
                                </w:r>
                                <w:r>
                                  <w:rPr>
                                    <w:spacing w:val="-1"/>
                                    <w:sz w:val="24"/>
                                  </w:rPr>
                                  <w:t xml:space="preserve"> </w:t>
                                </w:r>
                                <w:r>
                                  <w:rPr>
                                    <w:sz w:val="24"/>
                                  </w:rPr>
                                  <w:t>DISEÑOS</w:t>
                                </w:r>
                              </w:p>
                            </w:tc>
                          </w:tr>
                        </w:tbl>
                        <w:p w14:paraId="7A7A3E89" w14:textId="77777777" w:rsidR="00A24EE9" w:rsidRDefault="00A24EE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6C4DA" id="_x0000_t202" coordsize="21600,21600" o:spt="202" path="m,l,21600r21600,l21600,xe">
              <v:stroke joinstyle="miter"/>
              <v:path gradientshapeok="t" o:connecttype="rect"/>
            </v:shapetype>
            <v:shape id="Text Box 1" o:spid="_x0000_s1026" type="#_x0000_t202" style="position:absolute;margin-left:50.65pt;margin-top:35.4pt;width:511.05pt;height:103.7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655"/>
                    </w:tblGrid>
                    <w:tr w:rsidR="00A24EE9" w14:paraId="06376681" w14:textId="77777777">
                      <w:trPr>
                        <w:trHeight w:val="399"/>
                      </w:trPr>
                      <w:tc>
                        <w:tcPr>
                          <w:tcW w:w="2552" w:type="dxa"/>
                          <w:vMerge w:val="restart"/>
                        </w:tcPr>
                        <w:p w14:paraId="08DE514B" w14:textId="77777777" w:rsidR="00A24EE9" w:rsidRDefault="00A24EE9">
                          <w:pPr>
                            <w:pStyle w:val="TableParagraph"/>
                            <w:rPr>
                              <w:rFonts w:ascii="Times New Roman"/>
                              <w:sz w:val="20"/>
                            </w:rPr>
                          </w:pPr>
                        </w:p>
                      </w:tc>
                      <w:tc>
                        <w:tcPr>
                          <w:tcW w:w="7655" w:type="dxa"/>
                          <w:shd w:val="clear" w:color="auto" w:fill="BEBEBE"/>
                        </w:tcPr>
                        <w:p w14:paraId="53E152EE" w14:textId="77777777" w:rsidR="00A24EE9" w:rsidRDefault="00000000">
                          <w:pPr>
                            <w:pStyle w:val="TableParagraph"/>
                            <w:spacing w:before="53"/>
                            <w:ind w:left="1135" w:right="1127"/>
                            <w:jc w:val="center"/>
                            <w:rPr>
                              <w:rFonts w:ascii="Calibri"/>
                              <w:b/>
                              <w:sz w:val="24"/>
                            </w:rPr>
                          </w:pPr>
                          <w:r>
                            <w:rPr>
                              <w:rFonts w:ascii="Calibri"/>
                              <w:b/>
                              <w:sz w:val="24"/>
                            </w:rPr>
                            <w:t>FORMATO</w:t>
                          </w:r>
                        </w:p>
                      </w:tc>
                    </w:tr>
                    <w:tr w:rsidR="00A24EE9" w14:paraId="0C0D6F79" w14:textId="77777777">
                      <w:trPr>
                        <w:trHeight w:val="1645"/>
                      </w:trPr>
                      <w:tc>
                        <w:tcPr>
                          <w:tcW w:w="2552" w:type="dxa"/>
                          <w:vMerge/>
                          <w:tcBorders>
                            <w:top w:val="nil"/>
                          </w:tcBorders>
                        </w:tcPr>
                        <w:p w14:paraId="166427E0" w14:textId="77777777" w:rsidR="00A24EE9" w:rsidRDefault="00A24EE9">
                          <w:pPr>
                            <w:rPr>
                              <w:sz w:val="2"/>
                              <w:szCs w:val="2"/>
                            </w:rPr>
                          </w:pPr>
                        </w:p>
                      </w:tc>
                      <w:tc>
                        <w:tcPr>
                          <w:tcW w:w="7655" w:type="dxa"/>
                        </w:tcPr>
                        <w:p w14:paraId="1B5A7B05" w14:textId="77777777" w:rsidR="00A24EE9" w:rsidRDefault="00A24EE9">
                          <w:pPr>
                            <w:pStyle w:val="TableParagraph"/>
                            <w:rPr>
                              <w:rFonts w:ascii="Times New Roman"/>
                              <w:sz w:val="26"/>
                            </w:rPr>
                          </w:pPr>
                        </w:p>
                        <w:p w14:paraId="792E1C98" w14:textId="77777777" w:rsidR="00A24EE9" w:rsidRDefault="00A24EE9">
                          <w:pPr>
                            <w:pStyle w:val="TableParagraph"/>
                            <w:spacing w:before="7"/>
                            <w:rPr>
                              <w:rFonts w:ascii="Times New Roman"/>
                              <w:sz w:val="21"/>
                            </w:rPr>
                          </w:pPr>
                        </w:p>
                        <w:p w14:paraId="790BF2BE" w14:textId="77777777" w:rsidR="00A24EE9" w:rsidRDefault="00000000">
                          <w:pPr>
                            <w:pStyle w:val="TableParagraph"/>
                            <w:ind w:left="1133" w:right="1127"/>
                            <w:jc w:val="center"/>
                            <w:rPr>
                              <w:rFonts w:ascii="Arial"/>
                              <w:b/>
                              <w:sz w:val="24"/>
                            </w:rPr>
                          </w:pPr>
                          <w:r>
                            <w:rPr>
                              <w:rFonts w:ascii="Arial"/>
                              <w:b/>
                              <w:sz w:val="24"/>
                            </w:rPr>
                            <w:t>ANEXO</w:t>
                          </w:r>
                        </w:p>
                        <w:p w14:paraId="5A6C6938" w14:textId="77777777" w:rsidR="00A24EE9" w:rsidRDefault="00000000">
                          <w:pPr>
                            <w:pStyle w:val="TableParagraph"/>
                            <w:ind w:left="1200" w:right="1127"/>
                            <w:jc w:val="center"/>
                            <w:rPr>
                              <w:sz w:val="24"/>
                            </w:rPr>
                          </w:pPr>
                          <w:r>
                            <w:rPr>
                              <w:sz w:val="24"/>
                            </w:rPr>
                            <w:t>APROPIACIÓN</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ESTUDIOS</w:t>
                          </w:r>
                          <w:r>
                            <w:rPr>
                              <w:spacing w:val="-1"/>
                              <w:sz w:val="24"/>
                            </w:rPr>
                            <w:t xml:space="preserve"> </w:t>
                          </w:r>
                          <w:r>
                            <w:rPr>
                              <w:sz w:val="24"/>
                            </w:rPr>
                            <w:t>Y</w:t>
                          </w:r>
                          <w:r>
                            <w:rPr>
                              <w:spacing w:val="-1"/>
                              <w:sz w:val="24"/>
                            </w:rPr>
                            <w:t xml:space="preserve"> </w:t>
                          </w:r>
                          <w:r>
                            <w:rPr>
                              <w:sz w:val="24"/>
                            </w:rPr>
                            <w:t>DISEÑOS</w:t>
                          </w:r>
                        </w:p>
                      </w:tc>
                    </w:tr>
                  </w:tbl>
                  <w:p w14:paraId="7A7A3E89" w14:textId="77777777" w:rsidR="00A24EE9" w:rsidRDefault="00A24EE9">
                    <w:pPr>
                      <w:pStyle w:val="Textoindependiente"/>
                    </w:pPr>
                  </w:p>
                </w:txbxContent>
              </v:textbox>
              <w10:wrap anchorx="page" anchory="page"/>
            </v:shape>
          </w:pict>
        </mc:Fallback>
      </mc:AlternateContent>
    </w:r>
    <w:r>
      <w:rPr>
        <w:noProof/>
      </w:rPr>
      <w:drawing>
        <wp:anchor distT="0" distB="0" distL="0" distR="0" simplePos="0" relativeHeight="487536128" behindDoc="1" locked="0" layoutInCell="1" allowOverlap="1" wp14:anchorId="05BAA22F" wp14:editId="63ECA762">
          <wp:simplePos x="0" y="0"/>
          <wp:positionH relativeFrom="page">
            <wp:posOffset>803142</wp:posOffset>
          </wp:positionH>
          <wp:positionV relativeFrom="page">
            <wp:posOffset>652270</wp:posOffset>
          </wp:positionV>
          <wp:extent cx="1288045" cy="926468"/>
          <wp:effectExtent l="0" t="0" r="0" b="0"/>
          <wp:wrapNone/>
          <wp:docPr id="7640815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288045" cy="9264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205B"/>
    <w:multiLevelType w:val="hybridMultilevel"/>
    <w:tmpl w:val="0CFA0DE2"/>
    <w:lvl w:ilvl="0" w:tplc="632AA874">
      <w:start w:val="1"/>
      <w:numFmt w:val="lowerRoman"/>
      <w:lvlText w:val="(%1)"/>
      <w:lvlJc w:val="left"/>
      <w:pPr>
        <w:ind w:left="1193" w:hanging="72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1" w15:restartNumberingAfterBreak="0">
    <w:nsid w:val="20FC158A"/>
    <w:multiLevelType w:val="hybridMultilevel"/>
    <w:tmpl w:val="132CD608"/>
    <w:lvl w:ilvl="0" w:tplc="84A05C94">
      <w:start w:val="1"/>
      <w:numFmt w:val="decimal"/>
      <w:lvlText w:val="%1."/>
      <w:lvlJc w:val="left"/>
      <w:pPr>
        <w:ind w:left="832" w:hanging="360"/>
      </w:pPr>
      <w:rPr>
        <w:rFonts w:ascii="Arial MT" w:eastAsia="Arial MT" w:hAnsi="Arial MT" w:cs="Arial MT" w:hint="default"/>
        <w:spacing w:val="-1"/>
        <w:w w:val="81"/>
        <w:sz w:val="22"/>
        <w:szCs w:val="22"/>
        <w:lang w:val="es-ES" w:eastAsia="en-US" w:bidi="ar-SA"/>
      </w:rPr>
    </w:lvl>
    <w:lvl w:ilvl="1" w:tplc="25A80088">
      <w:start w:val="1"/>
      <w:numFmt w:val="lowerRoman"/>
      <w:lvlText w:val="(%2)"/>
      <w:lvlJc w:val="left"/>
      <w:pPr>
        <w:ind w:left="1542" w:hanging="721"/>
      </w:pPr>
      <w:rPr>
        <w:rFonts w:ascii="Arial MT" w:eastAsia="Arial MT" w:hAnsi="Arial MT" w:cs="Arial MT" w:hint="default"/>
        <w:w w:val="81"/>
        <w:sz w:val="22"/>
        <w:szCs w:val="22"/>
        <w:lang w:val="es-ES" w:eastAsia="en-US" w:bidi="ar-SA"/>
      </w:rPr>
    </w:lvl>
    <w:lvl w:ilvl="2" w:tplc="C458E888">
      <w:numFmt w:val="bullet"/>
      <w:lvlText w:val="•"/>
      <w:lvlJc w:val="left"/>
      <w:pPr>
        <w:ind w:left="2082" w:hanging="360"/>
      </w:pPr>
      <w:rPr>
        <w:rFonts w:ascii="Arial MT" w:eastAsia="Arial MT" w:hAnsi="Arial MT" w:cs="Arial MT" w:hint="default"/>
        <w:w w:val="81"/>
        <w:sz w:val="22"/>
        <w:szCs w:val="22"/>
        <w:lang w:val="es-ES" w:eastAsia="en-US" w:bidi="ar-SA"/>
      </w:rPr>
    </w:lvl>
    <w:lvl w:ilvl="3" w:tplc="3E4E887A">
      <w:numFmt w:val="bullet"/>
      <w:lvlText w:val="•"/>
      <w:lvlJc w:val="left"/>
      <w:pPr>
        <w:ind w:left="3127" w:hanging="360"/>
      </w:pPr>
      <w:rPr>
        <w:rFonts w:hint="default"/>
        <w:lang w:val="es-ES" w:eastAsia="en-US" w:bidi="ar-SA"/>
      </w:rPr>
    </w:lvl>
    <w:lvl w:ilvl="4" w:tplc="5052E6D6">
      <w:numFmt w:val="bullet"/>
      <w:lvlText w:val="•"/>
      <w:lvlJc w:val="left"/>
      <w:pPr>
        <w:ind w:left="4175" w:hanging="360"/>
      </w:pPr>
      <w:rPr>
        <w:rFonts w:hint="default"/>
        <w:lang w:val="es-ES" w:eastAsia="en-US" w:bidi="ar-SA"/>
      </w:rPr>
    </w:lvl>
    <w:lvl w:ilvl="5" w:tplc="1C1248E6">
      <w:numFmt w:val="bullet"/>
      <w:lvlText w:val="•"/>
      <w:lvlJc w:val="left"/>
      <w:pPr>
        <w:ind w:left="5222" w:hanging="360"/>
      </w:pPr>
      <w:rPr>
        <w:rFonts w:hint="default"/>
        <w:lang w:val="es-ES" w:eastAsia="en-US" w:bidi="ar-SA"/>
      </w:rPr>
    </w:lvl>
    <w:lvl w:ilvl="6" w:tplc="EFC2A8F4">
      <w:numFmt w:val="bullet"/>
      <w:lvlText w:val="•"/>
      <w:lvlJc w:val="left"/>
      <w:pPr>
        <w:ind w:left="6270" w:hanging="360"/>
      </w:pPr>
      <w:rPr>
        <w:rFonts w:hint="default"/>
        <w:lang w:val="es-ES" w:eastAsia="en-US" w:bidi="ar-SA"/>
      </w:rPr>
    </w:lvl>
    <w:lvl w:ilvl="7" w:tplc="425C51D2">
      <w:numFmt w:val="bullet"/>
      <w:lvlText w:val="•"/>
      <w:lvlJc w:val="left"/>
      <w:pPr>
        <w:ind w:left="7317" w:hanging="360"/>
      </w:pPr>
      <w:rPr>
        <w:rFonts w:hint="default"/>
        <w:lang w:val="es-ES" w:eastAsia="en-US" w:bidi="ar-SA"/>
      </w:rPr>
    </w:lvl>
    <w:lvl w:ilvl="8" w:tplc="5E4615B0">
      <w:numFmt w:val="bullet"/>
      <w:lvlText w:val="•"/>
      <w:lvlJc w:val="left"/>
      <w:pPr>
        <w:ind w:left="8365" w:hanging="360"/>
      </w:pPr>
      <w:rPr>
        <w:rFonts w:hint="default"/>
        <w:lang w:val="es-ES" w:eastAsia="en-US" w:bidi="ar-SA"/>
      </w:rPr>
    </w:lvl>
  </w:abstractNum>
  <w:abstractNum w:abstractNumId="2" w15:restartNumberingAfterBreak="0">
    <w:nsid w:val="2BD544C8"/>
    <w:multiLevelType w:val="hybridMultilevel"/>
    <w:tmpl w:val="CB3683F2"/>
    <w:lvl w:ilvl="0" w:tplc="7D627F74">
      <w:numFmt w:val="bullet"/>
      <w:lvlText w:val=""/>
      <w:lvlJc w:val="left"/>
      <w:pPr>
        <w:ind w:left="1542" w:hanging="360"/>
      </w:pPr>
      <w:rPr>
        <w:rFonts w:ascii="Wingdings" w:eastAsia="Wingdings" w:hAnsi="Wingdings" w:cs="Wingdings" w:hint="default"/>
        <w:w w:val="99"/>
        <w:sz w:val="22"/>
        <w:szCs w:val="22"/>
        <w:lang w:val="es-ES" w:eastAsia="en-US" w:bidi="ar-SA"/>
      </w:rPr>
    </w:lvl>
    <w:lvl w:ilvl="1" w:tplc="19FEA014">
      <w:numFmt w:val="bullet"/>
      <w:lvlText w:val="•"/>
      <w:lvlJc w:val="left"/>
      <w:pPr>
        <w:ind w:left="2432" w:hanging="360"/>
      </w:pPr>
      <w:rPr>
        <w:rFonts w:hint="default"/>
        <w:lang w:val="es-ES" w:eastAsia="en-US" w:bidi="ar-SA"/>
      </w:rPr>
    </w:lvl>
    <w:lvl w:ilvl="2" w:tplc="9DF2CC12">
      <w:numFmt w:val="bullet"/>
      <w:lvlText w:val="•"/>
      <w:lvlJc w:val="left"/>
      <w:pPr>
        <w:ind w:left="3324" w:hanging="360"/>
      </w:pPr>
      <w:rPr>
        <w:rFonts w:hint="default"/>
        <w:lang w:val="es-ES" w:eastAsia="en-US" w:bidi="ar-SA"/>
      </w:rPr>
    </w:lvl>
    <w:lvl w:ilvl="3" w:tplc="4F46C878">
      <w:numFmt w:val="bullet"/>
      <w:lvlText w:val="•"/>
      <w:lvlJc w:val="left"/>
      <w:pPr>
        <w:ind w:left="4216" w:hanging="360"/>
      </w:pPr>
      <w:rPr>
        <w:rFonts w:hint="default"/>
        <w:lang w:val="es-ES" w:eastAsia="en-US" w:bidi="ar-SA"/>
      </w:rPr>
    </w:lvl>
    <w:lvl w:ilvl="4" w:tplc="37C84050">
      <w:numFmt w:val="bullet"/>
      <w:lvlText w:val="•"/>
      <w:lvlJc w:val="left"/>
      <w:pPr>
        <w:ind w:left="5108" w:hanging="360"/>
      </w:pPr>
      <w:rPr>
        <w:rFonts w:hint="default"/>
        <w:lang w:val="es-ES" w:eastAsia="en-US" w:bidi="ar-SA"/>
      </w:rPr>
    </w:lvl>
    <w:lvl w:ilvl="5" w:tplc="BB9038D0">
      <w:numFmt w:val="bullet"/>
      <w:lvlText w:val="•"/>
      <w:lvlJc w:val="left"/>
      <w:pPr>
        <w:ind w:left="6000" w:hanging="360"/>
      </w:pPr>
      <w:rPr>
        <w:rFonts w:hint="default"/>
        <w:lang w:val="es-ES" w:eastAsia="en-US" w:bidi="ar-SA"/>
      </w:rPr>
    </w:lvl>
    <w:lvl w:ilvl="6" w:tplc="EF3C51DA">
      <w:numFmt w:val="bullet"/>
      <w:lvlText w:val="•"/>
      <w:lvlJc w:val="left"/>
      <w:pPr>
        <w:ind w:left="6892" w:hanging="360"/>
      </w:pPr>
      <w:rPr>
        <w:rFonts w:hint="default"/>
        <w:lang w:val="es-ES" w:eastAsia="en-US" w:bidi="ar-SA"/>
      </w:rPr>
    </w:lvl>
    <w:lvl w:ilvl="7" w:tplc="B03ED71C">
      <w:numFmt w:val="bullet"/>
      <w:lvlText w:val="•"/>
      <w:lvlJc w:val="left"/>
      <w:pPr>
        <w:ind w:left="7784" w:hanging="360"/>
      </w:pPr>
      <w:rPr>
        <w:rFonts w:hint="default"/>
        <w:lang w:val="es-ES" w:eastAsia="en-US" w:bidi="ar-SA"/>
      </w:rPr>
    </w:lvl>
    <w:lvl w:ilvl="8" w:tplc="F6A81096">
      <w:numFmt w:val="bullet"/>
      <w:lvlText w:val="•"/>
      <w:lvlJc w:val="left"/>
      <w:pPr>
        <w:ind w:left="8676" w:hanging="360"/>
      </w:pPr>
      <w:rPr>
        <w:rFonts w:hint="default"/>
        <w:lang w:val="es-ES" w:eastAsia="en-US" w:bidi="ar-SA"/>
      </w:rPr>
    </w:lvl>
  </w:abstractNum>
  <w:abstractNum w:abstractNumId="3" w15:restartNumberingAfterBreak="0">
    <w:nsid w:val="2BDA762F"/>
    <w:multiLevelType w:val="hybridMultilevel"/>
    <w:tmpl w:val="2B1ADB94"/>
    <w:lvl w:ilvl="0" w:tplc="240A0001">
      <w:start w:val="1"/>
      <w:numFmt w:val="bullet"/>
      <w:lvlText w:val=""/>
      <w:lvlJc w:val="left"/>
      <w:pPr>
        <w:ind w:left="517" w:hanging="360"/>
      </w:pPr>
      <w:rPr>
        <w:rFonts w:ascii="Symbol" w:hAnsi="Symbol" w:hint="default"/>
      </w:rPr>
    </w:lvl>
    <w:lvl w:ilvl="1" w:tplc="FFFFFFFF" w:tentative="1">
      <w:start w:val="1"/>
      <w:numFmt w:val="bullet"/>
      <w:lvlText w:val="o"/>
      <w:lvlJc w:val="left"/>
      <w:pPr>
        <w:ind w:left="1237" w:hanging="360"/>
      </w:pPr>
      <w:rPr>
        <w:rFonts w:ascii="Courier New" w:hAnsi="Courier New" w:cs="Courier New" w:hint="default"/>
      </w:rPr>
    </w:lvl>
    <w:lvl w:ilvl="2" w:tplc="FFFFFFFF" w:tentative="1">
      <w:start w:val="1"/>
      <w:numFmt w:val="bullet"/>
      <w:lvlText w:val=""/>
      <w:lvlJc w:val="left"/>
      <w:pPr>
        <w:ind w:left="1957" w:hanging="360"/>
      </w:pPr>
      <w:rPr>
        <w:rFonts w:ascii="Wingdings" w:hAnsi="Wingdings" w:hint="default"/>
      </w:rPr>
    </w:lvl>
    <w:lvl w:ilvl="3" w:tplc="FFFFFFFF" w:tentative="1">
      <w:start w:val="1"/>
      <w:numFmt w:val="bullet"/>
      <w:lvlText w:val=""/>
      <w:lvlJc w:val="left"/>
      <w:pPr>
        <w:ind w:left="2677" w:hanging="360"/>
      </w:pPr>
      <w:rPr>
        <w:rFonts w:ascii="Symbol" w:hAnsi="Symbol" w:hint="default"/>
      </w:rPr>
    </w:lvl>
    <w:lvl w:ilvl="4" w:tplc="FFFFFFFF" w:tentative="1">
      <w:start w:val="1"/>
      <w:numFmt w:val="bullet"/>
      <w:lvlText w:val="o"/>
      <w:lvlJc w:val="left"/>
      <w:pPr>
        <w:ind w:left="3397" w:hanging="360"/>
      </w:pPr>
      <w:rPr>
        <w:rFonts w:ascii="Courier New" w:hAnsi="Courier New" w:cs="Courier New" w:hint="default"/>
      </w:rPr>
    </w:lvl>
    <w:lvl w:ilvl="5" w:tplc="FFFFFFFF" w:tentative="1">
      <w:start w:val="1"/>
      <w:numFmt w:val="bullet"/>
      <w:lvlText w:val=""/>
      <w:lvlJc w:val="left"/>
      <w:pPr>
        <w:ind w:left="4117" w:hanging="360"/>
      </w:pPr>
      <w:rPr>
        <w:rFonts w:ascii="Wingdings" w:hAnsi="Wingdings" w:hint="default"/>
      </w:rPr>
    </w:lvl>
    <w:lvl w:ilvl="6" w:tplc="FFFFFFFF" w:tentative="1">
      <w:start w:val="1"/>
      <w:numFmt w:val="bullet"/>
      <w:lvlText w:val=""/>
      <w:lvlJc w:val="left"/>
      <w:pPr>
        <w:ind w:left="4837" w:hanging="360"/>
      </w:pPr>
      <w:rPr>
        <w:rFonts w:ascii="Symbol" w:hAnsi="Symbol" w:hint="default"/>
      </w:rPr>
    </w:lvl>
    <w:lvl w:ilvl="7" w:tplc="FFFFFFFF" w:tentative="1">
      <w:start w:val="1"/>
      <w:numFmt w:val="bullet"/>
      <w:lvlText w:val="o"/>
      <w:lvlJc w:val="left"/>
      <w:pPr>
        <w:ind w:left="5557" w:hanging="360"/>
      </w:pPr>
      <w:rPr>
        <w:rFonts w:ascii="Courier New" w:hAnsi="Courier New" w:cs="Courier New" w:hint="default"/>
      </w:rPr>
    </w:lvl>
    <w:lvl w:ilvl="8" w:tplc="FFFFFFFF" w:tentative="1">
      <w:start w:val="1"/>
      <w:numFmt w:val="bullet"/>
      <w:lvlText w:val=""/>
      <w:lvlJc w:val="left"/>
      <w:pPr>
        <w:ind w:left="6277" w:hanging="360"/>
      </w:pPr>
      <w:rPr>
        <w:rFonts w:ascii="Wingdings" w:hAnsi="Wingdings" w:hint="default"/>
      </w:rPr>
    </w:lvl>
  </w:abstractNum>
  <w:abstractNum w:abstractNumId="4" w15:restartNumberingAfterBreak="0">
    <w:nsid w:val="39971A0C"/>
    <w:multiLevelType w:val="hybridMultilevel"/>
    <w:tmpl w:val="AEC4172E"/>
    <w:lvl w:ilvl="0" w:tplc="240A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FFFFFFFF" w:tentative="1">
      <w:start w:val="1"/>
      <w:numFmt w:val="bullet"/>
      <w:lvlText w:val=""/>
      <w:lvlJc w:val="left"/>
      <w:pPr>
        <w:ind w:left="2993" w:hanging="360"/>
      </w:pPr>
      <w:rPr>
        <w:rFonts w:ascii="Symbol" w:hAnsi="Symbol" w:hint="default"/>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abstractNum w:abstractNumId="5" w15:restartNumberingAfterBreak="0">
    <w:nsid w:val="3B2A6925"/>
    <w:multiLevelType w:val="hybridMultilevel"/>
    <w:tmpl w:val="EF8C651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732123"/>
    <w:multiLevelType w:val="hybridMultilevel"/>
    <w:tmpl w:val="8FF2B814"/>
    <w:lvl w:ilvl="0" w:tplc="78BAF408">
      <w:numFmt w:val="bullet"/>
      <w:lvlText w:val=""/>
      <w:lvlJc w:val="left"/>
      <w:pPr>
        <w:ind w:left="1013" w:hanging="360"/>
      </w:pPr>
      <w:rPr>
        <w:rFonts w:ascii="Wingdings" w:eastAsia="Arial MT" w:hAnsi="Wingdings" w:cs="Arial MT" w:hint="default"/>
        <w:color w:val="3A3838"/>
        <w:w w:val="85"/>
      </w:rPr>
    </w:lvl>
    <w:lvl w:ilvl="1" w:tplc="240A0003" w:tentative="1">
      <w:start w:val="1"/>
      <w:numFmt w:val="bullet"/>
      <w:lvlText w:val="o"/>
      <w:lvlJc w:val="left"/>
      <w:pPr>
        <w:ind w:left="1733" w:hanging="360"/>
      </w:pPr>
      <w:rPr>
        <w:rFonts w:ascii="Courier New" w:hAnsi="Courier New" w:cs="Courier New" w:hint="default"/>
      </w:rPr>
    </w:lvl>
    <w:lvl w:ilvl="2" w:tplc="240A0005" w:tentative="1">
      <w:start w:val="1"/>
      <w:numFmt w:val="bullet"/>
      <w:lvlText w:val=""/>
      <w:lvlJc w:val="left"/>
      <w:pPr>
        <w:ind w:left="2453" w:hanging="360"/>
      </w:pPr>
      <w:rPr>
        <w:rFonts w:ascii="Wingdings" w:hAnsi="Wingdings" w:hint="default"/>
      </w:rPr>
    </w:lvl>
    <w:lvl w:ilvl="3" w:tplc="240A0001" w:tentative="1">
      <w:start w:val="1"/>
      <w:numFmt w:val="bullet"/>
      <w:lvlText w:val=""/>
      <w:lvlJc w:val="left"/>
      <w:pPr>
        <w:ind w:left="3173" w:hanging="360"/>
      </w:pPr>
      <w:rPr>
        <w:rFonts w:ascii="Symbol" w:hAnsi="Symbol" w:hint="default"/>
      </w:rPr>
    </w:lvl>
    <w:lvl w:ilvl="4" w:tplc="240A0003" w:tentative="1">
      <w:start w:val="1"/>
      <w:numFmt w:val="bullet"/>
      <w:lvlText w:val="o"/>
      <w:lvlJc w:val="left"/>
      <w:pPr>
        <w:ind w:left="3893" w:hanging="360"/>
      </w:pPr>
      <w:rPr>
        <w:rFonts w:ascii="Courier New" w:hAnsi="Courier New" w:cs="Courier New" w:hint="default"/>
      </w:rPr>
    </w:lvl>
    <w:lvl w:ilvl="5" w:tplc="240A0005" w:tentative="1">
      <w:start w:val="1"/>
      <w:numFmt w:val="bullet"/>
      <w:lvlText w:val=""/>
      <w:lvlJc w:val="left"/>
      <w:pPr>
        <w:ind w:left="4613" w:hanging="360"/>
      </w:pPr>
      <w:rPr>
        <w:rFonts w:ascii="Wingdings" w:hAnsi="Wingdings" w:hint="default"/>
      </w:rPr>
    </w:lvl>
    <w:lvl w:ilvl="6" w:tplc="240A0001" w:tentative="1">
      <w:start w:val="1"/>
      <w:numFmt w:val="bullet"/>
      <w:lvlText w:val=""/>
      <w:lvlJc w:val="left"/>
      <w:pPr>
        <w:ind w:left="5333" w:hanging="360"/>
      </w:pPr>
      <w:rPr>
        <w:rFonts w:ascii="Symbol" w:hAnsi="Symbol" w:hint="default"/>
      </w:rPr>
    </w:lvl>
    <w:lvl w:ilvl="7" w:tplc="240A0003" w:tentative="1">
      <w:start w:val="1"/>
      <w:numFmt w:val="bullet"/>
      <w:lvlText w:val="o"/>
      <w:lvlJc w:val="left"/>
      <w:pPr>
        <w:ind w:left="6053" w:hanging="360"/>
      </w:pPr>
      <w:rPr>
        <w:rFonts w:ascii="Courier New" w:hAnsi="Courier New" w:cs="Courier New" w:hint="default"/>
      </w:rPr>
    </w:lvl>
    <w:lvl w:ilvl="8" w:tplc="240A0005" w:tentative="1">
      <w:start w:val="1"/>
      <w:numFmt w:val="bullet"/>
      <w:lvlText w:val=""/>
      <w:lvlJc w:val="left"/>
      <w:pPr>
        <w:ind w:left="6773" w:hanging="360"/>
      </w:pPr>
      <w:rPr>
        <w:rFonts w:ascii="Wingdings" w:hAnsi="Wingdings" w:hint="default"/>
      </w:rPr>
    </w:lvl>
  </w:abstractNum>
  <w:abstractNum w:abstractNumId="7" w15:restartNumberingAfterBreak="0">
    <w:nsid w:val="462D68B9"/>
    <w:multiLevelType w:val="hybridMultilevel"/>
    <w:tmpl w:val="6C2E94A8"/>
    <w:lvl w:ilvl="0" w:tplc="832E1D68">
      <w:numFmt w:val="bullet"/>
      <w:lvlText w:val="-"/>
      <w:lvlJc w:val="left"/>
      <w:pPr>
        <w:ind w:left="517" w:hanging="360"/>
      </w:pPr>
      <w:rPr>
        <w:rFonts w:ascii="Arial MT" w:eastAsia="Arial MT" w:hAnsi="Arial MT" w:cs="Arial MT" w:hint="default"/>
      </w:rPr>
    </w:lvl>
    <w:lvl w:ilvl="1" w:tplc="240A0003" w:tentative="1">
      <w:start w:val="1"/>
      <w:numFmt w:val="bullet"/>
      <w:lvlText w:val="o"/>
      <w:lvlJc w:val="left"/>
      <w:pPr>
        <w:ind w:left="1237" w:hanging="360"/>
      </w:pPr>
      <w:rPr>
        <w:rFonts w:ascii="Courier New" w:hAnsi="Courier New" w:cs="Courier New" w:hint="default"/>
      </w:rPr>
    </w:lvl>
    <w:lvl w:ilvl="2" w:tplc="240A0005" w:tentative="1">
      <w:start w:val="1"/>
      <w:numFmt w:val="bullet"/>
      <w:lvlText w:val=""/>
      <w:lvlJc w:val="left"/>
      <w:pPr>
        <w:ind w:left="1957" w:hanging="360"/>
      </w:pPr>
      <w:rPr>
        <w:rFonts w:ascii="Wingdings" w:hAnsi="Wingdings" w:hint="default"/>
      </w:rPr>
    </w:lvl>
    <w:lvl w:ilvl="3" w:tplc="240A0001" w:tentative="1">
      <w:start w:val="1"/>
      <w:numFmt w:val="bullet"/>
      <w:lvlText w:val=""/>
      <w:lvlJc w:val="left"/>
      <w:pPr>
        <w:ind w:left="2677" w:hanging="360"/>
      </w:pPr>
      <w:rPr>
        <w:rFonts w:ascii="Symbol" w:hAnsi="Symbol" w:hint="default"/>
      </w:rPr>
    </w:lvl>
    <w:lvl w:ilvl="4" w:tplc="240A0003" w:tentative="1">
      <w:start w:val="1"/>
      <w:numFmt w:val="bullet"/>
      <w:lvlText w:val="o"/>
      <w:lvlJc w:val="left"/>
      <w:pPr>
        <w:ind w:left="3397" w:hanging="360"/>
      </w:pPr>
      <w:rPr>
        <w:rFonts w:ascii="Courier New" w:hAnsi="Courier New" w:cs="Courier New" w:hint="default"/>
      </w:rPr>
    </w:lvl>
    <w:lvl w:ilvl="5" w:tplc="240A0005" w:tentative="1">
      <w:start w:val="1"/>
      <w:numFmt w:val="bullet"/>
      <w:lvlText w:val=""/>
      <w:lvlJc w:val="left"/>
      <w:pPr>
        <w:ind w:left="4117" w:hanging="360"/>
      </w:pPr>
      <w:rPr>
        <w:rFonts w:ascii="Wingdings" w:hAnsi="Wingdings" w:hint="default"/>
      </w:rPr>
    </w:lvl>
    <w:lvl w:ilvl="6" w:tplc="240A0001" w:tentative="1">
      <w:start w:val="1"/>
      <w:numFmt w:val="bullet"/>
      <w:lvlText w:val=""/>
      <w:lvlJc w:val="left"/>
      <w:pPr>
        <w:ind w:left="4837" w:hanging="360"/>
      </w:pPr>
      <w:rPr>
        <w:rFonts w:ascii="Symbol" w:hAnsi="Symbol" w:hint="default"/>
      </w:rPr>
    </w:lvl>
    <w:lvl w:ilvl="7" w:tplc="240A0003" w:tentative="1">
      <w:start w:val="1"/>
      <w:numFmt w:val="bullet"/>
      <w:lvlText w:val="o"/>
      <w:lvlJc w:val="left"/>
      <w:pPr>
        <w:ind w:left="5557" w:hanging="360"/>
      </w:pPr>
      <w:rPr>
        <w:rFonts w:ascii="Courier New" w:hAnsi="Courier New" w:cs="Courier New" w:hint="default"/>
      </w:rPr>
    </w:lvl>
    <w:lvl w:ilvl="8" w:tplc="240A0005" w:tentative="1">
      <w:start w:val="1"/>
      <w:numFmt w:val="bullet"/>
      <w:lvlText w:val=""/>
      <w:lvlJc w:val="left"/>
      <w:pPr>
        <w:ind w:left="6277" w:hanging="360"/>
      </w:pPr>
      <w:rPr>
        <w:rFonts w:ascii="Wingdings" w:hAnsi="Wingdings" w:hint="default"/>
      </w:rPr>
    </w:lvl>
  </w:abstractNum>
  <w:abstractNum w:abstractNumId="8" w15:restartNumberingAfterBreak="0">
    <w:nsid w:val="47EC613C"/>
    <w:multiLevelType w:val="hybridMultilevel"/>
    <w:tmpl w:val="ACEE9670"/>
    <w:lvl w:ilvl="0" w:tplc="1898E228">
      <w:start w:val="1"/>
      <w:numFmt w:val="lowerRoman"/>
      <w:lvlText w:val="(%1)"/>
      <w:lvlJc w:val="left"/>
      <w:pPr>
        <w:ind w:left="833" w:hanging="72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9" w15:restartNumberingAfterBreak="0">
    <w:nsid w:val="541C6F4A"/>
    <w:multiLevelType w:val="hybridMultilevel"/>
    <w:tmpl w:val="6A2477C2"/>
    <w:lvl w:ilvl="0" w:tplc="832E1D68">
      <w:numFmt w:val="bullet"/>
      <w:lvlText w:val="-"/>
      <w:lvlJc w:val="left"/>
      <w:pPr>
        <w:ind w:left="630" w:hanging="360"/>
      </w:pPr>
      <w:rPr>
        <w:rFonts w:ascii="Arial MT" w:eastAsia="Arial MT" w:hAnsi="Arial MT" w:cs="Arial MT"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0" w15:restartNumberingAfterBreak="0">
    <w:nsid w:val="74275AAF"/>
    <w:multiLevelType w:val="hybridMultilevel"/>
    <w:tmpl w:val="3EF46B02"/>
    <w:lvl w:ilvl="0" w:tplc="240A0001">
      <w:start w:val="1"/>
      <w:numFmt w:val="bullet"/>
      <w:lvlText w:val=""/>
      <w:lvlJc w:val="left"/>
      <w:pPr>
        <w:ind w:left="473" w:hanging="360"/>
      </w:pPr>
      <w:rPr>
        <w:rFonts w:ascii="Symbol" w:hAnsi="Symbol" w:hint="default"/>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1" w15:restartNumberingAfterBreak="0">
    <w:nsid w:val="78BB7A56"/>
    <w:multiLevelType w:val="hybridMultilevel"/>
    <w:tmpl w:val="3F94A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661C55"/>
    <w:multiLevelType w:val="hybridMultilevel"/>
    <w:tmpl w:val="EA905A8E"/>
    <w:lvl w:ilvl="0" w:tplc="E8F49544">
      <w:start w:val="1"/>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num w:numId="1" w16cid:durableId="870067896">
    <w:abstractNumId w:val="1"/>
  </w:num>
  <w:num w:numId="2" w16cid:durableId="1458257583">
    <w:abstractNumId w:val="2"/>
  </w:num>
  <w:num w:numId="3" w16cid:durableId="1666591990">
    <w:abstractNumId w:val="6"/>
  </w:num>
  <w:num w:numId="4" w16cid:durableId="2068449741">
    <w:abstractNumId w:val="7"/>
  </w:num>
  <w:num w:numId="5" w16cid:durableId="452753332">
    <w:abstractNumId w:val="5"/>
  </w:num>
  <w:num w:numId="6" w16cid:durableId="602617364">
    <w:abstractNumId w:val="9"/>
  </w:num>
  <w:num w:numId="7" w16cid:durableId="1634093613">
    <w:abstractNumId w:val="4"/>
  </w:num>
  <w:num w:numId="8" w16cid:durableId="914779173">
    <w:abstractNumId w:val="10"/>
  </w:num>
  <w:num w:numId="9" w16cid:durableId="1119643827">
    <w:abstractNumId w:val="12"/>
  </w:num>
  <w:num w:numId="10" w16cid:durableId="1748653308">
    <w:abstractNumId w:val="8"/>
  </w:num>
  <w:num w:numId="11" w16cid:durableId="2144229659">
    <w:abstractNumId w:val="0"/>
  </w:num>
  <w:num w:numId="12" w16cid:durableId="886455336">
    <w:abstractNumId w:val="3"/>
  </w:num>
  <w:num w:numId="13" w16cid:durableId="6573922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EE9"/>
    <w:rsid w:val="000A597D"/>
    <w:rsid w:val="000F15EF"/>
    <w:rsid w:val="002F2C9D"/>
    <w:rsid w:val="00392D9C"/>
    <w:rsid w:val="00512CE2"/>
    <w:rsid w:val="00585B5C"/>
    <w:rsid w:val="007A459E"/>
    <w:rsid w:val="007F7F73"/>
    <w:rsid w:val="00853345"/>
    <w:rsid w:val="0092701D"/>
    <w:rsid w:val="00A24EE9"/>
    <w:rsid w:val="00C53E79"/>
    <w:rsid w:val="00C800D3"/>
    <w:rsid w:val="00DA286F"/>
    <w:rsid w:val="00F7527A"/>
    <w:rsid w:val="00F902D9"/>
    <w:rsid w:val="00FB5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29211"/>
  <w15:docId w15:val="{11317F53-FDEE-42D6-BF79-7DBA571F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Ttulo">
    <w:name w:val="Title"/>
    <w:basedOn w:val="Normal"/>
    <w:uiPriority w:val="10"/>
    <w:qFormat/>
    <w:pPr>
      <w:ind w:left="2129" w:right="2155"/>
      <w:jc w:val="center"/>
    </w:pPr>
    <w:rPr>
      <w:rFonts w:ascii="Arial" w:eastAsia="Arial" w:hAnsi="Arial" w:cs="Arial"/>
      <w:b/>
      <w:bC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pPr>
      <w:ind w:left="832" w:hanging="360"/>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rsid w:val="0092701D"/>
    <w:rPr>
      <w:rFonts w:ascii="Arial MT" w:eastAsia="Arial MT" w:hAnsi="Arial MT" w:cs="Arial MT"/>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FB5131"/>
    <w:rPr>
      <w:rFonts w:ascii="Arial MT" w:eastAsia="Arial MT" w:hAnsi="Arial MT" w:cs="Arial MT"/>
      <w:lang w:val="es-ES"/>
    </w:rPr>
  </w:style>
  <w:style w:type="paragraph" w:styleId="Encabezado">
    <w:name w:val="header"/>
    <w:basedOn w:val="Normal"/>
    <w:link w:val="EncabezadoCar"/>
    <w:uiPriority w:val="99"/>
    <w:unhideWhenUsed/>
    <w:rsid w:val="00C53E79"/>
    <w:pPr>
      <w:tabs>
        <w:tab w:val="center" w:pos="4419"/>
        <w:tab w:val="right" w:pos="8838"/>
      </w:tabs>
    </w:pPr>
  </w:style>
  <w:style w:type="character" w:customStyle="1" w:styleId="EncabezadoCar">
    <w:name w:val="Encabezado Car"/>
    <w:basedOn w:val="Fuentedeprrafopredeter"/>
    <w:link w:val="Encabezado"/>
    <w:uiPriority w:val="99"/>
    <w:rsid w:val="00C53E79"/>
    <w:rPr>
      <w:rFonts w:ascii="Arial MT" w:eastAsia="Arial MT" w:hAnsi="Arial MT" w:cs="Arial MT"/>
      <w:lang w:val="es-ES"/>
    </w:rPr>
  </w:style>
  <w:style w:type="paragraph" w:styleId="Piedepgina">
    <w:name w:val="footer"/>
    <w:basedOn w:val="Normal"/>
    <w:link w:val="PiedepginaCar"/>
    <w:uiPriority w:val="99"/>
    <w:unhideWhenUsed/>
    <w:rsid w:val="00C53E79"/>
    <w:pPr>
      <w:tabs>
        <w:tab w:val="center" w:pos="4419"/>
        <w:tab w:val="right" w:pos="8838"/>
      </w:tabs>
    </w:pPr>
  </w:style>
  <w:style w:type="character" w:customStyle="1" w:styleId="PiedepginaCar">
    <w:name w:val="Pie de página Car"/>
    <w:basedOn w:val="Fuentedeprrafopredeter"/>
    <w:link w:val="Piedepgina"/>
    <w:uiPriority w:val="99"/>
    <w:rsid w:val="00C53E79"/>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1288</Words>
  <Characters>7089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julieth Manzanares Gómez</dc:creator>
  <cp:lastModifiedBy>Juan Carlos Padilla Rodriguez</cp:lastModifiedBy>
  <cp:revision>4</cp:revision>
  <dcterms:created xsi:type="dcterms:W3CDTF">2024-10-16T03:11:00Z</dcterms:created>
  <dcterms:modified xsi:type="dcterms:W3CDTF">2024-10-17T19:06:00Z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2023-11-22T00:00:00Z</vt:filetime>
  </property>
  <property fmtid="{D5CDD505-2E9C-101B-9397-08002B2CF9AE}" pid="3" name="Creator">
    <vt:lpwstr>Microsoft® Word para Microsoft 365</vt:lpwstr>
  </property>
  <property fmtid="{D5CDD505-2E9C-101B-9397-08002B2CF9AE}" pid="4" name="LastSaved">
    <vt:filetime>2024-10-04T00:00:00Z</vt:filetime>
  </property>
</Properties>
</file>