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b/>
          <w:bCs/>
          <w:sz w:val="32"/>
          <w:szCs w:val="32"/>
        </w:rPr>
      </w:pPr>
      <w:r>
        <w:rPr>
          <w:b/>
          <w:bCs/>
          <w:sz w:val="32"/>
          <w:szCs w:val="32"/>
        </w:rPr>
        <w:t xml:space="preserve">CONDICIONES GENERALES DE PARTICIPACIÓN </w:t>
      </w:r>
    </w:p>
    <w:p>
      <w:pPr>
        <w:jc w:val="center"/>
        <w:rPr>
          <w:b/>
          <w:bCs/>
          <w:sz w:val="32"/>
          <w:szCs w:val="32"/>
        </w:rPr>
      </w:pPr>
    </w:p>
    <w:p>
      <w:pPr>
        <w:rPr>
          <w:b/>
          <w:bCs/>
          <w:sz w:val="32"/>
          <w:szCs w:val="32"/>
        </w:rPr>
      </w:pPr>
    </w:p>
    <w:p>
      <w:pPr>
        <w:jc w:val="center"/>
        <w:rPr>
          <w:b/>
          <w:bCs/>
          <w:color w:val="FFFF00"/>
          <w:sz w:val="32"/>
          <w:szCs w:val="32"/>
        </w:rPr>
      </w:pPr>
      <w:r>
        <w:rPr>
          <w:b/>
          <w:bCs/>
          <w:sz w:val="32"/>
          <w:szCs w:val="32"/>
        </w:rPr>
        <w:t>PROCESO CONTRACTUAL</w:t>
      </w:r>
      <w:r>
        <w:rPr>
          <w:b/>
          <w:bCs/>
          <w:sz w:val="32"/>
          <w:szCs w:val="32"/>
          <w:lang w:val="es-CO"/>
        </w:rPr>
        <w:t xml:space="preserve"> MNSESAMOP</w:t>
      </w:r>
      <w:r>
        <w:rPr>
          <w:b/>
          <w:bCs/>
          <w:color w:val="FFFF00"/>
          <w:sz w:val="32"/>
          <w:szCs w:val="32"/>
          <w:lang w:val="es-CO"/>
        </w:rPr>
        <w:t>024</w:t>
      </w:r>
      <w:r>
        <w:rPr>
          <w:b/>
          <w:bCs/>
          <w:color w:val="FFFF00"/>
          <w:sz w:val="32"/>
          <w:szCs w:val="32"/>
        </w:rPr>
        <w:t>-2018</w:t>
      </w:r>
    </w:p>
    <w:p>
      <w:pPr>
        <w:jc w:val="both"/>
        <w:rPr>
          <w:b/>
          <w:bCs/>
          <w:sz w:val="32"/>
          <w:szCs w:val="32"/>
        </w:rPr>
      </w:pPr>
    </w:p>
    <w:p>
      <w:pPr>
        <w:jc w:val="center"/>
        <w:rPr>
          <w:b/>
          <w:bCs/>
          <w:sz w:val="32"/>
          <w:szCs w:val="32"/>
        </w:rPr>
      </w:pPr>
      <w:r>
        <w:rPr>
          <w:b/>
          <w:bCs/>
          <w:sz w:val="32"/>
          <w:szCs w:val="32"/>
        </w:rPr>
        <w:t>OBRA PÚBLICA</w:t>
      </w:r>
    </w:p>
    <w:p>
      <w:pPr>
        <w:rPr>
          <w:b/>
          <w:bCs/>
          <w:sz w:val="32"/>
          <w:szCs w:val="32"/>
        </w:rPr>
      </w:pPr>
    </w:p>
    <w:p>
      <w:pPr>
        <w:jc w:val="center"/>
        <w:rPr>
          <w:b/>
          <w:bCs/>
          <w:sz w:val="32"/>
          <w:szCs w:val="32"/>
        </w:rPr>
      </w:pPr>
      <w:r>
        <w:rPr>
          <w:b/>
          <w:bCs/>
          <w:sz w:val="32"/>
          <w:szCs w:val="32"/>
        </w:rPr>
        <w:t>OBJETO</w:t>
      </w:r>
    </w:p>
    <w:tbl>
      <w:tblPr>
        <w:tblStyle w:val="16"/>
        <w:tblW w:w="8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4" w:hRule="atLeast"/>
        </w:trPr>
        <w:tc>
          <w:tcPr>
            <w:tcW w:w="8828" w:type="dxa"/>
            <w:vAlign w:val="center"/>
          </w:tcPr>
          <w:p>
            <w:pPr>
              <w:rPr>
                <w:rFonts w:cs="Arial"/>
                <w:b/>
                <w:sz w:val="40"/>
                <w:szCs w:val="40"/>
                <w:lang w:eastAsia="es-ES"/>
              </w:rPr>
            </w:pPr>
            <w:r>
              <w:rPr>
                <w:b/>
                <w:bCs/>
                <w:sz w:val="32"/>
                <w:szCs w:val="32"/>
              </w:rPr>
              <w:t>“</w:t>
            </w:r>
            <w:r>
              <w:rPr>
                <w:b/>
                <w:bCs/>
                <w:sz w:val="32"/>
                <w:szCs w:val="32"/>
                <w:lang w:val="es-CO" w:eastAsia="en-US"/>
              </w:rPr>
              <w:t>REPARAR AMBIENTES DE APRENDIZAJE PARA LA INSTITUCION EDUCATIVA DEPARTAMENTAL TIERRA DE PROMISION SEDE EFRAIN  ROJAS TRUJILLO DEL MUNICIPIO DE NEIVA QUE CONSTA DE ADECUACION Y  MEJORAMIENTO DE CUBIERTAS AREA DE CIRCULACION Y VARIOS</w:t>
            </w:r>
            <w:r>
              <w:rPr>
                <w:rFonts w:hint="default"/>
                <w:b/>
                <w:bCs/>
                <w:sz w:val="32"/>
                <w:szCs w:val="32"/>
                <w:lang w:val="es-CO" w:eastAsia="en-US"/>
              </w:rPr>
              <w:t>”</w:t>
            </w:r>
          </w:p>
        </w:tc>
      </w:tr>
    </w:tbl>
    <w:p>
      <w:pPr>
        <w:jc w:val="center"/>
        <w:rPr>
          <w:b/>
          <w:bCs/>
          <w:sz w:val="24"/>
          <w:szCs w:val="24"/>
        </w:rPr>
      </w:pPr>
    </w:p>
    <w:p>
      <w:pPr>
        <w:rPr>
          <w:b/>
          <w:bCs/>
          <w:sz w:val="24"/>
          <w:szCs w:val="24"/>
        </w:rPr>
      </w:pPr>
    </w:p>
    <w:p>
      <w:pPr>
        <w:jc w:val="center"/>
        <w:rPr>
          <w:b/>
          <w:bCs/>
          <w:sz w:val="32"/>
          <w:szCs w:val="32"/>
        </w:rPr>
      </w:pPr>
      <w:r>
        <w:rPr>
          <w:b/>
          <w:bCs/>
          <w:sz w:val="32"/>
          <w:szCs w:val="32"/>
        </w:rPr>
        <w:t>NEIVA, ABRIL DE 2018</w:t>
      </w:r>
    </w:p>
    <w:p>
      <w:pPr>
        <w:jc w:val="center"/>
        <w:rPr>
          <w:b/>
          <w:bCs/>
        </w:rPr>
      </w:pPr>
    </w:p>
    <w:p>
      <w:pPr>
        <w:jc w:val="center"/>
        <w:rPr>
          <w:b/>
          <w:bCs/>
        </w:rPr>
      </w:pPr>
    </w:p>
    <w:p>
      <w:pPr>
        <w:jc w:val="center"/>
      </w:pPr>
      <w:r>
        <w:rPr>
          <w:b/>
          <w:bCs/>
        </w:rPr>
        <w:t>INTRODUCCIÓN</w:t>
      </w:r>
    </w:p>
    <w:p>
      <w:r>
        <w:t>Este documento de condiciones generales de participación, complementario del pliego de condiciones electrónico, ha sido elaborado siguiendo los postulados señalados por la Ley 80 de 1993, la Ley 1150 de 2007, la Ley 1474 de 2011, Decreto ley 019 de 2012, Decreto 1082 de 2015, ley 1882 de 2018 y demás normas que la modifican, complementan o adicionen y con arreglo a los principios consagrados en el artículo 209 de la Constitución Política, en el Código de Procedimiento Administrativo y de lo Contencioso Administrativo, en la Ley 489 de 1998, las disposiciones del Código Civil y Código de Comercio que le sean aplicables</w:t>
      </w:r>
      <w:r>
        <w:rPr>
          <w:lang w:val="es-CO"/>
        </w:rPr>
        <w:t>. P</w:t>
      </w:r>
      <w:r>
        <w:t>ara tal efecto, se han realizado los estudios previos con base en los requerimientos de la Secretaría de Educación Municipal, los cuales se plasman en las condiciones del presente documento.</w:t>
      </w:r>
    </w:p>
    <w:p>
      <w:r>
        <w:t>Teniendo en cuenta el objeto y la cuantía del proceso, la presente convocatoria se desarrollará a través de la modalidad de Selección Abreviada de Menor Cuantía.</w:t>
      </w:r>
    </w:p>
    <w:p>
      <w:r>
        <w:t>En cuanto sean compatibles con la finalidad y los principios de la Ley 80 de 1993 y la Ley 1150 de 2007, las normas que rigen los procedimientos y actuaciones en la función administrativa serán aplicables en las actuaciones contractuales y a falta de éstas, regirán las disposiciones del Código General del Proceso. Se solicita seguir en la elaboración de la propuesta la metodología señalada en este documento, con el objeto de obtener claridad y ofrecimientos de la misma índole que permitan una selección objetiva, transparente y responsable y así evitar la declaratoria de desierta de esta selección.</w:t>
      </w:r>
    </w:p>
    <w:p>
      <w:r>
        <w:t>Se recuerda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 otorga.</w:t>
      </w:r>
    </w:p>
    <w:p>
      <w:r>
        <w:t>Igualmente, para efectos de la responsabilidad penal, los contratistas se consideran particulares que cumplen actividades de carácter público en todo lo concerniente a la celebración, ejecución y liquidación del contrato, razón por la cual están sujetos a la responsabilidad que en esta materia señala la ley para los servidores públicos.</w:t>
      </w:r>
    </w:p>
    <w:p>
      <w:r>
        <w:t xml:space="preserve">Anexos al Pliego de Condiciones: Los formatos o anexos del presente documento son los siguientes: </w:t>
      </w:r>
    </w:p>
    <w:p/>
    <w:p/>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1</w:t>
      </w:r>
      <w:r>
        <w:rPr>
          <w:highlight w:val="none"/>
        </w:rPr>
        <w:fldChar w:fldCharType="end"/>
      </w:r>
      <w:r>
        <w:rPr>
          <w:highlight w:val="none"/>
        </w:rPr>
        <w:t xml:space="preserve">  </w:t>
      </w:r>
      <w:r>
        <w:rPr>
          <w:highlight w:val="none"/>
        </w:rPr>
        <w:tab/>
      </w:r>
      <w:r>
        <w:rPr>
          <w:highlight w:val="none"/>
        </w:rPr>
        <w:tab/>
      </w:r>
      <w:r>
        <w:rPr>
          <w:highlight w:val="none"/>
        </w:rPr>
        <w:t>Acta de conformación de Consorcio</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2</w:t>
      </w:r>
      <w:r>
        <w:rPr>
          <w:highlight w:val="none"/>
        </w:rPr>
        <w:fldChar w:fldCharType="end"/>
      </w:r>
      <w:r>
        <w:rPr>
          <w:highlight w:val="none"/>
        </w:rPr>
        <w:t xml:space="preserve">  </w:t>
      </w:r>
      <w:r>
        <w:rPr>
          <w:highlight w:val="none"/>
        </w:rPr>
        <w:tab/>
      </w:r>
      <w:r>
        <w:rPr>
          <w:highlight w:val="none"/>
        </w:rPr>
        <w:tab/>
      </w:r>
      <w:r>
        <w:rPr>
          <w:highlight w:val="none"/>
        </w:rPr>
        <w:t>Modelo de carta de conformación de Unión Temporal</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3</w:t>
      </w:r>
      <w:r>
        <w:rPr>
          <w:highlight w:val="none"/>
        </w:rPr>
        <w:fldChar w:fldCharType="end"/>
      </w:r>
      <w:r>
        <w:rPr>
          <w:highlight w:val="none"/>
        </w:rPr>
        <w:t xml:space="preserve">  </w:t>
      </w:r>
      <w:r>
        <w:rPr>
          <w:highlight w:val="none"/>
        </w:rPr>
        <w:tab/>
      </w:r>
      <w:r>
        <w:rPr>
          <w:highlight w:val="none"/>
        </w:rPr>
        <w:tab/>
      </w:r>
      <w:r>
        <w:rPr>
          <w:highlight w:val="none"/>
        </w:rPr>
        <w:t xml:space="preserve">Personas Jurídicas. Certificación de cumplimiento del artículo 50 de la ley 789 </w:t>
      </w:r>
      <w:r>
        <w:rPr>
          <w:highlight w:val="none"/>
        </w:rPr>
        <w:tab/>
      </w:r>
      <w:r>
        <w:rPr>
          <w:highlight w:val="none"/>
        </w:rPr>
        <w:tab/>
      </w:r>
      <w:r>
        <w:rPr>
          <w:highlight w:val="none"/>
        </w:rPr>
        <w:tab/>
      </w:r>
      <w:r>
        <w:rPr>
          <w:highlight w:val="none"/>
        </w:rPr>
        <w:tab/>
      </w:r>
      <w:r>
        <w:rPr>
          <w:highlight w:val="none"/>
        </w:rPr>
        <w:t>de 2002</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4</w:t>
      </w:r>
      <w:r>
        <w:rPr>
          <w:highlight w:val="none"/>
        </w:rPr>
        <w:fldChar w:fldCharType="end"/>
      </w:r>
      <w:r>
        <w:rPr>
          <w:highlight w:val="none"/>
        </w:rPr>
        <w:t xml:space="preserve"> </w:t>
      </w:r>
      <w:r>
        <w:rPr>
          <w:highlight w:val="none"/>
        </w:rPr>
        <w:tab/>
      </w:r>
      <w:r>
        <w:rPr>
          <w:highlight w:val="none"/>
        </w:rPr>
        <w:tab/>
      </w:r>
      <w:r>
        <w:rPr>
          <w:highlight w:val="none"/>
        </w:rPr>
        <w:t xml:space="preserve">Personas naturales. Declaración juramentada de pagos de seguridad social y </w:t>
      </w:r>
      <w:r>
        <w:rPr>
          <w:highlight w:val="none"/>
        </w:rPr>
        <w:tab/>
      </w:r>
      <w:r>
        <w:rPr>
          <w:highlight w:val="none"/>
        </w:rPr>
        <w:tab/>
      </w:r>
      <w:r>
        <w:rPr>
          <w:highlight w:val="none"/>
        </w:rPr>
        <w:tab/>
      </w:r>
      <w:r>
        <w:rPr>
          <w:highlight w:val="none"/>
        </w:rPr>
        <w:tab/>
      </w:r>
      <w:r>
        <w:rPr>
          <w:highlight w:val="none"/>
        </w:rPr>
        <w:t>aportes parafiscales</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5</w:t>
      </w:r>
      <w:r>
        <w:rPr>
          <w:highlight w:val="none"/>
        </w:rPr>
        <w:fldChar w:fldCharType="end"/>
      </w:r>
      <w:r>
        <w:rPr>
          <w:highlight w:val="none"/>
        </w:rPr>
        <w:t xml:space="preserve">  </w:t>
      </w:r>
      <w:r>
        <w:rPr>
          <w:highlight w:val="none"/>
        </w:rPr>
        <w:tab/>
      </w:r>
      <w:r>
        <w:rPr>
          <w:highlight w:val="none"/>
        </w:rPr>
        <w:tab/>
      </w:r>
      <w:r>
        <w:rPr>
          <w:highlight w:val="none"/>
        </w:rPr>
        <w:t>Compromiso anticorrupción</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6</w:t>
      </w:r>
      <w:r>
        <w:rPr>
          <w:highlight w:val="none"/>
        </w:rPr>
        <w:fldChar w:fldCharType="end"/>
      </w:r>
      <w:r>
        <w:rPr>
          <w:highlight w:val="none"/>
        </w:rPr>
        <w:t xml:space="preserve">  </w:t>
      </w:r>
      <w:r>
        <w:rPr>
          <w:highlight w:val="none"/>
        </w:rPr>
        <w:tab/>
      </w:r>
      <w:r>
        <w:rPr>
          <w:highlight w:val="none"/>
        </w:rPr>
        <w:tab/>
      </w:r>
      <w:r>
        <w:rPr>
          <w:highlight w:val="none"/>
        </w:rPr>
        <w:t>Certificado de participación independiente del proponente.</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7</w:t>
      </w:r>
      <w:r>
        <w:rPr>
          <w:highlight w:val="none"/>
        </w:rPr>
        <w:fldChar w:fldCharType="end"/>
      </w:r>
      <w:r>
        <w:rPr>
          <w:highlight w:val="none"/>
        </w:rPr>
        <w:t xml:space="preserve">  </w:t>
      </w:r>
      <w:r>
        <w:rPr>
          <w:highlight w:val="none"/>
        </w:rPr>
        <w:tab/>
      </w:r>
      <w:r>
        <w:rPr>
          <w:highlight w:val="none"/>
        </w:rPr>
        <w:tab/>
      </w:r>
      <w:r>
        <w:rPr>
          <w:highlight w:val="none"/>
        </w:rPr>
        <w:t>Certificación que acredita la calidad de Mipyme.</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8</w:t>
      </w:r>
      <w:r>
        <w:rPr>
          <w:highlight w:val="none"/>
        </w:rPr>
        <w:fldChar w:fldCharType="end"/>
      </w:r>
      <w:r>
        <w:rPr>
          <w:highlight w:val="none"/>
        </w:rPr>
        <w:t xml:space="preserve">  </w:t>
      </w:r>
      <w:r>
        <w:rPr>
          <w:highlight w:val="none"/>
        </w:rPr>
        <w:tab/>
      </w:r>
      <w:r>
        <w:rPr>
          <w:highlight w:val="none"/>
        </w:rPr>
        <w:tab/>
      </w:r>
      <w:r>
        <w:rPr>
          <w:highlight w:val="none"/>
        </w:rPr>
        <w:t>Inhabilidades e Incompatilibidades</w:t>
      </w:r>
    </w:p>
    <w:p>
      <w:pPr>
        <w:spacing w:after="120" w:afterLines="50"/>
        <w:rPr>
          <w:highlight w:val="none"/>
        </w:rPr>
      </w:pPr>
      <w:r>
        <w:rPr>
          <w:highlight w:val="none"/>
        </w:rPr>
        <w:t xml:space="preserve">Anexo  </w:t>
      </w:r>
      <w:r>
        <w:rPr>
          <w:highlight w:val="none"/>
        </w:rPr>
        <w:fldChar w:fldCharType="begin"/>
      </w:r>
      <w:r>
        <w:rPr>
          <w:highlight w:val="none"/>
        </w:rPr>
        <w:instrText xml:space="preserve"> SEQ Anexo_ \* ARABIC </w:instrText>
      </w:r>
      <w:r>
        <w:rPr>
          <w:highlight w:val="none"/>
        </w:rPr>
        <w:fldChar w:fldCharType="separate"/>
      </w:r>
      <w:r>
        <w:rPr>
          <w:highlight w:val="none"/>
        </w:rPr>
        <w:t>9</w:t>
      </w:r>
      <w:r>
        <w:rPr>
          <w:highlight w:val="none"/>
        </w:rPr>
        <w:fldChar w:fldCharType="end"/>
      </w:r>
      <w:r>
        <w:rPr>
          <w:highlight w:val="none"/>
        </w:rPr>
        <w:t xml:space="preserve"> </w:t>
      </w:r>
      <w:r>
        <w:rPr>
          <w:highlight w:val="none"/>
        </w:rPr>
        <w:tab/>
      </w:r>
      <w:r>
        <w:rPr>
          <w:highlight w:val="none"/>
        </w:rPr>
        <w:tab/>
      </w:r>
      <w:r>
        <w:rPr>
          <w:highlight w:val="none"/>
        </w:rPr>
        <w:t>Experiencia Específica del proponente</w:t>
      </w:r>
    </w:p>
    <w:p>
      <w:pPr>
        <w:spacing w:after="120" w:afterLines="50"/>
        <w:rPr>
          <w:highlight w:val="none"/>
        </w:rPr>
      </w:pPr>
      <w:r>
        <w:rPr>
          <w:highlight w:val="none"/>
        </w:rPr>
        <w:t xml:space="preserve">Anexo  10 </w:t>
      </w:r>
      <w:r>
        <w:rPr>
          <w:highlight w:val="none"/>
        </w:rPr>
        <w:tab/>
      </w:r>
      <w:r>
        <w:rPr>
          <w:highlight w:val="none"/>
        </w:rPr>
        <w:tab/>
      </w:r>
      <w:r>
        <w:rPr>
          <w:highlight w:val="none"/>
        </w:rPr>
        <w:t>Contratos en ejecución para cálculo de la capacidad residual del proponente</w:t>
      </w:r>
    </w:p>
    <w:p>
      <w:pPr>
        <w:spacing w:after="120" w:afterLines="50"/>
        <w:rPr>
          <w:highlight w:val="none"/>
        </w:rPr>
      </w:pPr>
      <w:r>
        <w:rPr>
          <w:highlight w:val="none"/>
        </w:rPr>
        <w:t xml:space="preserve">Anexo  11  </w:t>
      </w:r>
      <w:r>
        <w:rPr>
          <w:highlight w:val="none"/>
        </w:rPr>
        <w:tab/>
      </w:r>
      <w:r>
        <w:rPr>
          <w:highlight w:val="none"/>
        </w:rPr>
        <w:tab/>
      </w:r>
      <w:r>
        <w:rPr>
          <w:highlight w:val="none"/>
        </w:rPr>
        <w:t xml:space="preserve">Certificación de contratos para acreditación de experiencia – Capacidad </w:t>
      </w:r>
      <w:r>
        <w:rPr>
          <w:highlight w:val="none"/>
        </w:rPr>
        <w:tab/>
      </w:r>
      <w:r>
        <w:rPr>
          <w:highlight w:val="none"/>
        </w:rPr>
        <w:tab/>
      </w:r>
      <w:r>
        <w:rPr>
          <w:highlight w:val="none"/>
        </w:rPr>
        <w:tab/>
      </w:r>
      <w:r>
        <w:rPr>
          <w:highlight w:val="none"/>
        </w:rPr>
        <w:tab/>
      </w:r>
      <w:r>
        <w:rPr>
          <w:highlight w:val="none"/>
        </w:rPr>
        <w:tab/>
      </w:r>
      <w:r>
        <w:rPr>
          <w:highlight w:val="none"/>
        </w:rPr>
        <w:t>Residual</w:t>
      </w:r>
    </w:p>
    <w:p>
      <w:pPr>
        <w:spacing w:after="120" w:afterLines="50"/>
        <w:rPr>
          <w:highlight w:val="none"/>
        </w:rPr>
      </w:pPr>
      <w:r>
        <w:rPr>
          <w:highlight w:val="none"/>
        </w:rPr>
        <w:t>Anexo  1</w:t>
      </w:r>
      <w:r>
        <w:rPr>
          <w:highlight w:val="none"/>
          <w:lang w:val="es-CO"/>
        </w:rPr>
        <w:t>2</w:t>
      </w:r>
      <w:r>
        <w:rPr>
          <w:highlight w:val="none"/>
        </w:rPr>
        <w:t xml:space="preserve">  </w:t>
      </w:r>
      <w:r>
        <w:rPr>
          <w:highlight w:val="none"/>
        </w:rPr>
        <w:tab/>
      </w:r>
      <w:r>
        <w:rPr>
          <w:highlight w:val="none"/>
        </w:rPr>
        <w:tab/>
      </w:r>
      <w:r>
        <w:rPr>
          <w:highlight w:val="none"/>
        </w:rPr>
        <w:t>Certificación de la Capacidad Técnica</w:t>
      </w:r>
    </w:p>
    <w:p>
      <w:pPr>
        <w:spacing w:after="120" w:afterLines="50"/>
        <w:rPr>
          <w:highlight w:val="none"/>
        </w:rPr>
      </w:pPr>
      <w:r>
        <w:rPr>
          <w:highlight w:val="none"/>
        </w:rPr>
        <w:t>Anexo  1</w:t>
      </w:r>
      <w:r>
        <w:rPr>
          <w:highlight w:val="none"/>
          <w:lang w:val="es-CO"/>
        </w:rPr>
        <w:t>3</w:t>
      </w:r>
      <w:r>
        <w:rPr>
          <w:highlight w:val="none"/>
        </w:rPr>
        <w:t xml:space="preserve">  </w:t>
      </w:r>
      <w:r>
        <w:rPr>
          <w:highlight w:val="none"/>
        </w:rPr>
        <w:tab/>
      </w:r>
      <w:r>
        <w:rPr>
          <w:highlight w:val="none"/>
        </w:rPr>
        <w:tab/>
      </w:r>
      <w:r>
        <w:rPr>
          <w:highlight w:val="none"/>
        </w:rPr>
        <w:t>Declaración Juramentada de Multas y sanciones (Proponentes Extranjeros)</w:t>
      </w:r>
    </w:p>
    <w:p>
      <w:pPr>
        <w:spacing w:after="120" w:afterLines="50"/>
        <w:rPr>
          <w:highlight w:val="none"/>
        </w:rPr>
      </w:pPr>
      <w:r>
        <w:rPr>
          <w:highlight w:val="none"/>
        </w:rPr>
        <w:t>Anexo  1</w:t>
      </w:r>
      <w:r>
        <w:rPr>
          <w:highlight w:val="none"/>
          <w:lang w:val="es-CO"/>
        </w:rPr>
        <w:t>4</w:t>
      </w:r>
      <w:r>
        <w:rPr>
          <w:highlight w:val="none"/>
        </w:rPr>
        <w:tab/>
      </w:r>
      <w:r>
        <w:rPr>
          <w:highlight w:val="none"/>
        </w:rPr>
        <w:tab/>
      </w:r>
      <w:r>
        <w:rPr>
          <w:highlight w:val="none"/>
        </w:rPr>
        <w:t xml:space="preserve">Formato para acreditar los requisitos habilitantes de los Proponentes </w:t>
      </w:r>
      <w:r>
        <w:rPr>
          <w:highlight w:val="none"/>
        </w:rPr>
        <w:tab/>
      </w:r>
      <w:r>
        <w:rPr>
          <w:highlight w:val="none"/>
        </w:rPr>
        <w:tab/>
      </w:r>
      <w:r>
        <w:rPr>
          <w:highlight w:val="none"/>
        </w:rPr>
        <w:tab/>
      </w:r>
      <w:r>
        <w:rPr>
          <w:highlight w:val="none"/>
        </w:rPr>
        <w:tab/>
      </w:r>
      <w:r>
        <w:rPr>
          <w:highlight w:val="none"/>
        </w:rPr>
        <w:tab/>
      </w:r>
      <w:r>
        <w:rPr>
          <w:highlight w:val="none"/>
        </w:rPr>
        <w:tab/>
      </w:r>
      <w:r>
        <w:rPr>
          <w:highlight w:val="none"/>
        </w:rPr>
        <w:t>extranjeros sin domicilio o sucursal en Colombia</w:t>
      </w:r>
    </w:p>
    <w:p>
      <w:pPr>
        <w:spacing w:after="120" w:afterLines="50"/>
        <w:rPr>
          <w:highlight w:val="none"/>
        </w:rPr>
      </w:pPr>
      <w:r>
        <w:rPr>
          <w:highlight w:val="none"/>
        </w:rPr>
        <w:t>Anexo  1</w:t>
      </w:r>
      <w:r>
        <w:rPr>
          <w:highlight w:val="none"/>
          <w:lang w:val="es-CO"/>
        </w:rPr>
        <w:t>5</w:t>
      </w:r>
      <w:r>
        <w:rPr>
          <w:highlight w:val="none"/>
        </w:rPr>
        <w:t xml:space="preserve"> </w:t>
      </w:r>
      <w:r>
        <w:rPr>
          <w:highlight w:val="none"/>
        </w:rPr>
        <w:tab/>
      </w:r>
      <w:r>
        <w:rPr>
          <w:highlight w:val="none"/>
        </w:rPr>
        <w:tab/>
      </w:r>
      <w:r>
        <w:rPr>
          <w:highlight w:val="none"/>
        </w:rPr>
        <w:t>Formato A.P.U (Para proponente adjudicatario)</w:t>
      </w:r>
    </w:p>
    <w:p>
      <w:pPr>
        <w:spacing w:after="120" w:afterLines="50"/>
        <w:rPr>
          <w:highlight w:val="none"/>
        </w:rPr>
      </w:pPr>
      <w:r>
        <w:rPr>
          <w:highlight w:val="none"/>
        </w:rPr>
        <w:t>Anexo  1</w:t>
      </w:r>
      <w:r>
        <w:rPr>
          <w:highlight w:val="none"/>
          <w:lang w:val="es-CO"/>
        </w:rPr>
        <w:t>6</w:t>
      </w:r>
      <w:r>
        <w:rPr>
          <w:highlight w:val="none"/>
        </w:rPr>
        <w:t xml:space="preserve">  </w:t>
      </w:r>
      <w:r>
        <w:rPr>
          <w:highlight w:val="none"/>
        </w:rPr>
        <w:tab/>
      </w:r>
      <w:r>
        <w:rPr>
          <w:highlight w:val="none"/>
        </w:rPr>
        <w:tab/>
      </w:r>
      <w:r>
        <w:rPr>
          <w:highlight w:val="none"/>
        </w:rPr>
        <w:t xml:space="preserve">Formato de certificado para acreditar factores de calidad objeto de </w:t>
      </w:r>
      <w:r>
        <w:rPr>
          <w:highlight w:val="none"/>
        </w:rPr>
        <w:tab/>
      </w:r>
      <w:r>
        <w:rPr>
          <w:highlight w:val="none"/>
        </w:rPr>
        <w:tab/>
      </w:r>
      <w:r>
        <w:rPr>
          <w:highlight w:val="none"/>
        </w:rPr>
        <w:tab/>
      </w:r>
      <w:r>
        <w:rPr>
          <w:highlight w:val="none"/>
        </w:rPr>
        <w:tab/>
      </w:r>
      <w:r>
        <w:rPr>
          <w:highlight w:val="none"/>
        </w:rPr>
        <w:tab/>
      </w:r>
      <w:r>
        <w:rPr>
          <w:highlight w:val="none"/>
        </w:rPr>
        <w:tab/>
      </w:r>
      <w:r>
        <w:rPr>
          <w:highlight w:val="none"/>
        </w:rPr>
        <w:t>ponderación.</w:t>
      </w:r>
    </w:p>
    <w:p>
      <w:pPr>
        <w:spacing w:after="120" w:afterLines="50"/>
        <w:rPr>
          <w:highlight w:val="none"/>
        </w:rPr>
      </w:pPr>
      <w:r>
        <w:rPr>
          <w:highlight w:val="none"/>
        </w:rPr>
        <w:t>Anexo  1</w:t>
      </w:r>
      <w:r>
        <w:rPr>
          <w:highlight w:val="none"/>
          <w:lang w:val="es-CO"/>
        </w:rPr>
        <w:t>7</w:t>
      </w:r>
      <w:r>
        <w:rPr>
          <w:highlight w:val="none"/>
        </w:rPr>
        <w:t xml:space="preserve">  </w:t>
      </w:r>
      <w:r>
        <w:rPr>
          <w:highlight w:val="none"/>
        </w:rPr>
        <w:tab/>
      </w:r>
      <w:r>
        <w:rPr>
          <w:highlight w:val="none"/>
        </w:rPr>
        <w:tab/>
      </w:r>
      <w:r>
        <w:rPr>
          <w:highlight w:val="none"/>
        </w:rPr>
        <w:t>Apoyo a la Industria Nacional</w:t>
      </w:r>
    </w:p>
    <w:p>
      <w:pPr>
        <w:spacing w:after="120" w:afterLines="50"/>
        <w:rPr>
          <w:highlight w:val="none"/>
        </w:rPr>
      </w:pPr>
      <w:r>
        <w:rPr>
          <w:highlight w:val="none"/>
        </w:rPr>
        <w:t xml:space="preserve">Anexo  </w:t>
      </w:r>
      <w:r>
        <w:rPr>
          <w:highlight w:val="none"/>
          <w:lang w:val="es-CO"/>
        </w:rPr>
        <w:t>18</w:t>
      </w:r>
      <w:r>
        <w:rPr>
          <w:highlight w:val="none"/>
        </w:rPr>
        <w:t xml:space="preserve">  </w:t>
      </w:r>
      <w:r>
        <w:rPr>
          <w:highlight w:val="none"/>
        </w:rPr>
        <w:tab/>
      </w:r>
      <w:r>
        <w:rPr>
          <w:highlight w:val="none"/>
        </w:rPr>
        <w:tab/>
      </w:r>
      <w:r>
        <w:rPr>
          <w:highlight w:val="none"/>
        </w:rPr>
        <w:t>Minuta del Contrato</w:t>
      </w:r>
    </w:p>
    <w:p>
      <w:pPr>
        <w:spacing w:after="120" w:afterLines="50"/>
        <w:rPr>
          <w:highlight w:val="none"/>
        </w:rPr>
      </w:pPr>
      <w:r>
        <w:rPr>
          <w:highlight w:val="none"/>
        </w:rPr>
        <w:t xml:space="preserve">Anexo  </w:t>
      </w:r>
      <w:r>
        <w:rPr>
          <w:highlight w:val="none"/>
          <w:lang w:val="es-CO"/>
        </w:rPr>
        <w:t>19</w:t>
      </w:r>
      <w:r>
        <w:rPr>
          <w:highlight w:val="none"/>
        </w:rPr>
        <w:t xml:space="preserve">  </w:t>
      </w:r>
      <w:r>
        <w:rPr>
          <w:highlight w:val="none"/>
        </w:rPr>
        <w:tab/>
      </w:r>
      <w:r>
        <w:rPr>
          <w:highlight w:val="none"/>
        </w:rPr>
        <w:t xml:space="preserve">    Aval de la propuesta </w:t>
      </w:r>
    </w:p>
    <w:p>
      <w:pPr>
        <w:spacing w:after="120" w:afterLines="50"/>
      </w:pPr>
    </w:p>
    <w:p>
      <w:r>
        <w:t>No obstante, si el proponente considera que es conveniente para complementar su propuesta o  anexar otra información adicional a la solicitada por el Municipio de Neiva en los Anexos o formatos establecidos, podrá anexarla haciendo referencia al formato que complementa.</w:t>
      </w:r>
    </w:p>
    <w:p/>
    <w:p>
      <w:pPr>
        <w:numPr>
          <w:ilvl w:val="0"/>
          <w:numId w:val="2"/>
        </w:numPr>
        <w:ind w:left="425" w:leftChars="0" w:hanging="425" w:firstLineChars="0"/>
        <w:jc w:val="center"/>
        <w:rPr>
          <w:b/>
        </w:rPr>
      </w:pPr>
      <w:r>
        <w:br w:type="page"/>
      </w:r>
      <w:r>
        <w:rPr>
          <w:b/>
        </w:rPr>
        <w:t>DESCRIPCIÓN DE LA NECESIDAD</w:t>
      </w:r>
    </w:p>
    <w:p>
      <w:pPr>
        <w:rPr>
          <w:rFonts w:ascii="Arial" w:hAnsi="Arial" w:eastAsia="Tahoma" w:cs="Arial"/>
          <w:sz w:val="18"/>
          <w:szCs w:val="18"/>
          <w:lang w:val="es-CO" w:eastAsia="en-US"/>
        </w:rPr>
      </w:pPr>
      <w:r>
        <w:rPr>
          <w:rFonts w:ascii="Arial" w:hAnsi="Arial" w:eastAsia="Tahoma" w:cs="Arial"/>
          <w:sz w:val="18"/>
          <w:szCs w:val="18"/>
          <w:lang w:val="es-CO" w:eastAsia="en-US"/>
        </w:rPr>
        <w:t xml:space="preserve">La Constitución Política, determinó que son fines esenciales del Estado, servir a la comunidad, promover la prosperidad general y garantizar la efectividad de los principios derechos y deberes consagrados en la Constitución, facilitar la participación ciudadana y comunitaria, asegurar la convivencia pacífica y la vigencia de un orden justo (Art. 2). </w:t>
      </w:r>
    </w:p>
    <w:p>
      <w:pPr>
        <w:rPr>
          <w:rFonts w:ascii="Arial" w:hAnsi="Arial" w:eastAsia="Tahoma" w:cs="Arial"/>
          <w:sz w:val="18"/>
          <w:szCs w:val="18"/>
          <w:lang w:val="es-CO"/>
        </w:rPr>
      </w:pPr>
      <w:r>
        <w:rPr>
          <w:rFonts w:ascii="Arial" w:hAnsi="Arial" w:eastAsia="Tahoma" w:cs="Arial"/>
          <w:sz w:val="18"/>
          <w:szCs w:val="18"/>
          <w:lang w:val="es-CO"/>
        </w:rPr>
        <w:t>Que con el término social se señala que la acción del Estado debe dirigirse a garantizarles a los asociados condiciones de vida dignas. Es decir, con este concepto se resalta que la voluntad del Constituyente en torno al Estado no se reduce a exigir de éste que no interfiera o recorte las libertades de las personas, sino que también exige que el mismo se ponga en movimiento para contrarrestar las desigualdades sociales existentes y para ofrecerle a todos las oportunidades necesarias para desarrollar sus aptitudes y para superar los apremios materiales.</w:t>
      </w:r>
    </w:p>
    <w:p>
      <w:pPr>
        <w:rPr>
          <w:rFonts w:ascii="Arial" w:hAnsi="Arial" w:eastAsia="Tahoma" w:cs="Arial"/>
          <w:sz w:val="18"/>
          <w:szCs w:val="18"/>
          <w:lang w:val="es-CO"/>
        </w:rPr>
      </w:pPr>
      <w:r>
        <w:rPr>
          <w:rFonts w:ascii="Arial" w:hAnsi="Arial" w:eastAsia="Tahoma" w:cs="Arial"/>
          <w:sz w:val="18"/>
          <w:szCs w:val="18"/>
          <w:lang w:val="es-CO"/>
        </w:rPr>
        <w:t>Que tratándose del derecho a la igualdad, ya se ha recordado que el artículo 13 superior ordena al Estado promover las condiciones para que la igualdad sea real y efectiva y adoptar medidas a favor de grupos discriminados o marginados, así como brindar protección especial a las personas que por su condición económica, física o mental, se encuentren en circunstancias de debilidad manifiesta, con lo que el Constituyente introdujo en la Carta un mandato genérico que el mismo texto constitucional dota de mayor especificidad en otras cláusulas en las que, de manera expresa, hace beneficiarios de la protección a las mujeres, a los niños, a los discapacitados o a las personas de la tercera edad, conforme se desprende, respectivamente, de los artículos 43, 44, 46 y 47 superiores, para citar solo algunos casos.</w:t>
      </w:r>
    </w:p>
    <w:p>
      <w:pPr>
        <w:rPr>
          <w:rFonts w:ascii="Arial" w:hAnsi="Arial" w:eastAsia="Tahoma" w:cs="Arial"/>
          <w:sz w:val="18"/>
          <w:szCs w:val="18"/>
          <w:lang w:val="es-CO" w:eastAsia="en-US"/>
        </w:rPr>
      </w:pPr>
      <w:r>
        <w:rPr>
          <w:rFonts w:ascii="Arial" w:hAnsi="Arial" w:eastAsia="Tahoma" w:cs="Arial"/>
          <w:sz w:val="18"/>
          <w:szCs w:val="18"/>
          <w:lang w:val="es-CO" w:eastAsia="en-US"/>
        </w:rPr>
        <w:t xml:space="preserve">Así mismo el artículo 44 constitucional establece que el Derecho a la educación en los niños prevalece sobre los derechos de los demás, por su parte el artículo 67 ibídem señala que “la educación es un derecho de la persona y un servicio público que tiene una función social con ello se busca el acceso al conocimiento, a la ciencia a la técnica y a los demás bienes y valores de la cultura (…)”.  </w:t>
      </w:r>
    </w:p>
    <w:p>
      <w:pPr>
        <w:rPr>
          <w:rFonts w:ascii="Arial" w:hAnsi="Arial" w:eastAsia="Tahoma" w:cs="Arial"/>
          <w:sz w:val="18"/>
          <w:szCs w:val="18"/>
          <w:lang w:val="es-CO" w:eastAsia="en-US"/>
        </w:rPr>
      </w:pPr>
      <w:r>
        <w:rPr>
          <w:rFonts w:ascii="Arial" w:hAnsi="Arial" w:eastAsia="Tahoma" w:cs="Arial"/>
          <w:sz w:val="18"/>
          <w:szCs w:val="18"/>
          <w:lang w:val="es-CO" w:eastAsia="en-US"/>
        </w:rPr>
        <w:t>Adicionalmente el artículo 365 de la Constitución Política, determina que los servicios públicos son inherentes a la finalidad social del Estado, por lo tanto es su deber asegurar su prestación a todos los habitantes del territorio Nacional.</w:t>
      </w:r>
    </w:p>
    <w:p>
      <w:pPr>
        <w:rPr>
          <w:rFonts w:ascii="Arial" w:hAnsi="Arial" w:eastAsia="Tahoma" w:cs="Arial"/>
          <w:sz w:val="18"/>
          <w:szCs w:val="18"/>
          <w:lang w:val="es-CO" w:eastAsia="en-US"/>
        </w:rPr>
      </w:pPr>
      <w:r>
        <w:rPr>
          <w:rFonts w:ascii="Arial" w:hAnsi="Arial" w:eastAsia="Tahoma" w:cs="Arial"/>
          <w:sz w:val="18"/>
          <w:szCs w:val="18"/>
          <w:lang w:val="es-CO" w:eastAsia="en-US"/>
        </w:rPr>
        <w:t>La Ley 115 de 1994 (Ley General de Educación), señala las normas generales para regular el servicio público de la educación que cumple una función social acorde con las necesidades e intereses de las personas, de la familia y de la sociedad; es un proceso de formación permanente personal y social que se fundamenta en una concesión integral de la persona humanas. De su dignidad de sus derechos y de sus deberes.</w:t>
      </w:r>
    </w:p>
    <w:p>
      <w:pPr>
        <w:rPr>
          <w:rFonts w:ascii="Arial" w:hAnsi="Arial" w:eastAsia="Tahoma" w:cs="Arial"/>
          <w:sz w:val="18"/>
          <w:szCs w:val="18"/>
          <w:lang w:val="es-CO" w:eastAsia="en-US"/>
        </w:rPr>
      </w:pPr>
      <w:r>
        <w:rPr>
          <w:rFonts w:ascii="Arial" w:hAnsi="Arial" w:eastAsia="Tahoma" w:cs="Arial"/>
          <w:sz w:val="18"/>
          <w:szCs w:val="18"/>
          <w:lang w:eastAsia="en-US"/>
        </w:rPr>
        <w:t xml:space="preserve">El Derecho a la Educación tiene 4 característica esenciales: </w:t>
      </w:r>
      <w:r>
        <w:rPr>
          <w:rFonts w:ascii="Arial" w:hAnsi="Arial" w:eastAsia="Tahoma" w:cs="Arial"/>
          <w:sz w:val="18"/>
          <w:szCs w:val="18"/>
          <w:lang w:val="es-CO" w:eastAsia="en-US"/>
        </w:rPr>
        <w:t xml:space="preserve">Disponibilidad que hace referencia  a la existencia de  escuelas o instituciones educativas que cubran la totalidad de la población; Aceptabilidad se refiere a los programas de estudio estos  tienen que ser adecuados culturalmente y de buena calidad, aceptables por los titulares del derecho: alumnos y padres; Igualmente  esta como una tercera característica la  Adaptabilidad lo  que establece que los programas deben adecuarse a los cambios de la sociedad y  por ultimo tenemos la Accesibilidad  lo cual dispone  que no se puede prohibir el acceso a la educación ya sea por color de piel o religión que ejerza o por razones culturales o físicas. </w:t>
      </w:r>
    </w:p>
    <w:p>
      <w:pPr>
        <w:rPr>
          <w:rFonts w:ascii="Arial" w:hAnsi="Arial" w:eastAsia="Tahoma" w:cs="Arial"/>
          <w:sz w:val="18"/>
          <w:szCs w:val="18"/>
          <w:lang w:val="es-CO" w:eastAsia="en-US"/>
        </w:rPr>
      </w:pPr>
      <w:r>
        <w:rPr>
          <w:rFonts w:ascii="Arial" w:hAnsi="Arial" w:eastAsia="Tahoma" w:cs="Arial"/>
          <w:sz w:val="18"/>
          <w:szCs w:val="18"/>
          <w:lang w:val="es-CO" w:eastAsia="en-US"/>
        </w:rPr>
        <w:t>Es por ello que la educación es el principal promotor del desarrollo de una sociedad, al ser una herramienta que prepara para la vida, y su respeto  y protección; desarrolla competencias para ejercer la ciudadanía y superar la desigualdad, la inequidad y la exclusión social esta debe comprenderse  en el ámbito formal como un proceso que inicia con la garantía de oportunidades  desde una perspectiva integral de protección, continua con el acceso y la calidad educativa en los ciclos básica y media que debe continuar con una oferta pertinente, asequible y de calidad para que los y las jóvenes accedan a la educación superior.</w:t>
      </w:r>
    </w:p>
    <w:p>
      <w:pPr>
        <w:rPr>
          <w:rFonts w:ascii="Arial" w:hAnsi="Arial" w:eastAsia="Tahoma" w:cs="Arial"/>
          <w:sz w:val="18"/>
          <w:szCs w:val="18"/>
          <w:lang w:val="es-CO" w:eastAsia="en-US"/>
        </w:rPr>
      </w:pPr>
      <w:r>
        <w:rPr>
          <w:rFonts w:ascii="Arial" w:hAnsi="Arial" w:eastAsia="Tahoma" w:cs="Arial"/>
          <w:sz w:val="18"/>
          <w:szCs w:val="18"/>
          <w:lang w:val="es-CO" w:eastAsia="en-US"/>
        </w:rPr>
        <w:t>Que el Plan de desarrollo NEIVA, LA RAZÓN DE TODOS - GOBIERNO TRANSPARENTE" para el presente cuatrienio 2016-2019, establece la educación como el eje transversal del Plan de Desarrollo que permita reconocer contextos y significados en una cultura ciudadana en armonía con el entorno que  dentro de sus objetivos se enmarca el facilitar el acceso y permanencia a toda la población en edad escolar a una educación de calidad a partir del mejoramiento de los ambientes de aprendizaje, el fortalecimiento de las practicas pedagógicas,  con lo cual se busca la disminución de la deserción escolar  y  garantizar espacios adecuados para brindar el servicio de educación a los niños, niñas, jóvenes en edad escolar.</w:t>
      </w:r>
    </w:p>
    <w:p>
      <w:pPr>
        <w:rPr>
          <w:rFonts w:ascii="Arial" w:hAnsi="Arial" w:eastAsia="Tahoma" w:cs="Arial"/>
          <w:sz w:val="18"/>
          <w:szCs w:val="18"/>
          <w:lang w:val="es-CO" w:eastAsia="en-US"/>
        </w:rPr>
      </w:pPr>
      <w:r>
        <w:rPr>
          <w:rFonts w:ascii="Arial" w:hAnsi="Arial" w:eastAsia="Tahoma" w:cs="Arial"/>
          <w:sz w:val="18"/>
          <w:szCs w:val="18"/>
          <w:lang w:val="es-CO" w:eastAsia="en-US"/>
        </w:rPr>
        <w:t>El Ministerio de Educación Nacional, para alcanzar una mayor efectividad en el uso de los recursos destinados a la financiación de obras de infraestructura y dotación escolar, ha promovido la formulación de planes territoriales de infraestructura escolar generada en el inventario de las mismas y orientada a mejorar el acceso y la permanencia de la población vulnerable.</w:t>
      </w:r>
    </w:p>
    <w:p>
      <w:pPr>
        <w:rPr>
          <w:rFonts w:ascii="Arial" w:hAnsi="Arial" w:eastAsia="Tahoma" w:cs="Arial"/>
          <w:sz w:val="18"/>
          <w:szCs w:val="18"/>
          <w:lang w:val="es-CO" w:eastAsia="es-CO"/>
        </w:rPr>
      </w:pPr>
      <w:r>
        <w:rPr>
          <w:rFonts w:ascii="Arial" w:hAnsi="Arial" w:eastAsia="Tahoma" w:cs="Arial"/>
          <w:sz w:val="18"/>
          <w:szCs w:val="18"/>
          <w:lang w:val="es-CO" w:eastAsia="es-CO"/>
        </w:rPr>
        <w:t>Con base en el artículo 20 de la Ley 715 de 2001 y mediante Resolución 2986 del 18 de diciembre de 2002 “POR LA CUAL SE OTORGA LA CERTIFICACIÓN AL MUNICIPIO DE NEIVA, DEPARTAMENTO DEL HUILA, EN CUMPLIMIENTO DE LO ESTABLECIDO EN EL ARTÍCULO 20 DE LA LEY 715 DE 2001” fue certificado el Municipio de Neiva, asumiendo el manejo del sector educativo de manera descentralizada a partir del 1 de enero del 2003</w:t>
      </w:r>
      <w:r>
        <w:rPr>
          <w:rFonts w:ascii="Arial" w:hAnsi="Arial" w:eastAsia="Tahoma" w:cs="Arial"/>
          <w:sz w:val="18"/>
          <w:szCs w:val="18"/>
          <w:lang w:eastAsia="es-CO"/>
        </w:rPr>
        <w:t>,</w:t>
      </w:r>
      <w:r>
        <w:rPr>
          <w:rFonts w:ascii="Arial" w:hAnsi="Arial" w:eastAsia="Tahoma" w:cs="Arial"/>
          <w:sz w:val="18"/>
          <w:szCs w:val="18"/>
          <w:lang w:val="es-CO" w:eastAsia="es-CO"/>
        </w:rPr>
        <w:t xml:space="preserve"> cuyas competencias son las establecidas principalmente en el artículo 7 de la Ley 715 de 2001, entre las cuales se encuentra la de dirigir, planificar y prestar el servicio educativo en los niveles de preescolar, básica y media, en condiciones de equidad, eficiencia y calidad [...].</w:t>
      </w:r>
    </w:p>
    <w:p>
      <w:pPr>
        <w:rPr>
          <w:rFonts w:ascii="Arial" w:hAnsi="Arial" w:eastAsia="Tahoma" w:cs="Arial"/>
          <w:sz w:val="18"/>
          <w:szCs w:val="18"/>
          <w:lang w:val="es-CO"/>
        </w:rPr>
      </w:pPr>
      <w:r>
        <w:rPr>
          <w:rFonts w:ascii="Arial" w:hAnsi="Arial" w:eastAsia="Tahoma" w:cs="Arial"/>
          <w:sz w:val="18"/>
          <w:szCs w:val="18"/>
          <w:lang w:val="es-CO"/>
        </w:rPr>
        <w:t>Que el Decreto 501 de 2016, expedido por el Ministerio de educación Nacional reglamentó la Jornada Única para los establecimientos educativos oficiales como desarrollo de lo normado por la Ley 1753 de 2015 por la cual se establece el Plan Nacional de Desarrollo 2014-2018 “Todos por un nuevo país”, en su el artículo 57 a saber: Artículo 57. Jornadas en los establecimientos educativos. Modifíquese el artículo 85 de la Ley 115 de 1994, el cual quedará así: “Artículo 85. Jornadas en los establecimientos educativos. El servicio público educativo se prestará en las instituciones educativas en jornada única, la cual se define para todos los efectos, como la jornada escolar en la cual los estudiantes desarrollan actividades que forman parte del plan de estudios del establecimiento educativo y el receso durante al menos siete (7) horas al día. Tratándose de preescolar el tiempo dedicado al plan de estudios será al menos de seis (6) horas.</w:t>
      </w:r>
    </w:p>
    <w:p>
      <w:pPr>
        <w:rPr>
          <w:rFonts w:ascii="Arial" w:hAnsi="Arial" w:eastAsia="Tahoma" w:cs="Arial"/>
          <w:sz w:val="18"/>
          <w:szCs w:val="18"/>
          <w:lang w:val="es-CO"/>
        </w:rPr>
      </w:pPr>
      <w:r>
        <w:rPr>
          <w:rFonts w:ascii="Arial" w:hAnsi="Arial" w:eastAsia="Tahoma" w:cs="Arial"/>
          <w:sz w:val="18"/>
          <w:szCs w:val="18"/>
          <w:lang w:val="es-CO"/>
        </w:rPr>
        <w:t>Las secretarías de educación implementarán los mecanismos para asegurar que los establecimientos educativos entreguen, dentro de sus informes periódicos de evaluación, la relación del total de horas efectivas desarrolladas en cada una de las áreas obligatorias y fundamentales, establecidas por la Ley General de Educación.</w:t>
      </w:r>
    </w:p>
    <w:p>
      <w:pPr>
        <w:rPr>
          <w:rFonts w:ascii="Arial" w:hAnsi="Arial" w:eastAsia="Tahoma" w:cs="Arial"/>
          <w:sz w:val="18"/>
          <w:szCs w:val="18"/>
          <w:lang w:val="es-CO"/>
        </w:rPr>
      </w:pPr>
      <w:r>
        <w:rPr>
          <w:rFonts w:ascii="Arial" w:hAnsi="Arial" w:eastAsia="Tahoma" w:cs="Arial"/>
          <w:sz w:val="18"/>
          <w:szCs w:val="18"/>
          <w:lang w:val="es-CO"/>
        </w:rPr>
        <w:t>Excepcionalmente, cuando las limitaciones del servicio educativo impidan el desarrollo de la jornada única, podrán ofrecerse dos jornadas escolares, una diurna y otra nocturna, bajo la responsabilidad de una misma administración. La jornada escolar nocturna se destinará, preferentemente, a la educación de adultos de que trata el Título III de la presente ley.</w:t>
      </w:r>
    </w:p>
    <w:p>
      <w:pPr>
        <w:rPr>
          <w:rFonts w:ascii="Arial" w:hAnsi="Arial" w:eastAsia="Tahoma" w:cs="Arial"/>
          <w:sz w:val="18"/>
          <w:szCs w:val="18"/>
          <w:lang w:val="es-CO"/>
        </w:rPr>
      </w:pPr>
      <w:r>
        <w:rPr>
          <w:rFonts w:ascii="Arial" w:hAnsi="Arial" w:eastAsia="Tahoma" w:cs="Arial"/>
          <w:sz w:val="18"/>
          <w:szCs w:val="18"/>
          <w:lang w:val="es-CO"/>
        </w:rPr>
        <w:t>Parágrafo. El Gobierno nacional y las entidades territoriales certificadas en educación, diseñarán planes para la implementación, de forma gradual, de la jornada única en un plazo que no supere al año 2025 en las zonas urbanas y el 2030 para las zonas rurales. En el proceso de diseño, las facultades de educación del país, las juntas de asociación de padres de familias y los docentes podrán ser consultados”</w:t>
      </w:r>
    </w:p>
    <w:p>
      <w:pPr>
        <w:rPr>
          <w:rFonts w:ascii="Arial" w:hAnsi="Arial" w:eastAsia="Tahoma" w:cs="Arial"/>
          <w:sz w:val="18"/>
          <w:szCs w:val="18"/>
          <w:lang w:val="es-CO"/>
        </w:rPr>
      </w:pPr>
      <w:r>
        <w:rPr>
          <w:rFonts w:ascii="Arial" w:hAnsi="Arial" w:eastAsia="Tahoma" w:cs="Arial"/>
          <w:sz w:val="18"/>
          <w:szCs w:val="18"/>
          <w:lang w:val="es-CO"/>
        </w:rPr>
        <w:t>Que para dar cumplimiento a la normativa aludida, se requiere llevar a cabo la reparación de ambientes, adecuaciones y mejoramientos de la planta física de algunas Instituciones Educativas, entre ellas la  INSTITUCIÓN EDUCATIVA DEPARTAMENTAL TIERRA DE PROMISION  SEDE EFRAIN ROJAS TRUJILLO, intervenciones que de forma general se indica:</w:t>
      </w:r>
    </w:p>
    <w:tbl>
      <w:tblPr>
        <w:tblStyle w:val="15"/>
        <w:tblW w:w="8719" w:type="dxa"/>
        <w:jc w:val="center"/>
        <w:tblInd w:w="0" w:type="dxa"/>
        <w:tblLayout w:type="fixed"/>
        <w:tblCellMar>
          <w:top w:w="15" w:type="dxa"/>
          <w:left w:w="15" w:type="dxa"/>
          <w:bottom w:w="15" w:type="dxa"/>
          <w:right w:w="15" w:type="dxa"/>
        </w:tblCellMar>
      </w:tblPr>
      <w:tblGrid>
        <w:gridCol w:w="1043"/>
        <w:gridCol w:w="7676"/>
      </w:tblGrid>
      <w:tr>
        <w:tblPrEx>
          <w:tblLayout w:type="fixed"/>
          <w:tblCellMar>
            <w:top w:w="15" w:type="dxa"/>
            <w:left w:w="15" w:type="dxa"/>
            <w:bottom w:w="15" w:type="dxa"/>
            <w:right w:w="15" w:type="dxa"/>
          </w:tblCellMar>
        </w:tblPrEx>
        <w:trPr>
          <w:trHeight w:val="20" w:hRule="atLeast"/>
          <w:jc w:val="center"/>
        </w:trPr>
        <w:tc>
          <w:tcPr>
            <w:tcW w:w="1043" w:type="dxa"/>
            <w:tcBorders>
              <w:top w:val="single" w:color="000000" w:sz="8" w:space="0"/>
              <w:left w:val="single" w:color="000000" w:sz="8" w:space="0"/>
              <w:bottom w:val="single" w:color="000000" w:sz="8" w:space="0"/>
              <w:right w:val="single" w:color="000000" w:sz="2" w:space="0"/>
            </w:tcBorders>
            <w:shd w:val="clear" w:color="auto" w:fill="auto"/>
            <w:vAlign w:val="center"/>
          </w:tcPr>
          <w:p>
            <w:pPr>
              <w:rPr>
                <w:rFonts w:ascii="Arial" w:hAnsi="Arial" w:eastAsia="Tahoma" w:cs="Arial"/>
                <w:sz w:val="18"/>
                <w:szCs w:val="18"/>
              </w:rPr>
            </w:pPr>
            <w:r>
              <w:rPr>
                <w:rFonts w:ascii="Arial" w:hAnsi="Arial" w:eastAsia="Tahoma" w:cs="Arial"/>
                <w:sz w:val="18"/>
                <w:szCs w:val="18"/>
                <w:lang w:eastAsia="zh-CN"/>
              </w:rPr>
              <w:t>Item</w:t>
            </w:r>
          </w:p>
        </w:tc>
        <w:tc>
          <w:tcPr>
            <w:tcW w:w="7676" w:type="dxa"/>
            <w:tcBorders>
              <w:top w:val="single" w:color="000000" w:sz="8" w:space="0"/>
              <w:left w:val="single" w:color="000000" w:sz="2" w:space="0"/>
              <w:bottom w:val="single" w:color="000000" w:sz="8" w:space="0"/>
              <w:right w:val="single" w:color="000000" w:sz="2" w:space="0"/>
            </w:tcBorders>
            <w:shd w:val="clear" w:color="auto" w:fill="auto"/>
            <w:vAlign w:val="bottom"/>
          </w:tcPr>
          <w:p>
            <w:pPr>
              <w:rPr>
                <w:rFonts w:ascii="Arial" w:hAnsi="Arial" w:eastAsia="Tahoma" w:cs="Arial"/>
                <w:sz w:val="18"/>
                <w:szCs w:val="18"/>
              </w:rPr>
            </w:pPr>
            <w:r>
              <w:rPr>
                <w:rFonts w:ascii="Arial" w:hAnsi="Arial" w:eastAsia="Tahoma" w:cs="Arial"/>
                <w:sz w:val="18"/>
                <w:szCs w:val="18"/>
                <w:lang w:eastAsia="zh-CN"/>
              </w:rPr>
              <w:t>Actividad</w:t>
            </w:r>
          </w:p>
        </w:tc>
      </w:tr>
      <w:tr>
        <w:tblPrEx>
          <w:tblLayout w:type="fixed"/>
          <w:tblCellMar>
            <w:top w:w="15" w:type="dxa"/>
            <w:left w:w="15" w:type="dxa"/>
            <w:bottom w:w="15" w:type="dxa"/>
            <w:right w:w="15" w:type="dxa"/>
          </w:tblCellMar>
        </w:tblPrEx>
        <w:trPr>
          <w:trHeight w:val="20" w:hRule="atLeast"/>
          <w:jc w:val="center"/>
        </w:trPr>
        <w:tc>
          <w:tcPr>
            <w:tcW w:w="1043" w:type="dxa"/>
            <w:tcBorders>
              <w:top w:val="single" w:color="000000" w:sz="8" w:space="0"/>
              <w:left w:val="single" w:color="000000" w:sz="8" w:space="0"/>
              <w:bottom w:val="single" w:color="000000" w:sz="2" w:space="0"/>
              <w:right w:val="single" w:color="000000" w:sz="2" w:space="0"/>
            </w:tcBorders>
            <w:shd w:val="clear" w:color="auto" w:fill="auto"/>
            <w:vAlign w:val="center"/>
          </w:tcPr>
          <w:p>
            <w:pPr>
              <w:rPr>
                <w:rFonts w:ascii="Arial" w:hAnsi="Arial" w:eastAsia="Tahoma" w:cs="Arial"/>
                <w:sz w:val="18"/>
                <w:szCs w:val="18"/>
                <w:lang w:val="es-CO"/>
              </w:rPr>
            </w:pPr>
            <w:r>
              <w:rPr>
                <w:rFonts w:ascii="Arial" w:hAnsi="Arial" w:eastAsia="Tahoma" w:cs="Arial"/>
                <w:sz w:val="18"/>
                <w:szCs w:val="18"/>
                <w:lang w:val="es-CO"/>
              </w:rPr>
              <w:t>1</w:t>
            </w:r>
          </w:p>
        </w:tc>
        <w:tc>
          <w:tcPr>
            <w:tcW w:w="7676" w:type="dxa"/>
            <w:tcBorders>
              <w:top w:val="single" w:color="000000" w:sz="8" w:space="0"/>
              <w:left w:val="single" w:color="000000" w:sz="2" w:space="0"/>
              <w:bottom w:val="single" w:color="000000" w:sz="2" w:space="0"/>
              <w:right w:val="single" w:color="000000" w:sz="2" w:space="0"/>
            </w:tcBorders>
            <w:shd w:val="clear" w:color="auto" w:fill="auto"/>
            <w:vAlign w:val="bottom"/>
          </w:tcPr>
          <w:p>
            <w:pPr>
              <w:rPr>
                <w:rFonts w:ascii="Arial" w:hAnsi="Arial" w:eastAsia="Tahoma" w:cs="Arial"/>
                <w:sz w:val="18"/>
                <w:szCs w:val="18"/>
              </w:rPr>
            </w:pPr>
            <w:r>
              <w:rPr>
                <w:rFonts w:ascii="Arial" w:hAnsi="Arial" w:eastAsia="Tahoma" w:cs="Arial"/>
                <w:sz w:val="18"/>
                <w:szCs w:val="18"/>
                <w:lang w:val="es-CO" w:eastAsia="zh-CN"/>
              </w:rPr>
              <w:t xml:space="preserve">ACTIVIDADES </w:t>
            </w:r>
            <w:r>
              <w:rPr>
                <w:rFonts w:ascii="Arial" w:hAnsi="Arial" w:eastAsia="Tahoma" w:cs="Arial"/>
                <w:sz w:val="18"/>
                <w:szCs w:val="18"/>
                <w:lang w:eastAsia="zh-CN"/>
              </w:rPr>
              <w:t>PRELIMINARES</w:t>
            </w:r>
          </w:p>
        </w:tc>
      </w:tr>
      <w:tr>
        <w:tblPrEx>
          <w:tblLayout w:type="fixed"/>
          <w:tblCellMar>
            <w:top w:w="15" w:type="dxa"/>
            <w:left w:w="15" w:type="dxa"/>
            <w:bottom w:w="15" w:type="dxa"/>
            <w:right w:w="15" w:type="dxa"/>
          </w:tblCellMar>
        </w:tblPrEx>
        <w:trPr>
          <w:trHeight w:val="20" w:hRule="atLeast"/>
          <w:jc w:val="center"/>
        </w:trPr>
        <w:tc>
          <w:tcPr>
            <w:tcW w:w="1043" w:type="dxa"/>
            <w:tcBorders>
              <w:top w:val="single" w:color="000000" w:sz="8" w:space="0"/>
              <w:left w:val="single" w:color="000000" w:sz="8" w:space="0"/>
              <w:bottom w:val="single" w:color="000000" w:sz="2" w:space="0"/>
              <w:right w:val="single" w:color="000000" w:sz="2" w:space="0"/>
            </w:tcBorders>
            <w:shd w:val="clear" w:color="auto" w:fill="auto"/>
            <w:vAlign w:val="center"/>
          </w:tcPr>
          <w:p>
            <w:pPr>
              <w:rPr>
                <w:rFonts w:ascii="Arial" w:hAnsi="Arial" w:eastAsia="Tahoma" w:cs="Arial"/>
                <w:sz w:val="18"/>
                <w:szCs w:val="18"/>
                <w:lang w:val="es-CO" w:eastAsia="zh-CN"/>
              </w:rPr>
            </w:pPr>
            <w:r>
              <w:rPr>
                <w:rFonts w:ascii="Arial" w:hAnsi="Arial" w:eastAsia="Tahoma" w:cs="Arial"/>
                <w:sz w:val="18"/>
                <w:szCs w:val="18"/>
                <w:lang w:val="es-CO" w:eastAsia="zh-CN"/>
              </w:rPr>
              <w:t>2</w:t>
            </w:r>
          </w:p>
        </w:tc>
        <w:tc>
          <w:tcPr>
            <w:tcW w:w="7676" w:type="dxa"/>
            <w:tcBorders>
              <w:top w:val="single" w:color="000000" w:sz="8" w:space="0"/>
              <w:left w:val="single" w:color="000000" w:sz="2" w:space="0"/>
              <w:bottom w:val="single" w:color="000000" w:sz="2" w:space="0"/>
              <w:right w:val="single" w:color="000000" w:sz="2" w:space="0"/>
            </w:tcBorders>
            <w:shd w:val="clear" w:color="auto" w:fill="auto"/>
            <w:vAlign w:val="bottom"/>
          </w:tcPr>
          <w:p>
            <w:pPr>
              <w:rPr>
                <w:rFonts w:ascii="Arial" w:hAnsi="Arial" w:eastAsia="Tahoma" w:cs="Arial"/>
                <w:sz w:val="18"/>
                <w:szCs w:val="18"/>
                <w:lang w:val="es-CO" w:eastAsia="zh-CN"/>
              </w:rPr>
            </w:pPr>
            <w:r>
              <w:rPr>
                <w:rFonts w:ascii="Arial" w:hAnsi="Arial" w:eastAsia="Tahoma" w:cs="Arial"/>
                <w:sz w:val="18"/>
                <w:szCs w:val="18"/>
                <w:lang w:val="es-CO" w:eastAsia="zh-CN"/>
              </w:rPr>
              <w:t>DESAGUES E  INSTALACIONES SUBTERRANEAS</w:t>
            </w:r>
          </w:p>
        </w:tc>
      </w:tr>
      <w:tr>
        <w:tblPrEx>
          <w:tblLayout w:type="fixed"/>
          <w:tblCellMar>
            <w:top w:w="15" w:type="dxa"/>
            <w:left w:w="15" w:type="dxa"/>
            <w:bottom w:w="15" w:type="dxa"/>
            <w:right w:w="15" w:type="dxa"/>
          </w:tblCellMar>
        </w:tblPrEx>
        <w:trPr>
          <w:trHeight w:val="20" w:hRule="atLeast"/>
          <w:jc w:val="center"/>
        </w:trPr>
        <w:tc>
          <w:tcPr>
            <w:tcW w:w="1043" w:type="dxa"/>
            <w:tcBorders>
              <w:top w:val="single" w:color="000000" w:sz="8" w:space="0"/>
              <w:left w:val="single" w:color="000000" w:sz="8" w:space="0"/>
              <w:bottom w:val="single" w:color="000000" w:sz="2" w:space="0"/>
              <w:right w:val="single" w:color="000000" w:sz="2" w:space="0"/>
            </w:tcBorders>
            <w:shd w:val="clear" w:color="auto" w:fill="auto"/>
            <w:vAlign w:val="center"/>
          </w:tcPr>
          <w:p>
            <w:pPr>
              <w:rPr>
                <w:rFonts w:ascii="Arial" w:hAnsi="Arial" w:eastAsia="Tahoma" w:cs="Arial"/>
                <w:sz w:val="18"/>
                <w:szCs w:val="18"/>
                <w:lang w:val="es-CO" w:eastAsia="zh-CN"/>
              </w:rPr>
            </w:pPr>
            <w:r>
              <w:rPr>
                <w:rFonts w:ascii="Arial" w:hAnsi="Arial" w:eastAsia="Tahoma" w:cs="Arial"/>
                <w:sz w:val="18"/>
                <w:szCs w:val="18"/>
                <w:lang w:val="es-CO" w:eastAsia="zh-CN"/>
              </w:rPr>
              <w:t>3</w:t>
            </w:r>
          </w:p>
        </w:tc>
        <w:tc>
          <w:tcPr>
            <w:tcW w:w="7676" w:type="dxa"/>
            <w:tcBorders>
              <w:top w:val="single" w:color="000000" w:sz="8" w:space="0"/>
              <w:left w:val="single" w:color="000000" w:sz="2" w:space="0"/>
              <w:bottom w:val="single" w:color="000000" w:sz="2" w:space="0"/>
              <w:right w:val="single" w:color="000000" w:sz="2" w:space="0"/>
            </w:tcBorders>
            <w:shd w:val="clear" w:color="auto" w:fill="auto"/>
            <w:vAlign w:val="bottom"/>
          </w:tcPr>
          <w:p>
            <w:pPr>
              <w:rPr>
                <w:rFonts w:ascii="Arial" w:hAnsi="Arial" w:eastAsia="Tahoma" w:cs="Arial"/>
                <w:sz w:val="18"/>
                <w:szCs w:val="18"/>
                <w:lang w:val="es-CO" w:eastAsia="zh-CN"/>
              </w:rPr>
            </w:pPr>
            <w:r>
              <w:rPr>
                <w:rFonts w:ascii="Arial" w:hAnsi="Arial" w:eastAsia="Tahoma" w:cs="Arial"/>
                <w:sz w:val="18"/>
                <w:szCs w:val="18"/>
                <w:lang w:val="es-CO" w:eastAsia="zh-CN"/>
              </w:rPr>
              <w:t>CUBIERTAS</w:t>
            </w:r>
          </w:p>
        </w:tc>
      </w:tr>
      <w:tr>
        <w:tblPrEx>
          <w:tblLayout w:type="fixed"/>
          <w:tblCellMar>
            <w:top w:w="15" w:type="dxa"/>
            <w:left w:w="15" w:type="dxa"/>
            <w:bottom w:w="15" w:type="dxa"/>
            <w:right w:w="15" w:type="dxa"/>
          </w:tblCellMar>
        </w:tblPrEx>
        <w:trPr>
          <w:trHeight w:val="20" w:hRule="atLeast"/>
          <w:jc w:val="center"/>
        </w:trPr>
        <w:tc>
          <w:tcPr>
            <w:tcW w:w="1043" w:type="dxa"/>
            <w:tcBorders>
              <w:top w:val="single" w:color="000000" w:sz="2" w:space="0"/>
              <w:left w:val="single" w:color="000000" w:sz="8" w:space="0"/>
              <w:bottom w:val="single" w:color="000000" w:sz="2" w:space="0"/>
              <w:right w:val="single" w:color="000000" w:sz="2" w:space="0"/>
            </w:tcBorders>
            <w:shd w:val="clear" w:color="auto" w:fill="auto"/>
            <w:vAlign w:val="center"/>
          </w:tcPr>
          <w:p>
            <w:pPr>
              <w:rPr>
                <w:rFonts w:ascii="Arial" w:hAnsi="Arial" w:eastAsia="Tahoma" w:cs="Arial"/>
                <w:sz w:val="18"/>
                <w:szCs w:val="18"/>
                <w:lang w:val="es-CO"/>
              </w:rPr>
            </w:pPr>
            <w:r>
              <w:rPr>
                <w:rFonts w:ascii="Arial" w:hAnsi="Arial" w:eastAsia="Tahoma" w:cs="Arial"/>
                <w:sz w:val="18"/>
                <w:szCs w:val="18"/>
                <w:lang w:val="es-CO"/>
              </w:rPr>
              <w:t>4</w:t>
            </w:r>
          </w:p>
        </w:tc>
        <w:tc>
          <w:tcPr>
            <w:tcW w:w="7676" w:type="dxa"/>
            <w:tcBorders>
              <w:top w:val="single" w:color="000000" w:sz="2" w:space="0"/>
              <w:left w:val="single" w:color="000000" w:sz="2" w:space="0"/>
              <w:bottom w:val="single" w:color="000000" w:sz="2" w:space="0"/>
              <w:right w:val="single" w:color="000000" w:sz="2" w:space="0"/>
            </w:tcBorders>
            <w:shd w:val="clear" w:color="auto" w:fill="auto"/>
            <w:vAlign w:val="center"/>
          </w:tcPr>
          <w:p>
            <w:pPr>
              <w:rPr>
                <w:rFonts w:ascii="Arial" w:hAnsi="Arial" w:eastAsia="Tahoma" w:cs="Arial"/>
                <w:sz w:val="18"/>
                <w:szCs w:val="18"/>
                <w:lang w:val="es-CO"/>
              </w:rPr>
            </w:pPr>
            <w:r>
              <w:rPr>
                <w:rFonts w:ascii="Arial" w:hAnsi="Arial" w:eastAsia="Tahoma" w:cs="Arial"/>
                <w:sz w:val="18"/>
                <w:szCs w:val="18"/>
                <w:lang w:val="es-CO" w:eastAsia="zh-CN"/>
              </w:rPr>
              <w:t>INSTALACION SANITARIA/LATONERIA</w:t>
            </w:r>
          </w:p>
        </w:tc>
      </w:tr>
      <w:tr>
        <w:tblPrEx>
          <w:tblLayout w:type="fixed"/>
          <w:tblCellMar>
            <w:top w:w="15" w:type="dxa"/>
            <w:left w:w="15" w:type="dxa"/>
            <w:bottom w:w="15" w:type="dxa"/>
            <w:right w:w="15" w:type="dxa"/>
          </w:tblCellMar>
        </w:tblPrEx>
        <w:trPr>
          <w:trHeight w:val="249" w:hRule="atLeast"/>
          <w:jc w:val="center"/>
        </w:trPr>
        <w:tc>
          <w:tcPr>
            <w:tcW w:w="1043" w:type="dxa"/>
            <w:tcBorders>
              <w:top w:val="single" w:color="000000" w:sz="2" w:space="0"/>
              <w:left w:val="single" w:color="000000" w:sz="8" w:space="0"/>
              <w:bottom w:val="single" w:color="000000" w:sz="2" w:space="0"/>
              <w:right w:val="single" w:color="000000" w:sz="2" w:space="0"/>
            </w:tcBorders>
            <w:shd w:val="clear" w:color="auto" w:fill="auto"/>
            <w:vAlign w:val="center"/>
          </w:tcPr>
          <w:p>
            <w:pPr>
              <w:rPr>
                <w:rFonts w:ascii="Arial" w:hAnsi="Arial" w:eastAsia="Tahoma" w:cs="Arial"/>
                <w:sz w:val="18"/>
                <w:szCs w:val="18"/>
                <w:lang w:val="es-CO"/>
              </w:rPr>
            </w:pPr>
            <w:r>
              <w:rPr>
                <w:rFonts w:ascii="Arial" w:hAnsi="Arial" w:eastAsia="Tahoma" w:cs="Arial"/>
                <w:sz w:val="18"/>
                <w:szCs w:val="18"/>
                <w:lang w:val="es-CO"/>
              </w:rPr>
              <w:t>5</w:t>
            </w:r>
          </w:p>
        </w:tc>
        <w:tc>
          <w:tcPr>
            <w:tcW w:w="7676" w:type="dxa"/>
            <w:tcBorders>
              <w:top w:val="single" w:color="000000" w:sz="2" w:space="0"/>
              <w:left w:val="single" w:color="000000" w:sz="2" w:space="0"/>
              <w:bottom w:val="single" w:color="000000" w:sz="2" w:space="0"/>
              <w:right w:val="single" w:color="000000" w:sz="2" w:space="0"/>
            </w:tcBorders>
            <w:shd w:val="clear" w:color="auto" w:fill="auto"/>
            <w:vAlign w:val="center"/>
          </w:tcPr>
          <w:p>
            <w:pPr>
              <w:rPr>
                <w:rFonts w:ascii="Arial" w:hAnsi="Arial" w:eastAsia="Tahoma" w:cs="Arial"/>
                <w:sz w:val="18"/>
                <w:szCs w:val="18"/>
                <w:lang w:val="es-CO" w:eastAsia="zh-CN"/>
              </w:rPr>
            </w:pPr>
            <w:r>
              <w:rPr>
                <w:rFonts w:ascii="Arial" w:hAnsi="Arial" w:eastAsia="Tahoma" w:cs="Arial"/>
                <w:sz w:val="18"/>
                <w:szCs w:val="18"/>
                <w:lang w:val="es-CO" w:eastAsia="zh-CN"/>
              </w:rPr>
              <w:t>OBRAS EXTERIORES</w:t>
            </w:r>
          </w:p>
        </w:tc>
      </w:tr>
    </w:tbl>
    <w:p>
      <w:pPr>
        <w:rPr>
          <w:rFonts w:ascii="Arial" w:hAnsi="Arial" w:eastAsia="Tahoma" w:cs="Arial"/>
          <w:sz w:val="18"/>
          <w:szCs w:val="18"/>
          <w:lang w:val="es-CO"/>
        </w:rPr>
      </w:pPr>
    </w:p>
    <w:p>
      <w:pPr>
        <w:rPr>
          <w:rFonts w:ascii="Arial" w:hAnsi="Arial" w:eastAsia="Tahoma" w:cs="Arial"/>
          <w:sz w:val="18"/>
          <w:szCs w:val="18"/>
          <w:lang w:val="es-CO"/>
        </w:rPr>
      </w:pPr>
      <w:r>
        <w:rPr>
          <w:rFonts w:ascii="Arial" w:hAnsi="Arial" w:eastAsia="Tahoma" w:cs="Arial"/>
          <w:sz w:val="18"/>
          <w:szCs w:val="18"/>
          <w:lang w:val="es-CO"/>
        </w:rPr>
        <w:t>Las mentadas intervenciones generales son producto de las revisiones y visitas hechas a la citada institución educativa  por el ingeniero responsable del presupuesto.</w:t>
      </w:r>
    </w:p>
    <w:p>
      <w:pPr>
        <w:rPr>
          <w:rFonts w:ascii="Arial" w:hAnsi="Arial" w:eastAsia="Tahoma" w:cs="Arial"/>
          <w:sz w:val="18"/>
          <w:szCs w:val="18"/>
          <w:lang w:val="es-CO"/>
        </w:rPr>
      </w:pPr>
      <w:r>
        <w:rPr>
          <w:rFonts w:ascii="Arial" w:hAnsi="Arial" w:eastAsia="Tahoma" w:cs="Arial"/>
          <w:sz w:val="18"/>
          <w:szCs w:val="18"/>
          <w:lang w:val="es-CO"/>
        </w:rPr>
        <w:t>Que así las cosas, al definir a los destinatarios de medidas favorables y de las consiguientes políticas públicas sociales, el legislador debe reparar en los criterios materiales de orden superior, en la finalidad protectora que inspira la previsión constitucional y en la calidad de sujetos merecedores de especial protección que la jurisprudencia, basada en la Carta, le ha asignado a los grupos marginados y a las personas ubicadas en condiciones de manifiesta debilidad.</w:t>
      </w:r>
    </w:p>
    <w:p>
      <w:pPr>
        <w:rPr>
          <w:rFonts w:ascii="Arial" w:hAnsi="Arial" w:eastAsia="Tahoma" w:cs="Arial"/>
          <w:sz w:val="18"/>
          <w:szCs w:val="18"/>
          <w:lang w:val="es-CO"/>
        </w:rPr>
      </w:pPr>
      <w:r>
        <w:rPr>
          <w:rFonts w:ascii="Arial" w:hAnsi="Arial" w:eastAsia="Tahoma" w:cs="Arial"/>
          <w:sz w:val="18"/>
          <w:szCs w:val="18"/>
          <w:lang w:val="es-CO"/>
        </w:rPr>
        <w:t>Por  lo antes expuesto y teniendo en cuenta que uno de los objetivos  de la Secretaria de educación es garantizar el acceso y permanencia con equidad y criterios de calidad, desde el punto de vista locativo, pedagógico, administrativo, comunitario y direccional para el logro de mejores aprendizajes y en desarrollo de las competencias básicas de los estudiantes del Municipio de Neiva, se hace necesario adelantar el presente proceso contractual encaminado a ejecutar las obras de adecuación y mejoramiento de la infraestructura de la INSTITUCIÓN EDUCATIVA DEPARTAMENTAL, TIERRA DE PROMISION  SEDE EFRAIN ROJAS TRUJILLO. Lo anterior Buscando cumplir con la meta del producto “reparar ambientes de aprendizaje para los estudiantes de transición, primaria, secundaria y media en las sedes educativas oficiales de Neiva” en aras de incrementar la cobertura escolar media, como lo dispone el Plan de Desarrollo señalado en líneas precedentes.</w:t>
      </w:r>
    </w:p>
    <w:p>
      <w:pPr>
        <w:rPr>
          <w:rFonts w:ascii="Arial" w:hAnsi="Arial" w:eastAsia="Tahoma" w:cs="Arial"/>
          <w:sz w:val="18"/>
          <w:szCs w:val="18"/>
        </w:rPr>
      </w:pPr>
      <w:r>
        <w:rPr>
          <w:rFonts w:ascii="Arial" w:hAnsi="Arial" w:eastAsia="Tahoma" w:cs="Arial"/>
          <w:sz w:val="18"/>
          <w:szCs w:val="18"/>
          <w:lang w:val="es-CO"/>
        </w:rPr>
        <w:t xml:space="preserve">El objetivo principal del Municipio de Neiva, es </w:t>
      </w:r>
      <w:r>
        <w:rPr>
          <w:rFonts w:ascii="Arial" w:hAnsi="Arial" w:eastAsia="Tahoma" w:cs="Arial"/>
          <w:sz w:val="18"/>
          <w:szCs w:val="18"/>
        </w:rPr>
        <w:t>contar con aulas y espacios de aprendizaje en buen estado, determinante en el momento de lograr que los alumnos obtengan los resultados académicos esperados. En otras palabras, el estado de los colegios incide directamente en el desempeño de los alumnos. </w:t>
      </w:r>
    </w:p>
    <w:p>
      <w:pPr>
        <w:rPr>
          <w:rFonts w:ascii="Arial" w:hAnsi="Arial" w:eastAsia="Tahoma" w:cs="Arial"/>
          <w:sz w:val="18"/>
          <w:szCs w:val="18"/>
        </w:rPr>
      </w:pPr>
      <w:r>
        <w:rPr>
          <w:rFonts w:ascii="Arial" w:hAnsi="Arial" w:eastAsia="Tahoma" w:cs="Arial"/>
          <w:sz w:val="18"/>
          <w:szCs w:val="18"/>
        </w:rPr>
        <w:t>Y es que una buena infraestructura escolar, con espacios renovados, posibilita que niños y jóvenes que viven en sitios remotos puedan estudiar y, además, tiende a mejorar la asistencia e interés de los estudiantes y maestros por el aprendizaje. Por esta misma razón, las inversiones en infraestructura escolar tienen un papel fundamental para solucionar el problema del acceso de los estudiantes al sistema escolar y para mejorar su rendimiento. </w:t>
      </w:r>
    </w:p>
    <w:p>
      <w:pPr>
        <w:rPr>
          <w:rFonts w:ascii="Arial" w:hAnsi="Arial" w:eastAsia="Tahoma" w:cs="Arial"/>
          <w:sz w:val="18"/>
          <w:szCs w:val="18"/>
        </w:rPr>
      </w:pPr>
      <w:r>
        <w:rPr>
          <w:rFonts w:ascii="Arial" w:hAnsi="Arial" w:eastAsia="Tahoma" w:cs="Arial"/>
          <w:sz w:val="18"/>
          <w:szCs w:val="18"/>
        </w:rPr>
        <w:t>En un país en desarrollo como lo es Colombia, debemos preguntarnos ¿Qué hace que una infraestructura escolar pueda considerarse de calidad?, justificado en el derecho fundamental constitucional de educación.</w:t>
      </w:r>
    </w:p>
    <w:p>
      <w:pPr>
        <w:rPr>
          <w:rFonts w:ascii="Arial" w:hAnsi="Arial" w:eastAsia="Tahoma" w:cs="Arial"/>
          <w:sz w:val="18"/>
          <w:szCs w:val="18"/>
        </w:rPr>
      </w:pPr>
      <w:r>
        <w:rPr>
          <w:rFonts w:ascii="Arial" w:hAnsi="Arial" w:eastAsia="Tahoma" w:cs="Arial"/>
          <w:sz w:val="18"/>
          <w:szCs w:val="18"/>
        </w:rPr>
        <w:t>Deberá cumplir, según los expertos, con al menos los siguientes parámetros:</w:t>
      </w:r>
    </w:p>
    <w:p>
      <w:pPr>
        <w:rPr>
          <w:rFonts w:ascii="Arial" w:hAnsi="Arial" w:eastAsia="Tahoma" w:cs="Arial"/>
          <w:sz w:val="18"/>
          <w:szCs w:val="18"/>
        </w:rPr>
      </w:pPr>
      <w:r>
        <w:rPr>
          <w:rFonts w:ascii="Arial" w:hAnsi="Arial" w:eastAsia="Tahoma" w:cs="Arial"/>
          <w:sz w:val="18"/>
          <w:szCs w:val="18"/>
        </w:rPr>
        <w:t>Condiciones de comodidad para los estudiantes, docentes y administradores: espacios para los docentes y los alumnos, con temperatura adecuada, ventilación e iluminación adecuadas, con servicio de agua, electricidad e Internet, así como sanitarios y sus respectivos drenajes de aguas negras.</w:t>
      </w:r>
    </w:p>
    <w:p>
      <w:pPr>
        <w:rPr>
          <w:rFonts w:ascii="Arial" w:hAnsi="Arial" w:eastAsia="Tahoma" w:cs="Arial"/>
          <w:sz w:val="18"/>
          <w:szCs w:val="18"/>
        </w:rPr>
      </w:pPr>
      <w:r>
        <w:rPr>
          <w:rFonts w:ascii="Arial" w:hAnsi="Arial" w:eastAsia="Tahoma" w:cs="Arial"/>
          <w:sz w:val="18"/>
          <w:szCs w:val="18"/>
        </w:rPr>
        <w:t>Espacios para el desarrollo de ensayos y prácticas como bibliotecas, laboratorios de ciencias naturales, de informática, física y química.</w:t>
      </w:r>
    </w:p>
    <w:p>
      <w:pPr>
        <w:rPr>
          <w:rFonts w:ascii="Arial" w:hAnsi="Arial" w:eastAsia="Tahoma" w:cs="Arial"/>
          <w:sz w:val="18"/>
          <w:szCs w:val="18"/>
        </w:rPr>
      </w:pPr>
      <w:r>
        <w:rPr>
          <w:rFonts w:ascii="Arial" w:hAnsi="Arial" w:eastAsia="Tahoma" w:cs="Arial"/>
          <w:sz w:val="18"/>
          <w:szCs w:val="18"/>
        </w:rPr>
        <w:t>Espacios para el desarrollo del talento y del entretenimiento, del deporte y la cultura.</w:t>
      </w:r>
    </w:p>
    <w:p>
      <w:pPr>
        <w:rPr>
          <w:rFonts w:ascii="Arial" w:hAnsi="Arial" w:eastAsia="Tahoma" w:cs="Arial"/>
          <w:sz w:val="18"/>
          <w:szCs w:val="18"/>
        </w:rPr>
      </w:pPr>
      <w:r>
        <w:rPr>
          <w:rFonts w:ascii="Arial" w:hAnsi="Arial" w:eastAsia="Tahoma" w:cs="Arial"/>
          <w:sz w:val="18"/>
          <w:szCs w:val="18"/>
        </w:rPr>
        <w:t> </w:t>
      </w:r>
    </w:p>
    <w:p>
      <w:pPr>
        <w:rPr>
          <w:rFonts w:ascii="Arial" w:hAnsi="Arial" w:eastAsia="Tahoma" w:cs="Arial"/>
          <w:sz w:val="18"/>
          <w:szCs w:val="18"/>
        </w:rPr>
      </w:pPr>
      <w:r>
        <w:rPr>
          <w:rFonts w:ascii="Arial" w:hAnsi="Arial" w:eastAsia="Tahoma" w:cs="Arial"/>
          <w:sz w:val="18"/>
          <w:szCs w:val="18"/>
        </w:rPr>
        <w:t>"La mejora de las condiciones físicas de las escuelas tiene una relación tan estrecha con el aprendizaje como la que tienen otros insumos educativos incluyendo el ambiente familiar, la motivación, los buenos maestros, bibliotecas, las tecnologías o los servicios para los estudiantes", asegura Daniel Rivera, director de proyectos de desarrollo social de CAF -Banco de Desarrollo de América Latina.  </w:t>
      </w:r>
    </w:p>
    <w:p>
      <w:pPr>
        <w:rPr>
          <w:rFonts w:ascii="Arial" w:hAnsi="Arial" w:eastAsia="Tahoma" w:cs="Arial"/>
          <w:sz w:val="18"/>
          <w:szCs w:val="18"/>
        </w:rPr>
      </w:pPr>
      <w:r>
        <w:rPr>
          <w:rFonts w:ascii="Arial" w:hAnsi="Arial" w:eastAsia="Tahoma" w:cs="Arial"/>
          <w:sz w:val="18"/>
          <w:szCs w:val="18"/>
          <w:lang w:val="es-CO" w:eastAsia="en-US"/>
        </w:rPr>
        <w:t>Luego entonces, la Secretaría de Educación Municipal de Neiva se permite presentar el estudio de conveniencia y oportunidad según el artículo 25, numeral 7 y 12 de la ley 80 de 1993, artículo 2, numeral 2, literal b de la ley 1150 de 2007 y artículo 2.2.1.1.2.1.1 y  2.2.1.2.1.2.20.del Decreto reglamentario 1082 del 2015, y Ley 1882/18, para adelantar el proceso de selección mediante la modalidad de selección abreviada de menor cuantía, y la consecuente celebración de un contrato de obra, acordes al desarrollo de la modernización y de conformidad con las políticas diseñadas en el plan de desarrollo.</w:t>
      </w:r>
    </w:p>
    <w:p>
      <w:pPr>
        <w:pStyle w:val="2"/>
        <w:numPr>
          <w:ilvl w:val="0"/>
          <w:numId w:val="2"/>
        </w:numPr>
        <w:ind w:left="425" w:leftChars="0" w:hanging="425" w:firstLineChars="0"/>
        <w:jc w:val="center"/>
      </w:pPr>
      <w:r>
        <w:t>MODALIDAD DE SELECCIÓN Y FUNDAMENTOS JURÍDICOS QUE LA SOPORTAN</w:t>
      </w:r>
    </w:p>
    <w:p>
      <w:r>
        <w:t>La modalidad de selección que se utilizará para la celebración del contrato son el resultado del estudio previo y es la señalada a continuación de conformidad con el Art. 2 Numerales 1,2 y 3 de la Ley 1150 de 2007 y el artículo 2.2.1.2.1.1.1 y subsiguientes del Decreto 1082 de 2015 así: (Señalar con una x la causal invocada)</w:t>
      </w:r>
    </w:p>
    <w:p>
      <w:pPr>
        <w:pStyle w:val="7"/>
      </w:pPr>
      <w:r>
        <w:t xml:space="preserve">Tabla </w:t>
      </w:r>
      <w:r>
        <w:fldChar w:fldCharType="begin"/>
      </w:r>
      <w:r>
        <w:instrText xml:space="preserve"> SEQ Tabla \* ARABIC </w:instrText>
      </w:r>
      <w:r>
        <w:fldChar w:fldCharType="separate"/>
      </w:r>
      <w:r>
        <w:t>1</w:t>
      </w:r>
      <w:r>
        <w:fldChar w:fldCharType="end"/>
      </w:r>
      <w:r>
        <w:t>.  Modalidad de Selección y Fundamentos Jurídicos.</w:t>
      </w:r>
    </w:p>
    <w:tbl>
      <w:tblPr>
        <w:tblStyle w:val="15"/>
        <w:tblpPr w:leftFromText="141" w:rightFromText="141" w:vertAnchor="text" w:horzAnchor="margin" w:tblpXSpec="center" w:tblpY="66"/>
        <w:tblW w:w="88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55"/>
        <w:gridCol w:w="1896"/>
        <w:gridCol w:w="49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10" w:hRule="atLeast"/>
          <w:jc w:val="center"/>
        </w:trPr>
        <w:tc>
          <w:tcPr>
            <w:tcW w:w="2055" w:type="dxa"/>
            <w:shd w:val="clear" w:color="auto" w:fill="D7D7D7" w:themeFill="background1" w:themeFillShade="D8"/>
            <w:vAlign w:val="center"/>
          </w:tcPr>
          <w:p>
            <w:pPr>
              <w:jc w:val="center"/>
              <w:rPr>
                <w:b/>
                <w:bCs/>
                <w:sz w:val="16"/>
                <w:szCs w:val="16"/>
              </w:rPr>
            </w:pPr>
            <w:r>
              <w:rPr>
                <w:b/>
                <w:bCs/>
                <w:sz w:val="16"/>
                <w:szCs w:val="16"/>
              </w:rPr>
              <w:t>MODALIDAD DE SELECCIÓN</w:t>
            </w:r>
          </w:p>
        </w:tc>
        <w:tc>
          <w:tcPr>
            <w:tcW w:w="1896" w:type="dxa"/>
            <w:shd w:val="clear" w:color="auto" w:fill="D7D7D7" w:themeFill="background1" w:themeFillShade="D8"/>
            <w:vAlign w:val="center"/>
          </w:tcPr>
          <w:p>
            <w:pPr>
              <w:jc w:val="center"/>
              <w:rPr>
                <w:b/>
                <w:bCs/>
                <w:sz w:val="16"/>
                <w:szCs w:val="16"/>
              </w:rPr>
            </w:pPr>
            <w:r>
              <w:rPr>
                <w:b/>
                <w:bCs/>
                <w:sz w:val="16"/>
                <w:szCs w:val="16"/>
              </w:rPr>
              <w:t>CAUSAL INVOCADA</w:t>
            </w:r>
          </w:p>
          <w:p>
            <w:pPr>
              <w:jc w:val="center"/>
              <w:rPr>
                <w:b/>
                <w:bCs/>
                <w:sz w:val="16"/>
                <w:szCs w:val="16"/>
              </w:rPr>
            </w:pPr>
            <w:r>
              <w:rPr>
                <w:b/>
                <w:bCs/>
                <w:sz w:val="16"/>
                <w:szCs w:val="16"/>
              </w:rPr>
              <w:t>SI - NO</w:t>
            </w:r>
          </w:p>
        </w:tc>
        <w:tc>
          <w:tcPr>
            <w:tcW w:w="4905" w:type="dxa"/>
            <w:shd w:val="clear" w:color="auto" w:fill="D7D7D7" w:themeFill="background1" w:themeFillShade="D8"/>
            <w:vAlign w:val="center"/>
          </w:tcPr>
          <w:p>
            <w:pPr>
              <w:jc w:val="center"/>
              <w:rPr>
                <w:b/>
                <w:bCs/>
                <w:sz w:val="16"/>
                <w:szCs w:val="16"/>
              </w:rPr>
            </w:pPr>
            <w:r>
              <w:rPr>
                <w:b/>
                <w:bCs/>
                <w:sz w:val="16"/>
                <w:szCs w:val="16"/>
              </w:rPr>
              <w:t>FUNDAMENTOS JURÍDICOS QUE LO SOPORTAN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3" w:hRule="atLeast"/>
          <w:jc w:val="center"/>
        </w:trPr>
        <w:tc>
          <w:tcPr>
            <w:tcW w:w="2055" w:type="dxa"/>
            <w:shd w:val="clear" w:color="auto" w:fill="auto"/>
          </w:tcPr>
          <w:p>
            <w:pPr>
              <w:jc w:val="center"/>
              <w:rPr>
                <w:sz w:val="16"/>
                <w:szCs w:val="16"/>
              </w:rPr>
            </w:pPr>
          </w:p>
          <w:p>
            <w:pPr>
              <w:jc w:val="center"/>
              <w:rPr>
                <w:sz w:val="16"/>
                <w:szCs w:val="16"/>
              </w:rPr>
            </w:pPr>
            <w:r>
              <w:rPr>
                <w:sz w:val="16"/>
                <w:szCs w:val="16"/>
              </w:rPr>
              <w:t>LICITACIÓN PÚBLICA</w:t>
            </w:r>
          </w:p>
        </w:tc>
        <w:tc>
          <w:tcPr>
            <w:tcW w:w="1896" w:type="dxa"/>
            <w:shd w:val="clear" w:color="auto" w:fill="auto"/>
            <w:vAlign w:val="center"/>
          </w:tcPr>
          <w:p>
            <w:pPr>
              <w:jc w:val="center"/>
              <w:rPr>
                <w:sz w:val="16"/>
                <w:szCs w:val="16"/>
              </w:rPr>
            </w:pPr>
          </w:p>
        </w:tc>
        <w:tc>
          <w:tcPr>
            <w:tcW w:w="4905" w:type="dxa"/>
            <w:shd w:val="clear" w:color="auto" w:fill="auto"/>
          </w:tcPr>
          <w:p>
            <w:pPr>
              <w:jc w:val="center"/>
              <w:rPr>
                <w:sz w:val="16"/>
                <w:szCs w:val="16"/>
              </w:rPr>
            </w:pPr>
            <w:r>
              <w:rPr>
                <w:sz w:val="16"/>
                <w:szCs w:val="16"/>
              </w:rPr>
              <w:t>Art. 30 de la Ley 80 de 1993, el Art. 2 Numeral 1º de la Ley 1150 de 2007 y el Artículo 2.2.1.2.1.1.1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3" w:hRule="atLeast"/>
          <w:jc w:val="center"/>
        </w:trPr>
        <w:tc>
          <w:tcPr>
            <w:tcW w:w="2055" w:type="dxa"/>
            <w:shd w:val="clear" w:color="auto" w:fill="auto"/>
          </w:tcPr>
          <w:p>
            <w:pPr>
              <w:jc w:val="center"/>
              <w:rPr>
                <w:sz w:val="16"/>
                <w:szCs w:val="16"/>
              </w:rPr>
            </w:pPr>
          </w:p>
          <w:p>
            <w:pPr>
              <w:jc w:val="center"/>
              <w:rPr>
                <w:sz w:val="16"/>
                <w:szCs w:val="16"/>
              </w:rPr>
            </w:pPr>
            <w:r>
              <w:rPr>
                <w:sz w:val="16"/>
                <w:szCs w:val="16"/>
              </w:rPr>
              <w:t>SELECCIÓN ABREVIADA</w:t>
            </w:r>
          </w:p>
        </w:tc>
        <w:tc>
          <w:tcPr>
            <w:tcW w:w="1896" w:type="dxa"/>
            <w:shd w:val="clear" w:color="auto" w:fill="auto"/>
            <w:vAlign w:val="center"/>
          </w:tcPr>
          <w:p>
            <w:pPr>
              <w:jc w:val="center"/>
              <w:rPr>
                <w:sz w:val="16"/>
                <w:szCs w:val="16"/>
              </w:rPr>
            </w:pPr>
            <w:r>
              <w:rPr>
                <w:sz w:val="16"/>
                <w:szCs w:val="16"/>
              </w:rPr>
              <w:t>En alguna de las siguientes modalidades:</w:t>
            </w:r>
          </w:p>
        </w:tc>
        <w:tc>
          <w:tcPr>
            <w:tcW w:w="4905" w:type="dxa"/>
            <w:shd w:val="clear" w:color="auto" w:fill="auto"/>
          </w:tcPr>
          <w:p>
            <w:pPr>
              <w:jc w:val="center"/>
              <w:rPr>
                <w:sz w:val="16"/>
                <w:szCs w:val="16"/>
              </w:rPr>
            </w:pPr>
            <w:r>
              <w:rPr>
                <w:sz w:val="16"/>
                <w:szCs w:val="16"/>
              </w:rPr>
              <w:t>Art. 2 Numeral 2º de la Ley 1150 de 2007 y el Artículo</w:t>
            </w:r>
          </w:p>
          <w:p>
            <w:pPr>
              <w:jc w:val="center"/>
              <w:rPr>
                <w:sz w:val="16"/>
                <w:szCs w:val="16"/>
              </w:rPr>
            </w:pPr>
            <w:r>
              <w:rPr>
                <w:sz w:val="16"/>
                <w:szCs w:val="16"/>
              </w:rPr>
              <w:t>2.2.1.2.1.2.1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5" w:hRule="atLeast"/>
          <w:jc w:val="center"/>
        </w:trPr>
        <w:tc>
          <w:tcPr>
            <w:tcW w:w="2055" w:type="dxa"/>
            <w:shd w:val="clear" w:color="auto" w:fill="auto"/>
            <w:vAlign w:val="center"/>
          </w:tcPr>
          <w:p>
            <w:pPr>
              <w:jc w:val="center"/>
              <w:rPr>
                <w:sz w:val="16"/>
                <w:szCs w:val="16"/>
              </w:rPr>
            </w:pPr>
            <w:r>
              <w:rPr>
                <w:sz w:val="16"/>
                <w:szCs w:val="16"/>
              </w:rPr>
              <w:t>SUBASTA INVERSA</w:t>
            </w:r>
          </w:p>
        </w:tc>
        <w:tc>
          <w:tcPr>
            <w:tcW w:w="1896" w:type="dxa"/>
            <w:shd w:val="clear" w:color="auto" w:fill="auto"/>
            <w:vAlign w:val="center"/>
          </w:tcPr>
          <w:p>
            <w:pPr>
              <w:jc w:val="center"/>
              <w:rPr>
                <w:sz w:val="16"/>
                <w:szCs w:val="16"/>
              </w:rPr>
            </w:pPr>
          </w:p>
        </w:tc>
        <w:tc>
          <w:tcPr>
            <w:tcW w:w="4905" w:type="dxa"/>
            <w:shd w:val="clear" w:color="auto" w:fill="auto"/>
            <w:vAlign w:val="center"/>
          </w:tcPr>
          <w:p>
            <w:pPr>
              <w:jc w:val="center"/>
              <w:rPr>
                <w:sz w:val="16"/>
                <w:szCs w:val="16"/>
              </w:rPr>
            </w:pPr>
            <w:r>
              <w:rPr>
                <w:sz w:val="16"/>
                <w:szCs w:val="16"/>
              </w:rPr>
              <w:t>Art. 2 Numeral 2º literal a) de la Ley 1150 de 2007 y el Artículo 2.2.1.2.1.2.2 y subsiguientes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3" w:hRule="atLeast"/>
          <w:jc w:val="center"/>
        </w:trPr>
        <w:tc>
          <w:tcPr>
            <w:tcW w:w="2055" w:type="dxa"/>
            <w:shd w:val="clear" w:color="auto" w:fill="auto"/>
            <w:vAlign w:val="center"/>
          </w:tcPr>
          <w:p>
            <w:pPr>
              <w:jc w:val="center"/>
              <w:rPr>
                <w:sz w:val="16"/>
                <w:szCs w:val="16"/>
              </w:rPr>
            </w:pPr>
            <w:r>
              <w:rPr>
                <w:sz w:val="16"/>
                <w:szCs w:val="16"/>
              </w:rPr>
              <w:t>MENOR CUANTÍA</w:t>
            </w:r>
          </w:p>
        </w:tc>
        <w:tc>
          <w:tcPr>
            <w:tcW w:w="1896" w:type="dxa"/>
            <w:shd w:val="clear" w:color="auto" w:fill="auto"/>
            <w:vAlign w:val="center"/>
          </w:tcPr>
          <w:p>
            <w:pPr>
              <w:jc w:val="center"/>
              <w:rPr>
                <w:sz w:val="16"/>
                <w:szCs w:val="16"/>
              </w:rPr>
            </w:pPr>
            <w:r>
              <w:rPr>
                <w:b/>
                <w:bCs/>
                <w:sz w:val="16"/>
                <w:szCs w:val="16"/>
              </w:rPr>
              <w:t>X</w:t>
            </w:r>
          </w:p>
        </w:tc>
        <w:tc>
          <w:tcPr>
            <w:tcW w:w="4905" w:type="dxa"/>
            <w:shd w:val="clear" w:color="auto" w:fill="auto"/>
            <w:vAlign w:val="center"/>
          </w:tcPr>
          <w:p>
            <w:pPr>
              <w:jc w:val="center"/>
              <w:rPr>
                <w:sz w:val="16"/>
                <w:szCs w:val="16"/>
              </w:rPr>
            </w:pPr>
            <w:r>
              <w:rPr>
                <w:sz w:val="16"/>
                <w:szCs w:val="16"/>
              </w:rPr>
              <w:t>Art. 2 Numeral 2º literal b) de la Ley 1150 de 2007 y el Artículo 2.2.1.2.1.2.20 y subsiguientes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3" w:hRule="atLeast"/>
          <w:jc w:val="center"/>
        </w:trPr>
        <w:tc>
          <w:tcPr>
            <w:tcW w:w="2055" w:type="dxa"/>
            <w:shd w:val="clear" w:color="auto" w:fill="auto"/>
            <w:vAlign w:val="center"/>
          </w:tcPr>
          <w:p>
            <w:pPr>
              <w:jc w:val="center"/>
              <w:rPr>
                <w:sz w:val="16"/>
                <w:szCs w:val="16"/>
              </w:rPr>
            </w:pPr>
          </w:p>
          <w:p>
            <w:pPr>
              <w:jc w:val="center"/>
              <w:rPr>
                <w:sz w:val="16"/>
                <w:szCs w:val="16"/>
              </w:rPr>
            </w:pPr>
            <w:r>
              <w:rPr>
                <w:sz w:val="16"/>
                <w:szCs w:val="16"/>
              </w:rPr>
              <w:t>BOLSA DE PRODUCTOS</w:t>
            </w:r>
          </w:p>
        </w:tc>
        <w:tc>
          <w:tcPr>
            <w:tcW w:w="1896" w:type="dxa"/>
            <w:shd w:val="clear" w:color="auto" w:fill="auto"/>
            <w:vAlign w:val="center"/>
          </w:tcPr>
          <w:p>
            <w:pPr>
              <w:jc w:val="center"/>
              <w:rPr>
                <w:sz w:val="16"/>
                <w:szCs w:val="16"/>
              </w:rPr>
            </w:pPr>
          </w:p>
        </w:tc>
        <w:tc>
          <w:tcPr>
            <w:tcW w:w="4905" w:type="dxa"/>
            <w:shd w:val="clear" w:color="auto" w:fill="auto"/>
            <w:vAlign w:val="center"/>
          </w:tcPr>
          <w:p>
            <w:pPr>
              <w:jc w:val="center"/>
              <w:rPr>
                <w:sz w:val="16"/>
                <w:szCs w:val="16"/>
              </w:rPr>
            </w:pPr>
            <w:r>
              <w:rPr>
                <w:sz w:val="16"/>
                <w:szCs w:val="16"/>
              </w:rPr>
              <w:t>Art. 2 Numeral 2º literal f) de la Ley 1150 de 2007 y el Artículo 2.2.1.2.1.2.11,  y subsiguientes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3" w:hRule="atLeast"/>
          <w:jc w:val="center"/>
        </w:trPr>
        <w:tc>
          <w:tcPr>
            <w:tcW w:w="2055" w:type="dxa"/>
            <w:shd w:val="clear" w:color="auto" w:fill="auto"/>
            <w:vAlign w:val="center"/>
          </w:tcPr>
          <w:p>
            <w:pPr>
              <w:jc w:val="center"/>
              <w:rPr>
                <w:sz w:val="16"/>
                <w:szCs w:val="16"/>
              </w:rPr>
            </w:pPr>
            <w:r>
              <w:rPr>
                <w:sz w:val="16"/>
                <w:szCs w:val="16"/>
              </w:rPr>
              <w:t>ACUERDOS MARCO DE PRECIOS</w:t>
            </w:r>
          </w:p>
        </w:tc>
        <w:tc>
          <w:tcPr>
            <w:tcW w:w="1896" w:type="dxa"/>
            <w:shd w:val="clear" w:color="auto" w:fill="auto"/>
            <w:vAlign w:val="center"/>
          </w:tcPr>
          <w:p>
            <w:pPr>
              <w:jc w:val="center"/>
              <w:rPr>
                <w:sz w:val="16"/>
                <w:szCs w:val="16"/>
              </w:rPr>
            </w:pPr>
          </w:p>
        </w:tc>
        <w:tc>
          <w:tcPr>
            <w:tcW w:w="4905" w:type="dxa"/>
            <w:shd w:val="clear" w:color="auto" w:fill="auto"/>
            <w:vAlign w:val="center"/>
          </w:tcPr>
          <w:p>
            <w:pPr>
              <w:jc w:val="center"/>
              <w:rPr>
                <w:sz w:val="16"/>
                <w:szCs w:val="16"/>
              </w:rPr>
            </w:pPr>
            <w:r>
              <w:rPr>
                <w:sz w:val="16"/>
                <w:szCs w:val="16"/>
              </w:rPr>
              <w:t>Art. 2 Numeral 2º literal (a) párrafo segundo de la Ley 1150 de 2007  y Artículo 2.2.1.2.1.2.7 y SS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15" w:hRule="atLeast"/>
          <w:jc w:val="center"/>
        </w:trPr>
        <w:tc>
          <w:tcPr>
            <w:tcW w:w="2055" w:type="dxa"/>
            <w:shd w:val="clear" w:color="auto" w:fill="auto"/>
            <w:vAlign w:val="center"/>
          </w:tcPr>
          <w:p>
            <w:pPr>
              <w:jc w:val="center"/>
              <w:rPr>
                <w:sz w:val="16"/>
                <w:szCs w:val="16"/>
              </w:rPr>
            </w:pPr>
            <w:r>
              <w:rPr>
                <w:sz w:val="16"/>
                <w:szCs w:val="16"/>
              </w:rPr>
              <w:t>CONCURSO DE MÉRITOS</w:t>
            </w:r>
          </w:p>
        </w:tc>
        <w:tc>
          <w:tcPr>
            <w:tcW w:w="1896" w:type="dxa"/>
            <w:shd w:val="clear" w:color="auto" w:fill="auto"/>
            <w:vAlign w:val="center"/>
          </w:tcPr>
          <w:p>
            <w:pPr>
              <w:jc w:val="center"/>
              <w:rPr>
                <w:sz w:val="16"/>
                <w:szCs w:val="16"/>
              </w:rPr>
            </w:pPr>
            <w:r>
              <w:rPr>
                <w:sz w:val="16"/>
                <w:szCs w:val="16"/>
              </w:rPr>
              <w:t>En alguna de las siguientes modalidades:</w:t>
            </w:r>
          </w:p>
        </w:tc>
        <w:tc>
          <w:tcPr>
            <w:tcW w:w="4905" w:type="dxa"/>
            <w:shd w:val="clear" w:color="auto" w:fill="auto"/>
            <w:vAlign w:val="center"/>
          </w:tcPr>
          <w:p>
            <w:pPr>
              <w:jc w:val="both"/>
              <w:rPr>
                <w:sz w:val="16"/>
                <w:szCs w:val="16"/>
              </w:rPr>
            </w:pPr>
            <w:r>
              <w:rPr>
                <w:sz w:val="16"/>
                <w:szCs w:val="16"/>
              </w:rPr>
              <w:t>Art. 2 Numeral 3º de la Ley 1150 de 2007 y el Artículo2.2.1.2.1.3.1  y subsiguientes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26" w:hRule="atLeast"/>
          <w:jc w:val="center"/>
        </w:trPr>
        <w:tc>
          <w:tcPr>
            <w:tcW w:w="2055" w:type="dxa"/>
            <w:shd w:val="clear" w:color="auto" w:fill="auto"/>
            <w:vAlign w:val="center"/>
          </w:tcPr>
          <w:p>
            <w:pPr>
              <w:jc w:val="center"/>
              <w:rPr>
                <w:sz w:val="16"/>
                <w:szCs w:val="16"/>
              </w:rPr>
            </w:pPr>
          </w:p>
          <w:p>
            <w:pPr>
              <w:jc w:val="center"/>
              <w:rPr>
                <w:sz w:val="16"/>
                <w:szCs w:val="16"/>
              </w:rPr>
            </w:pPr>
            <w:r>
              <w:rPr>
                <w:sz w:val="16"/>
                <w:szCs w:val="16"/>
              </w:rPr>
              <w:t>ABIERTO</w:t>
            </w:r>
          </w:p>
        </w:tc>
        <w:tc>
          <w:tcPr>
            <w:tcW w:w="1896" w:type="dxa"/>
            <w:shd w:val="clear" w:color="auto" w:fill="auto"/>
            <w:vAlign w:val="center"/>
          </w:tcPr>
          <w:p>
            <w:pPr>
              <w:jc w:val="center"/>
              <w:rPr>
                <w:sz w:val="16"/>
                <w:szCs w:val="16"/>
              </w:rPr>
            </w:pPr>
          </w:p>
        </w:tc>
        <w:tc>
          <w:tcPr>
            <w:tcW w:w="4905" w:type="dxa"/>
            <w:shd w:val="clear" w:color="auto" w:fill="auto"/>
            <w:vAlign w:val="center"/>
          </w:tcPr>
          <w:p>
            <w:pPr>
              <w:jc w:val="both"/>
              <w:rPr>
                <w:sz w:val="16"/>
                <w:szCs w:val="16"/>
              </w:rPr>
            </w:pPr>
            <w:r>
              <w:rPr>
                <w:sz w:val="16"/>
                <w:szCs w:val="16"/>
              </w:rPr>
              <w:t>Art. 2 Numeral 3º de la Ley 1150 de 2007 y el Artículo</w:t>
            </w:r>
            <w:r>
              <w:rPr>
                <w:sz w:val="16"/>
                <w:szCs w:val="16"/>
                <w:lang w:val="es-CO"/>
              </w:rPr>
              <w:t xml:space="preserve"> </w:t>
            </w:r>
            <w:r>
              <w:rPr>
                <w:sz w:val="16"/>
                <w:szCs w:val="16"/>
              </w:rPr>
              <w:t>2.2.1.2.1.3.2 y subsiguientes del Decreto 1082 de 2015 y normas concordantes.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23" w:hRule="atLeast"/>
          <w:jc w:val="center"/>
        </w:trPr>
        <w:tc>
          <w:tcPr>
            <w:tcW w:w="2055" w:type="dxa"/>
            <w:shd w:val="clear" w:color="auto" w:fill="auto"/>
            <w:vAlign w:val="center"/>
          </w:tcPr>
          <w:p>
            <w:pPr>
              <w:jc w:val="center"/>
              <w:rPr>
                <w:sz w:val="16"/>
                <w:szCs w:val="16"/>
              </w:rPr>
            </w:pPr>
          </w:p>
          <w:p>
            <w:pPr>
              <w:jc w:val="both"/>
              <w:rPr>
                <w:sz w:val="16"/>
                <w:szCs w:val="16"/>
              </w:rPr>
            </w:pPr>
            <w:r>
              <w:rPr>
                <w:sz w:val="16"/>
                <w:szCs w:val="16"/>
              </w:rPr>
              <w:t>CON PRECALIFICACIÓN</w:t>
            </w:r>
          </w:p>
        </w:tc>
        <w:tc>
          <w:tcPr>
            <w:tcW w:w="1896" w:type="dxa"/>
            <w:shd w:val="clear" w:color="auto" w:fill="auto"/>
            <w:vAlign w:val="center"/>
          </w:tcPr>
          <w:p>
            <w:pPr>
              <w:jc w:val="both"/>
              <w:rPr>
                <w:sz w:val="16"/>
                <w:szCs w:val="16"/>
              </w:rPr>
            </w:pPr>
          </w:p>
        </w:tc>
        <w:tc>
          <w:tcPr>
            <w:tcW w:w="4905" w:type="dxa"/>
            <w:shd w:val="clear" w:color="auto" w:fill="auto"/>
            <w:vAlign w:val="center"/>
          </w:tcPr>
          <w:p>
            <w:pPr>
              <w:jc w:val="both"/>
              <w:rPr>
                <w:sz w:val="16"/>
                <w:szCs w:val="16"/>
              </w:rPr>
            </w:pPr>
            <w:r>
              <w:rPr>
                <w:sz w:val="16"/>
                <w:szCs w:val="16"/>
              </w:rPr>
              <w:t>Art. 2 Numeral 3º de la Ley 1150 de 2007 y el Artículo</w:t>
            </w:r>
            <w:r>
              <w:rPr>
                <w:sz w:val="16"/>
                <w:szCs w:val="16"/>
                <w:lang w:val="es-CO"/>
              </w:rPr>
              <w:t xml:space="preserve"> </w:t>
            </w:r>
            <w:r>
              <w:rPr>
                <w:sz w:val="16"/>
                <w:szCs w:val="16"/>
              </w:rPr>
              <w:t>2.2.1.2.1.3.3  y subsiguientes del Decreto 1082 de 2015 y normas concordantes.</w:t>
            </w:r>
          </w:p>
        </w:tc>
      </w:tr>
    </w:tbl>
    <w:p>
      <w:pPr>
        <w:pStyle w:val="11"/>
        <w:numPr>
          <w:ilvl w:val="0"/>
          <w:numId w:val="0"/>
        </w:numPr>
        <w:autoSpaceDE w:val="0"/>
        <w:autoSpaceDN w:val="0"/>
        <w:spacing w:after="0" w:line="276" w:lineRule="auto"/>
        <w:ind w:leftChars="0"/>
        <w:contextualSpacing/>
        <w:jc w:val="both"/>
        <w:rPr>
          <w:b/>
        </w:rPr>
      </w:pPr>
    </w:p>
    <w:p>
      <w:pPr>
        <w:pStyle w:val="11"/>
        <w:numPr>
          <w:ilvl w:val="0"/>
          <w:numId w:val="2"/>
        </w:numPr>
        <w:autoSpaceDE w:val="0"/>
        <w:autoSpaceDN w:val="0"/>
        <w:spacing w:after="0" w:line="276" w:lineRule="auto"/>
        <w:ind w:left="425" w:leftChars="0" w:hanging="425" w:firstLineChars="0"/>
        <w:contextualSpacing/>
        <w:jc w:val="center"/>
        <w:rPr>
          <w:b/>
        </w:rPr>
      </w:pPr>
      <w:r>
        <w:rPr>
          <w:b/>
        </w:rPr>
        <w:t>JUSTIFICACION DE LA MODALIDAD</w:t>
      </w:r>
    </w:p>
    <w:p>
      <w:pPr>
        <w:spacing w:after="0"/>
        <w:rPr>
          <w:rFonts w:ascii="Arial Narrow" w:hAnsi="Arial Narrow" w:cs="Arial"/>
          <w:snapToGrid w:val="0"/>
          <w:sz w:val="20"/>
          <w:szCs w:val="20"/>
        </w:rPr>
      </w:pPr>
    </w:p>
    <w:p>
      <w:r>
        <w:t xml:space="preserve">El presupuesto del Municipio de Neiva para la vigencia 2018 de conformidad con la certificación SHAPREC-001 del 05 de enero de 2018, asciende a $535.669.756.249, encontrándose en el rango superior a 400.000 S.M.L.M e inferior a 850.000 S.M.L.M., determinándose por tanto la menor cuantía hasta 650 salarios mínimos legales mensuales vigentes, en observancia del artículo 2, numeral 2, literal b de la ley 1150 de 2017 que establece: </w:t>
      </w:r>
    </w:p>
    <w:p>
      <w:pPr>
        <w:spacing w:after="0"/>
      </w:pPr>
    </w:p>
    <w:p>
      <w:pPr>
        <w:spacing w:after="0"/>
        <w:ind w:left="440" w:leftChars="200" w:right="279" w:rightChars="127"/>
        <w:rPr>
          <w:i/>
          <w:iCs/>
        </w:rPr>
      </w:pPr>
      <w:r>
        <w:rPr>
          <w:i/>
          <w:iCs/>
        </w:rPr>
        <w:t>Artículo 2°. De las modalidades de selección. La escogencia del contratista se efectuará con arreglo a las modalidades de selección de licitación pública, selección abreviada, concurso de méritos y contratación directa, con base en las siguientes reglas:</w:t>
      </w:r>
    </w:p>
    <w:p>
      <w:pPr>
        <w:spacing w:after="0"/>
        <w:ind w:left="440" w:leftChars="200" w:right="279" w:rightChars="127"/>
        <w:rPr>
          <w:i/>
          <w:iCs/>
        </w:rPr>
      </w:pPr>
    </w:p>
    <w:p>
      <w:pPr>
        <w:spacing w:after="0"/>
        <w:ind w:left="440" w:leftChars="200" w:right="279" w:rightChars="127"/>
        <w:rPr>
          <w:i/>
          <w:iCs/>
        </w:rPr>
      </w:pPr>
      <w:r>
        <w:rPr>
          <w:i/>
          <w:iCs/>
        </w:rPr>
        <w:t>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pPr>
        <w:spacing w:after="0"/>
        <w:ind w:left="440" w:leftChars="200" w:right="279" w:rightChars="127"/>
        <w:rPr>
          <w:i/>
          <w:iCs/>
        </w:rPr>
      </w:pPr>
    </w:p>
    <w:p>
      <w:pPr>
        <w:spacing w:after="0"/>
        <w:ind w:left="440" w:leftChars="200" w:right="279" w:rightChars="127"/>
        <w:rPr>
          <w:i/>
          <w:iCs/>
        </w:rPr>
      </w:pPr>
      <w:r>
        <w:rPr>
          <w:i/>
          <w:iCs/>
        </w:rPr>
        <w:t>El Gobierno Nacional reglamentará la materia.</w:t>
      </w:r>
    </w:p>
    <w:p>
      <w:pPr>
        <w:spacing w:after="0"/>
        <w:ind w:left="440" w:leftChars="200" w:right="279" w:rightChars="127"/>
        <w:rPr>
          <w:i/>
          <w:iCs/>
        </w:rPr>
      </w:pPr>
    </w:p>
    <w:p>
      <w:pPr>
        <w:spacing w:after="0"/>
        <w:ind w:left="440" w:leftChars="200" w:right="279" w:rightChars="127"/>
        <w:rPr>
          <w:i/>
          <w:iCs/>
        </w:rPr>
      </w:pPr>
      <w:r>
        <w:rPr>
          <w:i/>
          <w:iCs/>
        </w:rPr>
        <w:t>Serán causales de selección abreviada las siguientes:</w:t>
      </w:r>
    </w:p>
    <w:p>
      <w:pPr>
        <w:spacing w:after="0"/>
        <w:ind w:left="440" w:leftChars="200" w:right="279" w:rightChars="127"/>
        <w:rPr>
          <w:i/>
          <w:iCs/>
        </w:rPr>
      </w:pPr>
    </w:p>
    <w:p>
      <w:pPr>
        <w:spacing w:after="0"/>
        <w:ind w:left="440" w:leftChars="200" w:right="279" w:rightChars="127"/>
        <w:rPr>
          <w:i/>
          <w:iCs/>
        </w:rPr>
      </w:pPr>
      <w:r>
        <w:rPr>
          <w:i/>
          <w:iCs/>
        </w:rPr>
        <w:t>b) La contratación de menor cuantía. Se entenderá por menor cuantía los valores que a continuación se relacionan, determinados en función de los presupuestos anuales de las entidades públicas expresados en salarios mínimos legales mensuales.</w:t>
      </w:r>
    </w:p>
    <w:p>
      <w:pPr>
        <w:spacing w:after="0"/>
        <w:ind w:left="440" w:leftChars="200" w:right="279" w:rightChars="127"/>
        <w:rPr>
          <w:i/>
          <w:iCs/>
        </w:rPr>
      </w:pPr>
    </w:p>
    <w:p>
      <w:pPr>
        <w:spacing w:after="0"/>
        <w:ind w:left="440" w:leftChars="200" w:right="279" w:rightChars="127"/>
        <w:rPr>
          <w:i/>
          <w:iCs/>
        </w:rPr>
      </w:pPr>
      <w:r>
        <w:rPr>
          <w:i/>
          <w:iCs/>
        </w:rPr>
        <w:t>Para las entidades que tengan un presupuesto anual superior o igual a 1.200.000 salarios mínimos legales mensuales, la menor cuantía será hasta 1.000 salarios mínimos legales mensuales.</w:t>
      </w:r>
    </w:p>
    <w:p>
      <w:pPr>
        <w:spacing w:after="0"/>
        <w:ind w:left="440" w:leftChars="200" w:right="279" w:rightChars="127"/>
        <w:rPr>
          <w:i/>
          <w:iCs/>
        </w:rPr>
      </w:pPr>
    </w:p>
    <w:p>
      <w:pPr>
        <w:spacing w:after="0"/>
        <w:ind w:left="440" w:leftChars="200" w:right="279" w:rightChars="127"/>
        <w:rPr>
          <w:i/>
          <w:iCs/>
        </w:rPr>
      </w:pPr>
      <w:r>
        <w:rPr>
          <w:i/>
          <w:iCs/>
        </w:rPr>
        <w:t>Las que tengan un presupuesto anual superior o igual a 850.000 salarios mínimos legales mensuales e inferiores a 1.200.000 salarios mínimos legales mensuales, la menor cuantía será hasta 850 salarios mínimos legales mensuales.</w:t>
      </w:r>
    </w:p>
    <w:p>
      <w:pPr>
        <w:spacing w:after="0"/>
        <w:ind w:left="440" w:leftChars="200" w:right="279" w:rightChars="127"/>
        <w:rPr>
          <w:i/>
          <w:iCs/>
        </w:rPr>
      </w:pPr>
    </w:p>
    <w:p>
      <w:pPr>
        <w:ind w:left="440" w:leftChars="200" w:right="279" w:rightChars="127"/>
        <w:rPr>
          <w:i/>
          <w:iCs/>
        </w:rPr>
      </w:pPr>
      <w:r>
        <w:rPr>
          <w:i/>
          <w:iCs/>
        </w:rPr>
        <w:t>Las que tengan un presupuesto anual superior o igual a 400.000 salarios mínimos legales mensuales e inferior a 850.000 salarios mínimos legales mensuales, la menor cuantía será hasta 650 salarios mínimos legales mensuales.</w:t>
      </w:r>
    </w:p>
    <w:p>
      <w:pPr>
        <w:spacing w:after="0"/>
        <w:ind w:left="440" w:leftChars="200" w:right="279" w:rightChars="127"/>
        <w:rPr>
          <w:i/>
          <w:iCs/>
        </w:rPr>
      </w:pPr>
    </w:p>
    <w:p>
      <w:pPr>
        <w:spacing w:after="0"/>
        <w:ind w:left="440" w:leftChars="200" w:right="279" w:rightChars="127"/>
        <w:rPr>
          <w:i/>
          <w:iCs/>
        </w:rPr>
      </w:pPr>
      <w:r>
        <w:rPr>
          <w:i/>
          <w:iCs/>
        </w:rPr>
        <w:t>Las que tengan un presupuesto anual superior o igual a 120.000 salarios mínimos legales mensuales e inferior a 400.000 salarios mínimos legales mensuales, la menor cuantía será hasta 450 salarios mínimos legales mensuales.</w:t>
      </w:r>
    </w:p>
    <w:p>
      <w:pPr>
        <w:spacing w:after="0"/>
        <w:ind w:left="440" w:leftChars="200" w:right="279" w:rightChars="127"/>
        <w:rPr>
          <w:i/>
          <w:iCs/>
        </w:rPr>
      </w:pPr>
    </w:p>
    <w:p>
      <w:pPr>
        <w:spacing w:after="0"/>
        <w:ind w:left="440" w:leftChars="200" w:right="279" w:rightChars="127"/>
        <w:rPr>
          <w:i/>
          <w:iCs/>
        </w:rPr>
      </w:pPr>
      <w:r>
        <w:rPr>
          <w:i/>
          <w:iCs/>
        </w:rPr>
        <w:t>Las que tengan un presupuesto anual inferior a 120.000 salarios mínimos legales mensuales, la menor cuantía será hasta 280 salarios mínimos legales mensuales;</w:t>
      </w:r>
    </w:p>
    <w:p/>
    <w:p>
      <w:pPr>
        <w:rPr>
          <w:b/>
        </w:rPr>
      </w:pPr>
      <w:r>
        <w:t xml:space="preserve">El Municipio de Neiva, de acuerdo con lo expuesto anteriormente y en atención al objeto contractual el cual corresponde a la ejecución de obras cuyo presupuesto asciende a </w:t>
      </w:r>
      <w:bookmarkStart w:id="15" w:name="_GoBack"/>
      <w:r>
        <w:rPr>
          <w:b/>
          <w:bCs/>
          <w:lang w:val="es-CO"/>
        </w:rPr>
        <w:t>SETENTA  Y DOS MILLONES SETECIENTOS CINCUENTA Y UN MIL SEISCIENTOS VEINTI UN  PESOS ($72.751.621,00) M/CTE</w:t>
      </w:r>
      <w:bookmarkEnd w:id="15"/>
      <w:r>
        <w:rPr>
          <w:b/>
          <w:bCs/>
        </w:rPr>
        <w:t xml:space="preserve">, </w:t>
      </w:r>
      <w:r>
        <w:t xml:space="preserve">ha determinado que la modalidad de selección a aplicar es la de SELECCIÓN ABREVIADA desarrollada en los artículos que preceden, al igual que el artículo 2.2.1.2.1.2.1., del Decreto 1082 de 2015 y normas concordantes y complementarias en la materia, denominada proceso de MENOR CUANTÍA, en el cual se valoran junto con los criterios habilitantes, factores de ponderación de calidad y precio que llevaran a determinar cuál es el mejor proponente para ejecutar el contrato cuyo objeto corresponde al </w:t>
      </w:r>
      <w:r>
        <w:rPr>
          <w:b/>
          <w:bCs/>
        </w:rPr>
        <w:t>“</w:t>
      </w:r>
      <w:r>
        <w:rPr>
          <w:b/>
          <w:bCs/>
          <w:lang w:val="es-CO"/>
        </w:rPr>
        <w:t>R</w:t>
      </w:r>
      <w:r>
        <w:rPr>
          <w:b/>
          <w:bCs/>
          <w:lang w:val="es-CO" w:eastAsia="en-US"/>
        </w:rPr>
        <w:t xml:space="preserve">EPARAR AMBIENTES DE APRENDIZAJE PARA LA </w:t>
      </w:r>
      <w:r>
        <w:rPr>
          <w:b/>
          <w:bCs/>
          <w:lang w:val="es-CO"/>
        </w:rPr>
        <w:t>INSTITUCIÓN EDUCATIVA DEPARTAMENTAL, TIERRA DE PROMISION  SEDE EFRAIN ROJAS TRUJILLO DEL MUNICIPIO DE NEIVA, QUE CONSTA DE ADECUACION Y MEJORAMIENTPO DE CUBIERTAS, AREA DE CIRCULACION Y VARIOS</w:t>
      </w:r>
      <w:r>
        <w:rPr>
          <w:b/>
        </w:rPr>
        <w:t>”</w:t>
      </w:r>
    </w:p>
    <w:p>
      <w:pPr>
        <w:rPr>
          <w:rFonts w:ascii="Arial Narrow" w:hAnsi="Arial Narrow" w:cs="Arial"/>
          <w:b/>
          <w:bCs/>
          <w:snapToGrid w:val="0"/>
          <w:sz w:val="20"/>
          <w:szCs w:val="20"/>
        </w:rPr>
      </w:pPr>
      <w:r>
        <w:rPr>
          <w:rFonts w:ascii="Arial Narrow" w:hAnsi="Arial Narrow" w:cs="Arial"/>
          <w:b/>
          <w:bCs/>
          <w:snapToGrid w:val="0"/>
          <w:sz w:val="20"/>
          <w:szCs w:val="20"/>
        </w:rPr>
        <w:br w:type="page"/>
      </w:r>
    </w:p>
    <w:p>
      <w:pPr>
        <w:pStyle w:val="2"/>
        <w:numPr>
          <w:ilvl w:val="0"/>
          <w:numId w:val="2"/>
        </w:numPr>
        <w:ind w:left="425" w:leftChars="0" w:hanging="425" w:firstLineChars="0"/>
        <w:jc w:val="center"/>
      </w:pPr>
      <w:r>
        <w:t>INCENTIVOS.</w:t>
      </w:r>
    </w:p>
    <w:p>
      <w:pPr>
        <w:pStyle w:val="11"/>
        <w:autoSpaceDE w:val="0"/>
        <w:autoSpaceDN w:val="0"/>
        <w:spacing w:after="0"/>
        <w:rPr>
          <w:rFonts w:ascii="Arial Narrow" w:hAnsi="Arial Narrow" w:cs="Arial"/>
          <w:sz w:val="20"/>
          <w:szCs w:val="20"/>
        </w:rPr>
      </w:pPr>
    </w:p>
    <w:p>
      <w:pPr>
        <w:spacing w:after="120" w:afterLines="50"/>
      </w:pPr>
      <w:r>
        <w:t xml:space="preserve">De conformidad con lo consagrado en el artículo 2 de la Ley 816 de 2003, se asignará el respectivo puntaje a los proponentes que acrediten, mediante certificación suscrita por el representante legal </w:t>
      </w:r>
      <w:r>
        <w:rPr>
          <w:highlight w:val="none"/>
        </w:rPr>
        <w:t>(ver Anexo No. 1</w:t>
      </w:r>
      <w:r>
        <w:rPr>
          <w:highlight w:val="none"/>
          <w:lang w:val="es-CO"/>
        </w:rPr>
        <w:t>7</w:t>
      </w:r>
      <w:r>
        <w:rPr>
          <w:highlight w:val="none"/>
        </w:rPr>
        <w:t xml:space="preserve"> Apoyo a la Industria Nacional),</w:t>
      </w:r>
      <w:r>
        <w:t xml:space="preserve"> que su propuesta oferta bienes y servicios de origen Nacional. Para el efecto, se tendrá en cuenta lo establecido en el artículo 2.2.1.2.4.2.1 del Decreto 1082 de 2015. </w:t>
      </w:r>
    </w:p>
    <w:p>
      <w:pPr>
        <w:spacing w:after="0"/>
      </w:pPr>
    </w:p>
    <w:p>
      <w:pPr>
        <w:spacing w:after="0"/>
      </w:pPr>
      <w:r>
        <w:t xml:space="preserve">De igual manera, conforme con lo establecido en el parágrafo del artículo 51 del Decreto – Ley 019 de 2012, se otorgará tratamiento de bien o de servicio de origen nacional a aquellos bienes o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w:t>
      </w:r>
    </w:p>
    <w:p>
      <w:pPr>
        <w:spacing w:after="0"/>
      </w:pPr>
    </w:p>
    <w:p>
      <w:pPr>
        <w:spacing w:after="0"/>
      </w:pPr>
      <w:r>
        <w:t>El puntaje se asignará de acuerdo con el siguiente procedimiento:</w:t>
      </w:r>
    </w:p>
    <w:p>
      <w:pPr>
        <w:spacing w:after="0"/>
      </w:pPr>
    </w:p>
    <w:p>
      <w:pPr>
        <w:numPr>
          <w:ilvl w:val="0"/>
          <w:numId w:val="3"/>
        </w:numPr>
        <w:spacing w:after="0"/>
      </w:pPr>
      <w:r>
        <w:t>Cuando la propuesta válida oferte bienes o servicios nacionales, en lo referente al objeto de este proceso de selección, se le asignaran 100 puntos.</w:t>
      </w:r>
    </w:p>
    <w:p>
      <w:pPr>
        <w:spacing w:after="0"/>
      </w:pPr>
    </w:p>
    <w:p>
      <w:pPr>
        <w:numPr>
          <w:ilvl w:val="0"/>
          <w:numId w:val="3"/>
        </w:numPr>
        <w:spacing w:after="0"/>
      </w:pPr>
      <w:r>
        <w:t>Cuando la propuesta válida oferte bienes o servicios extranjeros, se asignarán 50 puntos, si incorpora componente colombiano de bienes y servicios profesionales, técnicos y operativos en un porcentaje del 50% del total requerido.</w:t>
      </w:r>
    </w:p>
    <w:p>
      <w:pPr>
        <w:spacing w:after="0"/>
      </w:pPr>
    </w:p>
    <w:p>
      <w:pPr>
        <w:numPr>
          <w:ilvl w:val="0"/>
          <w:numId w:val="3"/>
        </w:numPr>
        <w:spacing w:after="0"/>
      </w:pPr>
      <w:r>
        <w:t>Por porcentajes inferiores a los señalados en los numerales anteriores se asignará cero (0) puntos por este criterio.</w:t>
      </w:r>
    </w:p>
    <w:p>
      <w:pPr>
        <w:spacing w:after="0"/>
      </w:pPr>
    </w:p>
    <w:p>
      <w:pPr>
        <w:spacing w:after="120" w:afterLines="50"/>
        <w:rPr>
          <w:highlight w:val="none"/>
        </w:rPr>
      </w:pPr>
      <w:r>
        <w:t xml:space="preserve">Para el presente proceso de selección, la entidad conforme a las normas mencionadas anteriormente estableció el puntaje asignar en el pliego de condiciones electrónico dentro de la plataforma del SECOP II y su forma de acreditarlo mediante el diligenciamiento del </w:t>
      </w:r>
      <w:r>
        <w:rPr>
          <w:highlight w:val="none"/>
        </w:rPr>
        <w:t>Anexo No. 1</w:t>
      </w:r>
      <w:r>
        <w:rPr>
          <w:highlight w:val="none"/>
          <w:lang w:val="es-CO"/>
        </w:rPr>
        <w:t>7</w:t>
      </w:r>
      <w:r>
        <w:rPr>
          <w:highlight w:val="none"/>
        </w:rPr>
        <w:t xml:space="preserve"> Apoyo a la Industria Nacional.</w:t>
      </w:r>
    </w:p>
    <w:p/>
    <w:p/>
    <w:p>
      <w:r>
        <w:br w:type="page"/>
      </w:r>
    </w:p>
    <w:p>
      <w:pPr>
        <w:pStyle w:val="2"/>
        <w:numPr>
          <w:ilvl w:val="0"/>
          <w:numId w:val="0"/>
        </w:numPr>
        <w:ind w:leftChars="0"/>
        <w:jc w:val="center"/>
      </w:pPr>
      <w:r>
        <w:rPr>
          <w:lang w:val="es-CO"/>
        </w:rPr>
        <w:t xml:space="preserve">5.  </w:t>
      </w:r>
      <w:r>
        <w:t>DESCRIPCIÓN GENERAL DEL PROCESO Y CONDICIONES DE LA OFERTA</w:t>
      </w:r>
    </w:p>
    <w:p>
      <w:pPr>
        <w:spacing w:after="0"/>
      </w:pPr>
      <w:r>
        <w:t>En el presente proceso de selección objetiva se escogerá el ofrecimiento más favorable para el Municipio de Neiva y a los fines que se buscan, sin tener en consideración factores de afecto o de interés y en general, cualquier clase de motivación subjetiva.</w:t>
      </w:r>
    </w:p>
    <w:p>
      <w:pPr>
        <w:spacing w:after="0"/>
      </w:pPr>
    </w:p>
    <w:p>
      <w:pPr>
        <w:spacing w:after="0"/>
      </w:pPr>
      <w:r>
        <w:t xml:space="preserve">Todas las propuestas presentadas válidamente se analizarán bajo los mismos parámetros, dando cumplimiento al principio de selección objetiva para garantizar la escogencia del ofrecimiento más favorable para la entidad y la realización de los fines que se buscan. </w:t>
      </w:r>
    </w:p>
    <w:p>
      <w:pPr>
        <w:spacing w:after="0"/>
      </w:pPr>
    </w:p>
    <w:p>
      <w:pPr>
        <w:spacing w:after="0"/>
      </w:pPr>
      <w:r>
        <w:t>La ausencia de requisitos o la falta de documentos referentes a le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w:t>
      </w:r>
    </w:p>
    <w:p>
      <w:pPr>
        <w:spacing w:after="0"/>
      </w:pPr>
    </w:p>
    <w:p>
      <w:pPr>
        <w:spacing w:after="0"/>
      </w:pPr>
      <w:r>
        <w:t xml:space="preserve">A continuación se mencionan aspectos generales del proceso de selección, requisitos habilitantes y de evaluación de las propuestas, con su correspondiente asignación en calificación si es el caso, así como el orden de cada criterio., en cada uno de los diferentes documentos publicados a través del SECOP II, los cuales forman parte integral del pliego de condiciones. </w:t>
      </w:r>
    </w:p>
    <w:p>
      <w:pPr>
        <w:spacing w:after="0"/>
      </w:pPr>
    </w:p>
    <w:p>
      <w:pPr>
        <w:pStyle w:val="3"/>
        <w:numPr>
          <w:ilvl w:val="1"/>
          <w:numId w:val="0"/>
        </w:numPr>
        <w:spacing w:after="0"/>
        <w:ind w:leftChars="0"/>
      </w:pPr>
      <w:r>
        <w:rPr>
          <w:lang w:val="es-CO"/>
        </w:rPr>
        <w:t xml:space="preserve">5.1 </w:t>
      </w:r>
      <w:r>
        <w:t>PROCEDIMIENTO PARA EL ANÁLISIS Y EVALUACIÓN DE LAS OFERTAS</w:t>
      </w:r>
    </w:p>
    <w:p>
      <w:pPr>
        <w:spacing w:after="0"/>
      </w:pPr>
    </w:p>
    <w:p>
      <w:pPr>
        <w:spacing w:after="0"/>
      </w:pPr>
      <w:r>
        <w:t xml:space="preserve">De conformidad con los plazos establecidos en el cronograma del proceso se realizará la verificación del cumplimiento de los requisitos jurídicos, técnicos, financieros y económicos. </w:t>
      </w:r>
    </w:p>
    <w:p>
      <w:pPr>
        <w:spacing w:after="0"/>
      </w:pPr>
    </w:p>
    <w:p>
      <w:r>
        <w:t xml:space="preserve">En caso de ser necesario se requerirá a los proponentes para que aclaren o alleguen documentos, en el término establecido en el parágrafo 1 del artículo 5 de la ley 1150 de 2007, modificado por el artículo 5 de la Ley </w:t>
      </w:r>
      <w:r>
        <w:rPr>
          <w:lang w:eastAsia="zh-CN"/>
        </w:rPr>
        <w:t>1882 de 2018. Durante dicho término los proponentes no podrán acreditar circunstancias ocurridas con posterioridad al cierre del proceso</w:t>
      </w:r>
    </w:p>
    <w:p>
      <w:pPr>
        <w:pStyle w:val="3"/>
        <w:numPr>
          <w:ilvl w:val="1"/>
          <w:numId w:val="0"/>
        </w:numPr>
        <w:ind w:leftChars="0"/>
      </w:pPr>
      <w:r>
        <w:rPr>
          <w:lang w:val="es-CO"/>
        </w:rPr>
        <w:t xml:space="preserve">5.2 </w:t>
      </w:r>
      <w:r>
        <w:t xml:space="preserve">CONSECUENCIA DE LA NO SUBSANABLIDAD POR PARTE DE LOS OFERENTES DE LOS REQUISITOS HABILITANTES </w:t>
      </w:r>
    </w:p>
    <w:p>
      <w:pPr>
        <w:spacing w:after="0"/>
      </w:pPr>
      <w:r>
        <w:t xml:space="preserve">En el caso de no subsanar los documentos requeridos hasta el término de traslado del informe de evaluación, la propuesta presentada será objeto de rechazo, de conformidad con el parágrafo 1° del artículo 5 de la Ley 1150 de 2007, modificado por el artículo 5 de la Ley </w:t>
      </w:r>
      <w:r>
        <w:rPr>
          <w:lang w:eastAsia="zh-CN"/>
        </w:rPr>
        <w:t>1882 de 2018</w:t>
      </w:r>
      <w:r>
        <w:t>.</w:t>
      </w:r>
    </w:p>
    <w:p>
      <w:pPr>
        <w:pStyle w:val="3"/>
        <w:numPr>
          <w:ilvl w:val="1"/>
          <w:numId w:val="0"/>
        </w:numPr>
        <w:spacing w:after="0"/>
        <w:ind w:leftChars="0"/>
      </w:pPr>
      <w:r>
        <w:rPr>
          <w:lang w:val="es-CO"/>
        </w:rPr>
        <w:t xml:space="preserve">5.3 </w:t>
      </w:r>
      <w:r>
        <w:t>COMITÉ EVALUADOR</w:t>
      </w:r>
    </w:p>
    <w:p>
      <w:pPr>
        <w:spacing w:after="0"/>
      </w:pPr>
    </w:p>
    <w:p>
      <w:pPr>
        <w:spacing w:after="0"/>
      </w:pPr>
      <w:r>
        <w:t>Para efectos de adelantar la verificación de los requisitos habilitantes y evaluación de las propuestas de la presente Selección Abreviada de Menor Cuantía, el Jefe de la Oficina de Contratación del Municipio, mediante acto administrativo designará un comité evaluador, el cual deberá adelantar su labor de manera objetiva.</w:t>
      </w:r>
    </w:p>
    <w:p>
      <w:pPr>
        <w:spacing w:after="0"/>
      </w:pPr>
    </w:p>
    <w:p>
      <w:pPr>
        <w:spacing w:after="0"/>
      </w:pPr>
      <w:r>
        <w:t xml:space="preserve">El comité evaluador validará el contenido de los requerimientos efectuados, evaluará y calificará las ofertas presentadas de conformidad con los criterios establecidos en los pliegos de condiciones. </w:t>
      </w:r>
    </w:p>
    <w:p>
      <w:pPr>
        <w:spacing w:after="0"/>
      </w:pPr>
    </w:p>
    <w:p>
      <w:pPr>
        <w:spacing w:after="0"/>
      </w:pPr>
      <w:r>
        <w:t xml:space="preserve">El comité evaluador estará sujeto a las inhabilidades e incompatibilidades y conflicto de intereses legales y recomendará al ordenador del gasto el sentido de la decisión a adoptar de conformidad con la evaluación efectuada. El carácter de asesor del comité no lo exime de la responsabilidad del ejercicio de la labor encomendada. </w:t>
      </w:r>
    </w:p>
    <w:p>
      <w:pPr>
        <w:spacing w:after="0"/>
      </w:pPr>
    </w:p>
    <w:p>
      <w:pPr>
        <w:spacing w:after="0"/>
      </w:pPr>
      <w:r>
        <w:t>En el evento en que el ordenador del gasto no acoja la recomendación efectuada por el comité evaluador, deberá justificarlo en el acto administrativo correspondiente.</w:t>
      </w:r>
    </w:p>
    <w:p>
      <w:pPr>
        <w:spacing w:after="0"/>
      </w:pPr>
    </w:p>
    <w:p>
      <w:pPr>
        <w:pStyle w:val="3"/>
        <w:numPr>
          <w:ilvl w:val="1"/>
          <w:numId w:val="0"/>
        </w:numPr>
        <w:spacing w:after="0"/>
        <w:ind w:leftChars="0"/>
      </w:pPr>
      <w:r>
        <w:rPr>
          <w:lang w:val="es-CO"/>
        </w:rPr>
        <w:t xml:space="preserve">5.4 </w:t>
      </w:r>
      <w:r>
        <w:t>REQUISITOS HABILITANTES</w:t>
      </w:r>
    </w:p>
    <w:p>
      <w:pPr>
        <w:spacing w:after="0"/>
      </w:pPr>
    </w:p>
    <w:p>
      <w:pPr>
        <w:spacing w:after="0"/>
      </w:pPr>
      <w:r>
        <w:t xml:space="preserve">La capacidad jurídica y las condiciones de experiencia, capacidad financiera y de organización  de los proponentes, serán objeto de verificación de cumplimiento como requisitos habilitantes para la participación en el proceso de selección y no otorgarán puntaje. </w:t>
      </w:r>
    </w:p>
    <w:p>
      <w:pPr>
        <w:spacing w:after="0"/>
      </w:pPr>
    </w:p>
    <w:p>
      <w:pPr>
        <w:spacing w:after="0"/>
      </w:pPr>
      <w:r>
        <w:t xml:space="preserve">Pueden presentar ofertas para el presente proceso personas naturales o jurídicas, nacionales o extranjeras, en forma individual o en consorcios o uniones temporales. </w:t>
      </w:r>
    </w:p>
    <w:p>
      <w:pPr>
        <w:spacing w:after="0"/>
      </w:pPr>
    </w:p>
    <w:p>
      <w:pPr>
        <w:pStyle w:val="4"/>
        <w:numPr>
          <w:ilvl w:val="2"/>
          <w:numId w:val="0"/>
        </w:numPr>
        <w:spacing w:before="0" w:after="0"/>
        <w:ind w:leftChars="0"/>
      </w:pPr>
      <w:r>
        <w:rPr>
          <w:lang w:val="es-CO"/>
        </w:rPr>
        <w:t>5.4.1 R</w:t>
      </w:r>
      <w:r>
        <w:t>EQUISITOS HABILITANTES ACREDITACIÓN MEDIANTE EL REGISTRO ÚNICO DE PROPONENTES</w:t>
      </w:r>
    </w:p>
    <w:p>
      <w:pPr>
        <w:spacing w:after="0"/>
      </w:pPr>
    </w:p>
    <w:p>
      <w:pPr>
        <w:spacing w:after="0"/>
      </w:pPr>
      <w:r>
        <w:t>El Municipio de Neiva, de conformidad con lo establecido en los artículos 5 y 6 de la Ley 1150 de 2007, realizará la verificación de los siguientes requisitos habilitantes, en la clasificación exigida en el presente documento, de acuerdo con el Registro Único de Proponentes allegado con la oferta, expedido por la Cámara de Comercio, así:</w:t>
      </w:r>
    </w:p>
    <w:p>
      <w:pPr>
        <w:spacing w:after="0"/>
      </w:pPr>
    </w:p>
    <w:p>
      <w:pPr>
        <w:spacing w:after="0"/>
      </w:pPr>
      <w:r>
        <w:t>•</w:t>
      </w:r>
      <w:r>
        <w:tab/>
      </w:r>
      <w:r>
        <w:t>Capacidad Jurídica</w:t>
      </w:r>
    </w:p>
    <w:p>
      <w:pPr>
        <w:spacing w:after="0"/>
      </w:pPr>
      <w:r>
        <w:t>•</w:t>
      </w:r>
      <w:r>
        <w:tab/>
      </w:r>
      <w:r>
        <w:t>Capacidad financiera y organizacional.</w:t>
      </w:r>
    </w:p>
    <w:p>
      <w:pPr>
        <w:spacing w:after="0"/>
      </w:pPr>
      <w:r>
        <w:t>•</w:t>
      </w:r>
      <w:r>
        <w:tab/>
      </w:r>
      <w:r>
        <w:t>Capacidad Técnica</w:t>
      </w:r>
    </w:p>
    <w:p>
      <w:pPr>
        <w:spacing w:after="0"/>
      </w:pPr>
    </w:p>
    <w:p>
      <w:pPr>
        <w:pStyle w:val="3"/>
        <w:numPr>
          <w:ilvl w:val="1"/>
          <w:numId w:val="0"/>
        </w:numPr>
        <w:spacing w:after="0"/>
        <w:ind w:leftChars="0"/>
      </w:pPr>
      <w:r>
        <w:rPr>
          <w:lang w:val="es-CO"/>
        </w:rPr>
        <w:t xml:space="preserve">5.5 </w:t>
      </w:r>
      <w:r>
        <w:t>COMUNICACIONES</w:t>
      </w:r>
    </w:p>
    <w:p>
      <w:pPr>
        <w:spacing w:after="0"/>
      </w:pPr>
    </w:p>
    <w:p>
      <w:pPr>
        <w:spacing w:after="0"/>
      </w:pPr>
      <w:bookmarkStart w:id="0" w:name="OLE_LINK3"/>
      <w:r>
        <w:t>Solamente se recibirán manifestaciones, dudas, observaciones, propuestas, documentos en carácter de subsanación, anexos o cualquier otro documento, en forma digital a través del sitio destinado para este proceso en la plataforma del SECOP II, único medio que canalizará cualquier tipo de comunicación entre los proponentes y el Municipio de Neiva y las solicitudes se responderán mediante comunicación escrita por la misma plataforma.</w:t>
      </w:r>
    </w:p>
    <w:p>
      <w:pPr>
        <w:spacing w:after="0"/>
      </w:pPr>
    </w:p>
    <w:p>
      <w:pPr>
        <w:spacing w:after="0"/>
      </w:pPr>
      <w:bookmarkStart w:id="1" w:name="OLE_LINK2"/>
      <w:r>
        <w:t xml:space="preserve">En caso que la plataforma del SECOP II presente indisponibilidad, el proponente podrá allegar sus observaciones y demás documentación requerida en el proceso al correo electrónico:  </w:t>
      </w:r>
      <w:r>
        <w:fldChar w:fldCharType="begin"/>
      </w:r>
      <w:r>
        <w:instrText xml:space="preserve"> HYPERLINK "mailto:asesor@alcaldianeiva.gov.co," </w:instrText>
      </w:r>
      <w:r>
        <w:fldChar w:fldCharType="separate"/>
      </w:r>
      <w:r>
        <w:rPr>
          <w:rStyle w:val="14"/>
        </w:rPr>
        <w:t>asesor@alcaldianeiva.gov.co,</w:t>
      </w:r>
      <w:r>
        <w:rPr>
          <w:rStyle w:val="14"/>
        </w:rPr>
        <w:fldChar w:fldCharType="end"/>
      </w:r>
      <w:r>
        <w:t xml:space="preserve"> adjuntando la debida certificación de indisponibilidad de la página. (Ver guía de indisponibilidad del SECOP II).</w:t>
      </w:r>
    </w:p>
    <w:p>
      <w:pPr>
        <w:spacing w:after="0"/>
      </w:pPr>
    </w:p>
    <w:bookmarkEnd w:id="0"/>
    <w:bookmarkEnd w:id="1"/>
    <w:p>
      <w:pPr>
        <w:pStyle w:val="3"/>
        <w:numPr>
          <w:ilvl w:val="1"/>
          <w:numId w:val="0"/>
        </w:numPr>
        <w:spacing w:after="0"/>
        <w:ind w:leftChars="0"/>
      </w:pPr>
      <w:r>
        <w:rPr>
          <w:lang w:val="es-CO"/>
        </w:rPr>
        <w:t xml:space="preserve">5.6 </w:t>
      </w:r>
      <w:r>
        <w:t>LUCHA CONTRA LA CORRUPCIÓN</w:t>
      </w:r>
    </w:p>
    <w:p>
      <w:pPr>
        <w:spacing w:after="0"/>
      </w:pPr>
    </w:p>
    <w:p>
      <w:pPr>
        <w:spacing w:after="0"/>
      </w:pPr>
      <w:r>
        <w:t xml:space="preserve">En el evento de conocerse casos especiales de corrupción en las Entidades del Estado por favor escribir al e-mail de la Secretaría de Transparencia de la Presidencia:  </w:t>
      </w:r>
    </w:p>
    <w:p>
      <w:pPr>
        <w:spacing w:after="0"/>
      </w:pPr>
      <w:r>
        <w:t>contacto@presidencia.gov.co.</w:t>
      </w:r>
    </w:p>
    <w:p>
      <w:pPr>
        <w:spacing w:after="0"/>
      </w:pPr>
    </w:p>
    <w:p>
      <w:pPr>
        <w:spacing w:after="0"/>
      </w:pPr>
      <w:r>
        <w:t xml:space="preserve">También puede reportar el hecho por medio del Portal de Contratación Pública SECOP II. En todas las actuaciones derivadas de las estipulaciones del presente documento y el contrato que forma parte del mismo, el proponente obrará con la transparencia y la moralidad que la Constitución Política y las Leyes consagran. </w:t>
      </w:r>
    </w:p>
    <w:p>
      <w:pPr>
        <w:spacing w:after="0"/>
      </w:pPr>
    </w:p>
    <w:p>
      <w:pPr>
        <w:pStyle w:val="3"/>
        <w:numPr>
          <w:ilvl w:val="1"/>
          <w:numId w:val="0"/>
        </w:numPr>
        <w:spacing w:after="0"/>
        <w:ind w:leftChars="0"/>
      </w:pPr>
      <w:r>
        <w:rPr>
          <w:lang w:val="es-CO"/>
        </w:rPr>
        <w:t xml:space="preserve">5.7 </w:t>
      </w:r>
      <w:r>
        <w:t xml:space="preserve">CONVOCATORIA VEEDURÍAS CIUDADANAS, ASOCIACIONES CÍVICAS, COMUNITARIAS, DE PROFESIONALES, BENÉFICAS Y DE UTILIDAD COMÚN </w:t>
      </w:r>
    </w:p>
    <w:p>
      <w:pPr>
        <w:spacing w:after="0"/>
      </w:pPr>
    </w:p>
    <w:p>
      <w:pPr>
        <w:spacing w:after="0"/>
      </w:pPr>
      <w:r>
        <w:t>De conformidad con la ley, podrán desarrollar su actividad durante el presente proceso de selección objetiva, etapa precontractual, contractual y postcontractual, para lo cual podrán consultar este proceso por medio en la Plataforma SECOP II, a partir de la misma fecha en que se publique el presente documento.</w:t>
      </w:r>
    </w:p>
    <w:p>
      <w:pPr>
        <w:spacing w:after="0"/>
      </w:pPr>
    </w:p>
    <w:p>
      <w:pPr>
        <w:spacing w:after="0"/>
      </w:pPr>
      <w:r>
        <w:t xml:space="preserve">Cualquier inquietud presentada por parte de las veedurías ciudadanas les será contestada por escrito por parte de la Entidad a la dirección o fax que aparezca en la comunicación respectiva, copia de la cual será publicada para conocimiento de todos los proponentes a través de la Plataforma SECOP II. </w:t>
      </w:r>
    </w:p>
    <w:p>
      <w:pPr>
        <w:spacing w:after="0"/>
      </w:pPr>
    </w:p>
    <w:p>
      <w:pPr>
        <w:pStyle w:val="3"/>
        <w:numPr>
          <w:ilvl w:val="1"/>
          <w:numId w:val="0"/>
        </w:numPr>
        <w:spacing w:after="0"/>
        <w:ind w:leftChars="0"/>
      </w:pPr>
      <w:r>
        <w:rPr>
          <w:lang w:val="es-CO"/>
        </w:rPr>
        <w:t xml:space="preserve">5.8 </w:t>
      </w:r>
      <w:r>
        <w:t>INVITACIÓN VEEDURÍAS CIUDADANAS</w:t>
      </w:r>
    </w:p>
    <w:p>
      <w:pPr>
        <w:spacing w:after="0"/>
      </w:pPr>
    </w:p>
    <w:p>
      <w:pPr>
        <w:spacing w:after="0"/>
      </w:pPr>
      <w:r>
        <w:t>En cumplimiento de lo dispuesto en el artículo 66 de la Ley 80 de 1993, la Ley 850 de 2003 se convoca públicamente a las veedurías ciudadanas que estén interesadas en realizar control social al presente proceso de contratación, con el fin de que formulen, de considerarlo procedente, las recomendaciones escritas que consideren necesarias para buscar la eficiencia institucional, señalándoles que puedan intervenir en todas las audiencias que se realicen dentro del proceso de selección.</w:t>
      </w:r>
    </w:p>
    <w:p>
      <w:pPr>
        <w:spacing w:after="0"/>
      </w:pPr>
    </w:p>
    <w:p>
      <w:pPr>
        <w:pStyle w:val="4"/>
        <w:numPr>
          <w:ilvl w:val="2"/>
          <w:numId w:val="0"/>
        </w:numPr>
        <w:spacing w:before="0" w:after="0"/>
        <w:ind w:leftChars="0"/>
      </w:pPr>
      <w:r>
        <w:rPr>
          <w:lang w:val="es-CO"/>
        </w:rPr>
        <w:t xml:space="preserve">5.9 </w:t>
      </w:r>
      <w:r>
        <w:t xml:space="preserve">EXIMENTE DE RESPONSABILIDAD </w:t>
      </w:r>
      <w:r>
        <w:rPr>
          <w:lang w:val="es-CO"/>
        </w:rPr>
        <w:t>AL MUNICIPIO DE NEIVA</w:t>
      </w:r>
      <w:r>
        <w:t>.</w:t>
      </w:r>
    </w:p>
    <w:p>
      <w:pPr>
        <w:spacing w:after="0"/>
      </w:pPr>
    </w:p>
    <w:p>
      <w:pPr>
        <w:spacing w:after="0"/>
      </w:pPr>
      <w:r>
        <w:t>Cuando el proponente no llenare los requisitos para participar o no reúna las condiciones exigidas para contratar, es entendido que no adquiere derecho alguno y el Municipio de Neiva no asume responsabilidad alguna.</w:t>
      </w:r>
    </w:p>
    <w:p>
      <w:pPr>
        <w:spacing w:after="0"/>
      </w:pPr>
    </w:p>
    <w:p>
      <w:pPr>
        <w:spacing w:after="0"/>
      </w:pPr>
      <w:r>
        <w:t>El proponente debe elaborar su oferta por su cuenta y riesgo, de acuerdo con lo solicitado en el Pliego de Condiciones Electrónico y el presente documento, atendiendo en la misma medida sus modificaciones e incluir dentro de ésta toda la información exigida. La oferta junto con los ajustes que se puedan presentar por solicitud del Municipio de Neiva formará parte integral del contrato, en las partes aceptadas por éste.</w:t>
      </w:r>
    </w:p>
    <w:p>
      <w:pPr>
        <w:spacing w:after="0"/>
      </w:pPr>
    </w:p>
    <w:p>
      <w:pPr>
        <w:spacing w:after="0"/>
      </w:pPr>
      <w:r>
        <w:t>El hecho de que los oferentes no se familiaricen debidamente con los detalles y condiciones bajo las cuales serán ejecutados los trabajos, no se considerará como excusa válida para posteriores reclamaciones.</w:t>
      </w:r>
    </w:p>
    <w:p>
      <w:pPr>
        <w:spacing w:after="0"/>
      </w:pPr>
    </w:p>
    <w:p>
      <w:pPr>
        <w:spacing w:after="0"/>
      </w:pPr>
      <w:r>
        <w:t>El oferente deberá informarse de todas las regulaciones tributarias vigentes en Colombia; por lo tanto, al preparar la oferta deberá tener en cuenta todos los gastos legales, retención en la fuente, derechos e impuestos a que haya lugar por ley, que puedan afectar sus precios y hayan de causarse durante la ejecución del contrato.</w:t>
      </w:r>
    </w:p>
    <w:p>
      <w:pPr>
        <w:spacing w:after="0"/>
      </w:pPr>
    </w:p>
    <w:p>
      <w:pPr>
        <w:pStyle w:val="3"/>
        <w:numPr>
          <w:ilvl w:val="1"/>
          <w:numId w:val="0"/>
        </w:numPr>
        <w:spacing w:after="0"/>
        <w:ind w:leftChars="0"/>
      </w:pPr>
      <w:r>
        <w:rPr>
          <w:lang w:val="es-CO"/>
        </w:rPr>
        <w:t xml:space="preserve">5.10 </w:t>
      </w:r>
      <w:r>
        <w:t>CONFIDENCIALIDAD DE LA OFERTA</w:t>
      </w:r>
    </w:p>
    <w:p>
      <w:pPr>
        <w:spacing w:after="0"/>
      </w:pPr>
      <w:r>
        <w:tab/>
      </w:r>
    </w:p>
    <w:p>
      <w:pPr>
        <w:spacing w:after="0"/>
      </w:pPr>
      <w:r>
        <w:t>Si dentro de la oferta electrónica el proponente incluye información que conforme a la ley colombiana tiene el carácter de información reservada, dicha circunstancia deberá ser indicada de acuerdo a las directrices de la guía para presentar ofertas en el SECOP II. Sin perjuicio de lo anterior y para efectos de la evaluación de las propuestas, El Municipio de Neiva se reserva el derecho de dar a conocer la mencionada información a sus funcionarios, empleados, contratistas, agentes o asesores, que designe para el efecto.</w:t>
      </w:r>
    </w:p>
    <w:p>
      <w:pPr>
        <w:spacing w:after="0"/>
      </w:pPr>
    </w:p>
    <w:p>
      <w:pPr>
        <w:spacing w:after="0"/>
      </w:pPr>
      <w:r>
        <w:t>En todo caso, el Municipio de Neiva, sus funcionarios,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Municipio de Neiva no tendrá la obligación de guardar reserva respecto de la misma.</w:t>
      </w:r>
    </w:p>
    <w:p>
      <w:pPr>
        <w:spacing w:after="0"/>
      </w:pPr>
    </w:p>
    <w:p>
      <w:pPr>
        <w:pStyle w:val="3"/>
        <w:numPr>
          <w:ilvl w:val="1"/>
          <w:numId w:val="0"/>
        </w:numPr>
        <w:spacing w:after="0"/>
        <w:ind w:leftChars="0"/>
      </w:pPr>
      <w:r>
        <w:rPr>
          <w:lang w:val="es-CO"/>
        </w:rPr>
        <w:t xml:space="preserve">5.11 </w:t>
      </w:r>
      <w:r>
        <w:t>APLICACIÓN ACUERDOS INTERNACIONALES Y TRATADOS DE LIBRE COMERCIO</w:t>
      </w:r>
    </w:p>
    <w:p>
      <w:pPr>
        <w:spacing w:after="0"/>
      </w:pPr>
    </w:p>
    <w:p>
      <w:pPr>
        <w:spacing w:after="0"/>
      </w:pPr>
      <w:r>
        <w:t xml:space="preserve">De acuerdo con el numeral </w:t>
      </w:r>
      <w:bookmarkStart w:id="2" w:name="OLE_LINK11"/>
      <w:r>
        <w:t>8 del artículo 2.2.1.1.2.1.1., del Decreto 1082 de 2015</w:t>
      </w:r>
      <w:bookmarkEnd w:id="2"/>
      <w:r>
        <w:t>, es necesario indicar si la presente contratación está cobijada por un acuerdo internacional o un tratado de libre comercio vigente en el Estado Colombiano, conforme a los requisitos que se establecen más adelante. En consecuencia, a la verificación realizada sobre los TRATADOS DE LIBRE COMERCIO Y ACUERDOS INTERNACIONALES VIGENTES se dará aplicación a éste numeral.</w:t>
      </w:r>
    </w:p>
    <w:p>
      <w:pPr>
        <w:spacing w:after="0"/>
      </w:pPr>
    </w:p>
    <w:p>
      <w:pPr>
        <w:spacing w:after="0"/>
      </w:pPr>
      <w:r>
        <w:t>ACUERDOS INTERNACIONALES COMERCIALES VIGENTES O TRATADOS DE LIBRE COMERCIO. LA CUANTIA DEL PROCESO LO SOMETE AL CAPITULO DE COMPRAS PUBLICAS</w:t>
      </w:r>
      <w:r>
        <w:tab/>
      </w:r>
      <w:r>
        <w:t>LA ENTIDAD ESTATAL SE ENCUENTRA INCLUIDA EN LA COBERTURA DEL CAPITULO DE COMPRAS PUBLICAS</w:t>
      </w:r>
      <w:r>
        <w:tab/>
      </w:r>
      <w:r>
        <w:t>LOS BIENES Y SERVICIOS A CONTRATAR SE ENCUENTRAN EXCLUIDOS DE LA COBERTURA DEL CAPITULO DE COMPRAS PUBLICAS.</w:t>
      </w:r>
    </w:p>
    <w:p>
      <w:pPr>
        <w:spacing w:after="0"/>
      </w:pPr>
    </w:p>
    <w:p>
      <w:pPr>
        <w:spacing w:after="0"/>
      </w:pPr>
    </w:p>
    <w:p>
      <w:pPr>
        <w:pStyle w:val="7"/>
      </w:pPr>
      <w:r>
        <w:t xml:space="preserve">Tabla </w:t>
      </w:r>
      <w:r>
        <w:fldChar w:fldCharType="begin"/>
      </w:r>
      <w:r>
        <w:instrText xml:space="preserve"> SEQ Tabla \* ARABIC </w:instrText>
      </w:r>
      <w:r>
        <w:fldChar w:fldCharType="separate"/>
      </w:r>
      <w:r>
        <w:t>2</w:t>
      </w:r>
      <w:r>
        <w:fldChar w:fldCharType="end"/>
      </w:r>
      <w:r>
        <w:t>.  Acuerdos Internacionales Comerciales</w:t>
      </w:r>
    </w:p>
    <w:tbl>
      <w:tblPr>
        <w:tblStyle w:val="15"/>
        <w:tblpPr w:leftFromText="142" w:rightFromText="142" w:vertAnchor="text" w:tblpX="1"/>
        <w:tblW w:w="8856" w:type="dxa"/>
        <w:tblInd w:w="0" w:type="dxa"/>
        <w:shd w:val="clear" w:color="auto" w:fill="FFFFFF"/>
        <w:tblLayout w:type="fixed"/>
        <w:tblCellMar>
          <w:top w:w="0" w:type="dxa"/>
          <w:left w:w="0" w:type="dxa"/>
          <w:bottom w:w="0" w:type="dxa"/>
          <w:right w:w="0" w:type="dxa"/>
        </w:tblCellMar>
      </w:tblPr>
      <w:tblGrid>
        <w:gridCol w:w="1844"/>
        <w:gridCol w:w="926"/>
        <w:gridCol w:w="2743"/>
        <w:gridCol w:w="1536"/>
        <w:gridCol w:w="1807"/>
      </w:tblGrid>
      <w:tr>
        <w:tblPrEx>
          <w:shd w:val="clear" w:color="auto" w:fill="FFFFFF"/>
          <w:tblLayout w:type="fixed"/>
          <w:tblCellMar>
            <w:top w:w="0" w:type="dxa"/>
            <w:left w:w="0" w:type="dxa"/>
            <w:bottom w:w="0" w:type="dxa"/>
            <w:right w:w="0" w:type="dxa"/>
          </w:tblCellMar>
        </w:tblPrEx>
        <w:trPr>
          <w:trHeight w:val="973" w:hRule="atLeast"/>
          <w:tblHeader/>
        </w:trPr>
        <w:tc>
          <w:tcPr>
            <w:tcW w:w="1844" w:type="dxa"/>
            <w:tcBorders>
              <w:top w:val="single" w:color="auto" w:sz="8" w:space="0"/>
              <w:left w:val="single" w:color="auto" w:sz="8" w:space="0"/>
              <w:bottom w:val="single" w:color="auto" w:sz="8" w:space="0"/>
              <w:right w:val="single" w:color="auto" w:sz="8" w:space="0"/>
            </w:tcBorders>
            <w:shd w:val="clear" w:color="auto" w:fill="BEBEBE" w:themeFill="background1" w:themeFillShade="BF"/>
            <w:tcMar>
              <w:top w:w="0" w:type="dxa"/>
              <w:left w:w="108" w:type="dxa"/>
              <w:bottom w:w="0" w:type="dxa"/>
              <w:right w:w="108" w:type="dxa"/>
            </w:tcMar>
            <w:vAlign w:val="center"/>
          </w:tcPr>
          <w:p>
            <w:pPr>
              <w:jc w:val="center"/>
              <w:rPr>
                <w:b/>
                <w:bCs/>
                <w:sz w:val="18"/>
                <w:szCs w:val="18"/>
              </w:rPr>
            </w:pPr>
            <w:r>
              <w:rPr>
                <w:b/>
                <w:bCs/>
                <w:sz w:val="18"/>
                <w:szCs w:val="18"/>
              </w:rPr>
              <w:t>Países</w:t>
            </w:r>
          </w:p>
        </w:tc>
        <w:tc>
          <w:tcPr>
            <w:tcW w:w="926" w:type="dxa"/>
            <w:tcBorders>
              <w:top w:val="single" w:color="auto" w:sz="8" w:space="0"/>
              <w:left w:val="nil"/>
              <w:bottom w:val="single" w:color="auto" w:sz="8" w:space="0"/>
              <w:right w:val="single" w:color="auto" w:sz="8" w:space="0"/>
            </w:tcBorders>
            <w:shd w:val="clear" w:color="auto" w:fill="BEBEBE" w:themeFill="background1" w:themeFillShade="BF"/>
            <w:tcMar>
              <w:top w:w="0" w:type="dxa"/>
              <w:left w:w="108" w:type="dxa"/>
              <w:bottom w:w="0" w:type="dxa"/>
              <w:right w:w="108" w:type="dxa"/>
            </w:tcMar>
            <w:vAlign w:val="center"/>
          </w:tcPr>
          <w:p>
            <w:pPr>
              <w:jc w:val="center"/>
              <w:rPr>
                <w:b/>
                <w:bCs/>
                <w:sz w:val="18"/>
                <w:szCs w:val="18"/>
              </w:rPr>
            </w:pPr>
            <w:r>
              <w:rPr>
                <w:b/>
                <w:bCs/>
                <w:sz w:val="18"/>
                <w:szCs w:val="18"/>
              </w:rPr>
              <w:t>Entidad Estatal Incluida</w:t>
            </w:r>
          </w:p>
        </w:tc>
        <w:tc>
          <w:tcPr>
            <w:tcW w:w="2743" w:type="dxa"/>
            <w:tcBorders>
              <w:top w:val="single" w:color="auto" w:sz="8" w:space="0"/>
              <w:left w:val="nil"/>
              <w:bottom w:val="single" w:color="auto" w:sz="8" w:space="0"/>
              <w:right w:val="single" w:color="auto" w:sz="8" w:space="0"/>
            </w:tcBorders>
            <w:shd w:val="clear" w:color="auto" w:fill="BEBEBE" w:themeFill="background1" w:themeFillShade="BF"/>
            <w:tcMar>
              <w:top w:w="0" w:type="dxa"/>
              <w:left w:w="108" w:type="dxa"/>
              <w:bottom w:w="0" w:type="dxa"/>
              <w:right w:w="108" w:type="dxa"/>
            </w:tcMar>
            <w:vAlign w:val="center"/>
          </w:tcPr>
          <w:p>
            <w:pPr>
              <w:jc w:val="center"/>
              <w:rPr>
                <w:b/>
                <w:bCs/>
                <w:sz w:val="18"/>
                <w:szCs w:val="18"/>
              </w:rPr>
            </w:pPr>
            <w:r>
              <w:rPr>
                <w:b/>
                <w:bCs/>
                <w:sz w:val="18"/>
                <w:szCs w:val="18"/>
              </w:rPr>
              <w:t>Presupuesto del Proceso de Contratación cobijado por el valor del Acuerdo Comercial</w:t>
            </w:r>
          </w:p>
        </w:tc>
        <w:tc>
          <w:tcPr>
            <w:tcW w:w="1536" w:type="dxa"/>
            <w:tcBorders>
              <w:top w:val="single" w:color="auto" w:sz="8" w:space="0"/>
              <w:left w:val="nil"/>
              <w:bottom w:val="single" w:color="auto" w:sz="8" w:space="0"/>
              <w:right w:val="single" w:color="auto" w:sz="8" w:space="0"/>
            </w:tcBorders>
            <w:shd w:val="clear" w:color="auto" w:fill="BEBEBE" w:themeFill="background1" w:themeFillShade="BF"/>
            <w:tcMar>
              <w:top w:w="0" w:type="dxa"/>
              <w:left w:w="108" w:type="dxa"/>
              <w:bottom w:w="0" w:type="dxa"/>
              <w:right w:w="108" w:type="dxa"/>
            </w:tcMar>
            <w:vAlign w:val="center"/>
          </w:tcPr>
          <w:p>
            <w:pPr>
              <w:jc w:val="center"/>
              <w:rPr>
                <w:b/>
                <w:bCs/>
                <w:sz w:val="18"/>
                <w:szCs w:val="18"/>
              </w:rPr>
            </w:pPr>
            <w:r>
              <w:rPr>
                <w:b/>
                <w:bCs/>
                <w:sz w:val="18"/>
                <w:szCs w:val="18"/>
              </w:rPr>
              <w:t>Excepción aplicable al Proceso de Contratación</w:t>
            </w:r>
          </w:p>
        </w:tc>
        <w:tc>
          <w:tcPr>
            <w:tcW w:w="1807" w:type="dxa"/>
            <w:tcBorders>
              <w:top w:val="single" w:color="auto" w:sz="8" w:space="0"/>
              <w:left w:val="nil"/>
              <w:bottom w:val="single" w:color="auto" w:sz="8" w:space="0"/>
              <w:right w:val="single" w:color="auto" w:sz="8" w:space="0"/>
            </w:tcBorders>
            <w:shd w:val="clear" w:color="auto" w:fill="BEBEBE" w:themeFill="background1" w:themeFillShade="BF"/>
            <w:tcMar>
              <w:top w:w="0" w:type="dxa"/>
              <w:left w:w="108" w:type="dxa"/>
              <w:bottom w:w="0" w:type="dxa"/>
              <w:right w:w="108" w:type="dxa"/>
            </w:tcMar>
            <w:vAlign w:val="center"/>
          </w:tcPr>
          <w:p>
            <w:pPr>
              <w:jc w:val="center"/>
              <w:rPr>
                <w:b/>
                <w:bCs/>
                <w:sz w:val="18"/>
                <w:szCs w:val="18"/>
              </w:rPr>
            </w:pPr>
            <w:r>
              <w:rPr>
                <w:b/>
                <w:bCs/>
                <w:sz w:val="18"/>
                <w:szCs w:val="18"/>
              </w:rPr>
              <w:t>Proceso De Contratación cubierto por el Acuerdo Comercial</w:t>
            </w:r>
          </w:p>
        </w:tc>
      </w:tr>
      <w:tr>
        <w:tblPrEx>
          <w:shd w:val="clear" w:color="auto" w:fill="FFFFFF"/>
          <w:tblLayout w:type="fixed"/>
          <w:tblCellMar>
            <w:top w:w="0" w:type="dxa"/>
            <w:left w:w="0" w:type="dxa"/>
            <w:bottom w:w="0" w:type="dxa"/>
            <w:right w:w="0" w:type="dxa"/>
          </w:tblCellMar>
        </w:tblPrEx>
        <w:tc>
          <w:tcPr>
            <w:tcW w:w="18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rPr>
            </w:pPr>
            <w:r>
              <w:rPr>
                <w:sz w:val="18"/>
                <w:szCs w:val="18"/>
              </w:rPr>
              <w:t>Chile</w:t>
            </w:r>
          </w:p>
        </w:tc>
        <w:tc>
          <w:tcPr>
            <w:tcW w:w="92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274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53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80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r>
      <w:tr>
        <w:tblPrEx>
          <w:shd w:val="clear" w:color="auto" w:fill="FFFFFF"/>
          <w:tblLayout w:type="fixed"/>
          <w:tblCellMar>
            <w:top w:w="0" w:type="dxa"/>
            <w:left w:w="0" w:type="dxa"/>
            <w:bottom w:w="0" w:type="dxa"/>
            <w:right w:w="0" w:type="dxa"/>
          </w:tblCellMar>
        </w:tblPrEx>
        <w:tc>
          <w:tcPr>
            <w:tcW w:w="18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rPr>
            </w:pPr>
            <w:r>
              <w:rPr>
                <w:sz w:val="18"/>
                <w:szCs w:val="18"/>
              </w:rPr>
              <w:t>Alianza Pacífico (Chile y Perú)</w:t>
            </w:r>
          </w:p>
        </w:tc>
        <w:tc>
          <w:tcPr>
            <w:tcW w:w="92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274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53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80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r>
      <w:tr>
        <w:tblPrEx>
          <w:shd w:val="clear" w:color="auto" w:fill="FFFFFF"/>
          <w:tblLayout w:type="fixed"/>
          <w:tblCellMar>
            <w:top w:w="0" w:type="dxa"/>
            <w:left w:w="0" w:type="dxa"/>
            <w:bottom w:w="0" w:type="dxa"/>
            <w:right w:w="0" w:type="dxa"/>
          </w:tblCellMar>
        </w:tblPrEx>
        <w:tc>
          <w:tcPr>
            <w:tcW w:w="18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rPr>
            </w:pPr>
            <w:r>
              <w:rPr>
                <w:sz w:val="18"/>
                <w:szCs w:val="18"/>
              </w:rPr>
              <w:t>Estados AELC</w:t>
            </w:r>
          </w:p>
        </w:tc>
        <w:tc>
          <w:tcPr>
            <w:tcW w:w="92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274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53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80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r>
      <w:tr>
        <w:tblPrEx>
          <w:shd w:val="clear" w:color="auto" w:fill="FFFFFF"/>
          <w:tblLayout w:type="fixed"/>
          <w:tblCellMar>
            <w:top w:w="0" w:type="dxa"/>
            <w:left w:w="0" w:type="dxa"/>
            <w:bottom w:w="0" w:type="dxa"/>
            <w:right w:w="0" w:type="dxa"/>
          </w:tblCellMar>
        </w:tblPrEx>
        <w:tc>
          <w:tcPr>
            <w:tcW w:w="18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rPr>
            </w:pPr>
            <w:r>
              <w:rPr>
                <w:sz w:val="18"/>
                <w:szCs w:val="18"/>
              </w:rPr>
              <w:t>Costa Rica</w:t>
            </w:r>
          </w:p>
        </w:tc>
        <w:tc>
          <w:tcPr>
            <w:tcW w:w="92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274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53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80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r>
      <w:tr>
        <w:tblPrEx>
          <w:shd w:val="clear" w:color="auto" w:fill="FFFFFF"/>
          <w:tblLayout w:type="fixed"/>
          <w:tblCellMar>
            <w:top w:w="0" w:type="dxa"/>
            <w:left w:w="0" w:type="dxa"/>
            <w:bottom w:w="0" w:type="dxa"/>
            <w:right w:w="0" w:type="dxa"/>
          </w:tblCellMar>
        </w:tblPrEx>
        <w:tc>
          <w:tcPr>
            <w:tcW w:w="18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rPr>
            </w:pPr>
            <w:r>
              <w:rPr>
                <w:sz w:val="18"/>
                <w:szCs w:val="18"/>
              </w:rPr>
              <w:t>Unión Europea</w:t>
            </w:r>
          </w:p>
        </w:tc>
        <w:tc>
          <w:tcPr>
            <w:tcW w:w="92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274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53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80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r>
      <w:tr>
        <w:tblPrEx>
          <w:shd w:val="clear" w:color="auto" w:fill="FFFFFF"/>
          <w:tblLayout w:type="fixed"/>
          <w:tblCellMar>
            <w:top w:w="0" w:type="dxa"/>
            <w:left w:w="0" w:type="dxa"/>
            <w:bottom w:w="0" w:type="dxa"/>
            <w:right w:w="0" w:type="dxa"/>
          </w:tblCellMar>
        </w:tblPrEx>
        <w:tc>
          <w:tcPr>
            <w:tcW w:w="18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rPr>
            </w:pPr>
            <w:r>
              <w:rPr>
                <w:sz w:val="18"/>
                <w:szCs w:val="18"/>
              </w:rPr>
              <w:t>Triángulo del Norte (Guatemala y El Salvador)</w:t>
            </w:r>
          </w:p>
        </w:tc>
        <w:tc>
          <w:tcPr>
            <w:tcW w:w="92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274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val="en-US" w:eastAsia="es-CO"/>
              </w:rPr>
              <w:t>SI</w:t>
            </w:r>
          </w:p>
        </w:tc>
        <w:tc>
          <w:tcPr>
            <w:tcW w:w="153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80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val="en-US" w:eastAsia="es-CO"/>
              </w:rPr>
              <w:t>SI</w:t>
            </w:r>
          </w:p>
        </w:tc>
      </w:tr>
      <w:tr>
        <w:tblPrEx>
          <w:shd w:val="clear" w:color="auto" w:fill="FFFFFF"/>
          <w:tblLayout w:type="fixed"/>
          <w:tblCellMar>
            <w:top w:w="0" w:type="dxa"/>
            <w:left w:w="0" w:type="dxa"/>
            <w:bottom w:w="0" w:type="dxa"/>
            <w:right w:w="0" w:type="dxa"/>
          </w:tblCellMar>
        </w:tblPrEx>
        <w:tc>
          <w:tcPr>
            <w:tcW w:w="184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rPr>
            </w:pPr>
            <w:r>
              <w:rPr>
                <w:sz w:val="18"/>
                <w:szCs w:val="18"/>
              </w:rPr>
              <w:t>Decisión 439 de la CAN</w:t>
            </w:r>
          </w:p>
        </w:tc>
        <w:tc>
          <w:tcPr>
            <w:tcW w:w="92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274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c>
          <w:tcPr>
            <w:tcW w:w="153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NO</w:t>
            </w:r>
          </w:p>
        </w:tc>
        <w:tc>
          <w:tcPr>
            <w:tcW w:w="1807"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pPr>
              <w:jc w:val="center"/>
              <w:rPr>
                <w:sz w:val="18"/>
                <w:szCs w:val="18"/>
                <w:lang w:eastAsia="es-CO"/>
              </w:rPr>
            </w:pPr>
            <w:r>
              <w:rPr>
                <w:sz w:val="18"/>
                <w:szCs w:val="18"/>
                <w:lang w:eastAsia="es-CO"/>
              </w:rPr>
              <w:t>SI</w:t>
            </w:r>
          </w:p>
        </w:tc>
      </w:tr>
    </w:tbl>
    <w:p/>
    <w:p>
      <w:pPr>
        <w:spacing w:after="0"/>
      </w:pPr>
      <w:r>
        <w:t>De acuerdo a la verificación realizada sobre los TRATADOS DE LIBRE COMERCIO Y ACUERDOS INTERNACIONALES VIGENTES PARA EL ESTADO COLOMBIANO, y a las observaciones plasmadas en el cuadro que antecede, no existen reglas especiales incluidas en los mismos, para darle aplicación dentro del presente proceso de selección.</w:t>
      </w:r>
    </w:p>
    <w:p>
      <w:pPr>
        <w:spacing w:after="0"/>
      </w:pPr>
    </w:p>
    <w:p>
      <w:pPr>
        <w:pStyle w:val="3"/>
        <w:numPr>
          <w:ilvl w:val="1"/>
          <w:numId w:val="0"/>
        </w:numPr>
        <w:spacing w:after="0"/>
        <w:ind w:leftChars="0"/>
      </w:pPr>
      <w:r>
        <w:rPr>
          <w:lang w:val="es-CO"/>
        </w:rPr>
        <w:t xml:space="preserve">5.12 </w:t>
      </w:r>
      <w:r>
        <w:t xml:space="preserve">CONDICIONES MÍNIMAS DE CELEBRACIÓN DEL CONTRATO </w:t>
      </w:r>
    </w:p>
    <w:p>
      <w:pPr>
        <w:rPr>
          <w:lang w:val="es-ES"/>
        </w:rPr>
      </w:pPr>
    </w:p>
    <w:p>
      <w:pPr>
        <w:pStyle w:val="4"/>
        <w:numPr>
          <w:ilvl w:val="2"/>
          <w:numId w:val="0"/>
        </w:numPr>
        <w:spacing w:before="0" w:after="0"/>
        <w:ind w:leftChars="0"/>
      </w:pPr>
      <w:r>
        <w:rPr>
          <w:lang w:val="es-CO"/>
        </w:rPr>
        <w:t xml:space="preserve">5.12.1 </w:t>
      </w:r>
      <w:r>
        <w:t>INTERPRETACIÓN DEL CONTRATO</w:t>
      </w:r>
    </w:p>
    <w:p>
      <w:pPr>
        <w:spacing w:after="0"/>
      </w:pPr>
    </w:p>
    <w:p>
      <w:pPr>
        <w:spacing w:after="0"/>
      </w:pPr>
      <w:r>
        <w:t>Si durante la ejecución del contrato surgen discrepancias entre las partes sobre la interpretación de algunas de sus estipulaciones que puedan conducir a la paralización o a la afectación grave del servicio público que se pretende satisfacer con el objeto contratado, la entidad estatal, si no se logra acuerdo, interpretará en acto administrativo debidamente motivado, las estipulaciones o cláusulas objeto de la diferencia.</w:t>
      </w:r>
    </w:p>
    <w:p>
      <w:pPr>
        <w:spacing w:after="0"/>
      </w:pPr>
    </w:p>
    <w:p>
      <w:pPr>
        <w:pStyle w:val="4"/>
        <w:numPr>
          <w:ilvl w:val="2"/>
          <w:numId w:val="0"/>
        </w:numPr>
        <w:spacing w:before="0" w:after="0"/>
        <w:ind w:leftChars="0"/>
        <w:rPr>
          <w:lang w:val="es-CO"/>
        </w:rPr>
      </w:pPr>
      <w:r>
        <w:rPr>
          <w:lang w:val="es-CO"/>
        </w:rPr>
        <w:t>5.12.2 PLAZO DE EJECUCIÓN DEL CONTRATO PRODUCTO DEL PROCESO DE SELECCIÓN</w:t>
      </w:r>
    </w:p>
    <w:p>
      <w:pPr>
        <w:spacing w:after="0"/>
      </w:pPr>
    </w:p>
    <w:p>
      <w:pPr>
        <w:spacing w:after="0"/>
        <w:rPr>
          <w:rFonts w:asciiTheme="minorAscii"/>
          <w:b/>
          <w:sz w:val="22"/>
          <w:szCs w:val="22"/>
        </w:rPr>
      </w:pPr>
      <w:r>
        <w:t xml:space="preserve">Una vez cumplidos los requisitos de perfeccionamiento y legalización del contrato, y en concordancia con la aprobación de pólizas a que hubiere lugar, el contrato de obra tendrá un plazo de ejecución de </w:t>
      </w:r>
      <w:r>
        <w:rPr>
          <w:rFonts w:hint="default" w:ascii="Calibri" w:hAnsi="Calibri" w:eastAsia="Times New Roman" w:cs="Calibri"/>
          <w:b/>
          <w:sz w:val="22"/>
          <w:szCs w:val="22"/>
        </w:rPr>
        <w:t>Cuarenta y cinco días (45) días calendario, contados a partir del acta de inicio sin superar el 31 de Diciembre de 2018</w:t>
      </w:r>
      <w:r>
        <w:rPr>
          <w:rFonts w:hint="default" w:ascii="Calibri" w:hAnsi="Calibri" w:cs="Calibri"/>
          <w:b/>
          <w:sz w:val="22"/>
          <w:szCs w:val="22"/>
        </w:rPr>
        <w:t>.</w:t>
      </w:r>
    </w:p>
    <w:p>
      <w:pPr>
        <w:spacing w:after="0"/>
        <w:rPr>
          <w:rFonts w:asciiTheme="minorAscii"/>
          <w:sz w:val="22"/>
          <w:szCs w:val="22"/>
        </w:rPr>
      </w:pPr>
    </w:p>
    <w:p>
      <w:pPr>
        <w:pStyle w:val="4"/>
        <w:numPr>
          <w:ilvl w:val="2"/>
          <w:numId w:val="0"/>
        </w:numPr>
        <w:spacing w:before="0" w:after="0"/>
        <w:ind w:leftChars="0"/>
        <w:rPr>
          <w:sz w:val="16"/>
          <w:szCs w:val="16"/>
          <w:highlight w:val="yellow"/>
        </w:rPr>
      </w:pPr>
      <w:r>
        <w:rPr>
          <w:lang w:val="es-CO"/>
        </w:rPr>
        <w:t xml:space="preserve">5.12.3 </w:t>
      </w:r>
      <w:r>
        <w:t>PRESUPUESTO OFICIAL</w:t>
      </w:r>
      <w:bookmarkStart w:id="3" w:name="OLE_LINK1"/>
    </w:p>
    <w:p>
      <w:pPr>
        <w:spacing w:after="0"/>
      </w:pPr>
    </w:p>
    <w:p>
      <w:pPr>
        <w:spacing w:after="0"/>
      </w:pPr>
      <w:r>
        <w:t xml:space="preserve">El valor del presente Contrato corresponde a la suma de </w:t>
      </w:r>
      <w:r>
        <w:rPr>
          <w:b/>
          <w:bCs/>
          <w:lang w:val="es-CO"/>
        </w:rPr>
        <w:t>S</w:t>
      </w:r>
      <w:r>
        <w:rPr>
          <w:rFonts w:ascii="Century Gothic" w:hAnsi="Century Gothic" w:eastAsia="Times New Roman"/>
          <w:b/>
          <w:bCs/>
          <w:sz w:val="20"/>
          <w:szCs w:val="20"/>
          <w:highlight w:val="none"/>
          <w:lang w:val="es-CO"/>
        </w:rPr>
        <w:t>ETENTA Y DOS MILLONES  SETECIENTOS CINCUENTA Y UN MIL SEISCIENTOS VEINTIUN PESOS ($72.7501.621) M/CTE.</w:t>
      </w:r>
      <w:r>
        <w:rPr>
          <w:rFonts w:ascii="Century Gothic" w:hAnsi="Century Gothic" w:eastAsia="Times New Roman"/>
          <w:sz w:val="20"/>
          <w:szCs w:val="20"/>
          <w:highlight w:val="none"/>
          <w:lang w:val="es-CO"/>
        </w:rPr>
        <w:t xml:space="preserve"> </w:t>
      </w:r>
      <w:r>
        <w:t>incluye los pagos por los costos directos e indirectos de obra y todos los impuestos, gravámenes y retenciones a que haya lugar.</w:t>
      </w:r>
    </w:p>
    <w:p>
      <w:pPr>
        <w:spacing w:after="0"/>
        <w:rPr>
          <w:sz w:val="16"/>
          <w:szCs w:val="16"/>
        </w:rPr>
      </w:pPr>
    </w:p>
    <w:bookmarkEnd w:id="3"/>
    <w:p>
      <w:pPr>
        <w:pStyle w:val="4"/>
        <w:numPr>
          <w:ilvl w:val="2"/>
          <w:numId w:val="0"/>
        </w:numPr>
        <w:spacing w:before="0" w:after="0"/>
        <w:ind w:leftChars="0"/>
      </w:pPr>
      <w:bookmarkStart w:id="4" w:name="_Toc461532637"/>
      <w:bookmarkStart w:id="5" w:name="_Toc451876937"/>
      <w:bookmarkStart w:id="6" w:name="_Toc451875397"/>
      <w:r>
        <w:rPr>
          <w:lang w:val="es-CO"/>
        </w:rPr>
        <w:t xml:space="preserve">5.12.4 </w:t>
      </w:r>
      <w:r>
        <w:t>APROPIACIÓN PRESUPUESTAL</w:t>
      </w:r>
      <w:bookmarkEnd w:id="4"/>
      <w:bookmarkEnd w:id="5"/>
      <w:bookmarkEnd w:id="6"/>
    </w:p>
    <w:p>
      <w:pPr>
        <w:spacing w:after="0"/>
        <w:rPr>
          <w:color w:val="FF0000"/>
          <w:sz w:val="16"/>
          <w:szCs w:val="16"/>
        </w:rPr>
      </w:pPr>
    </w:p>
    <w:p>
      <w:pPr>
        <w:spacing w:after="0"/>
        <w:rPr>
          <w:color w:val="000000" w:themeColor="text1"/>
          <w14:textFill>
            <w14:solidFill>
              <w14:schemeClr w14:val="tx1"/>
            </w14:solidFill>
          </w14:textFill>
        </w:rPr>
      </w:pPr>
      <w:r>
        <w:rPr>
          <w:color w:val="000000" w:themeColor="text1"/>
          <w14:textFill>
            <w14:solidFill>
              <w14:schemeClr w14:val="tx1"/>
            </w14:solidFill>
          </w14:textFill>
        </w:rPr>
        <w:t>El Municipio de Neiva pagará al Contratista el valor del presente Contrato con cargo a:</w:t>
      </w:r>
    </w:p>
    <w:p>
      <w:pPr>
        <w:spacing w:after="0"/>
        <w:rPr>
          <w:color w:val="000000" w:themeColor="text1"/>
          <w:sz w:val="16"/>
          <w:szCs w:val="16"/>
          <w14:textFill>
            <w14:solidFill>
              <w14:schemeClr w14:val="tx1"/>
            </w14:solidFill>
          </w14:textFill>
        </w:rPr>
      </w:pPr>
    </w:p>
    <w:p>
      <w:pPr>
        <w:pStyle w:val="7"/>
        <w:spacing w:after="0"/>
        <w:rPr>
          <w:color w:val="000000" w:themeColor="text1"/>
          <w14:textFill>
            <w14:solidFill>
              <w14:schemeClr w14:val="tx1"/>
            </w14:solidFill>
          </w14:textFill>
        </w:rPr>
      </w:pPr>
      <w:bookmarkStart w:id="7" w:name="_Toc461532743"/>
      <w:r>
        <w:rPr>
          <w:color w:val="000000" w:themeColor="text1"/>
          <w14:textFill>
            <w14:solidFill>
              <w14:schemeClr w14:val="tx1"/>
            </w14:solidFill>
          </w14:textFill>
        </w:rPr>
        <w:t xml:space="preserve">Tabla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SEQ Tabla \* ARABIC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t>.  Datos de Disponibilidad Presupuestal</w:t>
      </w:r>
      <w:bookmarkEnd w:id="7"/>
    </w:p>
    <w:tbl>
      <w:tblPr>
        <w:tblStyle w:val="15"/>
        <w:tblW w:w="8684" w:type="dxa"/>
        <w:jc w:val="center"/>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9"/>
        <w:gridCol w:w="1152"/>
        <w:gridCol w:w="2275"/>
        <w:gridCol w:w="2063"/>
        <w:gridCol w:w="1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5" w:hRule="atLeast"/>
          <w:jc w:val="center"/>
        </w:trPr>
        <w:tc>
          <w:tcPr>
            <w:tcW w:w="1669" w:type="dxa"/>
            <w:shd w:val="clear" w:color="auto" w:fill="A6A6A6"/>
            <w:vAlign w:val="center"/>
          </w:tcPr>
          <w:p>
            <w:pPr>
              <w:spacing w:after="0"/>
              <w:jc w:val="center"/>
              <w:rPr>
                <w:rFonts w:eastAsia="Times New Roman" w:cs="Calibri"/>
                <w:b/>
                <w:bCs/>
                <w:color w:val="000000" w:themeColor="text1"/>
                <w:sz w:val="21"/>
                <w:szCs w:val="21"/>
                <w14:textFill>
                  <w14:solidFill>
                    <w14:schemeClr w14:val="tx1"/>
                  </w14:solidFill>
                </w14:textFill>
              </w:rPr>
            </w:pPr>
            <w:r>
              <w:rPr>
                <w:rFonts w:eastAsia="Times New Roman" w:cs="Calibri"/>
                <w:b/>
                <w:bCs/>
                <w:color w:val="000000" w:themeColor="text1"/>
                <w:sz w:val="21"/>
                <w:szCs w:val="21"/>
                <w14:textFill>
                  <w14:solidFill>
                    <w14:schemeClr w14:val="tx1"/>
                  </w14:solidFill>
                </w14:textFill>
              </w:rPr>
              <w:t>PRESUPUESTO ASIGNADO</w:t>
            </w:r>
          </w:p>
        </w:tc>
        <w:tc>
          <w:tcPr>
            <w:tcW w:w="7015" w:type="dxa"/>
            <w:gridSpan w:val="4"/>
            <w:vAlign w:val="center"/>
          </w:tcPr>
          <w:p>
            <w:pPr>
              <w:spacing w:after="0"/>
              <w:rPr>
                <w:rFonts w:hint="default" w:ascii="Calibri" w:hAnsi="Calibri" w:eastAsia="Times New Roman" w:cs="Calibri"/>
                <w:color w:val="000000" w:themeColor="text1"/>
                <w:sz w:val="22"/>
                <w:szCs w:val="22"/>
                <w14:textFill>
                  <w14:solidFill>
                    <w14:schemeClr w14:val="tx1"/>
                  </w14:solidFill>
                </w14:textFill>
              </w:rPr>
            </w:pPr>
            <w:r>
              <w:rPr>
                <w:b/>
                <w:bCs/>
                <w:lang w:val="es-CO"/>
              </w:rPr>
              <w:t>S</w:t>
            </w:r>
            <w:r>
              <w:rPr>
                <w:rFonts w:ascii="Century Gothic" w:hAnsi="Century Gothic" w:eastAsia="Times New Roman"/>
                <w:b/>
                <w:bCs/>
                <w:sz w:val="20"/>
                <w:szCs w:val="20"/>
                <w:highlight w:val="none"/>
                <w:lang w:val="es-CO"/>
              </w:rPr>
              <w:t xml:space="preserve">ETENTA Y DOS MILLONES  SETECIENTOS CINCUENTA Y UN MIL SEISCIENTOS VEINTIUN PESOS ($72.7501.621) </w:t>
            </w:r>
            <w:r>
              <w:rPr>
                <w:rFonts w:ascii="Century Gothic" w:hAnsi="Century Gothic" w:eastAsia="Times New Roman"/>
                <w:sz w:val="20"/>
                <w:szCs w:val="20"/>
                <w:highlight w:val="none"/>
                <w:lang w:val="es-CO"/>
              </w:rPr>
              <w:t xml:space="preserve"> </w:t>
            </w:r>
            <w:r>
              <w:rPr>
                <w:rFonts w:ascii="Century Gothic" w:hAnsi="Century Gothic" w:eastAsia="Times New Roman"/>
                <w:b/>
                <w:bCs/>
                <w:sz w:val="20"/>
                <w:szCs w:val="20"/>
                <w:highlight w:val="none"/>
                <w:lang w:val="es-CO"/>
              </w:rPr>
              <w:t>M/CTE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 w:hRule="atLeast"/>
          <w:jc w:val="center"/>
        </w:trPr>
        <w:tc>
          <w:tcPr>
            <w:tcW w:w="1669" w:type="dxa"/>
            <w:vMerge w:val="restart"/>
            <w:shd w:val="clear" w:color="auto" w:fill="A6A6A6"/>
            <w:vAlign w:val="center"/>
          </w:tcPr>
          <w:p>
            <w:pPr>
              <w:spacing w:after="0"/>
              <w:jc w:val="center"/>
              <w:rPr>
                <w:rFonts w:eastAsia="Times New Roman" w:cs="Calibri"/>
                <w:b/>
                <w:bCs/>
                <w:color w:val="000000" w:themeColor="text1"/>
                <w:sz w:val="21"/>
                <w:szCs w:val="21"/>
                <w14:textFill>
                  <w14:solidFill>
                    <w14:schemeClr w14:val="tx1"/>
                  </w14:solidFill>
                </w14:textFill>
              </w:rPr>
            </w:pPr>
            <w:r>
              <w:rPr>
                <w:rFonts w:eastAsia="Times New Roman" w:cs="Calibri"/>
                <w:b/>
                <w:bCs/>
                <w:color w:val="000000" w:themeColor="text1"/>
                <w:sz w:val="21"/>
                <w:szCs w:val="21"/>
                <w14:textFill>
                  <w14:solidFill>
                    <w14:schemeClr w14:val="tx1"/>
                  </w14:solidFill>
                </w14:textFill>
              </w:rPr>
              <w:t>DISPONIBILIDAD PRESUPUESTAL</w:t>
            </w:r>
          </w:p>
        </w:tc>
        <w:tc>
          <w:tcPr>
            <w:tcW w:w="1152" w:type="dxa"/>
            <w:vAlign w:val="center"/>
          </w:tcPr>
          <w:p>
            <w:pPr>
              <w:spacing w:after="0"/>
              <w:jc w:val="center"/>
              <w:rPr>
                <w:rFonts w:hint="default" w:ascii="Calibri" w:hAnsi="Calibri" w:eastAsia="Times New Roman" w:cs="Calibri"/>
                <w:b/>
                <w:color w:val="000000" w:themeColor="text1"/>
                <w:sz w:val="22"/>
                <w:szCs w:val="22"/>
                <w14:textFill>
                  <w14:solidFill>
                    <w14:schemeClr w14:val="tx1"/>
                  </w14:solidFill>
                </w14:textFill>
              </w:rPr>
            </w:pPr>
            <w:r>
              <w:rPr>
                <w:rFonts w:hint="default" w:ascii="Calibri" w:hAnsi="Calibri" w:eastAsia="Times New Roman" w:cs="Calibri"/>
                <w:b/>
                <w:color w:val="000000" w:themeColor="text1"/>
                <w:sz w:val="22"/>
                <w:szCs w:val="22"/>
                <w14:textFill>
                  <w14:solidFill>
                    <w14:schemeClr w14:val="tx1"/>
                  </w14:solidFill>
                </w14:textFill>
              </w:rPr>
              <w:t>GASTO</w:t>
            </w:r>
          </w:p>
        </w:tc>
        <w:tc>
          <w:tcPr>
            <w:tcW w:w="2275" w:type="dxa"/>
            <w:vAlign w:val="center"/>
          </w:tcPr>
          <w:p>
            <w:pPr>
              <w:spacing w:after="0"/>
              <w:jc w:val="center"/>
              <w:rPr>
                <w:rFonts w:hint="default" w:ascii="Calibri" w:hAnsi="Calibri" w:eastAsia="Times New Roman" w:cs="Calibri"/>
                <w:b/>
                <w:color w:val="000000" w:themeColor="text1"/>
                <w:sz w:val="22"/>
                <w:szCs w:val="22"/>
                <w14:textFill>
                  <w14:solidFill>
                    <w14:schemeClr w14:val="tx1"/>
                  </w14:solidFill>
                </w14:textFill>
              </w:rPr>
            </w:pPr>
            <w:r>
              <w:rPr>
                <w:rFonts w:hint="default" w:ascii="Calibri" w:hAnsi="Calibri" w:eastAsia="Times New Roman" w:cs="Calibri"/>
                <w:b/>
                <w:color w:val="000000" w:themeColor="text1"/>
                <w:sz w:val="22"/>
                <w:szCs w:val="22"/>
                <w14:textFill>
                  <w14:solidFill>
                    <w14:schemeClr w14:val="tx1"/>
                  </w14:solidFill>
                </w14:textFill>
              </w:rPr>
              <w:t>RUBRO</w:t>
            </w:r>
          </w:p>
        </w:tc>
        <w:tc>
          <w:tcPr>
            <w:tcW w:w="2063" w:type="dxa"/>
            <w:vAlign w:val="center"/>
          </w:tcPr>
          <w:p>
            <w:pPr>
              <w:spacing w:after="0"/>
              <w:jc w:val="center"/>
              <w:rPr>
                <w:rFonts w:hint="default" w:ascii="Calibri" w:hAnsi="Calibri" w:eastAsia="Times New Roman" w:cs="Calibri"/>
                <w:b/>
                <w:color w:val="000000" w:themeColor="text1"/>
                <w:sz w:val="22"/>
                <w:szCs w:val="22"/>
                <w14:textFill>
                  <w14:solidFill>
                    <w14:schemeClr w14:val="tx1"/>
                  </w14:solidFill>
                </w14:textFill>
              </w:rPr>
            </w:pPr>
            <w:r>
              <w:rPr>
                <w:rFonts w:hint="default" w:ascii="Calibri" w:hAnsi="Calibri" w:eastAsia="Times New Roman" w:cs="Calibri"/>
                <w:b/>
                <w:color w:val="000000" w:themeColor="text1"/>
                <w:sz w:val="22"/>
                <w:szCs w:val="22"/>
                <w14:textFill>
                  <w14:solidFill>
                    <w14:schemeClr w14:val="tx1"/>
                  </w14:solidFill>
                </w14:textFill>
              </w:rPr>
              <w:t>RECURSO</w:t>
            </w:r>
          </w:p>
        </w:tc>
        <w:tc>
          <w:tcPr>
            <w:tcW w:w="1525" w:type="dxa"/>
            <w:vAlign w:val="center"/>
          </w:tcPr>
          <w:p>
            <w:pPr>
              <w:spacing w:after="0"/>
              <w:jc w:val="center"/>
              <w:rPr>
                <w:rFonts w:hint="default" w:ascii="Calibri" w:hAnsi="Calibri" w:eastAsia="Times New Roman" w:cs="Calibri"/>
                <w:b/>
                <w:color w:val="000000" w:themeColor="text1"/>
                <w:sz w:val="22"/>
                <w:szCs w:val="22"/>
                <w14:textFill>
                  <w14:solidFill>
                    <w14:schemeClr w14:val="tx1"/>
                  </w14:solidFill>
                </w14:textFill>
              </w:rPr>
            </w:pPr>
            <w:r>
              <w:rPr>
                <w:rFonts w:hint="default" w:ascii="Calibri" w:hAnsi="Calibri" w:eastAsia="Times New Roman" w:cs="Calibri"/>
                <w:b/>
                <w:color w:val="000000" w:themeColor="text1"/>
                <w:sz w:val="22"/>
                <w:szCs w:val="22"/>
                <w14:textFill>
                  <w14:solidFill>
                    <w14:schemeClr w14:val="tx1"/>
                  </w14:solidFill>
                </w14:textFill>
              </w:rPr>
              <w:t>No. CDP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3" w:hRule="atLeast"/>
          <w:jc w:val="center"/>
        </w:trPr>
        <w:tc>
          <w:tcPr>
            <w:tcW w:w="1669" w:type="dxa"/>
            <w:vMerge w:val="continue"/>
            <w:shd w:val="clear" w:color="auto" w:fill="A6A6A6"/>
            <w:vAlign w:val="center"/>
          </w:tcPr>
          <w:p>
            <w:pPr>
              <w:spacing w:after="0"/>
              <w:jc w:val="center"/>
              <w:rPr>
                <w:rFonts w:eastAsia="Times New Roman" w:cs="Calibri"/>
                <w:b/>
                <w:bCs/>
                <w:color w:val="000000" w:themeColor="text1"/>
                <w:sz w:val="21"/>
                <w:szCs w:val="21"/>
                <w14:textFill>
                  <w14:solidFill>
                    <w14:schemeClr w14:val="tx1"/>
                  </w14:solidFill>
                </w14:textFill>
              </w:rPr>
            </w:pPr>
          </w:p>
        </w:tc>
        <w:tc>
          <w:tcPr>
            <w:tcW w:w="1152" w:type="dxa"/>
            <w:vAlign w:val="center"/>
          </w:tcPr>
          <w:p>
            <w:pPr>
              <w:spacing w:after="0"/>
              <w:jc w:val="center"/>
              <w:rPr>
                <w:rFonts w:hint="default" w:ascii="Calibri" w:hAnsi="Calibri" w:cs="Calibri"/>
                <w:bCs/>
                <w:color w:val="000000" w:themeColor="text1"/>
                <w:sz w:val="22"/>
                <w:szCs w:val="22"/>
                <w14:textFill>
                  <w14:solidFill>
                    <w14:schemeClr w14:val="tx1"/>
                  </w14:solidFill>
                </w14:textFill>
              </w:rPr>
            </w:pPr>
            <w:r>
              <w:rPr>
                <w:rFonts w:hint="default" w:ascii="Calibri" w:hAnsi="Calibri" w:cs="Calibri"/>
                <w:bCs/>
                <w:color w:val="000000" w:themeColor="text1"/>
                <w:sz w:val="22"/>
                <w:szCs w:val="22"/>
                <w14:textFill>
                  <w14:solidFill>
                    <w14:schemeClr w14:val="tx1"/>
                  </w14:solidFill>
                </w14:textFill>
              </w:rPr>
              <w:t>C</w:t>
            </w:r>
          </w:p>
        </w:tc>
        <w:tc>
          <w:tcPr>
            <w:tcW w:w="2275" w:type="dxa"/>
            <w:vAlign w:val="center"/>
          </w:tcPr>
          <w:p>
            <w:pPr>
              <w:spacing w:after="0"/>
              <w:jc w:val="center"/>
              <w:rPr>
                <w:rFonts w:hint="default" w:ascii="Calibri" w:hAnsi="Calibri" w:cs="Calibri"/>
                <w:bCs/>
                <w:color w:val="000000" w:themeColor="text1"/>
                <w:sz w:val="22"/>
                <w:szCs w:val="22"/>
                <w14:textFill>
                  <w14:solidFill>
                    <w14:schemeClr w14:val="tx1"/>
                  </w14:solidFill>
                </w14:textFill>
              </w:rPr>
            </w:pPr>
            <w:r>
              <w:rPr>
                <w:rFonts w:hint="default" w:ascii="Calibri" w:hAnsi="Calibri" w:cs="Calibri"/>
                <w:color w:val="000000" w:themeColor="text1"/>
                <w:sz w:val="22"/>
                <w:szCs w:val="22"/>
                <w14:textFill>
                  <w14:solidFill>
                    <w14:schemeClr w14:val="tx1"/>
                  </w14:solidFill>
                </w14:textFill>
              </w:rPr>
              <w:t>040401011301000</w:t>
            </w:r>
            <w:r>
              <w:rPr>
                <w:rFonts w:hint="default" w:cs="Calibri"/>
                <w:color w:val="000000" w:themeColor="text1"/>
                <w:sz w:val="22"/>
                <w:szCs w:val="22"/>
                <w:lang w:val="es-CO"/>
                <w14:textFill>
                  <w14:solidFill>
                    <w14:schemeClr w14:val="tx1"/>
                  </w14:solidFill>
                </w14:textFill>
              </w:rPr>
              <w:t>813</w:t>
            </w:r>
          </w:p>
        </w:tc>
        <w:tc>
          <w:tcPr>
            <w:tcW w:w="2063" w:type="dxa"/>
            <w:vAlign w:val="center"/>
          </w:tcPr>
          <w:p>
            <w:pPr>
              <w:spacing w:after="0"/>
              <w:jc w:val="center"/>
              <w:rPr>
                <w:rFonts w:hint="default" w:ascii="Calibri" w:hAnsi="Calibri" w:cs="Calibri"/>
                <w:bCs/>
                <w:color w:val="000000" w:themeColor="text1"/>
                <w:sz w:val="22"/>
                <w:szCs w:val="22"/>
                <w14:textFill>
                  <w14:solidFill>
                    <w14:schemeClr w14:val="tx1"/>
                  </w14:solidFill>
                </w14:textFill>
              </w:rPr>
            </w:pPr>
            <w:r>
              <w:rPr>
                <w:rFonts w:hint="default" w:ascii="Calibri" w:hAnsi="Calibri" w:cs="Calibri"/>
                <w:bCs/>
                <w:color w:val="000000" w:themeColor="text1"/>
                <w:sz w:val="22"/>
                <w:szCs w:val="22"/>
                <w14:textFill>
                  <w14:solidFill>
                    <w14:schemeClr w14:val="tx1"/>
                  </w14:solidFill>
                </w14:textFill>
              </w:rPr>
              <w:t>1109</w:t>
            </w:r>
          </w:p>
        </w:tc>
        <w:tc>
          <w:tcPr>
            <w:tcW w:w="1525" w:type="dxa"/>
            <w:vAlign w:val="center"/>
          </w:tcPr>
          <w:p>
            <w:pPr>
              <w:spacing w:after="0"/>
              <w:jc w:val="center"/>
              <w:rPr>
                <w:rFonts w:hint="default" w:ascii="Calibri" w:hAnsi="Calibri" w:cs="Calibri"/>
                <w:bCs/>
                <w:color w:val="000000" w:themeColor="text1"/>
                <w:sz w:val="22"/>
                <w:szCs w:val="22"/>
                <w:lang w:val="es-CO"/>
                <w14:textFill>
                  <w14:solidFill>
                    <w14:schemeClr w14:val="tx1"/>
                  </w14:solidFill>
                </w14:textFill>
              </w:rPr>
            </w:pPr>
            <w:r>
              <w:rPr>
                <w:rFonts w:hint="default" w:cs="Calibri"/>
                <w:bCs/>
                <w:color w:val="000000" w:themeColor="text1"/>
                <w:sz w:val="22"/>
                <w:szCs w:val="22"/>
                <w:lang w:val="es-CO"/>
                <w14:textFill>
                  <w14:solidFill>
                    <w14:schemeClr w14:val="tx1"/>
                  </w14:solidFill>
                </w14:textFill>
              </w:rPr>
              <w:t>1886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jc w:val="center"/>
        </w:trPr>
        <w:tc>
          <w:tcPr>
            <w:tcW w:w="1669" w:type="dxa"/>
            <w:shd w:val="clear" w:color="auto" w:fill="A6A6A6"/>
            <w:vAlign w:val="center"/>
          </w:tcPr>
          <w:p>
            <w:pPr>
              <w:spacing w:after="0"/>
              <w:jc w:val="center"/>
              <w:rPr>
                <w:rFonts w:eastAsia="Times New Roman" w:cs="Calibri"/>
                <w:b/>
                <w:bCs/>
                <w:color w:val="000000" w:themeColor="text1"/>
                <w:sz w:val="21"/>
                <w:szCs w:val="21"/>
                <w14:textFill>
                  <w14:solidFill>
                    <w14:schemeClr w14:val="tx1"/>
                  </w14:solidFill>
                </w14:textFill>
              </w:rPr>
            </w:pPr>
            <w:r>
              <w:rPr>
                <w:rFonts w:eastAsia="Times New Roman" w:cs="Calibri"/>
                <w:b/>
                <w:bCs/>
                <w:color w:val="000000" w:themeColor="text1"/>
                <w:sz w:val="21"/>
                <w:szCs w:val="21"/>
                <w14:textFill>
                  <w14:solidFill>
                    <w14:schemeClr w14:val="tx1"/>
                  </w14:solidFill>
                </w14:textFill>
              </w:rPr>
              <w:t>CONCEPTO DEL GASTO</w:t>
            </w:r>
          </w:p>
        </w:tc>
        <w:tc>
          <w:tcPr>
            <w:tcW w:w="7015" w:type="dxa"/>
            <w:gridSpan w:val="4"/>
            <w:vAlign w:val="center"/>
          </w:tcPr>
          <w:p>
            <w:pPr>
              <w:spacing w:after="0"/>
              <w:rPr>
                <w:rFonts w:hint="default" w:ascii="Calibri" w:hAnsi="Calibri" w:eastAsia="Times New Roman" w:cs="Calibri"/>
                <w:color w:val="000000" w:themeColor="text1"/>
                <w:sz w:val="22"/>
                <w:szCs w:val="22"/>
                <w14:textFill>
                  <w14:solidFill>
                    <w14:schemeClr w14:val="tx1"/>
                  </w14:solidFill>
                </w14:textFill>
              </w:rPr>
            </w:pPr>
            <w:r>
              <w:rPr>
                <w:rFonts w:hint="default" w:eastAsia="Times New Roman" w:cs="Calibri"/>
                <w:color w:val="000000" w:themeColor="text1"/>
                <w:sz w:val="22"/>
                <w:szCs w:val="22"/>
                <w:lang w:val="es-CO"/>
                <w14:textFill>
                  <w14:solidFill>
                    <w14:schemeClr w14:val="tx1"/>
                  </w14:solidFill>
                </w14:textFill>
              </w:rPr>
              <w:t xml:space="preserve">Reparar ambientes de aprendizaje para los estudiantes de transición, primaria, secundaria y media en las sedes  educativas oficiales de Neiva </w:t>
            </w:r>
            <w:r>
              <w:rPr>
                <w:rFonts w:hint="default" w:ascii="Calibri" w:hAnsi="Calibri" w:eastAsia="Times New Roman" w:cs="Calibri"/>
                <w:color w:val="000000" w:themeColor="text1"/>
                <w:sz w:val="22"/>
                <w:szCs w:val="22"/>
                <w14:textFill>
                  <w14:solidFill>
                    <w14:schemeClr w14:val="tx1"/>
                  </w14:solidFill>
                </w14:textFill>
              </w:rPr>
              <w:t>.</w:t>
            </w:r>
          </w:p>
        </w:tc>
      </w:tr>
    </w:tbl>
    <w:p>
      <w:pPr>
        <w:pStyle w:val="4"/>
        <w:numPr>
          <w:ilvl w:val="0"/>
          <w:numId w:val="0"/>
        </w:numPr>
        <w:spacing w:before="0" w:after="0"/>
        <w:ind w:left="709"/>
        <w:rPr>
          <w:sz w:val="16"/>
          <w:szCs w:val="16"/>
        </w:rPr>
      </w:pPr>
    </w:p>
    <w:p>
      <w:pPr>
        <w:pStyle w:val="4"/>
        <w:numPr>
          <w:ilvl w:val="2"/>
          <w:numId w:val="0"/>
        </w:numPr>
        <w:spacing w:before="0" w:after="0"/>
        <w:ind w:leftChars="0"/>
      </w:pPr>
      <w:r>
        <w:rPr>
          <w:lang w:val="es-CO"/>
        </w:rPr>
        <w:t xml:space="preserve">5.12.5 </w:t>
      </w:r>
      <w:r>
        <w:t>LUGAR DE EJECUCIÓN</w:t>
      </w:r>
    </w:p>
    <w:p>
      <w:pPr>
        <w:spacing w:after="0"/>
        <w:rPr>
          <w:sz w:val="16"/>
          <w:szCs w:val="16"/>
        </w:rPr>
      </w:pPr>
    </w:p>
    <w:p>
      <w:pPr>
        <w:spacing w:after="0"/>
        <w:rPr>
          <w:color w:val="FF0000"/>
        </w:rPr>
      </w:pPr>
      <w:r>
        <w:t xml:space="preserve">El lugar de ejecución del contrato es: </w:t>
      </w:r>
      <w:r>
        <w:rPr>
          <w:lang w:val="es-CO"/>
        </w:rPr>
        <w:t xml:space="preserve">INSTITUCIÓN EDUCATIVA  DEPARTAMENTAL TIERRA DE PROMISION SEDE EFRAIN ROJAS TRUJILLO DEL MUNICIPIO DE NEIVA  </w:t>
      </w:r>
    </w:p>
    <w:p>
      <w:pPr>
        <w:spacing w:after="0"/>
        <w:rPr>
          <w:sz w:val="16"/>
          <w:szCs w:val="16"/>
        </w:rPr>
      </w:pPr>
    </w:p>
    <w:p>
      <w:pPr>
        <w:pStyle w:val="4"/>
        <w:numPr>
          <w:ilvl w:val="2"/>
          <w:numId w:val="0"/>
        </w:numPr>
        <w:spacing w:before="0" w:after="0"/>
        <w:ind w:leftChars="0"/>
      </w:pPr>
      <w:r>
        <w:rPr>
          <w:lang w:val="es-CO"/>
        </w:rPr>
        <w:t xml:space="preserve">5.12.6 </w:t>
      </w:r>
      <w:r>
        <w:t>SUPERVISIÓN DEL CONTRATO</w:t>
      </w:r>
    </w:p>
    <w:p>
      <w:pPr>
        <w:spacing w:after="0"/>
        <w:rPr>
          <w:sz w:val="16"/>
          <w:szCs w:val="16"/>
        </w:rPr>
      </w:pPr>
    </w:p>
    <w:p>
      <w:pPr>
        <w:spacing w:after="0"/>
      </w:pPr>
      <w:r>
        <w:t xml:space="preserve">La supervisión, control y seguimiento del desarrollo y ejecución de las obligaciones contempladas en el contrato será realizada por la </w:t>
      </w:r>
      <w:r>
        <w:rPr>
          <w:b/>
          <w:bCs/>
        </w:rPr>
        <w:t xml:space="preserve">Secretaría de Educación </w:t>
      </w:r>
      <w:r>
        <w:t>o el funcionario designado para el efecto por el ordenador del gasto, quien tendrá a cargo las funciones establecidas para el efecto en la ley y en el Manual de Contratación y Supervisión del Municipio de Neiva.</w:t>
      </w:r>
    </w:p>
    <w:p>
      <w:pPr>
        <w:spacing w:after="0"/>
      </w:pPr>
    </w:p>
    <w:p>
      <w:pPr>
        <w:spacing w:after="0"/>
      </w:pPr>
    </w:p>
    <w:p>
      <w:pPr>
        <w:pStyle w:val="3"/>
        <w:numPr>
          <w:ilvl w:val="1"/>
          <w:numId w:val="0"/>
        </w:numPr>
        <w:spacing w:after="0"/>
        <w:ind w:leftChars="0"/>
      </w:pPr>
      <w:r>
        <w:rPr>
          <w:lang w:val="es-CO"/>
        </w:rPr>
        <w:t xml:space="preserve">5.13 </w:t>
      </w:r>
      <w:r>
        <w:t xml:space="preserve">DETERMINACIÓN Y CUANTIFICACIÓN DE LOS RIESGOS PREVISIBLES DE ACUERDO CON LA NATURALEZA DEL CONTRATO </w:t>
      </w:r>
    </w:p>
    <w:p/>
    <w:p>
      <w:r>
        <w:t>De conformidad con el artículo 4 de la Ley 1150 de 2007 en concordancia con los artículos 2.2.1.1.1.3.1, 2.2.1.1.1.6.1 y 2.2.1.1.1.6.3 del Decreto 1082 de 2015 y el manual para la identificación y cobertura del riesgo en los procesos de contratación de Colombia Compra Eficiente, la Entidad ha realizado la estimación, tipificación y asignación de riesgos previsibles que se deriven de la contratación, con el fin de establecer su distribución definitiva así:</w:t>
      </w:r>
    </w:p>
    <w:p>
      <w:pPr>
        <w:pStyle w:val="7"/>
      </w:pPr>
      <w:r>
        <w:t xml:space="preserve">Tabla </w:t>
      </w:r>
      <w:r>
        <w:fldChar w:fldCharType="begin"/>
      </w:r>
      <w:r>
        <w:instrText xml:space="preserve"> SEQ Tabla \* ARABIC </w:instrText>
      </w:r>
      <w:r>
        <w:fldChar w:fldCharType="separate"/>
      </w:r>
      <w:r>
        <w:t>4</w:t>
      </w:r>
      <w:r>
        <w:fldChar w:fldCharType="end"/>
      </w:r>
      <w:r>
        <w:t>.  Matriz de Riesgos</w:t>
      </w:r>
    </w:p>
    <w:tbl>
      <w:tblPr>
        <w:tblStyle w:val="15"/>
        <w:tblpPr w:leftFromText="180" w:rightFromText="180" w:vertAnchor="text" w:horzAnchor="page" w:tblpXSpec="center" w:tblpY="380"/>
        <w:tblOverlap w:val="never"/>
        <w:tblW w:w="9275" w:type="dxa"/>
        <w:jc w:val="center"/>
        <w:tblInd w:w="0" w:type="dxa"/>
        <w:tblLayout w:type="fixed"/>
        <w:tblCellMar>
          <w:top w:w="0" w:type="dxa"/>
          <w:left w:w="70" w:type="dxa"/>
          <w:bottom w:w="0" w:type="dxa"/>
          <w:right w:w="70" w:type="dxa"/>
        </w:tblCellMar>
      </w:tblPr>
      <w:tblGrid>
        <w:gridCol w:w="222"/>
        <w:gridCol w:w="231"/>
        <w:gridCol w:w="233"/>
        <w:gridCol w:w="234"/>
        <w:gridCol w:w="234"/>
        <w:gridCol w:w="894"/>
        <w:gridCol w:w="870"/>
        <w:gridCol w:w="234"/>
        <w:gridCol w:w="234"/>
        <w:gridCol w:w="234"/>
        <w:gridCol w:w="234"/>
        <w:gridCol w:w="443"/>
        <w:gridCol w:w="796"/>
        <w:gridCol w:w="208"/>
        <w:gridCol w:w="208"/>
        <w:gridCol w:w="286"/>
        <w:gridCol w:w="282"/>
        <w:gridCol w:w="655"/>
        <w:gridCol w:w="655"/>
        <w:gridCol w:w="655"/>
        <w:gridCol w:w="610"/>
        <w:gridCol w:w="623"/>
      </w:tblGrid>
      <w:tr>
        <w:tblPrEx>
          <w:tblLayout w:type="fixed"/>
          <w:tblCellMar>
            <w:top w:w="0" w:type="dxa"/>
            <w:left w:w="70" w:type="dxa"/>
            <w:bottom w:w="0" w:type="dxa"/>
            <w:right w:w="70" w:type="dxa"/>
          </w:tblCellMar>
        </w:tblPrEx>
        <w:trPr>
          <w:cantSplit/>
          <w:trHeight w:val="281" w:hRule="atLeast"/>
          <w:tblHeader/>
          <w:jc w:val="center"/>
        </w:trPr>
        <w:tc>
          <w:tcPr>
            <w:tcW w:w="9275" w:type="dxa"/>
            <w:gridSpan w:val="22"/>
            <w:tcBorders>
              <w:top w:val="single" w:color="auto" w:sz="4" w:space="0"/>
              <w:left w:val="single" w:color="auto" w:sz="4" w:space="0"/>
              <w:bottom w:val="single" w:color="auto" w:sz="4" w:space="0"/>
              <w:right w:val="single" w:color="auto" w:sz="4" w:space="0"/>
            </w:tcBorders>
            <w:shd w:val="clear" w:color="auto" w:fill="BFBFBF"/>
            <w:vAlign w:val="center"/>
          </w:tcPr>
          <w:p>
            <w:pPr>
              <w:ind w:left="113" w:right="113"/>
              <w:jc w:val="center"/>
              <w:rPr>
                <w:sz w:val="15"/>
                <w:szCs w:val="15"/>
                <w:lang w:eastAsia="es-CO"/>
              </w:rPr>
            </w:pPr>
            <w:r>
              <w:rPr>
                <w:sz w:val="15"/>
                <w:szCs w:val="15"/>
                <w:lang w:eastAsia="es-CO"/>
              </w:rPr>
              <w:t>MATRIZ DE RIESGOS</w:t>
            </w:r>
          </w:p>
        </w:tc>
      </w:tr>
      <w:tr>
        <w:tblPrEx>
          <w:tblLayout w:type="fixed"/>
          <w:tblCellMar>
            <w:top w:w="0" w:type="dxa"/>
            <w:left w:w="70" w:type="dxa"/>
            <w:bottom w:w="0" w:type="dxa"/>
            <w:right w:w="70" w:type="dxa"/>
          </w:tblCellMar>
        </w:tblPrEx>
        <w:trPr>
          <w:cantSplit/>
          <w:trHeight w:val="828" w:hRule="atLeast"/>
          <w:tblHeader/>
          <w:jc w:val="center"/>
        </w:trPr>
        <w:tc>
          <w:tcPr>
            <w:tcW w:w="222" w:type="dxa"/>
            <w:vMerge w:val="restart"/>
            <w:tcBorders>
              <w:top w:val="single" w:color="auto" w:sz="4" w:space="0"/>
              <w:left w:val="single" w:color="auto" w:sz="4" w:space="0"/>
              <w:right w:val="single" w:color="auto" w:sz="4" w:space="0"/>
            </w:tcBorders>
            <w:shd w:val="clear" w:color="auto" w:fill="BFBFBF"/>
            <w:vAlign w:val="center"/>
          </w:tcPr>
          <w:p>
            <w:pPr>
              <w:jc w:val="center"/>
              <w:rPr>
                <w:sz w:val="15"/>
                <w:szCs w:val="15"/>
                <w:lang w:eastAsia="es-CO"/>
              </w:rPr>
            </w:pPr>
            <w:r>
              <w:rPr>
                <w:sz w:val="15"/>
                <w:szCs w:val="15"/>
                <w:lang w:eastAsia="es-CO"/>
              </w:rPr>
              <w:t>N°</w:t>
            </w:r>
          </w:p>
        </w:tc>
        <w:tc>
          <w:tcPr>
            <w:tcW w:w="231"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CLASE</w:t>
            </w:r>
          </w:p>
        </w:tc>
        <w:tc>
          <w:tcPr>
            <w:tcW w:w="233"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FUENTE</w:t>
            </w:r>
          </w:p>
        </w:tc>
        <w:tc>
          <w:tcPr>
            <w:tcW w:w="234"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ETAPA</w:t>
            </w:r>
          </w:p>
        </w:tc>
        <w:tc>
          <w:tcPr>
            <w:tcW w:w="234"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TIPO</w:t>
            </w:r>
          </w:p>
        </w:tc>
        <w:tc>
          <w:tcPr>
            <w:tcW w:w="894" w:type="dxa"/>
            <w:vMerge w:val="restart"/>
            <w:tcBorders>
              <w:top w:val="single" w:color="auto" w:sz="4" w:space="0"/>
              <w:left w:val="nil"/>
              <w:right w:val="single" w:color="auto" w:sz="4" w:space="0"/>
            </w:tcBorders>
            <w:shd w:val="clear" w:color="auto" w:fill="BFBFBF"/>
            <w:vAlign w:val="center"/>
          </w:tcPr>
          <w:p>
            <w:pPr>
              <w:jc w:val="center"/>
              <w:rPr>
                <w:sz w:val="15"/>
                <w:szCs w:val="15"/>
                <w:lang w:eastAsia="es-CO"/>
              </w:rPr>
            </w:pPr>
            <w:r>
              <w:rPr>
                <w:sz w:val="15"/>
                <w:szCs w:val="15"/>
                <w:lang w:eastAsia="es-CO"/>
              </w:rPr>
              <w:t>DESCRIPCIÓN (Qué puede pasar y cómo puede ocurrir)</w:t>
            </w:r>
          </w:p>
        </w:tc>
        <w:tc>
          <w:tcPr>
            <w:tcW w:w="870" w:type="dxa"/>
            <w:vMerge w:val="restart"/>
            <w:tcBorders>
              <w:top w:val="single" w:color="auto" w:sz="4" w:space="0"/>
              <w:left w:val="nil"/>
              <w:right w:val="single" w:color="auto" w:sz="4" w:space="0"/>
            </w:tcBorders>
            <w:shd w:val="clear" w:color="auto" w:fill="BFBFBF"/>
            <w:vAlign w:val="center"/>
          </w:tcPr>
          <w:p>
            <w:pPr>
              <w:jc w:val="center"/>
              <w:rPr>
                <w:sz w:val="15"/>
                <w:szCs w:val="15"/>
                <w:lang w:eastAsia="es-CO"/>
              </w:rPr>
            </w:pPr>
            <w:r>
              <w:rPr>
                <w:sz w:val="15"/>
                <w:szCs w:val="15"/>
                <w:lang w:eastAsia="es-CO"/>
              </w:rPr>
              <w:t>CONSECUENCIA DE LA OCURRENCIA DEL EVENTO</w:t>
            </w:r>
          </w:p>
        </w:tc>
        <w:tc>
          <w:tcPr>
            <w:tcW w:w="234"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PROBABILIDAD</w:t>
            </w:r>
          </w:p>
        </w:tc>
        <w:tc>
          <w:tcPr>
            <w:tcW w:w="234"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IMPACTO</w:t>
            </w:r>
          </w:p>
        </w:tc>
        <w:tc>
          <w:tcPr>
            <w:tcW w:w="234"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VALORACIÓN</w:t>
            </w:r>
          </w:p>
        </w:tc>
        <w:tc>
          <w:tcPr>
            <w:tcW w:w="234"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CATEGORÍA</w:t>
            </w:r>
          </w:p>
        </w:tc>
        <w:tc>
          <w:tcPr>
            <w:tcW w:w="443"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¿A quién se le asigna?</w:t>
            </w:r>
          </w:p>
        </w:tc>
        <w:tc>
          <w:tcPr>
            <w:tcW w:w="796" w:type="dxa"/>
            <w:vMerge w:val="restart"/>
            <w:tcBorders>
              <w:top w:val="single" w:color="auto" w:sz="4" w:space="0"/>
              <w:left w:val="nil"/>
              <w:right w:val="single" w:color="auto" w:sz="4" w:space="0"/>
            </w:tcBorders>
            <w:shd w:val="clear" w:color="auto" w:fill="BFBFBF"/>
            <w:vAlign w:val="center"/>
          </w:tcPr>
          <w:p>
            <w:pPr>
              <w:jc w:val="center"/>
              <w:rPr>
                <w:sz w:val="15"/>
                <w:szCs w:val="15"/>
                <w:lang w:eastAsia="es-CO"/>
              </w:rPr>
            </w:pPr>
            <w:r>
              <w:rPr>
                <w:sz w:val="15"/>
                <w:szCs w:val="15"/>
                <w:lang w:eastAsia="es-CO"/>
              </w:rPr>
              <w:t>Tratamiento/Controles implementados</w:t>
            </w:r>
          </w:p>
        </w:tc>
        <w:tc>
          <w:tcPr>
            <w:tcW w:w="702" w:type="dxa"/>
            <w:gridSpan w:val="3"/>
            <w:tcBorders>
              <w:top w:val="single" w:color="auto" w:sz="4" w:space="0"/>
              <w:left w:val="nil"/>
              <w:bottom w:val="single" w:color="auto" w:sz="4" w:space="0"/>
              <w:right w:val="single" w:color="auto" w:sz="4" w:space="0"/>
            </w:tcBorders>
            <w:shd w:val="clear" w:color="auto" w:fill="BFBFBF"/>
            <w:vAlign w:val="center"/>
          </w:tcPr>
          <w:p>
            <w:pPr>
              <w:jc w:val="center"/>
              <w:rPr>
                <w:sz w:val="15"/>
                <w:szCs w:val="15"/>
                <w:lang w:eastAsia="es-CO"/>
              </w:rPr>
            </w:pPr>
            <w:r>
              <w:rPr>
                <w:sz w:val="15"/>
                <w:szCs w:val="15"/>
                <w:lang w:eastAsia="es-CO"/>
              </w:rPr>
              <w:t>Impacto después del tratamiento</w:t>
            </w:r>
          </w:p>
        </w:tc>
        <w:tc>
          <w:tcPr>
            <w:tcW w:w="282"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¿Afecta la ejecución del contrato?</w:t>
            </w:r>
          </w:p>
        </w:tc>
        <w:tc>
          <w:tcPr>
            <w:tcW w:w="655" w:type="dxa"/>
            <w:vMerge w:val="restart"/>
            <w:tcBorders>
              <w:top w:val="single" w:color="auto" w:sz="4" w:space="0"/>
              <w:left w:val="nil"/>
              <w:right w:val="single" w:color="auto" w:sz="4" w:space="0"/>
            </w:tcBorders>
            <w:shd w:val="clear" w:color="auto" w:fill="BFBFBF"/>
            <w:vAlign w:val="center"/>
          </w:tcPr>
          <w:p>
            <w:pPr>
              <w:jc w:val="center"/>
              <w:rPr>
                <w:sz w:val="15"/>
                <w:szCs w:val="15"/>
                <w:lang w:eastAsia="es-CO"/>
              </w:rPr>
            </w:pPr>
            <w:r>
              <w:rPr>
                <w:sz w:val="15"/>
                <w:szCs w:val="15"/>
                <w:lang w:eastAsia="es-CO"/>
              </w:rPr>
              <w:t>Persona responsable por implementar el tratamiento</w:t>
            </w:r>
          </w:p>
        </w:tc>
        <w:tc>
          <w:tcPr>
            <w:tcW w:w="655" w:type="dxa"/>
            <w:vMerge w:val="restart"/>
            <w:tcBorders>
              <w:top w:val="single" w:color="auto" w:sz="4" w:space="0"/>
              <w:left w:val="nil"/>
              <w:right w:val="single" w:color="auto" w:sz="4" w:space="0"/>
            </w:tcBorders>
            <w:shd w:val="clear" w:color="auto" w:fill="BFBFBF"/>
            <w:vAlign w:val="center"/>
          </w:tcPr>
          <w:p>
            <w:pPr>
              <w:jc w:val="center"/>
              <w:rPr>
                <w:sz w:val="15"/>
                <w:szCs w:val="15"/>
                <w:lang w:eastAsia="es-CO"/>
              </w:rPr>
            </w:pPr>
            <w:r>
              <w:rPr>
                <w:sz w:val="15"/>
                <w:szCs w:val="15"/>
                <w:lang w:eastAsia="es-CO"/>
              </w:rPr>
              <w:t>Fecha estimada en que se inicia el tratamiento</w:t>
            </w:r>
          </w:p>
        </w:tc>
        <w:tc>
          <w:tcPr>
            <w:tcW w:w="655" w:type="dxa"/>
            <w:vMerge w:val="restart"/>
            <w:tcBorders>
              <w:top w:val="single" w:color="auto" w:sz="4" w:space="0"/>
              <w:left w:val="nil"/>
              <w:right w:val="single" w:color="auto" w:sz="4" w:space="0"/>
            </w:tcBorders>
            <w:shd w:val="clear" w:color="auto" w:fill="BFBFBF"/>
            <w:vAlign w:val="center"/>
          </w:tcPr>
          <w:p>
            <w:pPr>
              <w:jc w:val="center"/>
              <w:rPr>
                <w:sz w:val="15"/>
                <w:szCs w:val="15"/>
                <w:lang w:eastAsia="es-CO"/>
              </w:rPr>
            </w:pPr>
            <w:r>
              <w:rPr>
                <w:sz w:val="15"/>
                <w:szCs w:val="15"/>
                <w:lang w:eastAsia="es-CO"/>
              </w:rPr>
              <w:t>Fecha estimada en que se completa el tratamiento</w:t>
            </w:r>
          </w:p>
        </w:tc>
        <w:tc>
          <w:tcPr>
            <w:tcW w:w="1233" w:type="dxa"/>
            <w:gridSpan w:val="2"/>
            <w:tcBorders>
              <w:top w:val="single" w:color="auto" w:sz="4" w:space="0"/>
              <w:left w:val="nil"/>
              <w:bottom w:val="single" w:color="auto" w:sz="4" w:space="0"/>
              <w:right w:val="single" w:color="auto" w:sz="4" w:space="0"/>
            </w:tcBorders>
            <w:shd w:val="clear" w:color="auto" w:fill="BFBFBF"/>
            <w:vAlign w:val="center"/>
          </w:tcPr>
          <w:p>
            <w:pPr>
              <w:jc w:val="center"/>
              <w:rPr>
                <w:sz w:val="15"/>
                <w:szCs w:val="15"/>
                <w:lang w:eastAsia="es-CO"/>
              </w:rPr>
            </w:pPr>
            <w:r>
              <w:rPr>
                <w:sz w:val="15"/>
                <w:szCs w:val="15"/>
                <w:lang w:eastAsia="es-CO"/>
              </w:rPr>
              <w:t>Monitoreo y revisión</w:t>
            </w:r>
          </w:p>
        </w:tc>
      </w:tr>
      <w:tr>
        <w:tblPrEx>
          <w:tblLayout w:type="fixed"/>
          <w:tblCellMar>
            <w:top w:w="0" w:type="dxa"/>
            <w:left w:w="70" w:type="dxa"/>
            <w:bottom w:w="0" w:type="dxa"/>
            <w:right w:w="70" w:type="dxa"/>
          </w:tblCellMar>
        </w:tblPrEx>
        <w:trPr>
          <w:cantSplit/>
          <w:trHeight w:val="556" w:hRule="atLeast"/>
          <w:tblHeader/>
          <w:jc w:val="center"/>
        </w:trPr>
        <w:tc>
          <w:tcPr>
            <w:tcW w:w="222" w:type="dxa"/>
            <w:vMerge w:val="continue"/>
            <w:tcBorders>
              <w:left w:val="single" w:color="auto" w:sz="4" w:space="0"/>
              <w:right w:val="single" w:color="auto" w:sz="4" w:space="0"/>
            </w:tcBorders>
            <w:shd w:val="clear" w:color="auto" w:fill="BFBFBF"/>
            <w:vAlign w:val="center"/>
          </w:tcPr>
          <w:p>
            <w:pPr>
              <w:jc w:val="center"/>
              <w:rPr>
                <w:sz w:val="15"/>
                <w:szCs w:val="15"/>
                <w:lang w:eastAsia="es-CO"/>
              </w:rPr>
            </w:pPr>
          </w:p>
        </w:tc>
        <w:tc>
          <w:tcPr>
            <w:tcW w:w="231"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233"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894" w:type="dxa"/>
            <w:vMerge w:val="continue"/>
            <w:tcBorders>
              <w:left w:val="nil"/>
              <w:right w:val="single" w:color="auto" w:sz="4" w:space="0"/>
            </w:tcBorders>
            <w:shd w:val="clear" w:color="auto" w:fill="BFBFBF"/>
            <w:vAlign w:val="center"/>
          </w:tcPr>
          <w:p>
            <w:pPr>
              <w:jc w:val="center"/>
              <w:rPr>
                <w:sz w:val="15"/>
                <w:szCs w:val="15"/>
                <w:lang w:eastAsia="es-CO"/>
              </w:rPr>
            </w:pPr>
          </w:p>
        </w:tc>
        <w:tc>
          <w:tcPr>
            <w:tcW w:w="870" w:type="dxa"/>
            <w:vMerge w:val="continue"/>
            <w:tcBorders>
              <w:left w:val="nil"/>
              <w:right w:val="single" w:color="auto" w:sz="4" w:space="0"/>
            </w:tcBorders>
            <w:shd w:val="clear" w:color="auto" w:fill="BFBFBF"/>
            <w:vAlign w:val="center"/>
          </w:tcPr>
          <w:p>
            <w:pPr>
              <w:jc w:val="center"/>
              <w:rPr>
                <w:sz w:val="15"/>
                <w:szCs w:val="15"/>
                <w:lang w:eastAsia="es-CO"/>
              </w:rPr>
            </w:pPr>
          </w:p>
        </w:tc>
        <w:tc>
          <w:tcPr>
            <w:tcW w:w="234"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443"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796"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208"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Probabilidad</w:t>
            </w:r>
          </w:p>
        </w:tc>
        <w:tc>
          <w:tcPr>
            <w:tcW w:w="208" w:type="dxa"/>
            <w:vMerge w:val="restart"/>
            <w:tcBorders>
              <w:top w:val="single" w:color="auto" w:sz="4" w:space="0"/>
              <w:left w:val="nil"/>
              <w:right w:val="single" w:color="auto" w:sz="4" w:space="0"/>
            </w:tcBorders>
            <w:shd w:val="clear" w:color="auto" w:fill="BFBFBF"/>
            <w:textDirection w:val="btLr"/>
            <w:vAlign w:val="center"/>
          </w:tcPr>
          <w:p>
            <w:pPr>
              <w:ind w:left="113" w:right="113"/>
              <w:jc w:val="center"/>
              <w:rPr>
                <w:sz w:val="15"/>
                <w:szCs w:val="15"/>
                <w:lang w:eastAsia="es-CO"/>
              </w:rPr>
            </w:pPr>
            <w:r>
              <w:rPr>
                <w:sz w:val="15"/>
                <w:szCs w:val="15"/>
                <w:lang w:eastAsia="es-CO"/>
              </w:rPr>
              <w:t>Impacto</w:t>
            </w:r>
          </w:p>
        </w:tc>
        <w:tc>
          <w:tcPr>
            <w:tcW w:w="286" w:type="dxa"/>
            <w:vMerge w:val="restart"/>
            <w:tcBorders>
              <w:top w:val="single" w:color="auto" w:sz="4" w:space="0"/>
              <w:left w:val="nil"/>
              <w:right w:val="single" w:color="auto" w:sz="4" w:space="0"/>
            </w:tcBorders>
            <w:shd w:val="clear" w:color="auto" w:fill="BFBFBF"/>
            <w:textDirection w:val="btLr"/>
          </w:tcPr>
          <w:p>
            <w:pPr>
              <w:ind w:left="113" w:right="113"/>
              <w:jc w:val="center"/>
              <w:rPr>
                <w:sz w:val="15"/>
                <w:szCs w:val="15"/>
                <w:lang w:eastAsia="es-CO"/>
              </w:rPr>
            </w:pPr>
            <w:r>
              <w:rPr>
                <w:sz w:val="15"/>
                <w:szCs w:val="15"/>
                <w:lang w:eastAsia="es-CO"/>
              </w:rPr>
              <w:t>Calificación total</w:t>
            </w:r>
          </w:p>
        </w:tc>
        <w:tc>
          <w:tcPr>
            <w:tcW w:w="282" w:type="dxa"/>
            <w:vMerge w:val="continue"/>
            <w:tcBorders>
              <w:left w:val="nil"/>
              <w:right w:val="single" w:color="auto" w:sz="4" w:space="0"/>
            </w:tcBorders>
            <w:shd w:val="clear" w:color="auto" w:fill="BFBFBF"/>
            <w:textDirection w:val="btLr"/>
            <w:vAlign w:val="center"/>
          </w:tcPr>
          <w:p>
            <w:pPr>
              <w:ind w:left="113" w:right="113"/>
              <w:jc w:val="center"/>
              <w:rPr>
                <w:sz w:val="15"/>
                <w:szCs w:val="15"/>
                <w:lang w:eastAsia="es-CO"/>
              </w:rPr>
            </w:pPr>
          </w:p>
        </w:tc>
        <w:tc>
          <w:tcPr>
            <w:tcW w:w="655" w:type="dxa"/>
            <w:vMerge w:val="continue"/>
            <w:tcBorders>
              <w:left w:val="nil"/>
              <w:right w:val="single" w:color="auto" w:sz="4" w:space="0"/>
            </w:tcBorders>
            <w:shd w:val="clear" w:color="auto" w:fill="BFBFBF"/>
            <w:vAlign w:val="center"/>
          </w:tcPr>
          <w:p>
            <w:pPr>
              <w:jc w:val="center"/>
              <w:rPr>
                <w:sz w:val="15"/>
                <w:szCs w:val="15"/>
                <w:lang w:eastAsia="es-CO"/>
              </w:rPr>
            </w:pPr>
          </w:p>
        </w:tc>
        <w:tc>
          <w:tcPr>
            <w:tcW w:w="655" w:type="dxa"/>
            <w:vMerge w:val="continue"/>
            <w:tcBorders>
              <w:left w:val="nil"/>
              <w:right w:val="single" w:color="auto" w:sz="4" w:space="0"/>
            </w:tcBorders>
            <w:shd w:val="clear" w:color="auto" w:fill="BFBFBF"/>
            <w:vAlign w:val="center"/>
          </w:tcPr>
          <w:p>
            <w:pPr>
              <w:jc w:val="center"/>
              <w:rPr>
                <w:sz w:val="15"/>
                <w:szCs w:val="15"/>
                <w:lang w:eastAsia="es-CO"/>
              </w:rPr>
            </w:pPr>
          </w:p>
        </w:tc>
        <w:tc>
          <w:tcPr>
            <w:tcW w:w="655" w:type="dxa"/>
            <w:vMerge w:val="continue"/>
            <w:tcBorders>
              <w:left w:val="nil"/>
              <w:right w:val="single" w:color="auto" w:sz="4" w:space="0"/>
            </w:tcBorders>
            <w:shd w:val="clear" w:color="auto" w:fill="BFBFBF"/>
            <w:vAlign w:val="center"/>
          </w:tcPr>
          <w:p>
            <w:pPr>
              <w:jc w:val="center"/>
              <w:rPr>
                <w:sz w:val="15"/>
                <w:szCs w:val="15"/>
                <w:lang w:eastAsia="es-CO"/>
              </w:rPr>
            </w:pPr>
          </w:p>
        </w:tc>
        <w:tc>
          <w:tcPr>
            <w:tcW w:w="610" w:type="dxa"/>
            <w:vMerge w:val="restart"/>
            <w:tcBorders>
              <w:top w:val="single" w:color="auto" w:sz="4" w:space="0"/>
              <w:left w:val="nil"/>
              <w:right w:val="single" w:color="auto" w:sz="4" w:space="0"/>
            </w:tcBorders>
            <w:shd w:val="clear" w:color="auto" w:fill="BFBFBF"/>
            <w:vAlign w:val="center"/>
          </w:tcPr>
          <w:p>
            <w:pPr>
              <w:jc w:val="center"/>
              <w:rPr>
                <w:sz w:val="15"/>
                <w:szCs w:val="15"/>
                <w:lang w:eastAsia="es-CO"/>
              </w:rPr>
            </w:pPr>
            <w:r>
              <w:rPr>
                <w:sz w:val="15"/>
                <w:szCs w:val="15"/>
                <w:lang w:eastAsia="es-CO"/>
              </w:rPr>
              <w:t>¿Cómo se  Realiza el monitoreo?</w:t>
            </w:r>
          </w:p>
        </w:tc>
        <w:tc>
          <w:tcPr>
            <w:tcW w:w="623" w:type="dxa"/>
            <w:tcBorders>
              <w:top w:val="single" w:color="auto" w:sz="4" w:space="0"/>
              <w:left w:val="nil"/>
              <w:bottom w:val="single" w:color="auto" w:sz="4" w:space="0"/>
              <w:right w:val="single" w:color="auto" w:sz="4" w:space="0"/>
            </w:tcBorders>
            <w:shd w:val="clear" w:color="auto" w:fill="BFBFBF"/>
            <w:vAlign w:val="center"/>
          </w:tcPr>
          <w:p>
            <w:pPr>
              <w:jc w:val="center"/>
              <w:rPr>
                <w:sz w:val="15"/>
                <w:szCs w:val="15"/>
                <w:lang w:eastAsia="es-CO"/>
              </w:rPr>
            </w:pPr>
            <w:r>
              <w:rPr>
                <w:sz w:val="15"/>
                <w:szCs w:val="15"/>
                <w:lang w:eastAsia="es-CO"/>
              </w:rPr>
              <w:t>Periodicidad</w:t>
            </w:r>
          </w:p>
        </w:tc>
      </w:tr>
      <w:tr>
        <w:tblPrEx>
          <w:tblLayout w:type="fixed"/>
          <w:tblCellMar>
            <w:top w:w="0" w:type="dxa"/>
            <w:left w:w="70" w:type="dxa"/>
            <w:bottom w:w="0" w:type="dxa"/>
            <w:right w:w="70" w:type="dxa"/>
          </w:tblCellMar>
        </w:tblPrEx>
        <w:trPr>
          <w:cantSplit/>
          <w:trHeight w:val="422" w:hRule="atLeast"/>
          <w:tblHeader/>
          <w:jc w:val="center"/>
        </w:trPr>
        <w:tc>
          <w:tcPr>
            <w:tcW w:w="222" w:type="dxa"/>
            <w:vMerge w:val="continue"/>
            <w:tcBorders>
              <w:left w:val="single" w:color="auto" w:sz="4" w:space="0"/>
              <w:bottom w:val="single" w:color="auto" w:sz="4" w:space="0"/>
              <w:right w:val="single" w:color="auto" w:sz="4" w:space="0"/>
            </w:tcBorders>
            <w:shd w:val="clear" w:color="auto" w:fill="BFBFBF"/>
            <w:vAlign w:val="center"/>
          </w:tcPr>
          <w:p>
            <w:pPr>
              <w:jc w:val="center"/>
              <w:rPr>
                <w:sz w:val="15"/>
                <w:szCs w:val="15"/>
                <w:lang w:eastAsia="es-CO"/>
              </w:rPr>
            </w:pPr>
          </w:p>
        </w:tc>
        <w:tc>
          <w:tcPr>
            <w:tcW w:w="231"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33"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894" w:type="dxa"/>
            <w:vMerge w:val="continue"/>
            <w:tcBorders>
              <w:left w:val="nil"/>
              <w:bottom w:val="single" w:color="auto" w:sz="4" w:space="0"/>
              <w:right w:val="single" w:color="auto" w:sz="4" w:space="0"/>
            </w:tcBorders>
            <w:shd w:val="clear" w:color="auto" w:fill="BFBFBF"/>
            <w:vAlign w:val="center"/>
          </w:tcPr>
          <w:p>
            <w:pPr>
              <w:jc w:val="center"/>
              <w:rPr>
                <w:sz w:val="15"/>
                <w:szCs w:val="15"/>
                <w:lang w:eastAsia="es-CO"/>
              </w:rPr>
            </w:pPr>
          </w:p>
        </w:tc>
        <w:tc>
          <w:tcPr>
            <w:tcW w:w="870" w:type="dxa"/>
            <w:vMerge w:val="continue"/>
            <w:tcBorders>
              <w:left w:val="nil"/>
              <w:bottom w:val="single" w:color="auto" w:sz="4" w:space="0"/>
              <w:right w:val="single" w:color="auto" w:sz="4" w:space="0"/>
            </w:tcBorders>
            <w:shd w:val="clear" w:color="auto" w:fill="BFBFBF"/>
            <w:vAlign w:val="center"/>
          </w:tcPr>
          <w:p>
            <w:pPr>
              <w:jc w:val="center"/>
              <w:rPr>
                <w:sz w:val="15"/>
                <w:szCs w:val="15"/>
                <w:lang w:eastAsia="es-CO"/>
              </w:rPr>
            </w:pPr>
          </w:p>
        </w:tc>
        <w:tc>
          <w:tcPr>
            <w:tcW w:w="234"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34"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443"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796"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08"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08"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86"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282"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655" w:type="dxa"/>
            <w:vMerge w:val="continue"/>
            <w:tcBorders>
              <w:left w:val="nil"/>
              <w:bottom w:val="single" w:color="auto" w:sz="4" w:space="0"/>
              <w:right w:val="single" w:color="auto" w:sz="4" w:space="0"/>
            </w:tcBorders>
            <w:shd w:val="clear" w:color="auto" w:fill="BFBFBF"/>
            <w:vAlign w:val="center"/>
          </w:tcPr>
          <w:p>
            <w:pPr>
              <w:jc w:val="center"/>
              <w:rPr>
                <w:sz w:val="15"/>
                <w:szCs w:val="15"/>
                <w:lang w:eastAsia="es-CO"/>
              </w:rPr>
            </w:pPr>
          </w:p>
        </w:tc>
        <w:tc>
          <w:tcPr>
            <w:tcW w:w="655" w:type="dxa"/>
            <w:vMerge w:val="continue"/>
            <w:tcBorders>
              <w:left w:val="nil"/>
              <w:bottom w:val="single" w:color="auto" w:sz="4" w:space="0"/>
              <w:right w:val="single" w:color="auto" w:sz="4" w:space="0"/>
            </w:tcBorders>
            <w:shd w:val="clear" w:color="auto" w:fill="BFBFBF"/>
            <w:vAlign w:val="center"/>
          </w:tcPr>
          <w:p>
            <w:pPr>
              <w:jc w:val="center"/>
              <w:rPr>
                <w:sz w:val="15"/>
                <w:szCs w:val="15"/>
                <w:lang w:eastAsia="es-CO"/>
              </w:rPr>
            </w:pPr>
          </w:p>
        </w:tc>
        <w:tc>
          <w:tcPr>
            <w:tcW w:w="655" w:type="dxa"/>
            <w:vMerge w:val="continue"/>
            <w:tcBorders>
              <w:left w:val="nil"/>
              <w:bottom w:val="single" w:color="auto" w:sz="4" w:space="0"/>
              <w:right w:val="single" w:color="auto" w:sz="4" w:space="0"/>
            </w:tcBorders>
            <w:shd w:val="clear" w:color="auto" w:fill="BFBFBF"/>
            <w:vAlign w:val="center"/>
          </w:tcPr>
          <w:p>
            <w:pPr>
              <w:jc w:val="center"/>
              <w:rPr>
                <w:sz w:val="15"/>
                <w:szCs w:val="15"/>
                <w:lang w:eastAsia="es-CO"/>
              </w:rPr>
            </w:pPr>
          </w:p>
        </w:tc>
        <w:tc>
          <w:tcPr>
            <w:tcW w:w="610" w:type="dxa"/>
            <w:vMerge w:val="continue"/>
            <w:tcBorders>
              <w:left w:val="nil"/>
              <w:bottom w:val="single" w:color="auto" w:sz="4" w:space="0"/>
              <w:right w:val="single" w:color="auto" w:sz="4" w:space="0"/>
            </w:tcBorders>
            <w:shd w:val="clear" w:color="auto" w:fill="BFBFBF"/>
            <w:textDirection w:val="btLr"/>
            <w:vAlign w:val="center"/>
          </w:tcPr>
          <w:p>
            <w:pPr>
              <w:ind w:left="113" w:right="113"/>
              <w:jc w:val="center"/>
              <w:rPr>
                <w:sz w:val="15"/>
                <w:szCs w:val="15"/>
                <w:lang w:eastAsia="es-CO"/>
              </w:rPr>
            </w:pPr>
          </w:p>
        </w:tc>
        <w:tc>
          <w:tcPr>
            <w:tcW w:w="623" w:type="dxa"/>
            <w:tcBorders>
              <w:top w:val="single" w:color="auto" w:sz="4" w:space="0"/>
              <w:left w:val="nil"/>
              <w:bottom w:val="single" w:color="auto" w:sz="4" w:space="0"/>
              <w:right w:val="single" w:color="auto" w:sz="4" w:space="0"/>
            </w:tcBorders>
            <w:shd w:val="clear" w:color="auto" w:fill="BFBFBF"/>
            <w:vAlign w:val="center"/>
          </w:tcPr>
          <w:p>
            <w:pPr>
              <w:jc w:val="center"/>
              <w:rPr>
                <w:sz w:val="15"/>
                <w:szCs w:val="15"/>
                <w:lang w:eastAsia="es-CO"/>
              </w:rPr>
            </w:pPr>
            <w:r>
              <w:rPr>
                <w:sz w:val="15"/>
                <w:szCs w:val="15"/>
                <w:lang w:eastAsia="es-CO"/>
              </w:rPr>
              <w:t>¿Cuándo?</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w:t>
            </w:r>
          </w:p>
        </w:tc>
        <w:tc>
          <w:tcPr>
            <w:tcW w:w="231" w:type="dxa"/>
            <w:tcBorders>
              <w:top w:val="single" w:color="auto" w:sz="4" w:space="0"/>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single" w:color="auto" w:sz="4" w:space="0"/>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single" w:color="auto" w:sz="4" w:space="0"/>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single" w:color="auto" w:sz="4" w:space="0"/>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single" w:color="auto" w:sz="4" w:space="0"/>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Incumplimiento al programa de trabajo</w:t>
            </w:r>
          </w:p>
        </w:tc>
        <w:tc>
          <w:tcPr>
            <w:tcW w:w="870" w:type="dxa"/>
            <w:tcBorders>
              <w:top w:val="single" w:color="auto" w:sz="4" w:space="0"/>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Retraso en la entrega de la obra</w:t>
            </w:r>
          </w:p>
        </w:tc>
        <w:tc>
          <w:tcPr>
            <w:tcW w:w="234" w:type="dxa"/>
            <w:tcBorders>
              <w:top w:val="single" w:color="auto" w:sz="4" w:space="0"/>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single" w:color="auto" w:sz="4" w:space="0"/>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single" w:color="auto" w:sz="4" w:space="0"/>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single" w:color="auto" w:sz="4" w:space="0"/>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medio</w:t>
            </w:r>
          </w:p>
        </w:tc>
        <w:tc>
          <w:tcPr>
            <w:tcW w:w="443" w:type="dxa"/>
            <w:tcBorders>
              <w:top w:val="single" w:color="auto" w:sz="4" w:space="0"/>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single" w:color="auto" w:sz="4" w:space="0"/>
              <w:left w:val="nil"/>
              <w:bottom w:val="single" w:color="auto" w:sz="4" w:space="0"/>
              <w:right w:val="single" w:color="auto" w:sz="4" w:space="0"/>
            </w:tcBorders>
            <w:vAlign w:val="center"/>
          </w:tcPr>
          <w:p>
            <w:pPr>
              <w:jc w:val="center"/>
              <w:rPr>
                <w:sz w:val="15"/>
                <w:szCs w:val="15"/>
                <w:lang w:eastAsia="es-CO"/>
              </w:rPr>
            </w:pPr>
            <w:r>
              <w:rPr>
                <w:sz w:val="15"/>
                <w:szCs w:val="15"/>
                <w:lang w:eastAsia="es-CO"/>
              </w:rPr>
              <w:t>Control al programa de trabajo por parte de la interventoría o supervisión</w:t>
            </w:r>
          </w:p>
        </w:tc>
        <w:tc>
          <w:tcPr>
            <w:tcW w:w="208" w:type="dxa"/>
            <w:tcBorders>
              <w:top w:val="single" w:color="auto" w:sz="4" w:space="0"/>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08" w:type="dxa"/>
            <w:tcBorders>
              <w:top w:val="single" w:color="auto" w:sz="4" w:space="0"/>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single" w:color="auto" w:sz="4" w:space="0"/>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82" w:type="dxa"/>
            <w:tcBorders>
              <w:top w:val="single" w:color="auto" w:sz="4" w:space="0"/>
              <w:left w:val="nil"/>
              <w:bottom w:val="single" w:color="auto" w:sz="4" w:space="0"/>
              <w:right w:val="single" w:color="auto" w:sz="4" w:space="0"/>
            </w:tcBorders>
            <w:textDirection w:val="btLr"/>
            <w:vAlign w:val="center"/>
          </w:tcPr>
          <w:p>
            <w:pPr>
              <w:ind w:left="113" w:right="113"/>
              <w:jc w:val="center"/>
              <w:rPr>
                <w:sz w:val="15"/>
                <w:szCs w:val="15"/>
                <w:lang w:eastAsia="es-CO"/>
              </w:rPr>
            </w:pPr>
            <w:r>
              <w:rPr>
                <w:sz w:val="15"/>
                <w:szCs w:val="15"/>
                <w:lang w:eastAsia="es-CO"/>
              </w:rPr>
              <w:t>NO</w:t>
            </w:r>
          </w:p>
        </w:tc>
        <w:tc>
          <w:tcPr>
            <w:tcW w:w="655" w:type="dxa"/>
            <w:tcBorders>
              <w:top w:val="single" w:color="auto" w:sz="4" w:space="0"/>
              <w:left w:val="nil"/>
              <w:bottom w:val="single" w:color="auto" w:sz="4" w:space="0"/>
              <w:right w:val="single" w:color="auto" w:sz="4" w:space="0"/>
            </w:tcBorders>
            <w:vAlign w:val="center"/>
          </w:tcPr>
          <w:p>
            <w:pPr>
              <w:jc w:val="center"/>
              <w:rPr>
                <w:sz w:val="15"/>
                <w:szCs w:val="15"/>
                <w:lang w:eastAsia="es-CO"/>
              </w:rPr>
            </w:pPr>
            <w:r>
              <w:rPr>
                <w:sz w:val="15"/>
                <w:szCs w:val="15"/>
                <w:lang w:eastAsia="es-CO"/>
              </w:rPr>
              <w:t>Interventoría o supervisión</w:t>
            </w:r>
          </w:p>
        </w:tc>
        <w:tc>
          <w:tcPr>
            <w:tcW w:w="655" w:type="dxa"/>
            <w:tcBorders>
              <w:top w:val="single" w:color="auto" w:sz="4" w:space="0"/>
              <w:left w:val="nil"/>
              <w:bottom w:val="single" w:color="auto" w:sz="4" w:space="0"/>
              <w:right w:val="single" w:color="auto" w:sz="4" w:space="0"/>
            </w:tcBorders>
            <w:vAlign w:val="center"/>
          </w:tcPr>
          <w:p>
            <w:pPr>
              <w:jc w:val="center"/>
              <w:rPr>
                <w:sz w:val="15"/>
                <w:szCs w:val="15"/>
                <w:lang w:eastAsia="es-CO"/>
              </w:rPr>
            </w:pPr>
          </w:p>
        </w:tc>
        <w:tc>
          <w:tcPr>
            <w:tcW w:w="655" w:type="dxa"/>
            <w:tcBorders>
              <w:top w:val="single" w:color="auto" w:sz="4" w:space="0"/>
              <w:left w:val="nil"/>
              <w:bottom w:val="single" w:color="auto" w:sz="4" w:space="0"/>
              <w:right w:val="single" w:color="auto" w:sz="4" w:space="0"/>
            </w:tcBorders>
            <w:vAlign w:val="center"/>
          </w:tcPr>
          <w:p>
            <w:pPr>
              <w:jc w:val="center"/>
              <w:rPr>
                <w:sz w:val="15"/>
                <w:szCs w:val="15"/>
                <w:lang w:eastAsia="es-CO"/>
              </w:rPr>
            </w:pPr>
          </w:p>
        </w:tc>
        <w:tc>
          <w:tcPr>
            <w:tcW w:w="610" w:type="dxa"/>
            <w:tcBorders>
              <w:top w:val="single" w:color="auto" w:sz="4" w:space="0"/>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 de interventoría o supervisión</w:t>
            </w:r>
          </w:p>
        </w:tc>
        <w:tc>
          <w:tcPr>
            <w:tcW w:w="623" w:type="dxa"/>
            <w:tcBorders>
              <w:top w:val="single" w:color="auto" w:sz="4" w:space="0"/>
              <w:left w:val="nil"/>
              <w:bottom w:val="single" w:color="auto" w:sz="4" w:space="0"/>
              <w:right w:val="single" w:color="auto" w:sz="4" w:space="0"/>
            </w:tcBorders>
            <w:vAlign w:val="center"/>
          </w:tcPr>
          <w:p>
            <w:pPr>
              <w:jc w:val="center"/>
              <w:rPr>
                <w:sz w:val="15"/>
                <w:szCs w:val="15"/>
                <w:lang w:eastAsia="es-CO"/>
              </w:rPr>
            </w:pPr>
            <w:r>
              <w:rPr>
                <w:sz w:val="15"/>
                <w:szCs w:val="15"/>
                <w:lang w:eastAsia="es-CO"/>
              </w:rPr>
              <w:t>Semanal</w:t>
            </w:r>
          </w:p>
        </w:tc>
      </w:tr>
      <w:tr>
        <w:tblPrEx>
          <w:tblLayout w:type="fixed"/>
          <w:tblCellMar>
            <w:top w:w="0" w:type="dxa"/>
            <w:left w:w="70" w:type="dxa"/>
            <w:bottom w:w="0" w:type="dxa"/>
            <w:right w:w="70" w:type="dxa"/>
          </w:tblCellMar>
        </w:tblPrEx>
        <w:trPr>
          <w:cantSplit/>
          <w:trHeight w:val="961"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 xml:space="preserve">Accidentalidad o daños a terceros en el desarrollo del contrato </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Retraso en desarrollo de la obra</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6</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Alto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Garantía de responsabilidad civil extracontractual</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5</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Inspección en campo</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Cuando se presente la situación</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Agotamiento prematuro de los recursos o suministros para el presente contrato</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No poder ejecutar correctamente sus actividades, y por ende afectar el normal desarrollo de las funciones de la entidad.</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4</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7</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alto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La interventoría o supervisión solicite oportunamente los materiales necesarios de acuerdo al programa de trabajo</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6</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Supervisión o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hasta la terminación del contrato</w:t>
            </w: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Inspección en campo</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Semanal</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4</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El contratista no presenta cronograma  de obra  o se niega a  suscribir actas de ejecución parcial</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Entorpece el seguimiento a la ejecución de las actividades con la improbabilidad de obtener logros, hallazgos y alternativas de corrección oportunas</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4</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bajo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Notificación  al contratista sobre el incumplimiento en la periodicidad de la presentación de los informes, efectividad de la garantía de cumplimiento</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Servidor público designado como supervisor o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hasta la terminación del contrato</w:t>
            </w: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Inspección en campo</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Conforme a la periodicidad descrita en el contrato</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El contratista no presenta los pagos a la seguridad social de acuerdo a lo estipulado en el contrato y en la normatividad</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Entorpece el seguimiento a la ejecución de las actividades.</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4</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7</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alto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Notificación  al contratista sobre el incumplimiento en el pago de seguridad social y/o hacer efectiva la póliza de pagos de salarios</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5</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o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hasta la terminación del contrato</w:t>
            </w: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Inspección en campos</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Mensual o Conforme a la periodicidad descrita en el contrato</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6</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El contratista puede negarse a firmar el contrato</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No poder ejecutar o ejecutar en menor cuantía los recursos asignados al contrato y la consecuente afectación de las funciones de la entidad</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7</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Alto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 Poner en conocimiento del futuro contratista las condiciones del contrato (especificaciones, plazos, lugar de ejecución, productos, etc.)</w:t>
            </w:r>
          </w:p>
          <w:p>
            <w:pPr>
              <w:jc w:val="center"/>
              <w:rPr>
                <w:sz w:val="15"/>
                <w:szCs w:val="15"/>
                <w:lang w:eastAsia="es-CO"/>
              </w:rPr>
            </w:pPr>
            <w:r>
              <w:rPr>
                <w:sz w:val="15"/>
                <w:szCs w:val="15"/>
                <w:lang w:eastAsia="es-CO"/>
              </w:rPr>
              <w:t>y/o exigir la póliza de Seriedad de la oferta</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5</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Ordenador del gasto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Mediante la revisión de la lista de chequeo del proceso y comunicación telefónica o por escrito con el futuro contratista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Cada dos días.</w:t>
            </w:r>
          </w:p>
        </w:tc>
      </w:tr>
      <w:tr>
        <w:tblPrEx>
          <w:tblLayout w:type="fixed"/>
          <w:tblCellMar>
            <w:top w:w="0" w:type="dxa"/>
            <w:left w:w="70" w:type="dxa"/>
            <w:bottom w:w="0" w:type="dxa"/>
            <w:right w:w="70" w:type="dxa"/>
          </w:tblCellMar>
        </w:tblPrEx>
        <w:trPr>
          <w:cantSplit/>
          <w:trHeight w:val="959"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7</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Falla en la disposición de insumos, herramientas, logística</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Entorpece el cumplimiento del objeto contractual</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4</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4</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8</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Alto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Notificación  al contratista y/o hacer efectiva la póliza de cumplimiento</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7</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o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hasta la terminación del contrato</w:t>
            </w: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Inspección en campo</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Cuando se presente la situación</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8</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Falta de calidad en el suministro de los materiales</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Obra que incumple con los requerimientos exigidos</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6</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alto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 xml:space="preserve">Verificación en los informes de supervisión y/o interventoría y/o hacer efectiva las pólizas de cumplimiento y calidad y correcto funcionamiento de los bienes y estabilidad y calidad de la obra </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del contrato e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 de supervisión o interventoría - Inspección en campo</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Mensual</w:t>
            </w:r>
          </w:p>
        </w:tc>
      </w:tr>
      <w:tr>
        <w:tblPrEx>
          <w:tblLayout w:type="fixed"/>
          <w:tblCellMar>
            <w:top w:w="0" w:type="dxa"/>
            <w:left w:w="70" w:type="dxa"/>
            <w:bottom w:w="0" w:type="dxa"/>
            <w:right w:w="70" w:type="dxa"/>
          </w:tblCellMar>
        </w:tblPrEx>
        <w:trPr>
          <w:cantSplit/>
          <w:trHeight w:val="1075"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9</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Incumplimiento total o parcial de las obligaciones surgidas</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Incumplimiento del objeto contractual</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7</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alto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Garantía de cumplimiento</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5</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del contrato e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 de supervisión o interventoría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Mensual</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10</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Ejecución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Modificación de especificaciones técnicas</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Deficiente calidad en el cumplimiento del objeto contractual</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Medio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Realizar seguimiento periódico al cumplimiento del contrato y en caso de incumplimiento realizar requerimiento oportuno al contratista para que realice las actividades de acuerdo a los términos contratados y/o exigencia de la póliza de calidad y correcto funcionamiento de los bienes o la póliza de estabilidad y calidad de la obra</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del contrato e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 de supervisión y/o de interventoría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Mensual</w:t>
            </w:r>
          </w:p>
        </w:tc>
      </w:tr>
      <w:tr>
        <w:tblPrEx>
          <w:tblLayout w:type="fixed"/>
          <w:tblCellMar>
            <w:top w:w="0" w:type="dxa"/>
            <w:left w:w="70" w:type="dxa"/>
            <w:bottom w:w="0" w:type="dxa"/>
            <w:right w:w="70" w:type="dxa"/>
          </w:tblCellMar>
        </w:tblPrEx>
        <w:trPr>
          <w:cantSplit/>
          <w:trHeight w:val="1009"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11</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No aporte del adjudicatario de la garantía de cumplimiento</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No legalización del contrato</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bajo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Garantía de seriedad de la oferta</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Ordenador del gasto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Revisión al acta de inicio  y se hace requerimiento telefónico o por escrito al contratista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Una sola vez</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12</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Económico</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Demanda a la entidad por prestaciones sociales</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Afectación patrimonial de la entidad</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Medio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Póliza de pagos de salarios, indemnizaciones y prestaciones sociales</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del Contrato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Una vez ocurra el siniestro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Informes de supervisión o interventoría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Mensual</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13</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Económico</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Demanda de terceros por daños antijurídicos, etc.</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Afectación patrimonial de la entidad</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Medio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Póliza de Responsabilidad Civil Extracontractual</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del Contrato o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Una vez ocurra el siniestro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Informes de supervisión o interventoría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Mensual</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14</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Económico</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No inversión del anticipo, su uso indebido, o su apropiación indebida</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No se desarrolla a cabalidad el objeto contractual</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5</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Medio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Póliza de buen manejo y correcta inversión del anticipo</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3</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4</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del Contrato o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Una vez ocurra el siniestro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Informes de supervisión o interventoría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Mensual</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15</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Daño o deterioro de la obra entregada a satisfacción</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Afectación patrimonial a la entidad</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bajo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Póliza de Estabilidad de la Obra y Calidad de la Obra</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Supervisor del contrato o interventoría</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Informes de supervisión  o interventoría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Cuando se presente la situación</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16</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Retirar la oferta después del cierre del proceso</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Retrasos en la etapa precontractual</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bajo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Garantía de seriedad de la oferta</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Ordenador del gasto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Revisión de la solicitud de retiro y hacer efectiva la póliza de seriedad de la oferta</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Cuando se presente la situación</w:t>
            </w:r>
          </w:p>
        </w:tc>
      </w:tr>
      <w:tr>
        <w:tblPrEx>
          <w:tblLayout w:type="fixed"/>
          <w:tblCellMar>
            <w:top w:w="0" w:type="dxa"/>
            <w:left w:w="70" w:type="dxa"/>
            <w:bottom w:w="0" w:type="dxa"/>
            <w:right w:w="70" w:type="dxa"/>
          </w:tblCellMar>
        </w:tblPrEx>
        <w:trPr>
          <w:cantSplit/>
          <w:trHeight w:val="1134" w:hRule="atLeast"/>
          <w:jc w:val="center"/>
        </w:trPr>
        <w:tc>
          <w:tcPr>
            <w:tcW w:w="222" w:type="dxa"/>
            <w:tcBorders>
              <w:top w:val="nil"/>
              <w:left w:val="single" w:color="auto" w:sz="4" w:space="0"/>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17</w:t>
            </w:r>
          </w:p>
        </w:tc>
        <w:tc>
          <w:tcPr>
            <w:tcW w:w="231"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General</w:t>
            </w:r>
          </w:p>
        </w:tc>
        <w:tc>
          <w:tcPr>
            <w:tcW w:w="23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Interno</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Contratación</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Operacional</w:t>
            </w:r>
          </w:p>
        </w:tc>
        <w:tc>
          <w:tcPr>
            <w:tcW w:w="89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No ampliación de la vigencia de la póliza y/o cuando el plazo para suscribir sea prorrogado hasta por 3 meses</w:t>
            </w:r>
          </w:p>
        </w:tc>
        <w:tc>
          <w:tcPr>
            <w:tcW w:w="870"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Retrasos en la etapa precontractual</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1</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2</w:t>
            </w:r>
          </w:p>
        </w:tc>
        <w:tc>
          <w:tcPr>
            <w:tcW w:w="234" w:type="dxa"/>
            <w:tcBorders>
              <w:top w:val="nil"/>
              <w:left w:val="nil"/>
              <w:bottom w:val="single" w:color="auto" w:sz="4" w:space="0"/>
              <w:right w:val="single" w:color="auto" w:sz="4" w:space="0"/>
            </w:tcBorders>
            <w:shd w:val="clear" w:color="auto" w:fill="auto"/>
            <w:vAlign w:val="center"/>
          </w:tcPr>
          <w:p>
            <w:pPr>
              <w:jc w:val="center"/>
              <w:rPr>
                <w:sz w:val="15"/>
                <w:szCs w:val="15"/>
                <w:lang w:eastAsia="es-CO"/>
              </w:rPr>
            </w:pPr>
            <w:r>
              <w:rPr>
                <w:sz w:val="15"/>
                <w:szCs w:val="15"/>
                <w:lang w:eastAsia="es-CO"/>
              </w:rPr>
              <w:t>3</w:t>
            </w:r>
          </w:p>
        </w:tc>
        <w:tc>
          <w:tcPr>
            <w:tcW w:w="234"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Riesgo bajo</w:t>
            </w:r>
          </w:p>
        </w:tc>
        <w:tc>
          <w:tcPr>
            <w:tcW w:w="443" w:type="dxa"/>
            <w:tcBorders>
              <w:top w:val="nil"/>
              <w:left w:val="nil"/>
              <w:bottom w:val="single" w:color="auto" w:sz="4" w:space="0"/>
              <w:right w:val="single" w:color="auto" w:sz="4" w:space="0"/>
            </w:tcBorders>
            <w:shd w:val="clear" w:color="auto" w:fill="auto"/>
            <w:textDirection w:val="btLr"/>
            <w:vAlign w:val="center"/>
          </w:tcPr>
          <w:p>
            <w:pPr>
              <w:ind w:left="113" w:right="113"/>
              <w:jc w:val="center"/>
              <w:rPr>
                <w:sz w:val="15"/>
                <w:szCs w:val="15"/>
                <w:lang w:eastAsia="es-CO"/>
              </w:rPr>
            </w:pPr>
            <w:r>
              <w:rPr>
                <w:sz w:val="15"/>
                <w:szCs w:val="15"/>
                <w:lang w:eastAsia="es-CO"/>
              </w:rPr>
              <w:t>Contratista</w:t>
            </w:r>
          </w:p>
        </w:tc>
        <w:tc>
          <w:tcPr>
            <w:tcW w:w="79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Garantía de seriedad de la oferta</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08"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1</w:t>
            </w:r>
          </w:p>
        </w:tc>
        <w:tc>
          <w:tcPr>
            <w:tcW w:w="286"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2</w:t>
            </w:r>
          </w:p>
        </w:tc>
        <w:tc>
          <w:tcPr>
            <w:tcW w:w="282"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No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Ordenador del gasto</w:t>
            </w: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55" w:type="dxa"/>
            <w:tcBorders>
              <w:top w:val="nil"/>
              <w:left w:val="nil"/>
              <w:bottom w:val="single" w:color="auto" w:sz="4" w:space="0"/>
              <w:right w:val="single" w:color="auto" w:sz="4" w:space="0"/>
            </w:tcBorders>
            <w:vAlign w:val="center"/>
          </w:tcPr>
          <w:p>
            <w:pPr>
              <w:jc w:val="center"/>
              <w:rPr>
                <w:sz w:val="15"/>
                <w:szCs w:val="15"/>
                <w:lang w:eastAsia="es-CO"/>
              </w:rPr>
            </w:pPr>
          </w:p>
        </w:tc>
        <w:tc>
          <w:tcPr>
            <w:tcW w:w="610"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 xml:space="preserve">Revisión de la comunicación de ampliación de la vigencia y/o hacer efectiva la póliza </w:t>
            </w:r>
          </w:p>
        </w:tc>
        <w:tc>
          <w:tcPr>
            <w:tcW w:w="623" w:type="dxa"/>
            <w:tcBorders>
              <w:top w:val="nil"/>
              <w:left w:val="nil"/>
              <w:bottom w:val="single" w:color="auto" w:sz="4" w:space="0"/>
              <w:right w:val="single" w:color="auto" w:sz="4" w:space="0"/>
            </w:tcBorders>
            <w:vAlign w:val="center"/>
          </w:tcPr>
          <w:p>
            <w:pPr>
              <w:jc w:val="center"/>
              <w:rPr>
                <w:sz w:val="15"/>
                <w:szCs w:val="15"/>
                <w:lang w:eastAsia="es-CO"/>
              </w:rPr>
            </w:pPr>
            <w:r>
              <w:rPr>
                <w:sz w:val="15"/>
                <w:szCs w:val="15"/>
                <w:lang w:eastAsia="es-CO"/>
              </w:rPr>
              <w:t>Cuando se presente la situación</w:t>
            </w:r>
          </w:p>
        </w:tc>
      </w:tr>
    </w:tbl>
    <w:p>
      <w:pPr>
        <w:jc w:val="center"/>
        <w:sectPr>
          <w:headerReference r:id="rId3" w:type="default"/>
          <w:footerReference r:id="rId4" w:type="default"/>
          <w:pgSz w:w="12240" w:h="15840"/>
          <w:pgMar w:top="1134" w:right="1800" w:bottom="1134" w:left="1800" w:header="708" w:footer="709" w:gutter="0"/>
          <w:cols w:space="0" w:num="1"/>
          <w:docGrid w:linePitch="360" w:charSpace="0"/>
        </w:sectPr>
      </w:pPr>
    </w:p>
    <w:p>
      <w:r>
        <w:t xml:space="preserve">Los proponentes podrán presentar observaciones al estudio de riesgos presentado por la entidad. No obstante lo anterior, hasta la fecha límite prevista por el cronograma del proceso para la solicitud de aclaraciones, los posibles oferentes o interesados en participar en el proceso deberán presentar observaciones a este estudio de riesgos y manifestar a la entidad, teniendo en cuenta el conocimiento que tienen como expertos en su actividad ordinaria, la existencia de posibles riesgos asociados a la ejecución del contrato que puedan afectar el equilibrio económico del mismo, de conformidad con lo expresado por el artículo 863 del Código de Comercio, según el cual, las partes deberán proceder de buena fe exenta de culpa en el periodo precontractual, so pena de indemnizar los perjuicios que causen. </w:t>
      </w:r>
    </w:p>
    <w:p>
      <w:pPr>
        <w:spacing w:after="0"/>
      </w:pPr>
    </w:p>
    <w:p>
      <w:pPr>
        <w:spacing w:after="0"/>
      </w:pPr>
      <w:r>
        <w:t xml:space="preserve">En consecuencia, el Municipio de Neiva no aceptará reclamaciones relacionadas con circunstancias previsibles por el contratista que afecten dicho equilibrio económico y que no hayan sido manifestadas por el mismo, en tal plazo. </w:t>
      </w:r>
    </w:p>
    <w:p>
      <w:pPr>
        <w:spacing w:after="0"/>
      </w:pPr>
    </w:p>
    <w:p>
      <w:pPr>
        <w:spacing w:after="0"/>
      </w:pPr>
      <w:r>
        <w:t>La presentación de las ofertas implica la aceptación, por parte de los proponentes de la distribución de riesgos previsibles efectuada por la entidad en el respectivo pliego.</w:t>
      </w:r>
    </w:p>
    <w:p>
      <w:pPr>
        <w:spacing w:after="0"/>
      </w:pPr>
    </w:p>
    <w:p>
      <w:pPr>
        <w:pStyle w:val="2"/>
        <w:numPr>
          <w:ilvl w:val="0"/>
          <w:numId w:val="0"/>
        </w:numPr>
        <w:spacing w:after="0"/>
        <w:ind w:leftChars="0"/>
        <w:jc w:val="center"/>
      </w:pPr>
      <w:r>
        <w:rPr>
          <w:lang w:val="es-CO"/>
        </w:rPr>
        <w:t xml:space="preserve">6. </w:t>
      </w:r>
      <w:r>
        <w:t>ETAPAS Y TÉRMINOS DEL PROCESO DE SELECCIÓN OBJETIVA</w:t>
      </w:r>
    </w:p>
    <w:p>
      <w:pPr>
        <w:spacing w:after="0"/>
      </w:pPr>
    </w:p>
    <w:p>
      <w:pPr>
        <w:pStyle w:val="3"/>
        <w:numPr>
          <w:ilvl w:val="1"/>
          <w:numId w:val="0"/>
        </w:numPr>
        <w:spacing w:after="0"/>
        <w:ind w:leftChars="0"/>
      </w:pPr>
      <w:r>
        <w:rPr>
          <w:lang w:val="es-CO"/>
        </w:rPr>
        <w:t xml:space="preserve">6.1 </w:t>
      </w:r>
      <w:r>
        <w:t>CONVOCATORIA PÚBLICA Y AVISO</w:t>
      </w:r>
    </w:p>
    <w:p>
      <w:pPr>
        <w:spacing w:after="0"/>
      </w:pPr>
    </w:p>
    <w:p>
      <w:pPr>
        <w:spacing w:after="0"/>
      </w:pPr>
      <w:r>
        <w:t xml:space="preserve">De conformidad con lo dispuesto en el artículo 2.2.1.1.2.1.2 del Decreto 1082 de 2015, para el presente proceso de contratación, se efectuará convocatoria pública a través de la publicación en el Aplicativo SECOP II. </w:t>
      </w:r>
    </w:p>
    <w:p>
      <w:pPr>
        <w:spacing w:after="0"/>
      </w:pPr>
    </w:p>
    <w:p>
      <w:pPr>
        <w:pStyle w:val="4"/>
        <w:numPr>
          <w:ilvl w:val="2"/>
          <w:numId w:val="0"/>
        </w:numPr>
        <w:spacing w:before="0" w:after="0"/>
        <w:ind w:leftChars="0"/>
      </w:pPr>
      <w:r>
        <w:rPr>
          <w:lang w:val="es-CO"/>
        </w:rPr>
        <w:t xml:space="preserve">6.2 </w:t>
      </w:r>
      <w:r>
        <w:t xml:space="preserve">PROYECTO DE PLIEGO DE CONDICIONES </w:t>
      </w:r>
    </w:p>
    <w:p>
      <w:pPr>
        <w:spacing w:after="0"/>
      </w:pPr>
    </w:p>
    <w:p>
      <w:pPr>
        <w:spacing w:after="0"/>
      </w:pPr>
      <w:r>
        <w:t>De acuerdo con la plataforma de SECOP II, los documentos publicados hasta antes del acto de apertura del proceso, se entienden que forman parte integral del proyecto de pliego de condiciones, en ese sentido, el Municipio de Neiva publicará en el aplicativo SECOP II, todos estos documentos, por el término legal establecido en el cronograma de actividades, con el propósito de que los interesados presenten las observaciones a las condiciones de contratación allí establecidas.</w:t>
      </w:r>
    </w:p>
    <w:p>
      <w:pPr>
        <w:spacing w:after="0"/>
      </w:pPr>
    </w:p>
    <w:p>
      <w:pPr>
        <w:spacing w:after="0"/>
      </w:pPr>
      <w:r>
        <w:t>Las observaciones al proyecto de pliego de condiciones deberán ser presentadas con anterioridad a la fecha del acto que ordena la apertura. Los pliegos de condiciones definitivos, que serán todos los documentos que hacen parte del proceso, podrán incluir los temas planteados en las observaciones, siempre que se estimen relevantes. En todo caso, la aceptación o rechazo de las observaciones se hará de manera motivada.</w:t>
      </w:r>
    </w:p>
    <w:p>
      <w:pPr>
        <w:spacing w:after="0"/>
      </w:pPr>
    </w:p>
    <w:p>
      <w:pPr>
        <w:spacing w:after="0"/>
      </w:pPr>
      <w:r>
        <w:t>En la fecha establecida en el cronograma se publicarán todos los documentos que forman parte del proyecto de pliego de condiciones en el SECOP II, sobre el mismo y su documentación soporte (estudios previos), se podrán presentar observaciones escritas, por medio de dicho aplicativo, en el sitio destinado para el proceso.</w:t>
      </w:r>
    </w:p>
    <w:p>
      <w:pPr>
        <w:spacing w:after="0"/>
      </w:pPr>
    </w:p>
    <w:p>
      <w:pPr>
        <w:spacing w:after="0"/>
      </w:pPr>
      <w:r>
        <w:t xml:space="preserve">No se recibirá como se expresó al principio del presente documento, oficio alguno que no sea enviado a través del SECOP II; por ende, ninguna aclaración verbal afectará el pliego de condiciones y sus adendas, ni se absolverán consultas efectuadas telefónicamente o en forma personal o en medio diferente al indicado, excepto cuando la plataforma del SECOP II presente indisponibilidad, el proponente podrá allegar sus observaciones y demás documentación requerida en el proceso al correo electrónico: </w:t>
      </w:r>
      <w:r>
        <w:fldChar w:fldCharType="begin"/>
      </w:r>
      <w:r>
        <w:instrText xml:space="preserve"> HYPERLINK "mailto:asesor@alcaldianeiva.gov.co," </w:instrText>
      </w:r>
      <w:r>
        <w:fldChar w:fldCharType="separate"/>
      </w:r>
      <w:r>
        <w:rPr>
          <w:rStyle w:val="14"/>
        </w:rPr>
        <w:t>asesor@alcaldianeiva.gov.co,</w:t>
      </w:r>
      <w:r>
        <w:rPr>
          <w:rStyle w:val="14"/>
        </w:rPr>
        <w:fldChar w:fldCharType="end"/>
      </w:r>
      <w:r>
        <w:t xml:space="preserve"> adjuntando la debida certificación de indisponibilidad de la página. (Ver guía de indisponibilidad del SECOP II).</w:t>
      </w:r>
    </w:p>
    <w:p>
      <w:pPr>
        <w:spacing w:after="0"/>
      </w:pPr>
    </w:p>
    <w:p>
      <w:pPr>
        <w:spacing w:after="0"/>
      </w:pPr>
      <w:r>
        <w:rPr>
          <w:b/>
          <w:bCs/>
        </w:rPr>
        <w:t>NOTA:</w:t>
      </w:r>
      <w:r>
        <w:t xml:space="preserve"> SEÑOR PROPONETE TENGA EN CUENTA QUE EL CRONOGRAMA DADO POR LA ENTIDAD ES TENTATIVO TODA VEZ QUE EL PROCESO SE ENCUENTRA EN ETAPA DE PROYECTO DE PLIEGO DE CONDICIONES.</w:t>
      </w:r>
    </w:p>
    <w:p>
      <w:pPr>
        <w:spacing w:after="0"/>
      </w:pPr>
    </w:p>
    <w:p>
      <w:pPr>
        <w:pStyle w:val="3"/>
        <w:numPr>
          <w:ilvl w:val="1"/>
          <w:numId w:val="0"/>
        </w:numPr>
        <w:spacing w:after="0"/>
        <w:ind w:leftChars="0"/>
      </w:pPr>
      <w:r>
        <w:rPr>
          <w:lang w:val="es-CO"/>
        </w:rPr>
        <w:t xml:space="preserve">6.3 </w:t>
      </w:r>
      <w:r>
        <w:t xml:space="preserve">CONVOCATORIA LIMITADA A MIPYMES </w:t>
      </w:r>
    </w:p>
    <w:p>
      <w:pPr>
        <w:spacing w:after="0"/>
      </w:pPr>
    </w:p>
    <w:p>
      <w:pPr>
        <w:spacing w:after="0"/>
        <w:rPr>
          <w:i/>
          <w:iCs/>
        </w:rPr>
      </w:pPr>
      <w:r>
        <w:t>El Decreto 1082 de 2015 en su artículo 2.2.1.2.4.2.2 establece: “</w:t>
      </w:r>
      <w:r>
        <w:rPr>
          <w:i/>
          <w:iCs/>
        </w:rPr>
        <w:t>Convocatorias limitadas a Mipyme. La Entidad Estatal debe limitar a las Mipyme nacionales con mínimo un (1) año de existencia la convocatoria del Proceso de Contratación en la modalidad de licitación pública, selección abreviada y concurso de méritos cuando:</w:t>
      </w:r>
    </w:p>
    <w:p>
      <w:pPr>
        <w:spacing w:after="0"/>
        <w:rPr>
          <w:i/>
          <w:iCs/>
        </w:rPr>
      </w:pPr>
    </w:p>
    <w:p>
      <w:pPr>
        <w:numPr>
          <w:ilvl w:val="0"/>
          <w:numId w:val="4"/>
        </w:numPr>
        <w:spacing w:after="0"/>
        <w:rPr>
          <w:i/>
          <w:iCs/>
        </w:rPr>
      </w:pPr>
      <w:r>
        <w:rPr>
          <w:i/>
          <w:iCs/>
        </w:rPr>
        <w:t>El valor del Proceso de Contratación es menor a ciento veinticinco mil dólares de los Estados Unidos de América (US$125.000), liquidados con la tasa de cambio que para el efecto determina cada dos años el Ministerio de Comercio, Industria y Turismo; y</w:t>
      </w:r>
    </w:p>
    <w:p>
      <w:pPr>
        <w:spacing w:after="0"/>
        <w:rPr>
          <w:i/>
          <w:iCs/>
        </w:rPr>
      </w:pPr>
    </w:p>
    <w:p>
      <w:pPr>
        <w:numPr>
          <w:ilvl w:val="0"/>
          <w:numId w:val="4"/>
        </w:numPr>
        <w:spacing w:after="0"/>
      </w:pPr>
      <w:r>
        <w:rPr>
          <w:i/>
          <w:iCs/>
        </w:rPr>
        <w:t>La Entidad Estatal ha recibido solicitudes de por lo menos tres (3) Mipyme nacionales para limitar la convocatoria a Mipyme nacionales. La Entidad Estatal debe recibir estas solicitudes por lo menos un (1) día hábil antes de la apertura del Proceso de Contratación”.</w:t>
      </w:r>
    </w:p>
    <w:p>
      <w:pPr>
        <w:spacing w:after="0"/>
      </w:pPr>
    </w:p>
    <w:p>
      <w:pPr>
        <w:spacing w:after="0"/>
      </w:pPr>
      <w:r>
        <w:t>De acuerdo con la información reportada en la página www.colombiacompra.gov.co, el Umbral para convocatorias limitada</w:t>
      </w:r>
      <w:r>
        <w:rPr>
          <w:color w:val="000000" w:themeColor="text1"/>
          <w:highlight w:val="none"/>
          <w:shd w:val="clear" w:color="auto" w:fill="auto"/>
          <w14:textFill>
            <w14:solidFill>
              <w14:schemeClr w14:val="tx1"/>
            </w14:solidFill>
          </w14:textFill>
        </w:rPr>
        <w:t>s a Mipyme (201</w:t>
      </w:r>
      <w:r>
        <w:rPr>
          <w:color w:val="000000" w:themeColor="text1"/>
          <w:highlight w:val="none"/>
          <w:shd w:val="clear" w:color="auto" w:fill="auto"/>
          <w:lang w:val="es-CO"/>
          <w14:textFill>
            <w14:solidFill>
              <w14:schemeClr w14:val="tx1"/>
            </w14:solidFill>
          </w14:textFill>
        </w:rPr>
        <w:t>8</w:t>
      </w:r>
      <w:r>
        <w:rPr>
          <w:color w:val="000000" w:themeColor="text1"/>
          <w:highlight w:val="none"/>
          <w:shd w:val="clear" w:color="auto" w:fill="auto"/>
          <w14:textFill>
            <w14:solidFill>
              <w14:schemeClr w14:val="tx1"/>
            </w14:solidFill>
          </w14:textFill>
        </w:rPr>
        <w:t>) es de $</w:t>
      </w:r>
      <w:r>
        <w:rPr>
          <w:color w:val="000000" w:themeColor="text1"/>
          <w:highlight w:val="none"/>
          <w:shd w:val="clear" w:color="auto" w:fill="auto"/>
          <w:lang w:val="es-CO"/>
          <w14:textFill>
            <w14:solidFill>
              <w14:schemeClr w14:val="tx1"/>
            </w14:solidFill>
          </w14:textFill>
        </w:rPr>
        <w:t>377.066.000</w:t>
      </w:r>
      <w:r>
        <w:rPr>
          <w:color w:val="000000" w:themeColor="text1"/>
          <w:highlight w:val="none"/>
          <w:shd w:val="clear" w:color="auto" w:fill="auto"/>
          <w14:textFill>
            <w14:solidFill>
              <w14:schemeClr w14:val="tx1"/>
            </w14:solidFill>
          </w14:textFill>
        </w:rPr>
        <w:t>, según datos suministrados por el Ministerio de Comercio, Industria y Turismo, vigente hasta el 31 de diciembre de 201</w:t>
      </w:r>
      <w:r>
        <w:rPr>
          <w:color w:val="000000" w:themeColor="text1"/>
          <w:highlight w:val="none"/>
          <w:shd w:val="clear" w:color="auto" w:fill="auto"/>
          <w:lang w:val="es-CO"/>
          <w14:textFill>
            <w14:solidFill>
              <w14:schemeClr w14:val="tx1"/>
            </w14:solidFill>
          </w14:textFill>
        </w:rPr>
        <w:t>8</w:t>
      </w:r>
    </w:p>
    <w:p>
      <w:pPr>
        <w:spacing w:after="0"/>
      </w:pPr>
      <w:r>
        <w:t>Con base</w:t>
      </w:r>
      <w:r>
        <w:rPr>
          <w:lang w:val="es-CO"/>
        </w:rPr>
        <w:t xml:space="preserve"> </w:t>
      </w:r>
      <w:r>
        <w:t xml:space="preserve">en lo expuesto y en atención a que el presupuesto de este proceso de selección abreviada de menor cuantía corresponde a la suma de </w:t>
      </w:r>
      <w:r>
        <w:rPr>
          <w:b/>
          <w:bCs/>
          <w:lang w:val="es-CO"/>
        </w:rPr>
        <w:t>SETENTA Y DOS MILLONES  SETECIENTOS CINCUENTA Y UN MIL SEISCIENTOS VEINTIUN PESOS ($72.7501.621)  M/CTE,</w:t>
      </w:r>
      <w:r>
        <w:rPr>
          <w:b/>
          <w:bCs/>
        </w:rPr>
        <w:t xml:space="preserve"> </w:t>
      </w:r>
      <w:r>
        <w:t>la convocatoria</w:t>
      </w:r>
      <w:r>
        <w:rPr>
          <w:b/>
          <w:bCs/>
        </w:rPr>
        <w:t xml:space="preserve"> PODRÁ LIMITARSE A MIPYME</w:t>
      </w:r>
      <w:r>
        <w:t>. La manifestación deberá realizarse a través de la plataforma SECOP II</w:t>
      </w:r>
    </w:p>
    <w:p>
      <w:pPr>
        <w:spacing w:after="0"/>
      </w:pPr>
    </w:p>
    <w:p>
      <w:pPr>
        <w:spacing w:after="0"/>
      </w:pPr>
      <w:r>
        <w:t xml:space="preserve">Para la limitación se seguirán las reglas establecidas en el artículo </w:t>
      </w:r>
      <w:r>
        <w:rPr>
          <w:lang w:val="es-CO"/>
        </w:rPr>
        <w:t>arriba mencionado</w:t>
      </w:r>
      <w:r>
        <w:t>, en cuanto a su antigüedad, número de manifestaciones y plazo para presentarla, en consecuencia las personas interesadas en participar deben cumplir con siguientes requisitos:</w:t>
      </w:r>
    </w:p>
    <w:p>
      <w:pPr>
        <w:spacing w:after="0"/>
      </w:pPr>
    </w:p>
    <w:p>
      <w:pPr>
        <w:spacing w:after="0"/>
      </w:pPr>
      <w:r>
        <w:t>a) Acreditar su condición con un certificado expedido por el representante legal y el revisor fiscal, si está obligado a tenerlo, o el contador, en la que conste que la Mipyme tiene el tamaño empresarial establecido de conformidad con la ley.</w:t>
      </w:r>
    </w:p>
    <w:p>
      <w:pPr>
        <w:spacing w:after="0"/>
      </w:pPr>
    </w:p>
    <w:p>
      <w:pPr>
        <w:spacing w:after="0"/>
      </w:pPr>
      <w:r>
        <w:t>b) Allegar el Certificado de Existencia y Representación Legal de la empresa, con el fin de verificar la antigüedad de la misma.</w:t>
      </w:r>
    </w:p>
    <w:p>
      <w:pPr>
        <w:spacing w:after="0"/>
      </w:pPr>
    </w:p>
    <w:p>
      <w:pPr>
        <w:spacing w:after="0"/>
      </w:pPr>
      <w:r>
        <w:rPr>
          <w:b/>
          <w:bCs/>
        </w:rPr>
        <w:t>Decreto 1082 de 2015, Artículo 2.2.1.2.4.2.3.</w:t>
      </w:r>
      <w:r>
        <w:t xml:space="preserve"> Limitaciones territoriales. Las Entidades Estatales pueden realizar convocatorias limitadas a Mipyme nacionales domiciliadas en los departamentos o municipios en donde se va a ejecutar el contrato. La Mipyme debe acreditar su domicilio con el registro mercantil o el certificado de existencia y representación legal de la empresa.</w:t>
      </w:r>
    </w:p>
    <w:p>
      <w:pPr>
        <w:spacing w:after="0"/>
      </w:pPr>
    </w:p>
    <w:p>
      <w:pPr>
        <w:pStyle w:val="3"/>
        <w:numPr>
          <w:ilvl w:val="1"/>
          <w:numId w:val="0"/>
        </w:numPr>
        <w:spacing w:after="0"/>
        <w:ind w:leftChars="0"/>
      </w:pPr>
      <w:r>
        <w:rPr>
          <w:lang w:val="es-CO"/>
        </w:rPr>
        <w:t xml:space="preserve">6.4 </w:t>
      </w:r>
      <w:r>
        <w:t>CONFORMACIÓN DE POSIBLES OFERENTES – MANIFESTACIÓN DE INTERÉS</w:t>
      </w:r>
    </w:p>
    <w:p>
      <w:pPr>
        <w:spacing w:after="0"/>
      </w:pPr>
    </w:p>
    <w:p>
      <w:pPr>
        <w:spacing w:after="0"/>
      </w:pPr>
      <w:r>
        <w:t>De conformidad con lo dispuesto en el artículo 2.2.1.2.1.2.2.0 del Decreto Nacional 1082 de 2015, reglamentario de la Ley 1150 de 2007, los posibles oferentes interesados en participar en la presente selección, deberán manifestar su interés, dentro de los tres (3) días hábiles siguientes a la apertura del proceso, a través del sitio destinado exclusivamente para este efecto en la plataforma SECOP II, con el fin de que se conforme la lista de los posibles oferentes dentro del término establecido en el cronograma previsto en el presente pliego de condiciones. (ver guía para manifestar interés a través del SECOP II)</w:t>
      </w:r>
    </w:p>
    <w:p>
      <w:pPr>
        <w:spacing w:after="0"/>
      </w:pPr>
    </w:p>
    <w:p>
      <w:pPr>
        <w:spacing w:after="0"/>
      </w:pPr>
      <w:r>
        <w:t>No se admitirán manifestaciones realizadas por medios diferentes al de la plataforma SECOP II, ni las presentadas por fuera del término señalado.</w:t>
      </w:r>
    </w:p>
    <w:p/>
    <w:p>
      <w:pPr>
        <w:spacing w:after="0"/>
        <w:rPr>
          <w:highlight w:val="yellow"/>
        </w:rPr>
      </w:pPr>
      <w:r>
        <w:t>La manifestación de interés en participar, señalada en el presente numeral, es requisito indispensable para que la plataforma le permita presentar su propuesta y es habilitante para la presentación de la misma.</w:t>
      </w:r>
    </w:p>
    <w:p>
      <w:pPr>
        <w:spacing w:after="0"/>
      </w:pPr>
    </w:p>
    <w:p>
      <w:pPr>
        <w:spacing w:after="0"/>
      </w:pPr>
      <w:r>
        <w:t>El Municipio de Neiva realizará sorteo si recibe más de diez (10) manifestaciones de interés. Dicho sorteo se adelantará de conformidad a lo establecido en el cronograma del proceso el cual será publicado en el momento en que cumpla con esta condición.</w:t>
      </w:r>
    </w:p>
    <w:p>
      <w:pPr>
        <w:spacing w:after="0"/>
      </w:pPr>
    </w:p>
    <w:p>
      <w:pPr>
        <w:spacing w:after="0"/>
      </w:pPr>
      <w:r>
        <w:t xml:space="preserve">El sorteo se realizará de manera presencial Carrera 5 No. 9 -74. Piso 3 Oficina de Contratación, audiencia que </w:t>
      </w:r>
      <w:r>
        <w:rPr>
          <w:b/>
          <w:bCs/>
        </w:rPr>
        <w:t xml:space="preserve">NO </w:t>
      </w:r>
      <w:r>
        <w:t xml:space="preserve">será de obligatoria asistencia por los interesados, no obstante podrá participar el representante legal del proponente (Persona natural, jurídica o forma asociativa) o su delegado, sin ser necesario acreditar derecho de postulación, mandato o poder para asistir a la diligencia.  </w:t>
      </w:r>
    </w:p>
    <w:p>
      <w:pPr>
        <w:spacing w:after="0"/>
      </w:pPr>
    </w:p>
    <w:p>
      <w:pPr>
        <w:pStyle w:val="3"/>
        <w:numPr>
          <w:ilvl w:val="1"/>
          <w:numId w:val="0"/>
        </w:numPr>
        <w:spacing w:after="0"/>
        <w:ind w:leftChars="0"/>
      </w:pPr>
      <w:r>
        <w:rPr>
          <w:lang w:val="es-CO"/>
        </w:rPr>
        <w:t xml:space="preserve">6.5 </w:t>
      </w:r>
      <w:r>
        <w:t>ACTO ADMINISTRATIVO DE APERTURA</w:t>
      </w:r>
    </w:p>
    <w:p>
      <w:pPr>
        <w:spacing w:after="0"/>
      </w:pPr>
    </w:p>
    <w:p>
      <w:pPr>
        <w:spacing w:after="0"/>
      </w:pPr>
      <w:r>
        <w:t>El MUNICIPIO DE NEIVA proferirá el acto administrativo de apertura el cual deberá cumplir con lo dispuesto por el artículo 2.2.1.1.2.1.5 del Decreto 1082 de 2015, conforme lo señale el cronograma del presente proceso de selección. Este documento será incorporado dentro de los documentos del proceso de la plataforma del SECOP II.</w:t>
      </w:r>
    </w:p>
    <w:p>
      <w:pPr>
        <w:spacing w:after="0"/>
      </w:pPr>
    </w:p>
    <w:p>
      <w:pPr>
        <w:pStyle w:val="3"/>
        <w:numPr>
          <w:ilvl w:val="1"/>
          <w:numId w:val="0"/>
        </w:numPr>
        <w:spacing w:after="0"/>
        <w:ind w:leftChars="0"/>
      </w:pPr>
      <w:r>
        <w:rPr>
          <w:lang w:val="es-CO"/>
        </w:rPr>
        <w:t xml:space="preserve">6.6 </w:t>
      </w:r>
      <w:r>
        <w:t>CONSULTA DE PLIEGO DE CONDICIONES DEFINITIVO O DOCUMENTOS INFORMATIVOS</w:t>
      </w:r>
    </w:p>
    <w:p>
      <w:pPr>
        <w:spacing w:after="0"/>
      </w:pPr>
    </w:p>
    <w:p>
      <w:pPr>
        <w:spacing w:after="0"/>
      </w:pPr>
      <w:r>
        <w:t>Los pliegos o documentos informativos, así como todos los archivos o anexos que hacen parte del presente proceso de selección, se podrán consultar desde la apertura del proceso en el aplicativo del SECOP II.</w:t>
      </w:r>
    </w:p>
    <w:p>
      <w:pPr>
        <w:spacing w:after="0"/>
      </w:pPr>
    </w:p>
    <w:p>
      <w:r>
        <w:t>Nota: Será exclusiva responsabilidad del interesado consultar y verificar que la información que adquiere a través del Portal Único de Contratación – SECOP II, corresponda al proceso y la etapa del mismo en el cual desee participar, no siendo de recibo reclamo alguno al respecto por parte del Municipio de Neiva.</w:t>
      </w:r>
    </w:p>
    <w:p>
      <w:pPr>
        <w:pStyle w:val="3"/>
        <w:numPr>
          <w:ilvl w:val="1"/>
          <w:numId w:val="0"/>
        </w:numPr>
        <w:spacing w:after="0"/>
        <w:ind w:leftChars="0"/>
      </w:pPr>
      <w:r>
        <w:rPr>
          <w:lang w:val="es-CO"/>
        </w:rPr>
        <w:t xml:space="preserve">6.7 </w:t>
      </w:r>
      <w:r>
        <w:t>MODIFICACIÓN DEL PLIEGO DE CONDICIONES-DOCUMENTOS DE CARÁCTER INFORMATIVO O ANEXOS.</w:t>
      </w:r>
    </w:p>
    <w:p>
      <w:pPr>
        <w:spacing w:after="0"/>
      </w:pPr>
    </w:p>
    <w:p>
      <w:pPr>
        <w:spacing w:after="0"/>
      </w:pPr>
      <w:r>
        <w:t>Las consultas o preguntas que se deriven del presente proceso de selección se podrán realizar durante toda la etapa pre-contractual.</w:t>
      </w:r>
    </w:p>
    <w:p>
      <w:pPr>
        <w:spacing w:after="0"/>
      </w:pPr>
    </w:p>
    <w:p>
      <w:pPr>
        <w:spacing w:after="0"/>
      </w:pPr>
      <w:r>
        <w:t>Las consultas, preguntas y las correspondientes respuestas formarán parte de los documentos del proceso y de los documentos contractuales. Las respuestas serán respondidas con el apoyo de las áreas competentes en lo que les corresponda.</w:t>
      </w:r>
    </w:p>
    <w:p>
      <w:pPr>
        <w:spacing w:after="0"/>
      </w:pPr>
    </w:p>
    <w:p>
      <w:pPr>
        <w:spacing w:after="0"/>
      </w:pPr>
      <w:r>
        <w:t>Cualquier modificación del pliego de condiciones o adición a los documentos del proceso será comunicada por escrito mediante adendas, las cuales formaran parte integral del proceso de selección. La información sobre preguntas y respuestas y las adendas serán publicadas en el SECOP II, y deberán tenerse en cuenta para la elaboración de la propuesta, por lo tanto, las mismas se entienden comunicadas de conformidad con lo establecido en este numeral.</w:t>
      </w:r>
    </w:p>
    <w:p>
      <w:pPr>
        <w:spacing w:after="0"/>
      </w:pPr>
    </w:p>
    <w:p>
      <w:pPr>
        <w:spacing w:after="0"/>
        <w:rPr>
          <w:lang w:val="es-CO"/>
        </w:rPr>
      </w:pPr>
      <w:r>
        <w:t>Los proponentes contarán con el tiempo suficiente que permita ajustar las propuestas a las modificaciones realizadas. En ningún caso podrán expedirse y publicarse el mismo día en que se tiene previsto el cierre del proceso de selección</w:t>
      </w:r>
      <w:r>
        <w:rPr>
          <w:lang w:val="es-CO"/>
        </w:rPr>
        <w:t>.</w:t>
      </w:r>
    </w:p>
    <w:p>
      <w:pPr>
        <w:spacing w:after="0"/>
        <w:rPr>
          <w:lang w:val="es-CO"/>
        </w:rPr>
      </w:pPr>
    </w:p>
    <w:p>
      <w:pPr>
        <w:spacing w:after="0"/>
      </w:pPr>
      <w:r>
        <w:t>Las aclaraciones y respuestas a las observaciones presentadas por los proponentes durante el proceso de selección tendrán únicamente valor interpretativo.</w:t>
      </w:r>
    </w:p>
    <w:p>
      <w:pPr>
        <w:spacing w:after="0"/>
      </w:pPr>
    </w:p>
    <w:p>
      <w:pPr>
        <w:pStyle w:val="3"/>
        <w:numPr>
          <w:ilvl w:val="1"/>
          <w:numId w:val="0"/>
        </w:numPr>
        <w:spacing w:after="0"/>
        <w:ind w:leftChars="0"/>
      </w:pPr>
      <w:r>
        <w:rPr>
          <w:lang w:val="es-CO"/>
        </w:rPr>
        <w:t xml:space="preserve">6.8 </w:t>
      </w:r>
      <w:r>
        <w:t>PRESENTACIÓN</w:t>
      </w:r>
      <w:r>
        <w:rPr>
          <w:lang w:val="es-CO"/>
        </w:rPr>
        <w:t xml:space="preserve"> Y ENVÍO ELECTRÓNICO</w:t>
      </w:r>
      <w:r>
        <w:t xml:space="preserve"> DE </w:t>
      </w:r>
      <w:r>
        <w:rPr>
          <w:lang w:val="es-CO"/>
        </w:rPr>
        <w:t>OFERTAS</w:t>
      </w:r>
    </w:p>
    <w:p>
      <w:pPr>
        <w:spacing w:after="0"/>
      </w:pPr>
    </w:p>
    <w:p>
      <w:pPr>
        <w:spacing w:after="0"/>
      </w:pPr>
      <w:r>
        <w:t>Solamente se recibirán las ofertas del presente proceso contractual, en forma digital a través del sitio destinado en la plataforma del SECOP II según lo estipulado en la guía para presentar ofertas en el SECOP II. Este será el único medio que canalizará cualquier tipo de comunicación entre los proponentes y el Municipio de Neiva. No se aceptarán ofertas presentadas por otros canales distintos al indicado anteriormente. En este sentido, no se aceptarán ofertas recibidas por correo, radicación o entrega en oficinas del Municipio de Neiva. De suceder este evento, las propuestas respectivas serán devueltas al proponente sin abrir.</w:t>
      </w:r>
    </w:p>
    <w:p>
      <w:pPr>
        <w:spacing w:after="0"/>
      </w:pPr>
    </w:p>
    <w:p>
      <w:pPr>
        <w:spacing w:after="0"/>
      </w:pPr>
      <w:r>
        <w:t xml:space="preserve">En caso que la plataforma del SECOP II presente indisponibilidad, el proponente podrá allegar sus observaciones y demás documentación requerida en el proceso al correo electrónico:  </w:t>
      </w:r>
      <w:r>
        <w:fldChar w:fldCharType="begin"/>
      </w:r>
      <w:r>
        <w:instrText xml:space="preserve"> HYPERLINK "mailto:asesor@alcaldianeiva.gov.co," </w:instrText>
      </w:r>
      <w:r>
        <w:fldChar w:fldCharType="separate"/>
      </w:r>
      <w:r>
        <w:rPr>
          <w:rStyle w:val="14"/>
        </w:rPr>
        <w:t>asesor@alcaldianeiva.gov.co,</w:t>
      </w:r>
      <w:r>
        <w:rPr>
          <w:rStyle w:val="14"/>
        </w:rPr>
        <w:fldChar w:fldCharType="end"/>
      </w:r>
      <w:r>
        <w:t xml:space="preserve"> adjuntando la debida certificación de indisponibilidad de la página. (Ver guía de indisponibilidad del SECOP II).</w:t>
      </w:r>
    </w:p>
    <w:p>
      <w:pPr>
        <w:spacing w:after="0"/>
      </w:pPr>
    </w:p>
    <w:p>
      <w:pPr>
        <w:spacing w:after="0"/>
      </w:pPr>
      <w:r>
        <w:t xml:space="preserve">La oferta, correspondencia y todos los documentos intercambiados entre los proponentes y el Municipio de Neiva deberán estar escritos en castellano, en caso contrario no se tendrán en cuenta para efectos de evaluación. </w:t>
      </w:r>
    </w:p>
    <w:p>
      <w:pPr>
        <w:spacing w:after="0"/>
      </w:pPr>
    </w:p>
    <w:p>
      <w:pPr>
        <w:spacing w:after="0"/>
      </w:pPr>
      <w:r>
        <w:t>Los documentos de soporte de la propuesta proporcionados por el proponente adjunto a la misma, en el evento de encontrarse en otro idioma, deberán acompañarse de una traducción OFICIAL al castellano. Para efectos de interpretación de la propuesta prevalecerá el texto en castellano. En caso contrario, no serán tenidos en cuenta para efectos de evaluación.</w:t>
      </w:r>
    </w:p>
    <w:p>
      <w:pPr>
        <w:spacing w:after="0"/>
      </w:pPr>
    </w:p>
    <w:p>
      <w:pPr>
        <w:spacing w:after="0"/>
      </w:pPr>
      <w:r>
        <w:t>Los documentos otorgados en el exterior que no estén en idioma castellano deberán presentarse acompañados de una traducción OFICIAL a dicho idioma.</w:t>
      </w:r>
    </w:p>
    <w:p>
      <w:pPr>
        <w:spacing w:after="0"/>
      </w:pPr>
    </w:p>
    <w:p>
      <w:pPr>
        <w:pStyle w:val="3"/>
        <w:numPr>
          <w:ilvl w:val="1"/>
          <w:numId w:val="0"/>
        </w:numPr>
        <w:spacing w:after="0"/>
        <w:ind w:leftChars="0"/>
      </w:pPr>
      <w:r>
        <w:rPr>
          <w:lang w:val="es-CO"/>
        </w:rPr>
        <w:t xml:space="preserve">6.9 </w:t>
      </w:r>
      <w:r>
        <w:t>ACTO DE CIERRE</w:t>
      </w:r>
      <w:r>
        <w:rPr>
          <w:lang w:val="es-CO"/>
        </w:rPr>
        <w:t>, APERTURA Y PUBLICACIÓN DE LISTA DE OFERENTES.</w:t>
      </w:r>
    </w:p>
    <w:p>
      <w:pPr>
        <w:spacing w:after="0"/>
      </w:pPr>
    </w:p>
    <w:p>
      <w:pPr>
        <w:spacing w:after="0"/>
      </w:pPr>
      <w:r>
        <w:t>La Plataforma del SECOP II, hará el cierre automático de la recepción de ofertas, según el cronograma del proceso contractual, inhabilitando esta opción para los proponentes.</w:t>
      </w:r>
    </w:p>
    <w:p>
      <w:pPr>
        <w:spacing w:after="0"/>
      </w:pPr>
    </w:p>
    <w:p>
      <w:pPr>
        <w:spacing w:after="0"/>
      </w:pPr>
      <w:r>
        <w:t>Seguido al acto de cierre, la plataforma SECOP II emite la constancia de manera automática de la presentación de las propuestas y la entidad realizará la apertura de los sobres electrónicos y publicará la lista de oferentes y de cada una de las propuestas. Este trámite se realizará de acuerdo con los manuales de la plataforma SECOP II, previa consulta de no existir indisponibilidad del sistema para los proponentes. En caso contrario la entidad aplicará la guía de indisponibilidad del sistema del SECOP II.</w:t>
      </w:r>
    </w:p>
    <w:p>
      <w:pPr>
        <w:spacing w:after="0"/>
      </w:pPr>
    </w:p>
    <w:p>
      <w:pPr>
        <w:spacing w:after="0"/>
      </w:pPr>
      <w:r>
        <w:t xml:space="preserve">No se aceptarán las propuestas que llegaren de manera parcial, enviadas por correo, entregadas en dependencia o después de la hora fijada en los aspectos generales del presente pliego para el cierre del proceso selectivo. </w:t>
      </w:r>
    </w:p>
    <w:p>
      <w:pPr>
        <w:spacing w:after="0"/>
      </w:pPr>
    </w:p>
    <w:p>
      <w:pPr>
        <w:spacing w:after="0"/>
      </w:pPr>
      <w:r>
        <w:t>En el caso tal que solo un proponente presente su propuesta, antes de la fecha y hora establecida para el cierre del proceso, la entidad verificará el cumplimiento de los requisitos habilitantes del mismo y presentará el informe del mismo. Si no se presenta ningún otro proponente, se le adjudicará el contrato, siempre que cumpla con los requisitos habilitantes (jurídico, técnico y financiero), y con los parámetros establecidos para la evaluación económica.</w:t>
      </w:r>
    </w:p>
    <w:p/>
    <w:p>
      <w:pPr>
        <w:pStyle w:val="3"/>
        <w:numPr>
          <w:ilvl w:val="1"/>
          <w:numId w:val="0"/>
        </w:numPr>
        <w:spacing w:after="0"/>
        <w:ind w:leftChars="0"/>
      </w:pPr>
      <w:r>
        <w:rPr>
          <w:lang w:val="es-CO"/>
        </w:rPr>
        <w:t xml:space="preserve">6.10 </w:t>
      </w:r>
      <w:r>
        <w:t xml:space="preserve">ANÁLISIS DE OFERTAS </w:t>
      </w:r>
    </w:p>
    <w:p>
      <w:pPr>
        <w:spacing w:after="0"/>
      </w:pPr>
    </w:p>
    <w:p>
      <w:pPr>
        <w:spacing w:after="0"/>
      </w:pPr>
      <w:r>
        <w:t xml:space="preserve">Dentro del término fijado en el cronograma del proceso, se verificaran los requisitos habilitantes de tipo jurídico, financieros y técnico de las propuestas. </w:t>
      </w:r>
    </w:p>
    <w:p>
      <w:pPr>
        <w:spacing w:after="0"/>
      </w:pPr>
    </w:p>
    <w:p>
      <w:pPr>
        <w:spacing w:after="0"/>
      </w:pPr>
      <w:r>
        <w:t>El Municipio de Neiva podrá solicitar al oferente las aclaraciones y explicaciones que se estimen indispensables, sin que por ello pueda el proponente adicionar o modificar las condiciones de su propuesta, ni el Municipio de Neiva solicitar variación alguna a los términos de las mismas, sin perjuicio del uso de la regla de subsanabilidad.</w:t>
      </w:r>
    </w:p>
    <w:p>
      <w:pPr>
        <w:spacing w:after="0"/>
      </w:pPr>
    </w:p>
    <w:p>
      <w:pPr>
        <w:pStyle w:val="3"/>
        <w:numPr>
          <w:ilvl w:val="1"/>
          <w:numId w:val="0"/>
        </w:numPr>
        <w:spacing w:after="0"/>
        <w:ind w:leftChars="0"/>
      </w:pPr>
      <w:r>
        <w:rPr>
          <w:lang w:val="es-CO"/>
        </w:rPr>
        <w:t xml:space="preserve">6.11 </w:t>
      </w:r>
      <w:r>
        <w:t>TRASLADO DEL INFORME DE EVALUACIÓN DE LA OFERTA.</w:t>
      </w:r>
    </w:p>
    <w:p>
      <w:pPr>
        <w:spacing w:after="0"/>
      </w:pPr>
    </w:p>
    <w:p>
      <w:pPr>
        <w:spacing w:after="0"/>
      </w:pPr>
      <w:r>
        <w:t>En la fecha y hora establecida en el cronograma de este proceso de selección, se pondrá a disposición de los oferentes el informe de verificación y evaluación de las propuestas de acuerdo con la plataforma SECOP II.</w:t>
      </w:r>
    </w:p>
    <w:p>
      <w:pPr>
        <w:spacing w:after="0"/>
      </w:pPr>
    </w:p>
    <w:p>
      <w:pPr>
        <w:spacing w:after="0"/>
      </w:pPr>
      <w:r>
        <w:t>Durante el traslado de los análisis y las evaluaciones, los proponentes no podrán completar, adicionar, modificar o mejorar sus propuestas y únicamente podrán entregar soportes o aclaraciones que sustenten el ofrecimiento realizado, sin perjuicio del uso de la regla de subsanabilidad.</w:t>
      </w:r>
    </w:p>
    <w:p>
      <w:pPr>
        <w:spacing w:after="0"/>
      </w:pPr>
      <w:r>
        <w:t xml:space="preserve">  </w:t>
      </w:r>
    </w:p>
    <w:p>
      <w:pPr>
        <w:pStyle w:val="3"/>
        <w:numPr>
          <w:ilvl w:val="1"/>
          <w:numId w:val="0"/>
        </w:numPr>
        <w:spacing w:after="0"/>
        <w:ind w:leftChars="0"/>
      </w:pPr>
      <w:r>
        <w:rPr>
          <w:lang w:val="es-CO"/>
        </w:rPr>
        <w:t xml:space="preserve">6.12 </w:t>
      </w:r>
      <w:r>
        <w:t>DILIGENCIA DEBIDA E INFORMACIÓN SOBRE EL PROCESO DE CONTRATACIÓN</w:t>
      </w:r>
    </w:p>
    <w:p>
      <w:pPr>
        <w:spacing w:after="0"/>
      </w:pPr>
    </w:p>
    <w:p>
      <w:pPr>
        <w:spacing w:after="0"/>
      </w:pPr>
      <w:r>
        <w:t xml:space="preserve">Es responsabilidad del proponente conocer todas y cada una de las implicaciones para el ofrecimiento del objeto de este proceso de selección, y realizar todas las evaluaciones que sean necesarias para presentar su propuesta sobre la base de un examen cuidadoso de las características del negocio. </w:t>
      </w:r>
    </w:p>
    <w:p>
      <w:pPr>
        <w:spacing w:after="0"/>
      </w:pPr>
    </w:p>
    <w:p>
      <w:pPr>
        <w:spacing w:after="0"/>
      </w:pPr>
      <w:r>
        <w:t>Por la sola presentación de la propuesta se considera que el proponente realizó el examen completo de todos los aspectos que inciden y determinan la presentación de la misma.</w:t>
      </w:r>
    </w:p>
    <w:p>
      <w:pPr>
        <w:spacing w:after="0"/>
      </w:pPr>
    </w:p>
    <w:p>
      <w:pPr>
        <w:pStyle w:val="3"/>
        <w:numPr>
          <w:ilvl w:val="1"/>
          <w:numId w:val="0"/>
        </w:numPr>
        <w:spacing w:after="0"/>
        <w:ind w:leftChars="0"/>
      </w:pPr>
      <w:r>
        <w:rPr>
          <w:lang w:val="es-CO"/>
        </w:rPr>
        <w:t xml:space="preserve">6.13 </w:t>
      </w:r>
      <w:r>
        <w:t xml:space="preserve">CONSIDERACIONES ESPECIALES PROPONENTES EXTRANJEROS  </w:t>
      </w:r>
    </w:p>
    <w:p>
      <w:pPr>
        <w:spacing w:after="0"/>
      </w:pPr>
    </w:p>
    <w:p>
      <w:pPr>
        <w:spacing w:after="0"/>
      </w:pPr>
      <w:r>
        <w:t>Los proponentes extranjeros deberán presentar sus documentos, de acuerdo con lo establecido en las leyes y normas del país de origen. No obstante estos documentos deberán venir suscritos por el representante legal de la firma oferente y por el contador que los elaboró.</w:t>
      </w:r>
    </w:p>
    <w:p>
      <w:pPr>
        <w:spacing w:after="0"/>
      </w:pPr>
    </w:p>
    <w:p>
      <w:pPr>
        <w:spacing w:after="0"/>
      </w:pPr>
      <w:r>
        <w:t>Las personas naturales o jurídicas extranjeras, deben presentar sus estados financieros consularizados y visados por el Ministerio de Relaciones Exteriores de Colombia, acompañados de traducción oficial al castellano, expresados en pesos colombianos a la tasa de cambio vigente.</w:t>
      </w:r>
    </w:p>
    <w:p>
      <w:pPr>
        <w:spacing w:after="0"/>
      </w:pPr>
    </w:p>
    <w:p>
      <w:pPr>
        <w:spacing w:after="0"/>
      </w:pPr>
      <w:r>
        <w:t>Las disposiciones de este pliego de condiciones en cuanto a la forma en que se deben allegar por parte de los proponentes extranjeros los documentos, se aplicará sin perjuicio de lo pactado en tratados o convenios internacionales.</w:t>
      </w:r>
    </w:p>
    <w:p>
      <w:pPr>
        <w:spacing w:after="0"/>
      </w:pPr>
    </w:p>
    <w:p>
      <w:pPr>
        <w:spacing w:after="0"/>
      </w:pPr>
      <w:r>
        <w:t>Cuando el proponente extranjero sin domicilio o sucursal en Colombia provenga de un país que hace parte de la "Convención sobre la abolición de requisitos de legalización para documentos públicos extranjeros", no se requiere de la consularización a que se refiere el párrafo anterior sino que será suficiente que los documentos se adicionen con el certificado de "apostilla" por parte de la autoridad competente del país donde se origina el documento.</w:t>
      </w:r>
    </w:p>
    <w:p>
      <w:pPr>
        <w:spacing w:after="0"/>
      </w:pPr>
    </w:p>
    <w:p>
      <w:pPr>
        <w:spacing w:after="0"/>
      </w:pPr>
      <w:r>
        <w:t>En el evento de que cualquiera de estos requerimientos no sea aplicable en el país del domicilio del proponte de origen extranjero, el representante legal o el apoderado en Colombia, deberá hacerlo constar bajo la gravedad de juramento.</w:t>
      </w:r>
    </w:p>
    <w:p>
      <w:pPr>
        <w:spacing w:after="0"/>
      </w:pPr>
    </w:p>
    <w:p>
      <w:pPr>
        <w:spacing w:after="0"/>
      </w:pPr>
      <w:r>
        <w:t>Todos los documentos otorgados o expedidos en el exterior, deberán presentarse traducidos al idioma castellano, legalizados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 y las disposiciones que para ello señale la agencia de contratación pública Colombia Compra Eficiente.</w:t>
      </w:r>
    </w:p>
    <w:p>
      <w:pPr>
        <w:spacing w:after="0"/>
      </w:pPr>
    </w:p>
    <w:p>
      <w:pPr>
        <w:spacing w:after="0"/>
      </w:pPr>
      <w:r>
        <w:t>Las sucursales de sociedad extranjera deben presentar para registro la información contable y financiera de su casa matriz. Los estados financieros de las sociedades extranjeras deben ser presentados de conformidad con las normas aplicables en el país en el que son emitidos.</w:t>
      </w:r>
    </w:p>
    <w:p>
      <w:pPr>
        <w:spacing w:after="0"/>
      </w:pPr>
    </w:p>
    <w:p>
      <w:pPr>
        <w:pStyle w:val="3"/>
        <w:numPr>
          <w:ilvl w:val="1"/>
          <w:numId w:val="0"/>
        </w:numPr>
        <w:spacing w:after="0"/>
        <w:ind w:leftChars="0"/>
      </w:pPr>
      <w:r>
        <w:rPr>
          <w:lang w:val="es-CO"/>
        </w:rPr>
        <w:t xml:space="preserve">6.14 </w:t>
      </w:r>
      <w:r>
        <w:t xml:space="preserve">SOCIEDADES SUBORDINADAS O CONTROLADAS. </w:t>
      </w:r>
    </w:p>
    <w:p>
      <w:pPr>
        <w:spacing w:after="0"/>
      </w:pPr>
    </w:p>
    <w:p>
      <w:pPr>
        <w:spacing w:after="0"/>
      </w:pPr>
      <w:r>
        <w:t xml:space="preserve">De conformidad con el artículo 260 del código de comercio “una sociedad será subordinada o controlada cuando su poder de decisión se encuentre sometido a la voluntad de otra u otras que serán su matriz o controlante, bien sea directamente, caso en el cual aquellas se denominarán filial o con el concurso o por intermedio de las subordinadas de la matriz, en cuyo caso se llamará subsidiaria”, así las cosas, la filial o subsidiaria podrá invocar la subordinación, por ejemplo, en el caso que nos ocupa, acreditar experiencia relacionada con el objeto del presente proceso de selección, a través de su empresa matriz. </w:t>
      </w:r>
    </w:p>
    <w:p>
      <w:pPr>
        <w:spacing w:after="0"/>
      </w:pPr>
    </w:p>
    <w:p>
      <w:pPr>
        <w:spacing w:after="0"/>
      </w:pPr>
      <w:r>
        <w:t>De acuerdo a lo anterior la casa matriz deberá cumplir con los siguientes requisitos:</w:t>
      </w:r>
    </w:p>
    <w:p>
      <w:pPr>
        <w:spacing w:after="0"/>
      </w:pPr>
    </w:p>
    <w:p>
      <w:pPr>
        <w:numPr>
          <w:ilvl w:val="0"/>
          <w:numId w:val="4"/>
        </w:numPr>
        <w:spacing w:after="0"/>
      </w:pPr>
      <w:r>
        <w:t xml:space="preserve">Aportar junto con la oferta un poder con amplias facultades suscrito por el representante legal de la casa matriz donde autorice expresamente a la filial o subordinada a presentar los requisitos habilitantes del pliego de condiciones de la casa matriz que requiera el proponente, y la autorización para presentar la oferta y suscribir todo acto o contrato con ocasión al presente proceso de selección, asumiendo expresamente la responsabilidad solidaria con el proponente derivada de la presentación de su oferta. </w:t>
      </w:r>
    </w:p>
    <w:p>
      <w:pPr>
        <w:spacing w:after="0"/>
      </w:pPr>
    </w:p>
    <w:p>
      <w:pPr>
        <w:numPr>
          <w:ilvl w:val="0"/>
          <w:numId w:val="4"/>
        </w:numPr>
        <w:spacing w:after="0"/>
      </w:pPr>
      <w:r>
        <w:t xml:space="preserve">El poder de que trata el numeral anterior deberá venir en original debidamente suscrito y apostillado o legalizado, según corresponda. </w:t>
      </w:r>
    </w:p>
    <w:p>
      <w:pPr>
        <w:spacing w:after="0"/>
      </w:pPr>
      <w:r>
        <w:t xml:space="preserve"> </w:t>
      </w:r>
    </w:p>
    <w:p>
      <w:pPr>
        <w:numPr>
          <w:ilvl w:val="0"/>
          <w:numId w:val="4"/>
        </w:numPr>
        <w:spacing w:after="0"/>
      </w:pPr>
      <w:r>
        <w:t xml:space="preserve">Para que la invocación de subordinación sea válida, además de lo anterior, el proponente deberá demostrar que la casa matriz, cuenta con una participación accionaria en la filial o subordinada igual o superior al cincuenta por ciento (50%), de conformidad con el artículo 28 y 29 de la ley 222 de 1995, y normas concordantes. </w:t>
      </w:r>
    </w:p>
    <w:p>
      <w:pPr>
        <w:spacing w:after="0"/>
      </w:pPr>
    </w:p>
    <w:p>
      <w:pPr>
        <w:pStyle w:val="3"/>
        <w:numPr>
          <w:ilvl w:val="1"/>
          <w:numId w:val="0"/>
        </w:numPr>
        <w:spacing w:after="0"/>
        <w:ind w:leftChars="0"/>
      </w:pPr>
      <w:r>
        <w:rPr>
          <w:lang w:val="es-CO"/>
        </w:rPr>
        <w:t xml:space="preserve">6.15 </w:t>
      </w:r>
      <w:r>
        <w:t>RÉGIMEN DE INHABILIDADES E INCOMPATIBILIDADES</w:t>
      </w:r>
    </w:p>
    <w:p>
      <w:pPr>
        <w:spacing w:after="0"/>
      </w:pPr>
    </w:p>
    <w:p>
      <w:pPr>
        <w:spacing w:after="0"/>
      </w:pPr>
      <w:r>
        <w:t xml:space="preserve">Los proponentes no podrán encontrarse incursos dentro de alguna de las causales de inhabilidad o incompatibilidad para contratar a que se refieren la Constitución Política, artículo 8 de la Ley 80 de 1993, Ley 1474 de 2011, la Ley 1150 de 2007 y normas concordantes en general, así mismo, no debe estar reportado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p>
    <w:p>
      <w:pPr>
        <w:spacing w:after="0"/>
      </w:pPr>
    </w:p>
    <w:p>
      <w:pPr>
        <w:spacing w:after="0"/>
      </w:pPr>
      <w:r>
        <w:t>El proponente deberá diligenciar el Anexo No. 8 en el cual declarará e que no se encuentra incurso dentro de dichas inhabilidades e incompatibilidades.</w:t>
      </w:r>
    </w:p>
    <w:p>
      <w:pPr>
        <w:spacing w:after="0"/>
      </w:pPr>
    </w:p>
    <w:p>
      <w:r>
        <w:t xml:space="preserve">NOTA: Los interesados en participar en este proceso deberán tener en cuenta el contenido del </w:t>
      </w:r>
      <w:bookmarkStart w:id="8" w:name="OLE_LINK4"/>
      <w:r>
        <w:t xml:space="preserve">Artículo 5o. de la Ley 828 de 2003 </w:t>
      </w:r>
      <w:bookmarkEnd w:id="8"/>
      <w:r>
        <w:t>“Sanciones Administrativas”, en cuyo tercer inciso se establece: “El no pago de las multas aquí señaladas inhabilitará a la persona natural o jurídica para contratar con el Estado mientras persista tal deuda, salvo que se trate de procesos concursales y existan acuerdos de pago según la Ley 550 de 1999”.</w:t>
      </w:r>
    </w:p>
    <w:p>
      <w:pPr>
        <w:pStyle w:val="3"/>
        <w:numPr>
          <w:ilvl w:val="1"/>
          <w:numId w:val="0"/>
        </w:numPr>
        <w:spacing w:after="0"/>
        <w:ind w:leftChars="0"/>
      </w:pPr>
      <w:r>
        <w:rPr>
          <w:lang w:val="es-CO"/>
        </w:rPr>
        <w:t xml:space="preserve">6.16 </w:t>
      </w:r>
      <w:r>
        <w:t>RESERVA DURANTE EL PROCESO DE EVALUACIÓN</w:t>
      </w:r>
    </w:p>
    <w:p>
      <w:pPr>
        <w:spacing w:after="0"/>
      </w:pPr>
    </w:p>
    <w:p>
      <w:pPr>
        <w:spacing w:after="0"/>
      </w:pPr>
      <w:r>
        <w:t xml:space="preserve">Durante el proceso de evaluación de las propuestas, el mismo estará sujeto a reserva y no se permitirá la injerencia de ninguna persona diferente de los que realizan la evaluación. Una vez terminados los estudios y redactado el informe de evaluación, éste documento adquirirá el carácter de documento público y se pondrá a disposición de los oferentes y de las personas en general. </w:t>
      </w:r>
    </w:p>
    <w:p>
      <w:pPr>
        <w:spacing w:after="0"/>
      </w:pPr>
    </w:p>
    <w:p>
      <w:pPr>
        <w:pStyle w:val="3"/>
        <w:numPr>
          <w:ilvl w:val="1"/>
          <w:numId w:val="0"/>
        </w:numPr>
        <w:spacing w:after="0"/>
        <w:ind w:leftChars="0"/>
      </w:pPr>
      <w:r>
        <w:rPr>
          <w:lang w:val="es-CO"/>
        </w:rPr>
        <w:t xml:space="preserve">6.17 </w:t>
      </w:r>
      <w:r>
        <w:t xml:space="preserve">PRÓRROGA DEL PLAZO DEL CIERRE   </w:t>
      </w:r>
    </w:p>
    <w:p>
      <w:pPr>
        <w:spacing w:after="0"/>
      </w:pPr>
      <w:r>
        <w:t>Cuando el Municipio de Neiva lo estime conveniente, o por solicitud de pluralidad de personas, se podrá prorrogar el plazo de cierre, de conformidad con lo señalado en el artículo 2.2.1.1.2.2.1 del Decreto 1082 de 2015.</w:t>
      </w:r>
    </w:p>
    <w:p>
      <w:pPr>
        <w:spacing w:after="0"/>
      </w:pPr>
    </w:p>
    <w:p>
      <w:pPr>
        <w:pStyle w:val="3"/>
        <w:numPr>
          <w:ilvl w:val="1"/>
          <w:numId w:val="0"/>
        </w:numPr>
        <w:spacing w:after="0"/>
        <w:ind w:leftChars="0"/>
      </w:pPr>
      <w:r>
        <w:rPr>
          <w:lang w:val="es-CO"/>
        </w:rPr>
        <w:t xml:space="preserve">6.18 </w:t>
      </w:r>
      <w:r>
        <w:t>PLAZO PARA SUBSANAR POR PARTE DE LOS PROPONENTES:</w:t>
      </w:r>
    </w:p>
    <w:p>
      <w:pPr>
        <w:spacing w:after="0"/>
      </w:pPr>
    </w:p>
    <w:p>
      <w:pPr>
        <w:spacing w:after="0"/>
      </w:pPr>
      <w:r>
        <w:t>Después de la diligencia de cierre sólo se aceptarán al oferente las aclaraciones relacionadas exclusivamente con las solicitudes formuladas por la Entidad.</w:t>
      </w:r>
    </w:p>
    <w:p>
      <w:pPr>
        <w:spacing w:after="0"/>
      </w:pPr>
    </w:p>
    <w:p>
      <w:pPr>
        <w:spacing w:after="0"/>
      </w:pPr>
      <w:r>
        <w:t>El municipio de Neiva solicitará, hasta el término de traslado del informe de evaluación, aclaraciones a los proponentes en relación con cualquier documento o afirmación efectuada por el proponente en su oferta, siempre que haya expresiones equívocas, confusas o aparentemente contradictorias, de manera que el mismo pueda aclarar su sentido, sin alterar el alcance de su oferta.</w:t>
      </w:r>
    </w:p>
    <w:p>
      <w:pPr>
        <w:spacing w:after="0"/>
      </w:pPr>
    </w:p>
    <w:p>
      <w:r>
        <w:rPr>
          <w:highlight w:val="none"/>
        </w:rPr>
        <w:t xml:space="preserve">El proponente deberá responder las solicitudes de aclaración y aportará los documentos para el cumplimiento de los requisitos de la propuesta que no afecten la asignación de puntaje hasta el término de traslado del informe de evaluación. En el evento que el oferente no de respuesta dentro del término al requerimiento que le haga la Entidad, la oferta será rechazada de conformidad con lo dispuesto en el parágrafo 1° del artículo 5 de la Ley 1150 de 2007, modificado por el artículo 5 de la Ley 1882 de 2018. </w:t>
      </w:r>
    </w:p>
    <w:p>
      <w:pPr>
        <w:spacing w:after="0"/>
      </w:pPr>
      <w:r>
        <w:t xml:space="preserve">La Entidad analizará las respuestas de los oferentes en estos casos y se reserva el derecho de evaluar si ellas se ajustan a lo solicitado. </w:t>
      </w:r>
    </w:p>
    <w:p>
      <w:pPr>
        <w:spacing w:after="0"/>
      </w:pPr>
    </w:p>
    <w:p>
      <w:pPr>
        <w:spacing w:after="0"/>
      </w:pPr>
      <w:r>
        <w:t>Las respuestas a las solicitudes para que subsanen la ausencia de requisitos o la falta de documentos habilitantes o las observaciones al informe, deben dirigirse al SECOP II.</w:t>
      </w:r>
    </w:p>
    <w:p>
      <w:pPr>
        <w:spacing w:after="0"/>
      </w:pPr>
      <w:r>
        <w:t xml:space="preserve">  </w:t>
      </w:r>
    </w:p>
    <w:p>
      <w:pPr>
        <w:pStyle w:val="3"/>
        <w:numPr>
          <w:ilvl w:val="1"/>
          <w:numId w:val="0"/>
        </w:numPr>
        <w:spacing w:after="0"/>
        <w:ind w:leftChars="0"/>
      </w:pPr>
      <w:r>
        <w:rPr>
          <w:lang w:val="es-CO"/>
        </w:rPr>
        <w:t xml:space="preserve">6.19 </w:t>
      </w:r>
      <w:r>
        <w:t xml:space="preserve">PLAZO PARA FORMULAR OBSERVACIONES A LA EVALUACIÓN </w:t>
      </w:r>
    </w:p>
    <w:p>
      <w:pPr>
        <w:spacing w:after="0"/>
      </w:pPr>
    </w:p>
    <w:p>
      <w:pPr>
        <w:spacing w:after="0"/>
      </w:pPr>
      <w:r>
        <w:t>Por el término legal establecido dentro del pliego de condiciones, el MUNICIPIO DE NEIVA pondrá a disposición de los oferentes la evaluación de las propuestas, en medio electrónico en la plataforma SECOP II, para que dentro de este mismo término presenten por escrito las observaciones que estimen pertinentes.</w:t>
      </w:r>
    </w:p>
    <w:p>
      <w:pPr>
        <w:spacing w:after="0"/>
      </w:pPr>
    </w:p>
    <w:p>
      <w:pPr>
        <w:pStyle w:val="3"/>
        <w:numPr>
          <w:ilvl w:val="1"/>
          <w:numId w:val="0"/>
        </w:numPr>
        <w:spacing w:after="0"/>
        <w:ind w:leftChars="0"/>
      </w:pPr>
      <w:r>
        <w:rPr>
          <w:lang w:val="es-CO"/>
        </w:rPr>
        <w:t xml:space="preserve">6.20 </w:t>
      </w:r>
      <w:r>
        <w:t xml:space="preserve">ORDEN DE ELEGIBILIDAD </w:t>
      </w:r>
    </w:p>
    <w:p>
      <w:pPr>
        <w:spacing w:after="0"/>
      </w:pPr>
    </w:p>
    <w:p>
      <w:pPr>
        <w:spacing w:after="0"/>
      </w:pPr>
      <w:r>
        <w:t xml:space="preserve">Por oferta hábil, entiéndase, aquellas que han cumplido en su totalidad con los requisitos jurídicos, financieros, económicos y técnicos exigidos en el pliego de condiciones. A las ofertas hábiles se les asignará el puntaje de que trata el presente pliego de condiciones. </w:t>
      </w:r>
    </w:p>
    <w:p>
      <w:pPr>
        <w:spacing w:after="0"/>
      </w:pPr>
    </w:p>
    <w:p>
      <w:pPr>
        <w:spacing w:after="0"/>
      </w:pPr>
      <w:r>
        <w:t>Se establecerá el orden de elegibilidad de los proponentes, ordenando las propuestas según el puntaje final obtenido por las mismas, de mayor a menor y se asignará el primer puesto en el orden de elegibilidad al mayor puntaje, el segundo al siguiente y así sucesivamente.</w:t>
      </w:r>
    </w:p>
    <w:p>
      <w:pPr>
        <w:spacing w:after="0"/>
      </w:pPr>
    </w:p>
    <w:p>
      <w:pPr>
        <w:pStyle w:val="3"/>
        <w:numPr>
          <w:ilvl w:val="1"/>
          <w:numId w:val="0"/>
        </w:numPr>
        <w:spacing w:after="0"/>
        <w:ind w:leftChars="0"/>
      </w:pPr>
      <w:r>
        <w:rPr>
          <w:lang w:val="es-CO"/>
        </w:rPr>
        <w:t xml:space="preserve">6.21 </w:t>
      </w:r>
      <w:r>
        <w:t>ADJUDICACIÓN O DECLARATORIA DE DESIERTA DEL PROCESO DE SELECCIÓN</w:t>
      </w:r>
    </w:p>
    <w:p>
      <w:pPr>
        <w:spacing w:after="0"/>
      </w:pPr>
    </w:p>
    <w:p>
      <w:pPr>
        <w:spacing w:after="0"/>
      </w:pPr>
      <w:r>
        <w:t>En la fecha y hora establecida en el cronograma, de conformidad con el Decreto 1082 de 2015, se procederá a dar respuestas a las observaciones presentadas, siempre y cuando estas no hayan sido resueltas.</w:t>
      </w:r>
    </w:p>
    <w:p>
      <w:pPr>
        <w:spacing w:after="0"/>
      </w:pPr>
    </w:p>
    <w:p>
      <w:pPr>
        <w:spacing w:after="0"/>
      </w:pPr>
      <w:r>
        <w:t>El acto de adjudicación será notificado al proponente favorecido, de conformidad c</w:t>
      </w:r>
      <w:bookmarkStart w:id="9" w:name="OLE_LINK5"/>
      <w:r>
        <w:t>on lo estipulado en el artículo 77 de la Ley 80 de 1993.</w:t>
      </w:r>
    </w:p>
    <w:bookmarkEnd w:id="9"/>
    <w:p>
      <w:pPr>
        <w:spacing w:after="0"/>
      </w:pPr>
    </w:p>
    <w:p>
      <w:pPr>
        <w:spacing w:after="0"/>
      </w:pPr>
      <w:r>
        <w:t>EI acto de adjudicación es irrevocable y obliga tanto a la Entidad como al adjudicatario. Contra el mismo no procede recurso alguno conforme lo indicado en el artículo 77 de la Ley 80 de 1993. No obstante lo anterior, si dentro del plazo comprendido entre la adjudicación del contrato y la suscripción del mismo, sobreviene una inhabilidad o incompatibilidad o si se demuestra que el acto se obtuvo por medios ilegales, este podrá ser revocado y se podrá dar aplicación a lo previsto en el inciso final del numeral 12 del artículo 30 de la Ley 80 de 1993.</w:t>
      </w:r>
    </w:p>
    <w:p>
      <w:pPr>
        <w:spacing w:after="0"/>
      </w:pPr>
    </w:p>
    <w:p>
      <w:pPr>
        <w:spacing w:after="0"/>
      </w:pPr>
      <w:r>
        <w:t>Si el adjudicatario no suscribe el contrato dentro del término citado, quedará a favor de el Municipio de Neiva, en calidad de sanción, el valor del depósito o garantía constituidos para responder por la seriedad de la propuesta, sin menoscabo de las acciones legales conducentes al reconocimiento de perjuicios causados y no cubiertos por el valor del depósito o garantía.</w:t>
      </w:r>
    </w:p>
    <w:p>
      <w:pPr>
        <w:spacing w:after="0"/>
      </w:pPr>
    </w:p>
    <w:p>
      <w:pPr>
        <w:spacing w:after="0"/>
      </w:pPr>
      <w:r>
        <w:t>En este evento, el Municipio de Neiva mediante acto administrativo debidamente motivado, podrá adjudicar el contrato, dentro de los quince (15) días siguientes, al proponente calificado en segundo lugar, siempre y cuando su propuesta sea igualmente favorable para la entidad, de acuerdo con lo establecido en el inciso 2 numeral 12 del artículo 30 de la Ley 80 de 1993.</w:t>
      </w:r>
    </w:p>
    <w:p>
      <w:pPr>
        <w:spacing w:after="0"/>
      </w:pPr>
    </w:p>
    <w:p>
      <w:pPr>
        <w:spacing w:after="0"/>
      </w:pPr>
      <w:r>
        <w:t>El valor del contrato a celebrar será por el monto descrito en cuestionario del pliego electrónico en la sección del “valor del contrato y sus subsecciones” a que haya lugar, expresado por el proponente que haya obtenido el mayor puntaje en la ponderación técnica y económica.</w:t>
      </w:r>
    </w:p>
    <w:p>
      <w:pPr>
        <w:spacing w:after="0"/>
      </w:pPr>
    </w:p>
    <w:p>
      <w:pPr>
        <w:spacing w:after="0"/>
      </w:pPr>
      <w:r>
        <w:t>Se adjudicará el proceso de contratación al oferente que habiendo presentado una propuesta hábil, obtenga el primer orden de elegibilidad, de acuerdo con lo establecido en el presente pliego de condiciones.</w:t>
      </w:r>
    </w:p>
    <w:p>
      <w:pPr>
        <w:spacing w:after="0"/>
      </w:pPr>
    </w:p>
    <w:p>
      <w:pPr>
        <w:spacing w:after="0"/>
      </w:pPr>
      <w:r>
        <w:t>En caso de que se adjudique el contrato con base en una propuesta que presente precios que no obedezcan a las condiciones del mercado y que no logren ser detectados durante el proceso de selección, el contratista deberá asumir todos los riesgos que se deriven de tal hecho ya que la Entidad no aceptará reclamo alguno con relación a ellos.</w:t>
      </w:r>
    </w:p>
    <w:p>
      <w:pPr>
        <w:spacing w:after="0"/>
      </w:pPr>
    </w:p>
    <w:p>
      <w:pPr>
        <w:spacing w:after="0"/>
      </w:pPr>
      <w:r>
        <w:t xml:space="preserve">Si antes de la adjudicación, en caso de presentarse pronunciamientos que a juicio de la entidad requieran de análisis y cuya solución pueda incidir en el sentido de la decisión a adoptar, podrá ser ampliado la fecha de la adjudicación por el término necesario para la verificación de los asuntos debatidos y la comprobación de lo alegado. La nueva fecha para la adjudicación se notificará por medio del SECOP II. La Entidad comunicará por el SECOP II esta situación a los oferentes con la debida antelación. </w:t>
      </w:r>
    </w:p>
    <w:p>
      <w:pPr>
        <w:spacing w:after="0"/>
      </w:pPr>
    </w:p>
    <w:p>
      <w:pPr>
        <w:pStyle w:val="3"/>
        <w:numPr>
          <w:ilvl w:val="1"/>
          <w:numId w:val="0"/>
        </w:numPr>
        <w:spacing w:after="0"/>
        <w:ind w:leftChars="0"/>
      </w:pPr>
      <w:r>
        <w:rPr>
          <w:lang w:val="es-CO"/>
        </w:rPr>
        <w:t xml:space="preserve">6.22 </w:t>
      </w:r>
      <w:r>
        <w:t>DECLARATORIA DE DESIERTA</w:t>
      </w:r>
    </w:p>
    <w:p>
      <w:pPr>
        <w:spacing w:after="0"/>
      </w:pPr>
    </w:p>
    <w:p>
      <w:pPr>
        <w:spacing w:after="0"/>
      </w:pPr>
      <w:r>
        <w:t>El Municipio de Neiva declarará desierto totalmente el presente proceso dentro del plazo previsto para adjudicar,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pPr>
        <w:spacing w:after="0"/>
      </w:pPr>
      <w:r>
        <w:t xml:space="preserve"> </w:t>
      </w:r>
    </w:p>
    <w:p>
      <w:pPr>
        <w:spacing w:after="0"/>
      </w:pPr>
      <w:r>
        <w:t>La declaratoria de desierto del proceso, se hará mediante acto motivado conforme lo establecido en el artículo 25 numeral 18 de la Ley 80 de 1993, el cual se notificará a todos los proponentes y se publicará en el Portal Único de Contratación- Sistema Electrónico de la Contratación Pública – SECOP II. Contra dicho acto procede únicamente el recurso de reposición.</w:t>
      </w:r>
    </w:p>
    <w:p>
      <w:pPr>
        <w:spacing w:after="0"/>
      </w:pPr>
    </w:p>
    <w:p>
      <w:pPr>
        <w:spacing w:after="0"/>
      </w:pPr>
      <w:r>
        <w:t>El Municipio de Neiva declarará desierto el presente proceso de selección cuando:</w:t>
      </w:r>
    </w:p>
    <w:p>
      <w:pPr>
        <w:spacing w:after="0"/>
      </w:pPr>
    </w:p>
    <w:p>
      <w:pPr>
        <w:numPr>
          <w:ilvl w:val="0"/>
          <w:numId w:val="4"/>
        </w:numPr>
        <w:spacing w:after="0"/>
      </w:pPr>
      <w:r>
        <w:t>No se presenten ofertas.</w:t>
      </w:r>
    </w:p>
    <w:p>
      <w:pPr>
        <w:spacing w:after="0"/>
      </w:pPr>
    </w:p>
    <w:p>
      <w:pPr>
        <w:numPr>
          <w:ilvl w:val="0"/>
          <w:numId w:val="4"/>
        </w:numPr>
        <w:spacing w:after="0"/>
      </w:pPr>
      <w:r>
        <w:t>Cuando ninguna de las ofertas se ajuste a lo establecido en el pliego de condiciones.</w:t>
      </w:r>
    </w:p>
    <w:p>
      <w:pPr>
        <w:spacing w:after="0"/>
      </w:pPr>
    </w:p>
    <w:p>
      <w:pPr>
        <w:numPr>
          <w:ilvl w:val="0"/>
          <w:numId w:val="4"/>
        </w:numPr>
        <w:spacing w:after="0"/>
      </w:pPr>
      <w:r>
        <w:t>Cuando existan motivos o causas que impidan la selección objetiva de la propuesta más favorable para la Entidad, de conformidad con lo establecido en el artículo 25 núm. 18 de la Ley 80 de 1993.</w:t>
      </w:r>
    </w:p>
    <w:p>
      <w:pPr>
        <w:numPr>
          <w:ilvl w:val="0"/>
          <w:numId w:val="0"/>
        </w:numPr>
        <w:spacing w:after="0"/>
        <w:ind w:leftChars="0"/>
      </w:pPr>
    </w:p>
    <w:p>
      <w:pPr>
        <w:pStyle w:val="3"/>
        <w:numPr>
          <w:ilvl w:val="1"/>
          <w:numId w:val="0"/>
        </w:numPr>
        <w:spacing w:after="0"/>
        <w:ind w:leftChars="0"/>
      </w:pPr>
      <w:r>
        <w:rPr>
          <w:lang w:val="es-CO"/>
        </w:rPr>
        <w:t xml:space="preserve">6.23 </w:t>
      </w:r>
      <w:r>
        <w:t>SUSCRIPCIÓN DEL CONTRATO</w:t>
      </w:r>
    </w:p>
    <w:p>
      <w:pPr>
        <w:spacing w:after="0"/>
      </w:pPr>
      <w:r>
        <w:t>Quien resulte adjudicatario del presente proceso selectivo deberá suscribir el contrato dentro del término establecido en el cronograma.</w:t>
      </w:r>
    </w:p>
    <w:p>
      <w:pPr>
        <w:spacing w:after="0"/>
      </w:pPr>
    </w:p>
    <w:p>
      <w:pPr>
        <w:spacing w:after="0"/>
      </w:pPr>
      <w:r>
        <w:t>Si el adjudicatario, sin justa causa, se abstuviere de suscribir el contrato adjudicado, quedará inhabilitado para contratar con el Estado por un término de cinco (5) años, de conformidad con lo previsto en el literal e) del numeral 1 del artículo 8 de la Ley 80 de 1993, sin perjuicio del respeto y garantía del derecho de defensa y contradicción. Art. 29 de la Constitución Política de Colombia del año 1991.</w:t>
      </w:r>
    </w:p>
    <w:p>
      <w:pPr>
        <w:spacing w:after="0"/>
      </w:pPr>
    </w:p>
    <w:p>
      <w:pPr>
        <w:spacing w:after="0"/>
      </w:pPr>
      <w:r>
        <w:t>En este evento, el Municipio de Neiva, mediante acto administrativo debidamente motivado, podrá adjudicar el contrato, dentro de los quince (15) días siguientes, al Proponente calificado en segundo lugar, siempre y cuando su propuesta sea igualmente favorable para la Entidad.</w:t>
      </w:r>
    </w:p>
    <w:p>
      <w:pPr>
        <w:spacing w:after="0"/>
      </w:pPr>
    </w:p>
    <w:p>
      <w:pPr>
        <w:pStyle w:val="3"/>
        <w:numPr>
          <w:ilvl w:val="1"/>
          <w:numId w:val="0"/>
        </w:numPr>
        <w:spacing w:after="0"/>
        <w:ind w:leftChars="0"/>
      </w:pPr>
      <w:r>
        <w:rPr>
          <w:lang w:val="es-CO"/>
        </w:rPr>
        <w:t xml:space="preserve">6.24 </w:t>
      </w:r>
      <w:r>
        <w:t>CONSECUENCIAS DE LA NO SUSCRIPCIÓN DEL CONTRATO</w:t>
      </w:r>
    </w:p>
    <w:p>
      <w:pPr>
        <w:spacing w:after="0"/>
      </w:pPr>
    </w:p>
    <w:p>
      <w:pPr>
        <w:numPr>
          <w:ilvl w:val="0"/>
          <w:numId w:val="5"/>
        </w:numPr>
        <w:spacing w:after="0"/>
      </w:pPr>
      <w:r>
        <w:t>Efectividad de la garantía de Seriedad</w:t>
      </w:r>
    </w:p>
    <w:p>
      <w:pPr>
        <w:spacing w:after="0"/>
      </w:pPr>
    </w:p>
    <w:p>
      <w:pPr>
        <w:spacing w:after="0"/>
      </w:pPr>
      <w:r>
        <w:t>Salvo fuerza mayor o caso fortuito, debidamente comprobados, si el adjudicatario no cumpliere las condiciones y obligaciones establecidas en el presente proceso de Selección y en especial la de suscribir oportunamente el contrato, constituir la garantía única, efectuar la legalización del mismo dentro del término señalado o mantener lo ofrecido en su propuesta, la garantía de seriedad se hará efectiva a favor de el Municipio de Neiva a título de indemnización anticipada de perjuicios, pudiendo recurrir a las demás acciones civiles o penales que puedan ser instauradas. Se aplicará lo previsto en el artículo 8º, literal e, de la Ley 80 de 1993.</w:t>
      </w:r>
    </w:p>
    <w:p>
      <w:pPr>
        <w:spacing w:after="0"/>
      </w:pPr>
    </w:p>
    <w:p>
      <w:pPr>
        <w:spacing w:after="0"/>
      </w:pPr>
      <w:r>
        <w:t>Sin menoscabo de las acciones legales conducentes al reconocimiento de daños y perjuicios causados y no cubiertos por el valor de la garantía constituida.</w:t>
      </w:r>
    </w:p>
    <w:p>
      <w:pPr>
        <w:spacing w:after="0"/>
      </w:pPr>
    </w:p>
    <w:p>
      <w:pPr>
        <w:numPr>
          <w:ilvl w:val="0"/>
          <w:numId w:val="5"/>
        </w:numPr>
        <w:spacing w:after="0"/>
      </w:pPr>
      <w:r>
        <w:t>Suscripción de contrato con el proponente calificado en segundo lugar</w:t>
      </w:r>
    </w:p>
    <w:p>
      <w:pPr>
        <w:spacing w:after="0"/>
      </w:pPr>
    </w:p>
    <w:p>
      <w:pPr>
        <w:spacing w:after="0"/>
      </w:pPr>
      <w:r>
        <w:t>En este evento, la Entidad mediante acto administrativo debidamente motivado, podrá adjudicar el contrato dentro de los quince (15) días siguientes al vencimiento del término para suscribir el mismo o cumplir dichos requisitos, al proponente calificado en segundo lugar, siempre y cuando su propuesta también sea igualmente favorable para la Entidad, conforme con el numeral 12 artículo 30 de la Ley 80 de 1993.</w:t>
      </w:r>
    </w:p>
    <w:p>
      <w:pPr>
        <w:spacing w:after="0"/>
      </w:pPr>
    </w:p>
    <w:p>
      <w:pPr>
        <w:pStyle w:val="3"/>
        <w:numPr>
          <w:ilvl w:val="1"/>
          <w:numId w:val="0"/>
        </w:numPr>
        <w:spacing w:after="0"/>
        <w:ind w:leftChars="0"/>
      </w:pPr>
      <w:r>
        <w:rPr>
          <w:lang w:val="es-CO"/>
        </w:rPr>
        <w:t xml:space="preserve">6.25 </w:t>
      </w:r>
      <w:r>
        <w:t>CRONOGRAMA, FECHAS IMPORTANTES DEL PROCESO</w:t>
      </w:r>
    </w:p>
    <w:p>
      <w:pPr>
        <w:spacing w:after="0"/>
      </w:pPr>
    </w:p>
    <w:p>
      <w:pPr>
        <w:spacing w:after="0"/>
      </w:pPr>
      <w:r>
        <w:t xml:space="preserve">El cronograma del presente proceso de selección, está determinado directamente a través de la plataforma SECOP II y corresponderá con el indicado en el acto de apertura del proceso. </w:t>
      </w:r>
    </w:p>
    <w:p>
      <w:pPr>
        <w:spacing w:after="0"/>
      </w:pPr>
    </w:p>
    <w:p>
      <w:pPr>
        <w:spacing w:after="0"/>
      </w:pPr>
      <w:r>
        <w:t>Cuando se susciten modificaciones a las fechas previstas en el presente cronograma, el MUNICIPIO DE NEIVA lo comunicará a través de la plataforma SECOP II a través de adendas CRONOGRAMA DE ACTIVIDADES DEL PROCESO.</w:t>
      </w:r>
    </w:p>
    <w:p>
      <w:pPr>
        <w:spacing w:after="0"/>
      </w:pPr>
    </w:p>
    <w:p>
      <w:pPr>
        <w:pStyle w:val="3"/>
        <w:numPr>
          <w:ilvl w:val="1"/>
          <w:numId w:val="0"/>
        </w:numPr>
        <w:spacing w:after="0"/>
        <w:ind w:leftChars="0"/>
      </w:pPr>
      <w:r>
        <w:rPr>
          <w:lang w:val="es-CO"/>
        </w:rPr>
        <w:t xml:space="preserve">6.26 </w:t>
      </w:r>
      <w:r>
        <w:t xml:space="preserve">CUMPLIMIENTO DE REQUISITOS DE PERFECCIONAMIENTO, LEGALIZACIÓN Y EJECUCIÓN DEL CONTRATO </w:t>
      </w:r>
    </w:p>
    <w:p>
      <w:pPr>
        <w:spacing w:after="0"/>
      </w:pPr>
    </w:p>
    <w:p>
      <w:pPr>
        <w:spacing w:after="0"/>
      </w:pPr>
      <w:r>
        <w:t xml:space="preserve">El contrato se entenderá perfeccionado con la suscripción del mismo, para la legalización del contrato se requerirá que se efectúe el correspondiente registro presupuestal por parte de la entidad, cuando a ello haya lugar de acuerdo con la ley orgánica de presupuesto y sus disposiciones complementarias. </w:t>
      </w:r>
    </w:p>
    <w:p>
      <w:pPr>
        <w:spacing w:after="0"/>
      </w:pPr>
    </w:p>
    <w:p>
      <w:pPr>
        <w:spacing w:after="0"/>
      </w:pPr>
      <w:r>
        <w:t xml:space="preserve">Dentro de los tres (3) días hábiles siguientes a la suscripción del contrato, el contratista  deberá: </w:t>
      </w:r>
    </w:p>
    <w:p>
      <w:pPr>
        <w:spacing w:after="0"/>
      </w:pPr>
    </w:p>
    <w:p>
      <w:pPr>
        <w:spacing w:after="0"/>
      </w:pPr>
      <w:r>
        <w:t>Constituirá la(s) garantía(s) que ampara(n) los riesgos propios de la etapa contractual a favor de la MUNICIPIO DE NEIVA, la(s) cual(es) será(n) entregada(s) en la dependencia que adelantó el proceso de selección.</w:t>
      </w:r>
    </w:p>
    <w:p>
      <w:pPr>
        <w:spacing w:after="0"/>
      </w:pPr>
    </w:p>
    <w:p>
      <w:pPr>
        <w:pStyle w:val="4"/>
        <w:numPr>
          <w:ilvl w:val="2"/>
          <w:numId w:val="0"/>
        </w:numPr>
        <w:spacing w:before="0" w:after="0"/>
        <w:ind w:leftChars="0"/>
        <w:rPr>
          <w:lang w:val="es-CO"/>
        </w:rPr>
      </w:pPr>
      <w:r>
        <w:rPr>
          <w:lang w:val="es-CO"/>
        </w:rPr>
        <w:t xml:space="preserve">6.27 IMPUESTOS TERRITORIALES </w:t>
      </w:r>
    </w:p>
    <w:p>
      <w:pPr>
        <w:spacing w:after="0"/>
      </w:pPr>
    </w:p>
    <w:p>
      <w:pPr>
        <w:spacing w:after="0"/>
      </w:pPr>
      <w:r>
        <w:t xml:space="preserve">Una vez efectuado los pagos de las estampillas territoriales (Derechos de Contratación) y aprobadas las garantías por parte de la Entidad se podrá iniciar la ejecución del mismo, previa suscripción del acta de inicio.  </w:t>
      </w:r>
    </w:p>
    <w:p>
      <w:pPr>
        <w:spacing w:after="0"/>
      </w:pPr>
    </w:p>
    <w:p>
      <w:pPr>
        <w:pStyle w:val="4"/>
        <w:numPr>
          <w:ilvl w:val="2"/>
          <w:numId w:val="0"/>
        </w:numPr>
        <w:spacing w:before="0" w:after="0"/>
        <w:ind w:leftChars="0"/>
      </w:pPr>
      <w:r>
        <w:rPr>
          <w:lang w:val="es-CO"/>
        </w:rPr>
        <w:t xml:space="preserve">6.28 </w:t>
      </w:r>
      <w:r>
        <w:t xml:space="preserve">APROBACIÓN DE LA GARANTÍA ÚNICA DE CUMPLIMIENTO. </w:t>
      </w:r>
    </w:p>
    <w:p>
      <w:pPr>
        <w:spacing w:after="0"/>
      </w:pPr>
    </w:p>
    <w:p>
      <w:pPr>
        <w:spacing w:after="0"/>
      </w:pPr>
      <w:r>
        <w:t>Con excepción de la cobertura de riesgo relativa a la responsabilidad extracontractual, que deberá ser una póliza de seguros, atendiendo lo establecido en el decreto 1082 de 2015, el CONTRATISTA podrá otorgar a favor de el Municipio de Neiva cualquiera de las cobertura de los riesgos establecidos en el precitado decreto.</w:t>
      </w:r>
    </w:p>
    <w:p>
      <w:pPr>
        <w:spacing w:after="0"/>
      </w:pPr>
    </w:p>
    <w:p>
      <w:pPr>
        <w:spacing w:after="0"/>
      </w:pPr>
      <w:r>
        <w:t>El Proponente adjudicatario se obliga a constituir a favor del municipio de Neiva, una garantía que avalará el cumplimiento de las obligaciones surgidas del contrato, expedida por una Compañía de Seguros establecida legalmente en Colombia; de conformidad con lo consagrado en el artículo 7 de la Ley 1150 de 2007 y su Decreto Reglamentario 1082 de 2015, así:</w:t>
      </w:r>
    </w:p>
    <w:p>
      <w:pPr>
        <w:spacing w:after="0"/>
      </w:pPr>
    </w:p>
    <w:p>
      <w:pPr>
        <w:pStyle w:val="4"/>
        <w:numPr>
          <w:ilvl w:val="2"/>
          <w:numId w:val="0"/>
        </w:numPr>
        <w:spacing w:before="0" w:after="0"/>
        <w:ind w:leftChars="0"/>
        <w:rPr>
          <w:lang w:val="es-CO"/>
        </w:rPr>
      </w:pPr>
      <w:r>
        <w:rPr>
          <w:lang w:val="es-CO"/>
        </w:rPr>
        <w:t xml:space="preserve">6.28.1 CUMPLIMIENTO DEL CONTRATO </w:t>
      </w:r>
    </w:p>
    <w:p>
      <w:pPr>
        <w:spacing w:after="0"/>
      </w:pPr>
    </w:p>
    <w:p>
      <w:pPr>
        <w:spacing w:after="0"/>
      </w:pPr>
      <w:r>
        <w:t>Este amparo cubre a la Entidad Estatal de los perjuicios derivados de:</w:t>
      </w:r>
    </w:p>
    <w:p>
      <w:pPr>
        <w:spacing w:after="0"/>
      </w:pPr>
    </w:p>
    <w:p>
      <w:pPr>
        <w:numPr>
          <w:ilvl w:val="0"/>
          <w:numId w:val="4"/>
        </w:numPr>
        <w:spacing w:after="0"/>
      </w:pPr>
      <w:r>
        <w:t>El incumplimiento total o parcial del contrato, cuando el incumplimiento es imputable al contratista;</w:t>
      </w:r>
    </w:p>
    <w:p>
      <w:pPr>
        <w:numPr>
          <w:ilvl w:val="0"/>
          <w:numId w:val="4"/>
        </w:numPr>
        <w:spacing w:after="0"/>
      </w:pPr>
      <w:r>
        <w:t>El cumplimiento tardío o defectuoso del contrato, cuando el incumplimiento es imputable al contratista;</w:t>
      </w:r>
    </w:p>
    <w:p>
      <w:pPr>
        <w:numPr>
          <w:ilvl w:val="0"/>
          <w:numId w:val="4"/>
        </w:numPr>
        <w:spacing w:after="0"/>
      </w:pPr>
      <w:r>
        <w:t>Los daños imputables al contratista por entregas parciales de la obra, cuando el contrato no prevé entregas parciales; y</w:t>
      </w:r>
    </w:p>
    <w:p>
      <w:pPr>
        <w:numPr>
          <w:ilvl w:val="0"/>
          <w:numId w:val="4"/>
        </w:numPr>
        <w:spacing w:after="0"/>
      </w:pPr>
      <w:r>
        <w:t>El pago del valor de las multas y de la cláusula penal pecuniaria.</w:t>
      </w:r>
    </w:p>
    <w:p>
      <w:pPr>
        <w:spacing w:after="0"/>
      </w:pPr>
    </w:p>
    <w:p>
      <w:pPr>
        <w:spacing w:after="0"/>
      </w:pPr>
      <w:r>
        <w:t>La garantía de cumplimiento del contrato debe tener una vigencia mínima hasta la liquidación del contrato (6 meses). El valor de esta garantía debe ser de por lo menos el veinte por ciento (20%) del valor del contrato a menos que el valor del contrato sea superior a un millón (1.000.000) de SMMLV, caso en el cual la Entidad Estatal aplicará las siguientes reglas:</w:t>
      </w:r>
    </w:p>
    <w:p>
      <w:pPr>
        <w:spacing w:after="0"/>
      </w:pPr>
    </w:p>
    <w:p>
      <w:pPr>
        <w:numPr>
          <w:ilvl w:val="0"/>
          <w:numId w:val="6"/>
        </w:numPr>
        <w:spacing w:after="0"/>
      </w:pPr>
      <w:r>
        <w:t>Si el valor del contrato es superior a un millón (1.000.000) de SMMLV y hasta cinco millones (5.000.000) de SMMLV, la Entidad Estatal puede aceptar garantías que cubran al menos el dos punto cinco por ciento (2,5%) del valor del contrato.</w:t>
      </w:r>
    </w:p>
    <w:p>
      <w:pPr>
        <w:numPr>
          <w:ilvl w:val="0"/>
          <w:numId w:val="6"/>
        </w:numPr>
        <w:spacing w:after="0"/>
      </w:pPr>
      <w:r>
        <w:t>Si el valor del contrato es superior a cinco millones (5.000.000) de SMMLV y hasta diez millones (10.000.000) de SMMLV, la Entidad Estatal puede aceptar garantías que cubran al menos el uno por ciento (1%) del valor del contrato.</w:t>
      </w:r>
    </w:p>
    <w:p>
      <w:pPr>
        <w:numPr>
          <w:ilvl w:val="0"/>
          <w:numId w:val="6"/>
        </w:numPr>
        <w:spacing w:after="0"/>
      </w:pPr>
      <w:r>
        <w:t>Si el valor del contrato es superior a diez millones (10.000.000) de SMMLV, la Entidad Estatal puede aceptar garantías que cubran al menos el cero punto cinco por ciento (0,5%) del valor del contrato.</w:t>
      </w:r>
    </w:p>
    <w:p>
      <w:pPr>
        <w:numPr>
          <w:ilvl w:val="0"/>
          <w:numId w:val="6"/>
        </w:numPr>
        <w:spacing w:after="0"/>
      </w:pPr>
      <w:r>
        <w:t>Pago de salarios, prestaciones sociales legales e indemnizaciones laborales. Este amparo debe cubrir a la Entidad Estatal de los perjuicios ocasionados por el incumplimiento de las obligaciones laborales del contratista derivadas de la contratación del personal utilizado en el territorio nacional para la ejecución del contrato amparado.</w:t>
      </w:r>
    </w:p>
    <w:p>
      <w:pPr>
        <w:numPr>
          <w:ilvl w:val="0"/>
          <w:numId w:val="6"/>
        </w:numPr>
        <w:spacing w:after="0"/>
      </w:pPr>
      <w:r>
        <w:t>La Entidad Estatal no debe exigir una garantía para cubrir este Riesgo en los contratos que se ejecuten fuera del territorio nacional con personal contratado bajo un régimen jurídico distinto al colombiano.</w:t>
      </w:r>
    </w:p>
    <w:p>
      <w:pPr>
        <w:numPr>
          <w:ilvl w:val="0"/>
          <w:numId w:val="6"/>
        </w:numPr>
        <w:spacing w:after="0"/>
      </w:pPr>
      <w:r>
        <w:t xml:space="preserve">Esta garantía debe estar vigente por el plazo del contrato y tres (3) años más. </w:t>
      </w:r>
      <w:bookmarkStart w:id="10" w:name="OLE_LINK6"/>
      <w:r>
        <w:t>El valor de la garantía no puede ser inferior</w:t>
      </w:r>
      <w:bookmarkEnd w:id="10"/>
      <w:r>
        <w:t xml:space="preserve"> </w:t>
      </w:r>
      <w:bookmarkStart w:id="11" w:name="OLE_LINK7"/>
      <w:r>
        <w:t>al veinte por ciento (20%) del valor total del contrato.</w:t>
      </w:r>
      <w:bookmarkEnd w:id="11"/>
    </w:p>
    <w:p>
      <w:pPr>
        <w:spacing w:after="0"/>
        <w:ind w:left="425"/>
      </w:pPr>
    </w:p>
    <w:p>
      <w:pPr>
        <w:pStyle w:val="4"/>
        <w:numPr>
          <w:ilvl w:val="2"/>
          <w:numId w:val="0"/>
        </w:numPr>
        <w:spacing w:before="0" w:after="0"/>
        <w:ind w:leftChars="0"/>
        <w:rPr>
          <w:lang w:val="es-CO"/>
        </w:rPr>
      </w:pPr>
      <w:r>
        <w:rPr>
          <w:lang w:val="es-CO"/>
        </w:rPr>
        <w:t xml:space="preserve">6.28.2 ESTABILIDAD Y CALIDAD DE LA OBRA. </w:t>
      </w:r>
    </w:p>
    <w:p>
      <w:pPr>
        <w:spacing w:after="0"/>
      </w:pPr>
    </w:p>
    <w:p>
      <w:pPr>
        <w:spacing w:after="0"/>
      </w:pPr>
      <w:r>
        <w:t>Este amparo cubre a la Entidad Estatal de los perjuicios ocasionados por cualquier tipo de daño o deterioro, imputable al contratista, sufrido por la obra entregada a satisfacción.</w:t>
      </w:r>
    </w:p>
    <w:p>
      <w:pPr>
        <w:spacing w:after="0"/>
      </w:pPr>
    </w:p>
    <w:p>
      <w:pPr>
        <w:spacing w:after="0"/>
      </w:pPr>
      <w:r>
        <w:t>Esta garantía debe estar vigente por un término no inferior a cinco (5) años contados a partir de la fecha en la cual la Entidad Estatal recibe a satisfacción la obra. El valor de la garantía no puede ser inferior al veinte por ciento (20%) del valor total del contrato.</w:t>
      </w:r>
    </w:p>
    <w:p>
      <w:pPr>
        <w:spacing w:after="0"/>
      </w:pPr>
      <w:r>
        <w:t xml:space="preserve"> </w:t>
      </w:r>
    </w:p>
    <w:p>
      <w:pPr>
        <w:pStyle w:val="4"/>
        <w:numPr>
          <w:ilvl w:val="2"/>
          <w:numId w:val="0"/>
        </w:numPr>
        <w:spacing w:before="0" w:after="0"/>
        <w:ind w:leftChars="0"/>
        <w:rPr>
          <w:lang w:val="es-CO"/>
        </w:rPr>
      </w:pPr>
      <w:r>
        <w:rPr>
          <w:lang w:val="es-CO"/>
        </w:rPr>
        <w:t>6.28.3 RESPONSABILIDAD CIVIL EXTRACONTRACTUAL</w:t>
      </w:r>
    </w:p>
    <w:p>
      <w:pPr>
        <w:spacing w:after="0"/>
      </w:pPr>
    </w:p>
    <w:p>
      <w:pPr>
        <w:spacing w:after="0"/>
      </w:pPr>
      <w:r>
        <w:t xml:space="preserve">El Municipio de Neiva, aprobará la póliza de responsabilidad civil extracontractual, teniendo en cuenta las siguientes consideraciones: </w:t>
      </w:r>
    </w:p>
    <w:p>
      <w:pPr>
        <w:spacing w:after="0"/>
      </w:pPr>
    </w:p>
    <w:p>
      <w:pPr>
        <w:spacing w:after="0"/>
      </w:pPr>
      <w:r>
        <w:t>La Entidad Estatal debe exigir en los contratos de obra, y en aquellos en que por su objeto o naturaleza lo considere necesario con ocasión de los Riesgos del contrato, el otorgamiento de una póliza de responsabilidad civil extracontractual que la proteja de eventuales reclamaciones de terceros derivadas de la responsabilidad extracontractual que surja de las actuaciones, hechos u omisiones de su contratista.</w:t>
      </w:r>
    </w:p>
    <w:p>
      <w:pPr>
        <w:spacing w:after="0"/>
      </w:pPr>
    </w:p>
    <w:p>
      <w:pPr>
        <w:spacing w:after="0"/>
      </w:pPr>
      <w:r>
        <w:t>La Entidad Estatal debe exigir que la póliza de responsabilidad extracontractual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w:t>
      </w:r>
    </w:p>
    <w:p>
      <w:pPr>
        <w:spacing w:after="0"/>
      </w:pPr>
    </w:p>
    <w:p>
      <w:pPr>
        <w:spacing w:after="0"/>
      </w:pPr>
      <w:r>
        <w:t>El valor asegurado por los contratos de seguro que amparan la responsabilidad civil extracontractual no debe ser inferior a:</w:t>
      </w:r>
    </w:p>
    <w:p>
      <w:pPr>
        <w:spacing w:after="0"/>
      </w:pPr>
    </w:p>
    <w:p>
      <w:pPr>
        <w:numPr>
          <w:ilvl w:val="0"/>
          <w:numId w:val="7"/>
        </w:numPr>
        <w:tabs>
          <w:tab w:val="left" w:pos="660"/>
        </w:tabs>
        <w:spacing w:after="0"/>
      </w:pPr>
      <w:r>
        <w:t>Doscientos (200) SMMLV para contratos cuyo valor sea inferior o igual a mil quinientos (1.500) SMMLV.</w:t>
      </w:r>
    </w:p>
    <w:p>
      <w:pPr>
        <w:spacing w:after="0"/>
        <w:ind w:left="440" w:hanging="440" w:hangingChars="200"/>
      </w:pPr>
    </w:p>
    <w:p>
      <w:pPr>
        <w:numPr>
          <w:ilvl w:val="0"/>
          <w:numId w:val="7"/>
        </w:numPr>
        <w:spacing w:after="0"/>
      </w:pPr>
      <w:r>
        <w:t>Trescientos (300) SMMLV para contratos cuyo valor sea superior a mil quinientos (1.500) SMMLV e inferior o igual a dos mil quinientos (2.500) SMMLV.</w:t>
      </w:r>
    </w:p>
    <w:p>
      <w:pPr>
        <w:spacing w:after="0"/>
        <w:ind w:left="440" w:hanging="440" w:hangingChars="200"/>
      </w:pPr>
    </w:p>
    <w:p>
      <w:pPr>
        <w:numPr>
          <w:ilvl w:val="0"/>
          <w:numId w:val="7"/>
        </w:numPr>
        <w:spacing w:after="0"/>
      </w:pPr>
      <w:r>
        <w:t>Cuatrocientos (400) SMMLV para contratos cuyo valor sea superior a dos mil quinientos (2.500) SMMLV e inferior o igual a cinco mil (5.000) SMMLV.</w:t>
      </w:r>
    </w:p>
    <w:p>
      <w:pPr>
        <w:spacing w:after="0"/>
        <w:ind w:left="440" w:hanging="440" w:hangingChars="200"/>
      </w:pPr>
    </w:p>
    <w:p>
      <w:pPr>
        <w:numPr>
          <w:ilvl w:val="0"/>
          <w:numId w:val="7"/>
        </w:numPr>
        <w:spacing w:after="0"/>
      </w:pPr>
      <w:r>
        <w:t>Quinientos (500) SMMLV para contratos cuyo valor sea superior a cinco mil (5.000) SMMLV e inferior o igual a diez mil (10.000) SMMLV.</w:t>
      </w:r>
    </w:p>
    <w:p>
      <w:pPr>
        <w:spacing w:after="0"/>
        <w:ind w:left="440" w:hanging="440" w:hangingChars="200"/>
      </w:pPr>
    </w:p>
    <w:p>
      <w:pPr>
        <w:numPr>
          <w:ilvl w:val="0"/>
          <w:numId w:val="7"/>
        </w:numPr>
        <w:spacing w:after="0"/>
      </w:pPr>
      <w:r>
        <w:t>El cinco por ciento (5%) del valor del contrato cuando este sea superior a diez mil (10.000) SMMLV, caso en el cual el valor asegurado debe ser máximo setenta y cinco mil (75.000) SMMLV.</w:t>
      </w:r>
    </w:p>
    <w:p>
      <w:pPr>
        <w:spacing w:after="0"/>
        <w:ind w:left="440" w:hanging="440" w:hangingChars="200"/>
      </w:pPr>
    </w:p>
    <w:p>
      <w:pPr>
        <w:spacing w:after="0"/>
      </w:pPr>
      <w:r>
        <w:t>El amparo de Responsabilidad Civil Extracontractual debe contener además de la cobertura básica de Predios, Labores y Operaciones, mínimo los siguientes amparos: 1. Cobertura expresa de Perjuicios por Daño Emergente y Lucro Cesante. 2. Cobertura expresa de Perjuicios Extrapatrimoniales. 3. Cobertura expresa de la Responsabilidad surgida por Actos de Contratistas y Subcontratistas, salvo que el subcontratista tenga su propio seguro de responsabilidad extracontractual, con los mismos amparos aquí requeridos. 4. Cobertura expresa de Amparo Patronal. 5. Cobertura expresa de Vehículos Propios y no Propios.</w:t>
      </w:r>
    </w:p>
    <w:p>
      <w:pPr>
        <w:spacing w:after="0"/>
        <w:ind w:left="440" w:hanging="440" w:hangingChars="200"/>
      </w:pPr>
    </w:p>
    <w:p>
      <w:pPr>
        <w:spacing w:after="0"/>
        <w:ind w:left="440" w:hanging="440" w:hangingChars="200"/>
      </w:pPr>
      <w:r>
        <w:t>La vigencia de esta garantía deberá ser igual al período de ejecución del contrato.</w:t>
      </w:r>
    </w:p>
    <w:p>
      <w:pPr>
        <w:spacing w:after="0"/>
      </w:pPr>
    </w:p>
    <w:p>
      <w:pPr>
        <w:spacing w:after="0"/>
        <w:rPr>
          <w:b/>
          <w:bCs/>
        </w:rPr>
      </w:pPr>
      <w:r>
        <w:rPr>
          <w:b/>
          <w:bCs/>
        </w:rPr>
        <w:t>6.2</w:t>
      </w:r>
      <w:r>
        <w:rPr>
          <w:b/>
          <w:bCs/>
          <w:lang w:val="es-CO"/>
        </w:rPr>
        <w:t>8.4</w:t>
      </w:r>
      <w:r>
        <w:rPr>
          <w:b/>
          <w:bCs/>
        </w:rPr>
        <w:t xml:space="preserve"> PAGO DE SALARIOS, INDEMNIZACIONES Y PRESTACIONES SOCIALES</w:t>
      </w:r>
    </w:p>
    <w:p>
      <w:pPr>
        <w:spacing w:after="0"/>
        <w:rPr>
          <w:b/>
          <w:bCs/>
        </w:rPr>
      </w:pPr>
    </w:p>
    <w:p>
      <w:pPr>
        <w:spacing w:after="0"/>
      </w:pPr>
      <w:r>
        <w:t>Este amparo debe cubrir a la Entidad Estatal de los perjuicios ocasionados por el incumplimiento de las obligaciones laborales del contratista derivadas de la contratación del personal utilizado en el territorio nacional para la ejecución del contrato amparado.</w:t>
      </w:r>
    </w:p>
    <w:p>
      <w:pPr>
        <w:spacing w:after="0"/>
      </w:pPr>
    </w:p>
    <w:p>
      <w:pPr>
        <w:spacing w:after="0"/>
      </w:pPr>
      <w:r>
        <w:t xml:space="preserve">Esta garantía debe estar vigente por el plazo del contrato y tres (3) años más. El valor de la garantía no puede ser inferior al veinte por ciento (20%) del valor total del contrato. </w:t>
      </w:r>
    </w:p>
    <w:p>
      <w:pPr>
        <w:spacing w:after="0"/>
      </w:pPr>
    </w:p>
    <w:p>
      <w:pPr>
        <w:spacing w:after="0"/>
      </w:pPr>
      <w:r>
        <w:rPr>
          <w:b/>
          <w:bCs/>
        </w:rPr>
        <w:t>NOTA:</w:t>
      </w:r>
      <w:r>
        <w:t xml:space="preserve"> El contratista deberá hacer entrega de estas garantías a la entidad, las cuales serán aprobadas por la misma, de acuerdo con lo señalado en el inciso segundo del artículo 41 de la Ley 80 de 1993. El contratista se obliga a ajustar las garantías a la fecha de inicio del contrato y a ampliar, modificar y prorrogar las mismas, en el evento en que se aumente el valor del contrato o se prorrogue o suspenda su vigencia.</w:t>
      </w:r>
    </w:p>
    <w:p>
      <w:pPr>
        <w:spacing w:after="0"/>
      </w:pPr>
    </w:p>
    <w:p>
      <w:pPr>
        <w:spacing w:after="0"/>
      </w:pPr>
      <w:r>
        <w:t xml:space="preserve">La Entidad determina el amparo a exigir de conformidad con el objeto, valor, naturaleza, obligaciones contractuales, modalidad de selección y tipología contractual, estructuradas en el estudio previo y el pliego de condiciones electrónico elaborado en la plataforma del SECOP II.  </w:t>
      </w:r>
    </w:p>
    <w:p>
      <w:pPr>
        <w:spacing w:after="0"/>
      </w:pPr>
    </w:p>
    <w:p>
      <w:pPr>
        <w:pStyle w:val="3"/>
        <w:numPr>
          <w:ilvl w:val="1"/>
          <w:numId w:val="0"/>
        </w:numPr>
        <w:ind w:leftChars="0"/>
      </w:pPr>
      <w:r>
        <w:rPr>
          <w:lang w:val="es-CO"/>
        </w:rPr>
        <w:t xml:space="preserve">6.29 </w:t>
      </w:r>
      <w:r>
        <w:t>FORMA DE PAGO</w:t>
      </w:r>
    </w:p>
    <w:p>
      <w:pPr>
        <w:spacing w:after="0"/>
      </w:pPr>
      <w:r>
        <w:t xml:space="preserve">El MUNICIPIO cancelará AL CONTRATISTA el valor del presente contrato de la siguiente manera: </w:t>
      </w:r>
    </w:p>
    <w:p>
      <w:pPr>
        <w:spacing w:after="0"/>
      </w:pPr>
    </w:p>
    <w:p>
      <w:pPr>
        <w:spacing w:after="0"/>
      </w:pPr>
      <w:r>
        <w:t>La Entidad cancelará la ejecución del contrato, mediante acta(s) de recibo parcial, recibidas, aprobadas y certificadas por el interventor y/o supervisor de acuerdo al avance hasta el 90%, y el restante 10% a la terminación del objeto contratado, previa entrega y recibo a satisfacción, liquidación del contrato y aprobación del interventor y/o supervisor.</w:t>
      </w:r>
    </w:p>
    <w:p>
      <w:pPr>
        <w:spacing w:after="0"/>
      </w:pPr>
    </w:p>
    <w:p>
      <w:pPr>
        <w:spacing w:after="0"/>
      </w:pPr>
      <w:r>
        <w:t>Los valores facturados deben ser conforme a las tarifas establecidas en el presente estudio, y sin superar el valor total del presupuesto estimado.</w:t>
      </w:r>
    </w:p>
    <w:p>
      <w:pPr>
        <w:spacing w:after="0"/>
      </w:pPr>
    </w:p>
    <w:p>
      <w:pPr>
        <w:spacing w:after="0"/>
      </w:pPr>
      <w:r>
        <w:t>Todo pago está sujeto a la Programación Anual Mensual de caja PAC del Municipio, sin generar intereses moratorios. El contratista deberá informar al Municipio de Neiva, la cuenta bancaria (corriente o de ahorros), abierta a su nombre, en la cual le serán consignados o transferidos electrónicamente los pagos que por este concepto le efectúe el Municipio de Neiva.</w:t>
      </w:r>
    </w:p>
    <w:p>
      <w:pPr>
        <w:spacing w:after="0"/>
      </w:pPr>
    </w:p>
    <w:p>
      <w:pPr>
        <w:spacing w:after="0"/>
      </w:pPr>
      <w:r>
        <w:t>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cumplidamente.</w:t>
      </w:r>
    </w:p>
    <w:p>
      <w:pPr>
        <w:spacing w:after="0"/>
      </w:pPr>
    </w:p>
    <w:p>
      <w:pPr>
        <w:spacing w:after="0"/>
      </w:pPr>
      <w:r>
        <w:t>Nota 1. La lista de chequeo para presentación de cuentas de cobro puede encontrarse en la página del Municipio de Neiva/Gestión/Sistema Integrado de Gestión de Calidad.</w:t>
      </w:r>
    </w:p>
    <w:p>
      <w:pPr>
        <w:spacing w:after="0"/>
      </w:pPr>
    </w:p>
    <w:p>
      <w:pPr>
        <w:spacing w:after="0"/>
      </w:pPr>
      <w:r>
        <w:t>El último pago del contrato no podrá ser inferior al 10% del valor del contrato y es necesario que el contratista entregue el municipio de Neiva:</w:t>
      </w:r>
    </w:p>
    <w:p>
      <w:pPr>
        <w:spacing w:after="0"/>
      </w:pPr>
    </w:p>
    <w:p>
      <w:pPr>
        <w:spacing w:after="0"/>
      </w:pPr>
      <w:r>
        <w:t>•</w:t>
      </w:r>
      <w:r>
        <w:tab/>
      </w:r>
      <w:r>
        <w:t>Una relación completa de los trabajadores y/o contratistas, discriminando por cada uno de ellos, el valor cancelado por concepto de los servicios prestados.</w:t>
      </w:r>
    </w:p>
    <w:p>
      <w:pPr>
        <w:spacing w:after="0"/>
      </w:pPr>
      <w:r>
        <w:t>•</w:t>
      </w:r>
      <w:r>
        <w:tab/>
      </w:r>
      <w:r>
        <w:t>Documento suscrito por cada trabajador o contratista, en el que manifieste que el contratista le canceló sus salarios y prestaciones sociales o pago los honorarios pactados, respectivamente y que se encuentra a paz y salvo por todo concepto con cada trabajador o contratista.</w:t>
      </w:r>
    </w:p>
    <w:p>
      <w:pPr>
        <w:spacing w:after="0"/>
      </w:pPr>
    </w:p>
    <w:p>
      <w:pPr>
        <w:spacing w:after="0"/>
      </w:pPr>
      <w:r>
        <w:t>•</w:t>
      </w:r>
      <w:r>
        <w:tab/>
      </w:r>
      <w:r>
        <w:t>El acta de recibo a satisfacción de todas las actividades objeto del contrato.</w:t>
      </w:r>
    </w:p>
    <w:p>
      <w:pPr>
        <w:spacing w:after="0"/>
      </w:pPr>
    </w:p>
    <w:p>
      <w:pPr>
        <w:spacing w:after="0"/>
      </w:pPr>
      <w:r>
        <w:t>•</w:t>
      </w:r>
      <w:r>
        <w:tab/>
      </w:r>
      <w:r>
        <w:t>Acta de Liquidación debidamente soportada, y sus respectivos anexos (Informes sobre el pago de parafiscales, pagos de seguridad social, conformación de veedurías, certificado de la veeduría, certificaciones de pagos, entre otros)</w:t>
      </w:r>
    </w:p>
    <w:p>
      <w:pPr>
        <w:spacing w:after="0"/>
      </w:pPr>
    </w:p>
    <w:p>
      <w:pPr>
        <w:pStyle w:val="3"/>
        <w:numPr>
          <w:ilvl w:val="1"/>
          <w:numId w:val="0"/>
        </w:numPr>
        <w:spacing w:after="0"/>
        <w:ind w:leftChars="0"/>
      </w:pPr>
      <w:r>
        <w:rPr>
          <w:lang w:val="es-CO"/>
        </w:rPr>
        <w:t xml:space="preserve">6.30 </w:t>
      </w:r>
      <w:r>
        <w:t xml:space="preserve">MULTAS </w:t>
      </w:r>
    </w:p>
    <w:p>
      <w:pPr>
        <w:spacing w:after="0"/>
      </w:pPr>
    </w:p>
    <w:p>
      <w:pPr>
        <w:spacing w:after="0"/>
        <w:rPr>
          <w:rFonts w:eastAsia="Cambria" w:cs="Cambria"/>
        </w:rPr>
      </w:pPr>
      <w:r>
        <w:t>E</w:t>
      </w:r>
      <w:r>
        <w:rPr>
          <w:rFonts w:eastAsia="Cambria" w:cs="Cambria"/>
        </w:rPr>
        <w:t>n</w:t>
      </w:r>
      <w:r>
        <w:rPr>
          <w:rFonts w:eastAsia="Cambria" w:cs="Cambria"/>
          <w:spacing w:val="1"/>
        </w:rPr>
        <w:t xml:space="preserve"> </w:t>
      </w:r>
      <w:r>
        <w:rPr>
          <w:rFonts w:eastAsia="Cambria" w:cs="Cambria"/>
          <w:spacing w:val="-1"/>
        </w:rPr>
        <w:t>e</w:t>
      </w:r>
      <w:r>
        <w:rPr>
          <w:rFonts w:eastAsia="Cambria" w:cs="Cambria"/>
        </w:rPr>
        <w:t>l</w:t>
      </w:r>
      <w:r>
        <w:rPr>
          <w:rFonts w:eastAsia="Cambria" w:cs="Cambria"/>
          <w:spacing w:val="5"/>
        </w:rPr>
        <w:t xml:space="preserve"> </w:t>
      </w:r>
      <w:r>
        <w:rPr>
          <w:rFonts w:eastAsia="Cambria" w:cs="Cambria"/>
          <w:spacing w:val="-1"/>
        </w:rPr>
        <w:t>e</w:t>
      </w:r>
      <w:r>
        <w:rPr>
          <w:rFonts w:eastAsia="Cambria" w:cs="Cambria"/>
          <w:spacing w:val="3"/>
        </w:rPr>
        <w:t>v</w:t>
      </w:r>
      <w:r>
        <w:rPr>
          <w:rFonts w:eastAsia="Cambria" w:cs="Cambria"/>
          <w:spacing w:val="-1"/>
        </w:rPr>
        <w:t>en</w:t>
      </w:r>
      <w:r>
        <w:rPr>
          <w:rFonts w:eastAsia="Cambria" w:cs="Cambria"/>
          <w:spacing w:val="2"/>
        </w:rPr>
        <w:t>t</w:t>
      </w:r>
      <w:r>
        <w:rPr>
          <w:rFonts w:eastAsia="Cambria" w:cs="Cambria"/>
        </w:rPr>
        <w:t xml:space="preserve">o </w:t>
      </w:r>
      <w:r>
        <w:rPr>
          <w:rFonts w:eastAsia="Cambria" w:cs="Cambria"/>
          <w:spacing w:val="-1"/>
        </w:rPr>
        <w:t>e</w:t>
      </w:r>
      <w:r>
        <w:rPr>
          <w:rFonts w:eastAsia="Cambria" w:cs="Cambria"/>
        </w:rPr>
        <w:t>n</w:t>
      </w:r>
      <w:r>
        <w:rPr>
          <w:rFonts w:eastAsia="Cambria" w:cs="Cambria"/>
          <w:spacing w:val="3"/>
        </w:rPr>
        <w:t xml:space="preserve"> </w:t>
      </w:r>
      <w:r>
        <w:rPr>
          <w:rFonts w:eastAsia="Cambria" w:cs="Cambria"/>
          <w:spacing w:val="-1"/>
        </w:rPr>
        <w:t>q</w:t>
      </w:r>
      <w:r>
        <w:rPr>
          <w:rFonts w:eastAsia="Cambria" w:cs="Cambria"/>
          <w:spacing w:val="3"/>
        </w:rPr>
        <w:t>u</w:t>
      </w:r>
      <w:r>
        <w:rPr>
          <w:rFonts w:eastAsia="Cambria" w:cs="Cambria"/>
        </w:rPr>
        <w:t>e</w:t>
      </w:r>
      <w:r>
        <w:rPr>
          <w:rFonts w:eastAsia="Cambria" w:cs="Cambria"/>
          <w:spacing w:val="2"/>
        </w:rPr>
        <w:t xml:space="preserve"> </w:t>
      </w:r>
      <w:r>
        <w:rPr>
          <w:rFonts w:eastAsia="Cambria" w:cs="Cambria"/>
          <w:spacing w:val="-1"/>
        </w:rPr>
        <w:t>e</w:t>
      </w:r>
      <w:r>
        <w:rPr>
          <w:rFonts w:eastAsia="Cambria" w:cs="Cambria"/>
        </w:rPr>
        <w:t>l</w:t>
      </w:r>
      <w:r>
        <w:rPr>
          <w:rFonts w:eastAsia="Cambria" w:cs="Cambria"/>
          <w:spacing w:val="3"/>
        </w:rPr>
        <w:t xml:space="preserve"> </w:t>
      </w:r>
      <w:r>
        <w:rPr>
          <w:rFonts w:eastAsia="Cambria" w:cs="Cambria"/>
        </w:rPr>
        <w:t>Co</w:t>
      </w:r>
      <w:r>
        <w:rPr>
          <w:rFonts w:eastAsia="Cambria" w:cs="Cambria"/>
          <w:spacing w:val="1"/>
        </w:rPr>
        <w:t>n</w:t>
      </w:r>
      <w:r>
        <w:rPr>
          <w:rFonts w:eastAsia="Cambria" w:cs="Cambria"/>
        </w:rPr>
        <w:t>t</w:t>
      </w:r>
      <w:r>
        <w:rPr>
          <w:rFonts w:eastAsia="Cambria" w:cs="Cambria"/>
          <w:spacing w:val="1"/>
        </w:rPr>
        <w:t>ra</w:t>
      </w:r>
      <w:r>
        <w:rPr>
          <w:rFonts w:eastAsia="Cambria" w:cs="Cambria"/>
        </w:rPr>
        <w:t>tista</w:t>
      </w:r>
      <w:r>
        <w:rPr>
          <w:rFonts w:eastAsia="Cambria" w:cs="Cambria"/>
          <w:spacing w:val="-5"/>
        </w:rPr>
        <w:t xml:space="preserve"> </w:t>
      </w:r>
      <w:r>
        <w:rPr>
          <w:rFonts w:eastAsia="Cambria" w:cs="Cambria"/>
        </w:rPr>
        <w:t>i</w:t>
      </w:r>
      <w:r>
        <w:rPr>
          <w:rFonts w:eastAsia="Cambria" w:cs="Cambria"/>
          <w:spacing w:val="-1"/>
        </w:rPr>
        <w:t>n</w:t>
      </w:r>
      <w:r>
        <w:rPr>
          <w:rFonts w:eastAsia="Cambria" w:cs="Cambria"/>
          <w:spacing w:val="1"/>
        </w:rPr>
        <w:t>c</w:t>
      </w:r>
      <w:r>
        <w:rPr>
          <w:rFonts w:eastAsia="Cambria" w:cs="Cambria"/>
        </w:rPr>
        <w:t>ur</w:t>
      </w:r>
      <w:r>
        <w:rPr>
          <w:rFonts w:eastAsia="Cambria" w:cs="Cambria"/>
          <w:spacing w:val="-1"/>
        </w:rPr>
        <w:t>r</w:t>
      </w:r>
      <w:r>
        <w:rPr>
          <w:rFonts w:eastAsia="Cambria" w:cs="Cambria"/>
        </w:rPr>
        <w:t>a</w:t>
      </w:r>
      <w:r>
        <w:rPr>
          <w:rFonts w:eastAsia="Cambria" w:cs="Cambria"/>
          <w:spacing w:val="1"/>
        </w:rPr>
        <w:t xml:space="preserve"> e</w:t>
      </w:r>
      <w:r>
        <w:rPr>
          <w:rFonts w:eastAsia="Cambria" w:cs="Cambria"/>
        </w:rPr>
        <w:t>n</w:t>
      </w:r>
      <w:r>
        <w:rPr>
          <w:rFonts w:eastAsia="Cambria" w:cs="Cambria"/>
          <w:spacing w:val="1"/>
        </w:rPr>
        <w:t xml:space="preserve"> </w:t>
      </w:r>
      <w:r>
        <w:rPr>
          <w:rFonts w:eastAsia="Cambria" w:cs="Cambria"/>
          <w:spacing w:val="2"/>
        </w:rPr>
        <w:t>m</w:t>
      </w:r>
      <w:r>
        <w:rPr>
          <w:rFonts w:eastAsia="Cambria" w:cs="Cambria"/>
        </w:rPr>
        <w:t>o</w:t>
      </w:r>
      <w:r>
        <w:rPr>
          <w:rFonts w:eastAsia="Cambria" w:cs="Cambria"/>
          <w:spacing w:val="-1"/>
        </w:rPr>
        <w:t>r</w:t>
      </w:r>
      <w:r>
        <w:rPr>
          <w:rFonts w:eastAsia="Cambria" w:cs="Cambria"/>
        </w:rPr>
        <w:t>a o</w:t>
      </w:r>
      <w:r>
        <w:rPr>
          <w:rFonts w:eastAsia="Cambria" w:cs="Cambria"/>
          <w:spacing w:val="5"/>
        </w:rPr>
        <w:t xml:space="preserve"> </w:t>
      </w:r>
      <w:r>
        <w:rPr>
          <w:rFonts w:eastAsia="Cambria" w:cs="Cambria"/>
        </w:rPr>
        <w:t>i</w:t>
      </w:r>
      <w:r>
        <w:rPr>
          <w:rFonts w:eastAsia="Cambria" w:cs="Cambria"/>
          <w:spacing w:val="-1"/>
        </w:rPr>
        <w:t>n</w:t>
      </w:r>
      <w:r>
        <w:rPr>
          <w:rFonts w:eastAsia="Cambria" w:cs="Cambria"/>
          <w:spacing w:val="3"/>
        </w:rPr>
        <w:t>c</w:t>
      </w:r>
      <w:r>
        <w:rPr>
          <w:rFonts w:eastAsia="Cambria" w:cs="Cambria"/>
        </w:rPr>
        <w:t>ump</w:t>
      </w:r>
      <w:r>
        <w:rPr>
          <w:rFonts w:eastAsia="Cambria" w:cs="Cambria"/>
          <w:spacing w:val="1"/>
        </w:rPr>
        <w:t>l</w:t>
      </w:r>
      <w:r>
        <w:rPr>
          <w:rFonts w:eastAsia="Cambria" w:cs="Cambria"/>
        </w:rPr>
        <w:t>im</w:t>
      </w:r>
      <w:r>
        <w:rPr>
          <w:rFonts w:eastAsia="Cambria" w:cs="Cambria"/>
          <w:spacing w:val="2"/>
        </w:rPr>
        <w:t>i</w:t>
      </w:r>
      <w:r>
        <w:rPr>
          <w:rFonts w:eastAsia="Cambria" w:cs="Cambria"/>
          <w:spacing w:val="-1"/>
        </w:rPr>
        <w:t>en</w:t>
      </w:r>
      <w:r>
        <w:rPr>
          <w:rFonts w:eastAsia="Cambria" w:cs="Cambria"/>
          <w:spacing w:val="2"/>
        </w:rPr>
        <w:t>t</w:t>
      </w:r>
      <w:r>
        <w:rPr>
          <w:rFonts w:eastAsia="Cambria" w:cs="Cambria"/>
        </w:rPr>
        <w:t>o</w:t>
      </w:r>
      <w:r>
        <w:rPr>
          <w:rFonts w:eastAsia="Cambria" w:cs="Cambria"/>
          <w:spacing w:val="-10"/>
        </w:rPr>
        <w:t xml:space="preserve"> </w:t>
      </w:r>
      <w:r>
        <w:rPr>
          <w:rFonts w:eastAsia="Cambria" w:cs="Cambria"/>
        </w:rPr>
        <w:t>p</w:t>
      </w:r>
      <w:r>
        <w:rPr>
          <w:rFonts w:eastAsia="Cambria" w:cs="Cambria"/>
          <w:spacing w:val="1"/>
        </w:rPr>
        <w:t>a</w:t>
      </w:r>
      <w:r>
        <w:rPr>
          <w:rFonts w:eastAsia="Cambria" w:cs="Cambria"/>
          <w:spacing w:val="-1"/>
        </w:rPr>
        <w:t>r</w:t>
      </w:r>
      <w:r>
        <w:rPr>
          <w:rFonts w:eastAsia="Cambria" w:cs="Cambria"/>
          <w:spacing w:val="1"/>
        </w:rPr>
        <w:t>c</w:t>
      </w:r>
      <w:r>
        <w:rPr>
          <w:rFonts w:eastAsia="Cambria" w:cs="Cambria"/>
        </w:rPr>
        <w:t>i</w:t>
      </w:r>
      <w:r>
        <w:rPr>
          <w:rFonts w:eastAsia="Cambria" w:cs="Cambria"/>
          <w:spacing w:val="1"/>
        </w:rPr>
        <w:t>a</w:t>
      </w:r>
      <w:r>
        <w:rPr>
          <w:rFonts w:eastAsia="Cambria" w:cs="Cambria"/>
        </w:rPr>
        <w:t>l</w:t>
      </w:r>
      <w:r>
        <w:rPr>
          <w:rFonts w:eastAsia="Cambria" w:cs="Cambria"/>
          <w:spacing w:val="-1"/>
        </w:rPr>
        <w:t xml:space="preserve"> </w:t>
      </w:r>
      <w:r>
        <w:rPr>
          <w:rFonts w:eastAsia="Cambria" w:cs="Cambria"/>
          <w:spacing w:val="2"/>
        </w:rPr>
        <w:t>d</w:t>
      </w:r>
      <w:r>
        <w:rPr>
          <w:rFonts w:eastAsia="Cambria" w:cs="Cambria"/>
        </w:rPr>
        <w:t>e</w:t>
      </w:r>
      <w:r>
        <w:rPr>
          <w:rFonts w:eastAsia="Cambria" w:cs="Cambria"/>
          <w:spacing w:val="1"/>
        </w:rPr>
        <w:t xml:space="preserve"> la</w:t>
      </w:r>
      <w:r>
        <w:rPr>
          <w:rFonts w:eastAsia="Cambria" w:cs="Cambria"/>
        </w:rPr>
        <w:t>s</w:t>
      </w:r>
      <w:r>
        <w:rPr>
          <w:rFonts w:eastAsia="Cambria" w:cs="Cambria"/>
          <w:spacing w:val="2"/>
        </w:rPr>
        <w:t xml:space="preserve"> o</w:t>
      </w:r>
      <w:r>
        <w:rPr>
          <w:rFonts w:eastAsia="Cambria" w:cs="Cambria"/>
          <w:spacing w:val="-1"/>
        </w:rPr>
        <w:t>b</w:t>
      </w:r>
      <w:r>
        <w:rPr>
          <w:rFonts w:eastAsia="Cambria" w:cs="Cambria"/>
          <w:spacing w:val="1"/>
        </w:rPr>
        <w:t>l</w:t>
      </w:r>
      <w:r>
        <w:rPr>
          <w:rFonts w:eastAsia="Cambria" w:cs="Cambria"/>
        </w:rPr>
        <w:t>ig</w:t>
      </w:r>
      <w:r>
        <w:rPr>
          <w:rFonts w:eastAsia="Cambria" w:cs="Cambria"/>
          <w:spacing w:val="1"/>
        </w:rPr>
        <w:t>ac</w:t>
      </w:r>
      <w:r>
        <w:rPr>
          <w:rFonts w:eastAsia="Cambria" w:cs="Cambria"/>
        </w:rPr>
        <w:t>io</w:t>
      </w:r>
      <w:r>
        <w:rPr>
          <w:rFonts w:eastAsia="Cambria" w:cs="Cambria"/>
          <w:spacing w:val="1"/>
        </w:rPr>
        <w:t>n</w:t>
      </w:r>
      <w:r>
        <w:rPr>
          <w:rFonts w:eastAsia="Cambria" w:cs="Cambria"/>
          <w:spacing w:val="-1"/>
        </w:rPr>
        <w:t>e</w:t>
      </w:r>
      <w:r>
        <w:rPr>
          <w:rFonts w:eastAsia="Cambria" w:cs="Cambria"/>
        </w:rPr>
        <w:t>s</w:t>
      </w:r>
      <w:r>
        <w:rPr>
          <w:rFonts w:eastAsia="Cambria" w:cs="Cambria"/>
          <w:spacing w:val="-7"/>
        </w:rPr>
        <w:t xml:space="preserve"> </w:t>
      </w:r>
      <w:r>
        <w:rPr>
          <w:rFonts w:eastAsia="Cambria" w:cs="Cambria"/>
          <w:spacing w:val="-1"/>
        </w:rPr>
        <w:t>q</w:t>
      </w:r>
      <w:r>
        <w:rPr>
          <w:rFonts w:eastAsia="Cambria" w:cs="Cambria"/>
          <w:spacing w:val="3"/>
        </w:rPr>
        <w:t>u</w:t>
      </w:r>
      <w:r>
        <w:rPr>
          <w:rFonts w:eastAsia="Cambria" w:cs="Cambria"/>
        </w:rPr>
        <w:t xml:space="preserve">e </w:t>
      </w:r>
      <w:r>
        <w:rPr>
          <w:rFonts w:eastAsia="Cambria" w:cs="Cambria"/>
          <w:spacing w:val="1"/>
        </w:rPr>
        <w:t>a</w:t>
      </w:r>
      <w:r>
        <w:rPr>
          <w:rFonts w:eastAsia="Cambria" w:cs="Cambria"/>
          <w:spacing w:val="2"/>
        </w:rPr>
        <w:t>d</w:t>
      </w:r>
      <w:r>
        <w:rPr>
          <w:rFonts w:eastAsia="Cambria" w:cs="Cambria"/>
          <w:spacing w:val="-1"/>
        </w:rPr>
        <w:t>q</w:t>
      </w:r>
      <w:r>
        <w:rPr>
          <w:rFonts w:eastAsia="Cambria" w:cs="Cambria"/>
        </w:rPr>
        <w:t>u</w:t>
      </w:r>
      <w:r>
        <w:rPr>
          <w:rFonts w:eastAsia="Cambria" w:cs="Cambria"/>
          <w:spacing w:val="2"/>
        </w:rPr>
        <w:t>i</w:t>
      </w:r>
      <w:r>
        <w:rPr>
          <w:rFonts w:eastAsia="Cambria" w:cs="Cambria"/>
          <w:spacing w:val="-1"/>
        </w:rPr>
        <w:t>e</w:t>
      </w:r>
      <w:r>
        <w:rPr>
          <w:rFonts w:eastAsia="Cambria" w:cs="Cambria"/>
          <w:spacing w:val="1"/>
        </w:rPr>
        <w:t>r</w:t>
      </w:r>
      <w:r>
        <w:rPr>
          <w:rFonts w:eastAsia="Cambria" w:cs="Cambria"/>
        </w:rPr>
        <w:t>e por</w:t>
      </w:r>
      <w:r>
        <w:rPr>
          <w:rFonts w:eastAsia="Cambria" w:cs="Cambria"/>
          <w:spacing w:val="-3"/>
        </w:rPr>
        <w:t xml:space="preserve"> </w:t>
      </w:r>
      <w:r>
        <w:rPr>
          <w:rFonts w:eastAsia="Cambria" w:cs="Cambria"/>
          <w:spacing w:val="-1"/>
        </w:rPr>
        <w:t>e</w:t>
      </w:r>
      <w:r>
        <w:rPr>
          <w:rFonts w:eastAsia="Cambria" w:cs="Cambria"/>
        </w:rPr>
        <w:t>l</w:t>
      </w:r>
      <w:r>
        <w:rPr>
          <w:rFonts w:eastAsia="Cambria" w:cs="Cambria"/>
          <w:spacing w:val="-2"/>
        </w:rPr>
        <w:t xml:space="preserve"> </w:t>
      </w:r>
      <w:r>
        <w:rPr>
          <w:rFonts w:eastAsia="Cambria" w:cs="Cambria"/>
          <w:spacing w:val="1"/>
        </w:rPr>
        <w:t>c</w:t>
      </w:r>
      <w:r>
        <w:rPr>
          <w:rFonts w:eastAsia="Cambria" w:cs="Cambria"/>
          <w:spacing w:val="2"/>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w:t>
      </w:r>
      <w:r>
        <w:rPr>
          <w:rFonts w:eastAsia="Cambria" w:cs="Cambria"/>
          <w:spacing w:val="-7"/>
        </w:rPr>
        <w:t xml:space="preserve"> </w:t>
      </w:r>
      <w:r>
        <w:rPr>
          <w:rFonts w:eastAsia="Cambria" w:cs="Cambria"/>
        </w:rPr>
        <w:t>El</w:t>
      </w:r>
      <w:r>
        <w:rPr>
          <w:rFonts w:eastAsia="Cambria" w:cs="Cambria"/>
          <w:spacing w:val="-2"/>
        </w:rPr>
        <w:t xml:space="preserve"> </w:t>
      </w:r>
      <w:r>
        <w:rPr>
          <w:rFonts w:eastAsia="Cambria" w:cs="Cambria"/>
          <w:spacing w:val="1"/>
        </w:rPr>
        <w:t>M</w:t>
      </w:r>
      <w:r>
        <w:rPr>
          <w:rFonts w:eastAsia="Cambria" w:cs="Cambria"/>
        </w:rPr>
        <w:t>unic</w:t>
      </w:r>
      <w:r>
        <w:rPr>
          <w:rFonts w:eastAsia="Cambria" w:cs="Cambria"/>
          <w:spacing w:val="2"/>
        </w:rPr>
        <w:t>i</w:t>
      </w:r>
      <w:r>
        <w:rPr>
          <w:rFonts w:eastAsia="Cambria" w:cs="Cambria"/>
        </w:rPr>
        <w:t>pio</w:t>
      </w:r>
      <w:r>
        <w:rPr>
          <w:rFonts w:eastAsia="Cambria" w:cs="Cambria"/>
          <w:spacing w:val="-8"/>
        </w:rPr>
        <w:t xml:space="preserve"> </w:t>
      </w:r>
      <w:r>
        <w:rPr>
          <w:rFonts w:eastAsia="Cambria" w:cs="Cambria"/>
        </w:rPr>
        <w:t>de</w:t>
      </w:r>
      <w:r>
        <w:rPr>
          <w:rFonts w:eastAsia="Cambria" w:cs="Cambria"/>
          <w:spacing w:val="-2"/>
        </w:rPr>
        <w:t xml:space="preserve"> </w:t>
      </w:r>
      <w:r>
        <w:rPr>
          <w:rFonts w:eastAsia="Cambria" w:cs="Cambria"/>
          <w:spacing w:val="1"/>
        </w:rPr>
        <w:t>N</w:t>
      </w:r>
      <w:r>
        <w:rPr>
          <w:rFonts w:eastAsia="Cambria" w:cs="Cambria"/>
          <w:spacing w:val="-1"/>
        </w:rPr>
        <w:t>e</w:t>
      </w:r>
      <w:r>
        <w:rPr>
          <w:rFonts w:eastAsia="Cambria" w:cs="Cambria"/>
        </w:rPr>
        <w:t>iv</w:t>
      </w:r>
      <w:r>
        <w:rPr>
          <w:rFonts w:eastAsia="Cambria" w:cs="Cambria"/>
          <w:spacing w:val="1"/>
        </w:rPr>
        <w:t>a</w:t>
      </w:r>
      <w:r>
        <w:rPr>
          <w:rFonts w:eastAsia="Cambria" w:cs="Cambria"/>
        </w:rPr>
        <w:t>,</w:t>
      </w:r>
      <w:r>
        <w:rPr>
          <w:rFonts w:eastAsia="Cambria" w:cs="Cambria"/>
          <w:spacing w:val="-4"/>
        </w:rPr>
        <w:t xml:space="preserve"> </w:t>
      </w:r>
      <w:r>
        <w:rPr>
          <w:rFonts w:eastAsia="Cambria" w:cs="Cambria"/>
        </w:rPr>
        <w:t>m</w:t>
      </w:r>
      <w:r>
        <w:rPr>
          <w:rFonts w:eastAsia="Cambria" w:cs="Cambria"/>
          <w:spacing w:val="-1"/>
        </w:rPr>
        <w:t>e</w:t>
      </w:r>
      <w:r>
        <w:rPr>
          <w:rFonts w:eastAsia="Cambria" w:cs="Cambria"/>
          <w:spacing w:val="2"/>
        </w:rPr>
        <w:t>d</w:t>
      </w:r>
      <w:r>
        <w:rPr>
          <w:rFonts w:eastAsia="Cambria" w:cs="Cambria"/>
        </w:rPr>
        <w:t>i</w:t>
      </w:r>
      <w:r>
        <w:rPr>
          <w:rFonts w:eastAsia="Cambria" w:cs="Cambria"/>
          <w:spacing w:val="1"/>
        </w:rPr>
        <w:t>a</w:t>
      </w:r>
      <w:r>
        <w:rPr>
          <w:rFonts w:eastAsia="Cambria" w:cs="Cambria"/>
          <w:spacing w:val="-1"/>
        </w:rPr>
        <w:t>n</w:t>
      </w:r>
      <w:r>
        <w:rPr>
          <w:rFonts w:eastAsia="Cambria" w:cs="Cambria"/>
          <w:spacing w:val="2"/>
        </w:rPr>
        <w:t>t</w:t>
      </w:r>
      <w:r>
        <w:rPr>
          <w:rFonts w:eastAsia="Cambria" w:cs="Cambria"/>
        </w:rPr>
        <w:t>e</w:t>
      </w:r>
      <w:r>
        <w:rPr>
          <w:rFonts w:eastAsia="Cambria" w:cs="Cambria"/>
          <w:spacing w:val="-8"/>
        </w:rPr>
        <w:t xml:space="preserve"> </w:t>
      </w:r>
      <w:r>
        <w:rPr>
          <w:rFonts w:eastAsia="Cambria" w:cs="Cambria"/>
          <w:spacing w:val="-1"/>
        </w:rPr>
        <w:t>re</w:t>
      </w:r>
      <w:r>
        <w:rPr>
          <w:rFonts w:eastAsia="Cambria" w:cs="Cambria"/>
          <w:spacing w:val="1"/>
        </w:rPr>
        <w:t>s</w:t>
      </w:r>
      <w:r>
        <w:rPr>
          <w:rFonts w:eastAsia="Cambria" w:cs="Cambria"/>
        </w:rPr>
        <w:t>o</w:t>
      </w:r>
      <w:r>
        <w:rPr>
          <w:rFonts w:eastAsia="Cambria" w:cs="Cambria"/>
          <w:spacing w:val="1"/>
        </w:rPr>
        <w:t>l</w:t>
      </w:r>
      <w:r>
        <w:rPr>
          <w:rFonts w:eastAsia="Cambria" w:cs="Cambria"/>
        </w:rPr>
        <w:t>u</w:t>
      </w:r>
      <w:r>
        <w:rPr>
          <w:rFonts w:eastAsia="Cambria" w:cs="Cambria"/>
          <w:spacing w:val="6"/>
        </w:rPr>
        <w:t>c</w:t>
      </w:r>
      <w:r>
        <w:rPr>
          <w:rFonts w:eastAsia="Cambria" w:cs="Cambria"/>
          <w:spacing w:val="2"/>
        </w:rPr>
        <w:t>i</w:t>
      </w:r>
      <w:r>
        <w:rPr>
          <w:rFonts w:eastAsia="Cambria" w:cs="Cambria"/>
        </w:rPr>
        <w:t>ón</w:t>
      </w:r>
      <w:r>
        <w:rPr>
          <w:rFonts w:eastAsia="Cambria" w:cs="Cambria"/>
          <w:spacing w:val="-11"/>
        </w:rPr>
        <w:t xml:space="preserve"> </w:t>
      </w:r>
      <w:r>
        <w:rPr>
          <w:rFonts w:eastAsia="Cambria" w:cs="Cambria"/>
          <w:spacing w:val="2"/>
        </w:rPr>
        <w:t>m</w:t>
      </w:r>
      <w:r>
        <w:rPr>
          <w:rFonts w:eastAsia="Cambria" w:cs="Cambria"/>
        </w:rPr>
        <w:t>otiv</w:t>
      </w:r>
      <w:r>
        <w:rPr>
          <w:rFonts w:eastAsia="Cambria" w:cs="Cambria"/>
          <w:spacing w:val="1"/>
        </w:rPr>
        <w:t>a</w:t>
      </w:r>
      <w:r>
        <w:rPr>
          <w:rFonts w:eastAsia="Cambria" w:cs="Cambria"/>
        </w:rPr>
        <w:t>d</w:t>
      </w:r>
      <w:r>
        <w:rPr>
          <w:rFonts w:eastAsia="Cambria" w:cs="Cambria"/>
          <w:spacing w:val="1"/>
        </w:rPr>
        <w:t>a</w:t>
      </w:r>
      <w:r>
        <w:rPr>
          <w:rFonts w:eastAsia="Cambria" w:cs="Cambria"/>
        </w:rPr>
        <w:t>,</w:t>
      </w:r>
      <w:r>
        <w:rPr>
          <w:rFonts w:eastAsia="Cambria" w:cs="Cambria"/>
          <w:spacing w:val="-9"/>
        </w:rPr>
        <w:t xml:space="preserve"> </w:t>
      </w:r>
      <w:r>
        <w:rPr>
          <w:rFonts w:eastAsia="Cambria" w:cs="Cambria"/>
          <w:spacing w:val="1"/>
        </w:rPr>
        <w:t>l</w:t>
      </w:r>
      <w:r>
        <w:rPr>
          <w:rFonts w:eastAsia="Cambria" w:cs="Cambria"/>
        </w:rPr>
        <w:t>e</w:t>
      </w:r>
      <w:r>
        <w:rPr>
          <w:rFonts w:eastAsia="Cambria" w:cs="Cambria"/>
          <w:spacing w:val="-2"/>
        </w:rPr>
        <w:t xml:space="preserve"> </w:t>
      </w:r>
      <w:r>
        <w:rPr>
          <w:rFonts w:eastAsia="Cambria" w:cs="Cambria"/>
          <w:spacing w:val="1"/>
        </w:rPr>
        <w:t>a</w:t>
      </w:r>
      <w:r>
        <w:rPr>
          <w:rFonts w:eastAsia="Cambria" w:cs="Cambria"/>
        </w:rPr>
        <w:t>pli</w:t>
      </w:r>
      <w:r>
        <w:rPr>
          <w:rFonts w:eastAsia="Cambria" w:cs="Cambria"/>
          <w:spacing w:val="1"/>
        </w:rPr>
        <w:t>ca</w:t>
      </w:r>
      <w:r>
        <w:rPr>
          <w:rFonts w:eastAsia="Cambria" w:cs="Cambria"/>
          <w:spacing w:val="-1"/>
        </w:rPr>
        <w:t>r</w:t>
      </w:r>
      <w:r>
        <w:rPr>
          <w:rFonts w:eastAsia="Cambria" w:cs="Cambria"/>
        </w:rPr>
        <w:t>á</w:t>
      </w:r>
      <w:r>
        <w:rPr>
          <w:rFonts w:eastAsia="Cambria" w:cs="Cambria"/>
          <w:spacing w:val="-7"/>
        </w:rPr>
        <w:t xml:space="preserve"> </w:t>
      </w:r>
      <w:r>
        <w:rPr>
          <w:rFonts w:eastAsia="Cambria" w:cs="Cambria"/>
          <w:spacing w:val="1"/>
        </w:rPr>
        <w:t>la</w:t>
      </w:r>
      <w:r>
        <w:rPr>
          <w:rFonts w:eastAsia="Cambria" w:cs="Cambria"/>
        </w:rPr>
        <w:t>s</w:t>
      </w:r>
      <w:r>
        <w:rPr>
          <w:rFonts w:eastAsia="Cambria" w:cs="Cambria"/>
          <w:spacing w:val="-2"/>
        </w:rPr>
        <w:t xml:space="preserve"> </w:t>
      </w:r>
      <w:r>
        <w:rPr>
          <w:rFonts w:eastAsia="Cambria" w:cs="Cambria"/>
          <w:spacing w:val="1"/>
        </w:rPr>
        <w:t>s</w:t>
      </w:r>
      <w:r>
        <w:rPr>
          <w:rFonts w:eastAsia="Cambria" w:cs="Cambria"/>
        </w:rPr>
        <w:t>igui</w:t>
      </w:r>
      <w:r>
        <w:rPr>
          <w:rFonts w:eastAsia="Cambria" w:cs="Cambria"/>
          <w:spacing w:val="1"/>
        </w:rPr>
        <w:t>e</w:t>
      </w:r>
      <w:r>
        <w:rPr>
          <w:rFonts w:eastAsia="Cambria" w:cs="Cambria"/>
          <w:spacing w:val="-1"/>
        </w:rPr>
        <w:t>n</w:t>
      </w:r>
      <w:r>
        <w:rPr>
          <w:rFonts w:eastAsia="Cambria" w:cs="Cambria"/>
          <w:spacing w:val="2"/>
        </w:rPr>
        <w:t>t</w:t>
      </w:r>
      <w:r>
        <w:rPr>
          <w:rFonts w:eastAsia="Cambria" w:cs="Cambria"/>
          <w:spacing w:val="-1"/>
        </w:rPr>
        <w:t>e</w:t>
      </w:r>
      <w:r>
        <w:rPr>
          <w:rFonts w:eastAsia="Cambria" w:cs="Cambria"/>
        </w:rPr>
        <w:t>s</w:t>
      </w:r>
      <w:r>
        <w:rPr>
          <w:rFonts w:eastAsia="Cambria" w:cs="Cambria"/>
          <w:spacing w:val="-9"/>
        </w:rPr>
        <w:t xml:space="preserve"> </w:t>
      </w:r>
      <w:r>
        <w:rPr>
          <w:rFonts w:eastAsia="Cambria" w:cs="Cambria"/>
        </w:rPr>
        <w:t>mu</w:t>
      </w:r>
      <w:r>
        <w:rPr>
          <w:rFonts w:eastAsia="Cambria" w:cs="Cambria"/>
          <w:spacing w:val="1"/>
        </w:rPr>
        <w:t>l</w:t>
      </w:r>
      <w:r>
        <w:rPr>
          <w:rFonts w:eastAsia="Cambria" w:cs="Cambria"/>
        </w:rPr>
        <w:t>t</w:t>
      </w:r>
      <w:r>
        <w:rPr>
          <w:rFonts w:eastAsia="Cambria" w:cs="Cambria"/>
          <w:spacing w:val="1"/>
        </w:rPr>
        <w:t>as</w:t>
      </w:r>
      <w:r>
        <w:rPr>
          <w:rFonts w:eastAsia="Cambria" w:cs="Cambria"/>
        </w:rPr>
        <w:t>:</w:t>
      </w:r>
    </w:p>
    <w:p>
      <w:pPr>
        <w:spacing w:after="0"/>
      </w:pPr>
    </w:p>
    <w:p>
      <w:pPr>
        <w:pStyle w:val="17"/>
        <w:numPr>
          <w:ilvl w:val="0"/>
          <w:numId w:val="8"/>
        </w:numPr>
        <w:spacing w:after="0"/>
        <w:ind w:left="360"/>
        <w:rPr>
          <w:rFonts w:eastAsia="Cambria" w:cs="Cambria"/>
        </w:rPr>
      </w:pPr>
      <w:r>
        <w:rPr>
          <w:rFonts w:eastAsia="Cambria" w:cs="Cambria"/>
        </w:rPr>
        <w:t>Por</w:t>
      </w:r>
      <w:r>
        <w:rPr>
          <w:rFonts w:eastAsia="Cambria" w:cs="Cambria"/>
          <w:spacing w:val="2"/>
        </w:rPr>
        <w:t xml:space="preserve"> </w:t>
      </w:r>
      <w:r>
        <w:rPr>
          <w:rFonts w:eastAsia="Cambria" w:cs="Cambria"/>
          <w:spacing w:val="-1"/>
        </w:rPr>
        <w:t>n</w:t>
      </w:r>
      <w:r>
        <w:rPr>
          <w:rFonts w:eastAsia="Cambria" w:cs="Cambria"/>
        </w:rPr>
        <w:t>o</w:t>
      </w:r>
      <w:r>
        <w:rPr>
          <w:rFonts w:eastAsia="Cambria" w:cs="Cambria"/>
          <w:spacing w:val="4"/>
        </w:rPr>
        <w:t xml:space="preserve"> </w:t>
      </w:r>
      <w:r>
        <w:rPr>
          <w:rFonts w:eastAsia="Cambria" w:cs="Cambria"/>
        </w:rPr>
        <w:t>i</w:t>
      </w:r>
      <w:r>
        <w:rPr>
          <w:rFonts w:eastAsia="Cambria" w:cs="Cambria"/>
          <w:spacing w:val="1"/>
        </w:rPr>
        <w:t>n</w:t>
      </w:r>
      <w:r>
        <w:rPr>
          <w:rFonts w:eastAsia="Cambria" w:cs="Cambria"/>
        </w:rPr>
        <w:t>i</w:t>
      </w:r>
      <w:r>
        <w:rPr>
          <w:rFonts w:eastAsia="Cambria" w:cs="Cambria"/>
          <w:spacing w:val="1"/>
        </w:rPr>
        <w:t>c</w:t>
      </w:r>
      <w:r>
        <w:rPr>
          <w:rFonts w:eastAsia="Cambria" w:cs="Cambria"/>
        </w:rPr>
        <w:t>i</w:t>
      </w:r>
      <w:r>
        <w:rPr>
          <w:rFonts w:eastAsia="Cambria" w:cs="Cambria"/>
          <w:spacing w:val="1"/>
        </w:rPr>
        <w:t>a</w:t>
      </w:r>
      <w:r>
        <w:rPr>
          <w:rFonts w:eastAsia="Cambria" w:cs="Cambria"/>
        </w:rPr>
        <w:t>r</w:t>
      </w:r>
      <w:r>
        <w:rPr>
          <w:rFonts w:eastAsia="Cambria" w:cs="Cambria"/>
          <w:spacing w:val="-2"/>
        </w:rPr>
        <w:t xml:space="preserve"> </w:t>
      </w:r>
      <w:r>
        <w:rPr>
          <w:rFonts w:eastAsia="Cambria" w:cs="Cambria"/>
        </w:rPr>
        <w:t>o</w:t>
      </w:r>
      <w:r>
        <w:rPr>
          <w:rFonts w:eastAsia="Cambria" w:cs="Cambria"/>
          <w:spacing w:val="5"/>
        </w:rPr>
        <w:t xml:space="preserve"> </w:t>
      </w:r>
      <w:r>
        <w:rPr>
          <w:rFonts w:eastAsia="Cambria" w:cs="Cambria"/>
          <w:spacing w:val="1"/>
        </w:rPr>
        <w:t>n</w:t>
      </w:r>
      <w:r>
        <w:rPr>
          <w:rFonts w:eastAsia="Cambria" w:cs="Cambria"/>
        </w:rPr>
        <w:t>o</w:t>
      </w:r>
      <w:r>
        <w:rPr>
          <w:rFonts w:eastAsia="Cambria" w:cs="Cambria"/>
          <w:spacing w:val="2"/>
        </w:rPr>
        <w:t xml:space="preserve"> </w:t>
      </w:r>
      <w:r>
        <w:rPr>
          <w:rFonts w:eastAsia="Cambria" w:cs="Cambria"/>
          <w:spacing w:val="1"/>
        </w:rPr>
        <w:t>r</w:t>
      </w:r>
      <w:r>
        <w:rPr>
          <w:rFonts w:eastAsia="Cambria" w:cs="Cambria"/>
          <w:spacing w:val="-1"/>
        </w:rPr>
        <w:t>e</w:t>
      </w:r>
      <w:r>
        <w:rPr>
          <w:rFonts w:eastAsia="Cambria" w:cs="Cambria"/>
          <w:spacing w:val="1"/>
        </w:rPr>
        <w:t>a</w:t>
      </w:r>
      <w:r>
        <w:rPr>
          <w:rFonts w:eastAsia="Cambria" w:cs="Cambria"/>
          <w:spacing w:val="-1"/>
        </w:rPr>
        <w:t>n</w:t>
      </w:r>
      <w:r>
        <w:rPr>
          <w:rFonts w:eastAsia="Cambria" w:cs="Cambria"/>
          <w:spacing w:val="3"/>
        </w:rPr>
        <w:t>u</w:t>
      </w:r>
      <w:r>
        <w:rPr>
          <w:rFonts w:eastAsia="Cambria" w:cs="Cambria"/>
        </w:rPr>
        <w:t>d</w:t>
      </w:r>
      <w:r>
        <w:rPr>
          <w:rFonts w:eastAsia="Cambria" w:cs="Cambria"/>
          <w:spacing w:val="1"/>
        </w:rPr>
        <w:t>ar</w:t>
      </w:r>
      <w:r>
        <w:rPr>
          <w:rFonts w:eastAsia="Cambria" w:cs="Cambria"/>
        </w:rPr>
        <w:t>,</w:t>
      </w:r>
      <w:r>
        <w:rPr>
          <w:rFonts w:eastAsia="Cambria" w:cs="Cambria"/>
          <w:spacing w:val="-4"/>
        </w:rPr>
        <w:t xml:space="preserve"> </w:t>
      </w:r>
      <w:r>
        <w:rPr>
          <w:rFonts w:eastAsia="Cambria" w:cs="Cambria"/>
          <w:spacing w:val="1"/>
        </w:rPr>
        <w:t>s</w:t>
      </w:r>
      <w:r>
        <w:rPr>
          <w:rFonts w:eastAsia="Cambria" w:cs="Cambria"/>
          <w:spacing w:val="-1"/>
        </w:rPr>
        <w:t>e</w:t>
      </w:r>
      <w:r>
        <w:rPr>
          <w:rFonts w:eastAsia="Cambria" w:cs="Cambria"/>
        </w:rPr>
        <w:t>g</w:t>
      </w:r>
      <w:r>
        <w:rPr>
          <w:rFonts w:eastAsia="Cambria" w:cs="Cambria"/>
          <w:spacing w:val="3"/>
        </w:rPr>
        <w:t>ú</w:t>
      </w:r>
      <w:r>
        <w:rPr>
          <w:rFonts w:eastAsia="Cambria" w:cs="Cambria"/>
        </w:rPr>
        <w:t xml:space="preserve">n </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1"/>
        </w:rPr>
        <w:t>cas</w:t>
      </w:r>
      <w:r>
        <w:rPr>
          <w:rFonts w:eastAsia="Cambria" w:cs="Cambria"/>
        </w:rPr>
        <w:t>o,</w:t>
      </w:r>
      <w:r>
        <w:rPr>
          <w:rFonts w:eastAsia="Cambria" w:cs="Cambria"/>
          <w:spacing w:val="2"/>
        </w:rPr>
        <w:t xml:space="preserve"> </w:t>
      </w:r>
      <w:r>
        <w:rPr>
          <w:rFonts w:eastAsia="Cambria" w:cs="Cambria"/>
          <w:spacing w:val="-1"/>
        </w:rPr>
        <w:t>e</w:t>
      </w:r>
      <w:r>
        <w:rPr>
          <w:rFonts w:eastAsia="Cambria" w:cs="Cambria"/>
        </w:rPr>
        <w:t>n</w:t>
      </w:r>
      <w:r>
        <w:rPr>
          <w:rFonts w:eastAsia="Cambria" w:cs="Cambria"/>
          <w:spacing w:val="3"/>
        </w:rPr>
        <w:t xml:space="preserve"> </w:t>
      </w:r>
      <w:r>
        <w:rPr>
          <w:rFonts w:eastAsia="Cambria" w:cs="Cambria"/>
          <w:spacing w:val="1"/>
        </w:rPr>
        <w:t>l</w:t>
      </w:r>
      <w:r>
        <w:rPr>
          <w:rFonts w:eastAsia="Cambria" w:cs="Cambria"/>
        </w:rPr>
        <w:t>a</w:t>
      </w:r>
      <w:r>
        <w:rPr>
          <w:rFonts w:eastAsia="Cambria" w:cs="Cambria"/>
          <w:spacing w:val="3"/>
        </w:rPr>
        <w:t xml:space="preserve"> </w:t>
      </w:r>
      <w:r>
        <w:rPr>
          <w:rFonts w:eastAsia="Cambria" w:cs="Cambria"/>
        </w:rPr>
        <w:t>f</w:t>
      </w:r>
      <w:r>
        <w:rPr>
          <w:rFonts w:eastAsia="Cambria" w:cs="Cambria"/>
          <w:spacing w:val="-1"/>
        </w:rPr>
        <w:t>e</w:t>
      </w:r>
      <w:r>
        <w:rPr>
          <w:rFonts w:eastAsia="Cambria" w:cs="Cambria"/>
          <w:spacing w:val="1"/>
        </w:rPr>
        <w:t>c</w:t>
      </w:r>
      <w:r>
        <w:rPr>
          <w:rFonts w:eastAsia="Cambria" w:cs="Cambria"/>
        </w:rPr>
        <w:t xml:space="preserve">ha </w:t>
      </w:r>
      <w:r>
        <w:rPr>
          <w:rFonts w:eastAsia="Cambria" w:cs="Cambria"/>
          <w:spacing w:val="2"/>
        </w:rPr>
        <w:t>d</w:t>
      </w:r>
      <w:r>
        <w:rPr>
          <w:rFonts w:eastAsia="Cambria" w:cs="Cambria"/>
          <w:spacing w:val="-1"/>
        </w:rPr>
        <w:t>e</w:t>
      </w:r>
      <w:r>
        <w:rPr>
          <w:rFonts w:eastAsia="Cambria" w:cs="Cambria"/>
          <w:spacing w:val="2"/>
        </w:rPr>
        <w:t>t</w:t>
      </w:r>
      <w:r>
        <w:rPr>
          <w:rFonts w:eastAsia="Cambria" w:cs="Cambria"/>
          <w:spacing w:val="-1"/>
        </w:rPr>
        <w:t>er</w:t>
      </w:r>
      <w:r>
        <w:rPr>
          <w:rFonts w:eastAsia="Cambria" w:cs="Cambria"/>
        </w:rPr>
        <w:t>m</w:t>
      </w:r>
      <w:r>
        <w:rPr>
          <w:rFonts w:eastAsia="Cambria" w:cs="Cambria"/>
          <w:spacing w:val="2"/>
        </w:rPr>
        <w:t>i</w:t>
      </w:r>
      <w:r>
        <w:rPr>
          <w:rFonts w:eastAsia="Cambria" w:cs="Cambria"/>
          <w:spacing w:val="-1"/>
        </w:rPr>
        <w:t>n</w:t>
      </w:r>
      <w:r>
        <w:rPr>
          <w:rFonts w:eastAsia="Cambria" w:cs="Cambria"/>
          <w:spacing w:val="1"/>
        </w:rPr>
        <w:t>a</w:t>
      </w:r>
      <w:r>
        <w:rPr>
          <w:rFonts w:eastAsia="Cambria" w:cs="Cambria"/>
        </w:rPr>
        <w:t>d</w:t>
      </w:r>
      <w:r>
        <w:rPr>
          <w:rFonts w:eastAsia="Cambria" w:cs="Cambria"/>
          <w:spacing w:val="1"/>
        </w:rPr>
        <w:t>a</w:t>
      </w:r>
      <w:r>
        <w:rPr>
          <w:rFonts w:eastAsia="Cambria" w:cs="Cambria"/>
        </w:rPr>
        <w:t>,</w:t>
      </w:r>
      <w:r>
        <w:rPr>
          <w:rFonts w:eastAsia="Cambria" w:cs="Cambria"/>
          <w:spacing w:val="-7"/>
        </w:rPr>
        <w:t xml:space="preserve"> </w:t>
      </w:r>
      <w:r>
        <w:rPr>
          <w:rFonts w:eastAsia="Cambria" w:cs="Cambria"/>
        </w:rPr>
        <w:t>o</w:t>
      </w:r>
      <w:r>
        <w:rPr>
          <w:rFonts w:eastAsia="Cambria" w:cs="Cambria"/>
          <w:spacing w:val="5"/>
        </w:rPr>
        <w:t xml:space="preserve"> </w:t>
      </w:r>
      <w:r>
        <w:rPr>
          <w:rFonts w:eastAsia="Cambria" w:cs="Cambria"/>
        </w:rPr>
        <w:t>p</w:t>
      </w:r>
      <w:r>
        <w:rPr>
          <w:rFonts w:eastAsia="Cambria" w:cs="Cambria"/>
          <w:spacing w:val="2"/>
        </w:rPr>
        <w:t>o</w:t>
      </w:r>
      <w:r>
        <w:rPr>
          <w:rFonts w:eastAsia="Cambria" w:cs="Cambria"/>
        </w:rPr>
        <w:t xml:space="preserve">r </w:t>
      </w:r>
      <w:r>
        <w:rPr>
          <w:rFonts w:eastAsia="Cambria" w:cs="Cambria"/>
          <w:spacing w:val="1"/>
        </w:rPr>
        <w:t>s</w:t>
      </w:r>
      <w:r>
        <w:rPr>
          <w:rFonts w:eastAsia="Cambria" w:cs="Cambria"/>
        </w:rPr>
        <w:t>u</w:t>
      </w:r>
      <w:r>
        <w:rPr>
          <w:rFonts w:eastAsia="Cambria" w:cs="Cambria"/>
          <w:spacing w:val="1"/>
        </w:rPr>
        <w:t>s</w:t>
      </w:r>
      <w:r>
        <w:rPr>
          <w:rFonts w:eastAsia="Cambria" w:cs="Cambria"/>
          <w:spacing w:val="2"/>
        </w:rPr>
        <w:t>p</w:t>
      </w:r>
      <w:r>
        <w:rPr>
          <w:rFonts w:eastAsia="Cambria" w:cs="Cambria"/>
          <w:spacing w:val="1"/>
        </w:rPr>
        <w:t>e</w:t>
      </w:r>
      <w:r>
        <w:rPr>
          <w:rFonts w:eastAsia="Cambria" w:cs="Cambria"/>
          <w:spacing w:val="-1"/>
        </w:rPr>
        <w:t>n</w:t>
      </w:r>
      <w:r>
        <w:rPr>
          <w:rFonts w:eastAsia="Cambria" w:cs="Cambria"/>
          <w:spacing w:val="1"/>
        </w:rPr>
        <w:t>s</w:t>
      </w:r>
      <w:r>
        <w:rPr>
          <w:rFonts w:eastAsia="Cambria" w:cs="Cambria"/>
        </w:rPr>
        <w:t>i</w:t>
      </w:r>
      <w:r>
        <w:rPr>
          <w:rFonts w:eastAsia="Cambria" w:cs="Cambria"/>
          <w:spacing w:val="2"/>
        </w:rPr>
        <w:t>ó</w:t>
      </w:r>
      <w:r>
        <w:rPr>
          <w:rFonts w:eastAsia="Cambria" w:cs="Cambria"/>
        </w:rPr>
        <w:t>n</w:t>
      </w:r>
      <w:r>
        <w:rPr>
          <w:rFonts w:eastAsia="Cambria" w:cs="Cambria"/>
          <w:spacing w:val="-7"/>
        </w:rPr>
        <w:t xml:space="preserve"> </w:t>
      </w:r>
      <w:r>
        <w:rPr>
          <w:rFonts w:eastAsia="Cambria" w:cs="Cambria"/>
          <w:spacing w:val="2"/>
        </w:rPr>
        <w:t>t</w:t>
      </w:r>
      <w:r>
        <w:rPr>
          <w:rFonts w:eastAsia="Cambria" w:cs="Cambria"/>
          <w:spacing w:val="-1"/>
        </w:rPr>
        <w:t>e</w:t>
      </w:r>
      <w:r>
        <w:rPr>
          <w:rFonts w:eastAsia="Cambria" w:cs="Cambria"/>
          <w:spacing w:val="2"/>
        </w:rPr>
        <w:t>m</w:t>
      </w:r>
      <w:r>
        <w:rPr>
          <w:rFonts w:eastAsia="Cambria" w:cs="Cambria"/>
        </w:rPr>
        <w:t>po</w:t>
      </w:r>
      <w:r>
        <w:rPr>
          <w:rFonts w:eastAsia="Cambria" w:cs="Cambria"/>
          <w:spacing w:val="-1"/>
        </w:rPr>
        <w:t>r</w:t>
      </w:r>
      <w:r>
        <w:rPr>
          <w:rFonts w:eastAsia="Cambria" w:cs="Cambria"/>
          <w:spacing w:val="1"/>
        </w:rPr>
        <w:t>a</w:t>
      </w:r>
      <w:r>
        <w:rPr>
          <w:rFonts w:eastAsia="Cambria" w:cs="Cambria"/>
        </w:rPr>
        <w:t>l</w:t>
      </w:r>
      <w:r>
        <w:rPr>
          <w:rFonts w:eastAsia="Cambria" w:cs="Cambria"/>
          <w:spacing w:val="-3"/>
        </w:rPr>
        <w:t xml:space="preserve"> </w:t>
      </w:r>
      <w:r>
        <w:rPr>
          <w:rFonts w:eastAsia="Cambria" w:cs="Cambria"/>
          <w:spacing w:val="2"/>
        </w:rPr>
        <w:t>d</w:t>
      </w:r>
      <w:r>
        <w:rPr>
          <w:rFonts w:eastAsia="Cambria" w:cs="Cambria"/>
        </w:rPr>
        <w:t>e</w:t>
      </w:r>
      <w:r>
        <w:rPr>
          <w:rFonts w:eastAsia="Cambria" w:cs="Cambria"/>
          <w:spacing w:val="1"/>
        </w:rPr>
        <w:t xml:space="preserve"> l</w:t>
      </w:r>
      <w:r>
        <w:rPr>
          <w:rFonts w:eastAsia="Cambria" w:cs="Cambria"/>
        </w:rPr>
        <w:t>a misma</w:t>
      </w:r>
      <w:r>
        <w:rPr>
          <w:rFonts w:eastAsia="Cambria" w:cs="Cambria"/>
          <w:spacing w:val="6"/>
        </w:rPr>
        <w:t xml:space="preserve"> </w:t>
      </w:r>
      <w:r>
        <w:rPr>
          <w:rFonts w:eastAsia="Cambria" w:cs="Cambria"/>
          <w:spacing w:val="1"/>
        </w:rPr>
        <w:t>s</w:t>
      </w:r>
      <w:r>
        <w:rPr>
          <w:rFonts w:eastAsia="Cambria" w:cs="Cambria"/>
        </w:rPr>
        <w:t>in</w:t>
      </w:r>
      <w:r>
        <w:rPr>
          <w:rFonts w:eastAsia="Cambria" w:cs="Cambria"/>
          <w:spacing w:val="7"/>
        </w:rPr>
        <w:t xml:space="preserve"> </w:t>
      </w:r>
      <w:r>
        <w:rPr>
          <w:rFonts w:eastAsia="Cambria" w:cs="Cambria"/>
          <w:spacing w:val="1"/>
        </w:rPr>
        <w:t>ca</w:t>
      </w:r>
      <w:r>
        <w:rPr>
          <w:rFonts w:eastAsia="Cambria" w:cs="Cambria"/>
        </w:rPr>
        <w:t>u</w:t>
      </w:r>
      <w:r>
        <w:rPr>
          <w:rFonts w:eastAsia="Cambria" w:cs="Cambria"/>
          <w:spacing w:val="1"/>
        </w:rPr>
        <w:t>s</w:t>
      </w:r>
      <w:r>
        <w:rPr>
          <w:rFonts w:eastAsia="Cambria" w:cs="Cambria"/>
        </w:rPr>
        <w:t>a</w:t>
      </w:r>
      <w:r>
        <w:rPr>
          <w:rFonts w:eastAsia="Cambria" w:cs="Cambria"/>
          <w:spacing w:val="7"/>
        </w:rPr>
        <w:t xml:space="preserve"> </w:t>
      </w:r>
      <w:r>
        <w:rPr>
          <w:rFonts w:eastAsia="Cambria" w:cs="Cambria"/>
        </w:rPr>
        <w:t>ju</w:t>
      </w:r>
      <w:r>
        <w:rPr>
          <w:rFonts w:eastAsia="Cambria" w:cs="Cambria"/>
          <w:spacing w:val="1"/>
        </w:rPr>
        <w:t>s</w:t>
      </w:r>
      <w:r>
        <w:rPr>
          <w:rFonts w:eastAsia="Cambria" w:cs="Cambria"/>
        </w:rPr>
        <w:t>ti</w:t>
      </w:r>
      <w:r>
        <w:rPr>
          <w:rFonts w:eastAsia="Cambria" w:cs="Cambria"/>
          <w:spacing w:val="-1"/>
        </w:rPr>
        <w:t>f</w:t>
      </w:r>
      <w:r>
        <w:rPr>
          <w:rFonts w:eastAsia="Cambria" w:cs="Cambria"/>
        </w:rPr>
        <w:t>i</w:t>
      </w:r>
      <w:r>
        <w:rPr>
          <w:rFonts w:eastAsia="Cambria" w:cs="Cambria"/>
          <w:spacing w:val="1"/>
        </w:rPr>
        <w:t>ca</w:t>
      </w:r>
      <w:r>
        <w:rPr>
          <w:rFonts w:eastAsia="Cambria" w:cs="Cambria"/>
        </w:rPr>
        <w:t>da o</w:t>
      </w:r>
      <w:r>
        <w:rPr>
          <w:rFonts w:eastAsia="Cambria" w:cs="Cambria"/>
          <w:spacing w:val="9"/>
        </w:rPr>
        <w:t xml:space="preserve"> </w:t>
      </w:r>
      <w:r>
        <w:rPr>
          <w:rFonts w:eastAsia="Cambria" w:cs="Cambria"/>
        </w:rPr>
        <w:t>por</w:t>
      </w:r>
      <w:r>
        <w:rPr>
          <w:rFonts w:eastAsia="Cambria" w:cs="Cambria"/>
          <w:spacing w:val="6"/>
        </w:rPr>
        <w:t xml:space="preserve"> </w:t>
      </w:r>
      <w:r>
        <w:rPr>
          <w:rFonts w:eastAsia="Cambria" w:cs="Cambria"/>
          <w:spacing w:val="1"/>
        </w:rPr>
        <w:t>ca</w:t>
      </w:r>
      <w:r>
        <w:rPr>
          <w:rFonts w:eastAsia="Cambria" w:cs="Cambria"/>
        </w:rPr>
        <w:t>u</w:t>
      </w:r>
      <w:r>
        <w:rPr>
          <w:rFonts w:eastAsia="Cambria" w:cs="Cambria"/>
          <w:spacing w:val="1"/>
        </w:rPr>
        <w:t>sa</w:t>
      </w:r>
      <w:r>
        <w:rPr>
          <w:rFonts w:eastAsia="Cambria" w:cs="Cambria"/>
        </w:rPr>
        <w:t>s</w:t>
      </w:r>
      <w:r>
        <w:rPr>
          <w:rFonts w:eastAsia="Cambria" w:cs="Cambria"/>
          <w:spacing w:val="5"/>
        </w:rPr>
        <w:t xml:space="preserve"> </w:t>
      </w:r>
      <w:r>
        <w:rPr>
          <w:rFonts w:eastAsia="Cambria" w:cs="Cambria"/>
        </w:rPr>
        <w:t>im</w:t>
      </w:r>
      <w:r>
        <w:rPr>
          <w:rFonts w:eastAsia="Cambria" w:cs="Cambria"/>
          <w:spacing w:val="-1"/>
        </w:rPr>
        <w:t>p</w:t>
      </w:r>
      <w:r>
        <w:rPr>
          <w:rFonts w:eastAsia="Cambria" w:cs="Cambria"/>
        </w:rPr>
        <w:t>ut</w:t>
      </w:r>
      <w:r>
        <w:rPr>
          <w:rFonts w:eastAsia="Cambria" w:cs="Cambria"/>
          <w:spacing w:val="1"/>
        </w:rPr>
        <w:t>a</w:t>
      </w:r>
      <w:r>
        <w:rPr>
          <w:rFonts w:eastAsia="Cambria" w:cs="Cambria"/>
          <w:spacing w:val="-1"/>
        </w:rPr>
        <w:t>b</w:t>
      </w:r>
      <w:r>
        <w:rPr>
          <w:rFonts w:eastAsia="Cambria" w:cs="Cambria"/>
          <w:spacing w:val="1"/>
        </w:rPr>
        <w:t>l</w:t>
      </w:r>
      <w:r>
        <w:rPr>
          <w:rFonts w:eastAsia="Cambria" w:cs="Cambria"/>
          <w:spacing w:val="-1"/>
        </w:rPr>
        <w:t>e</w:t>
      </w:r>
      <w:r>
        <w:rPr>
          <w:rFonts w:eastAsia="Cambria" w:cs="Cambria"/>
        </w:rPr>
        <w:t>s</w:t>
      </w:r>
      <w:r>
        <w:rPr>
          <w:rFonts w:eastAsia="Cambria" w:cs="Cambria"/>
          <w:spacing w:val="1"/>
        </w:rPr>
        <w:t xml:space="preserve"> a</w:t>
      </w:r>
      <w:r>
        <w:rPr>
          <w:rFonts w:eastAsia="Cambria" w:cs="Cambria"/>
        </w:rPr>
        <w:t>l</w:t>
      </w:r>
      <w:r>
        <w:rPr>
          <w:rFonts w:eastAsia="Cambria" w:cs="Cambria"/>
          <w:spacing w:val="10"/>
        </w:rPr>
        <w:t xml:space="preserve"> </w:t>
      </w:r>
      <w:r>
        <w:rPr>
          <w:rFonts w:eastAsia="Cambria" w:cs="Cambria"/>
        </w:rPr>
        <w:t>Co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tist</w:t>
      </w:r>
      <w:r>
        <w:rPr>
          <w:rFonts w:eastAsia="Cambria" w:cs="Cambria"/>
          <w:spacing w:val="1"/>
        </w:rPr>
        <w:t>a</w:t>
      </w:r>
      <w:r>
        <w:rPr>
          <w:rFonts w:eastAsia="Cambria" w:cs="Cambria"/>
        </w:rPr>
        <w:t>,</w:t>
      </w:r>
      <w:r>
        <w:rPr>
          <w:rFonts w:eastAsia="Cambria" w:cs="Cambria"/>
          <w:spacing w:val="3"/>
        </w:rPr>
        <w:t xml:space="preserve"> </w:t>
      </w:r>
      <w:r>
        <w:rPr>
          <w:rFonts w:eastAsia="Cambria" w:cs="Cambria"/>
          <w:spacing w:val="-1"/>
        </w:rPr>
        <w:t>e</w:t>
      </w:r>
      <w:r>
        <w:rPr>
          <w:rFonts w:eastAsia="Cambria" w:cs="Cambria"/>
        </w:rPr>
        <w:t>l</w:t>
      </w:r>
      <w:r>
        <w:rPr>
          <w:rFonts w:eastAsia="Cambria" w:cs="Cambria"/>
          <w:spacing w:val="10"/>
        </w:rPr>
        <w:t xml:space="preserve"> </w:t>
      </w:r>
      <w:r>
        <w:rPr>
          <w:rFonts w:eastAsia="Cambria" w:cs="Cambria"/>
        </w:rPr>
        <w:t>uno</w:t>
      </w:r>
      <w:r>
        <w:rPr>
          <w:rFonts w:eastAsia="Cambria" w:cs="Cambria"/>
          <w:spacing w:val="7"/>
        </w:rPr>
        <w:t xml:space="preserve"> </w:t>
      </w:r>
      <w:r>
        <w:rPr>
          <w:rFonts w:eastAsia="Cambria" w:cs="Cambria"/>
        </w:rPr>
        <w:t>p</w:t>
      </w:r>
      <w:r>
        <w:rPr>
          <w:rFonts w:eastAsia="Cambria" w:cs="Cambria"/>
          <w:spacing w:val="2"/>
        </w:rPr>
        <w:t>o</w:t>
      </w:r>
      <w:r>
        <w:rPr>
          <w:rFonts w:eastAsia="Cambria" w:cs="Cambria"/>
        </w:rPr>
        <w:t>r</w:t>
      </w:r>
      <w:r>
        <w:rPr>
          <w:rFonts w:eastAsia="Cambria" w:cs="Cambria"/>
          <w:spacing w:val="7"/>
        </w:rPr>
        <w:t xml:space="preserve"> </w:t>
      </w:r>
      <w:r>
        <w:rPr>
          <w:rFonts w:eastAsia="Cambria" w:cs="Cambria"/>
        </w:rPr>
        <w:t>mil</w:t>
      </w:r>
      <w:r>
        <w:rPr>
          <w:rFonts w:eastAsia="Cambria" w:cs="Cambria"/>
          <w:spacing w:val="8"/>
        </w:rPr>
        <w:t xml:space="preserve"> </w:t>
      </w:r>
      <w:r>
        <w:rPr>
          <w:rFonts w:eastAsia="Cambria" w:cs="Cambria"/>
          <w:spacing w:val="1"/>
        </w:rPr>
        <w:t>(</w:t>
      </w:r>
      <w:r>
        <w:rPr>
          <w:rFonts w:eastAsia="Cambria" w:cs="Cambria"/>
        </w:rPr>
        <w:t>1‰)</w:t>
      </w:r>
      <w:r>
        <w:rPr>
          <w:rFonts w:eastAsia="Cambria" w:cs="Cambria"/>
          <w:spacing w:val="7"/>
        </w:rPr>
        <w:t xml:space="preserve"> </w:t>
      </w:r>
      <w:r>
        <w:rPr>
          <w:rFonts w:eastAsia="Cambria" w:cs="Cambria"/>
        </w:rPr>
        <w:t>d</w:t>
      </w:r>
      <w:r>
        <w:rPr>
          <w:rFonts w:eastAsia="Cambria" w:cs="Cambria"/>
          <w:spacing w:val="-1"/>
        </w:rPr>
        <w:t>e</w:t>
      </w:r>
      <w:r>
        <w:rPr>
          <w:rFonts w:eastAsia="Cambria" w:cs="Cambria"/>
        </w:rPr>
        <w:t>l</w:t>
      </w:r>
      <w:r>
        <w:rPr>
          <w:rFonts w:eastAsia="Cambria" w:cs="Cambria"/>
          <w:spacing w:val="9"/>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16"/>
        </w:rPr>
        <w:t xml:space="preserve"> </w:t>
      </w:r>
      <w:r>
        <w:rPr>
          <w:rFonts w:eastAsia="Cambria" w:cs="Cambria"/>
        </w:rPr>
        <w:t>total</w:t>
      </w:r>
      <w:r>
        <w:rPr>
          <w:rFonts w:eastAsia="Cambria" w:cs="Cambria"/>
          <w:spacing w:val="7"/>
        </w:rPr>
        <w:t xml:space="preserve"> </w:t>
      </w:r>
      <w:r>
        <w:rPr>
          <w:rFonts w:eastAsia="Cambria" w:cs="Cambria"/>
        </w:rPr>
        <w:t>d</w:t>
      </w:r>
      <w:r>
        <w:rPr>
          <w:rFonts w:eastAsia="Cambria" w:cs="Cambria"/>
          <w:spacing w:val="-1"/>
        </w:rPr>
        <w:t>e</w:t>
      </w:r>
      <w:r>
        <w:rPr>
          <w:rFonts w:eastAsia="Cambria" w:cs="Cambria"/>
        </w:rPr>
        <w:t xml:space="preserve">l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w:t>
      </w:r>
      <w:r>
        <w:rPr>
          <w:rFonts w:eastAsia="Cambria" w:cs="Cambria"/>
          <w:spacing w:val="-6"/>
        </w:rPr>
        <w:t xml:space="preserve"> </w:t>
      </w:r>
      <w:r>
        <w:rPr>
          <w:rFonts w:eastAsia="Cambria" w:cs="Cambria"/>
        </w:rPr>
        <w:t>p</w:t>
      </w:r>
      <w:r>
        <w:rPr>
          <w:rFonts w:eastAsia="Cambria" w:cs="Cambria"/>
          <w:spacing w:val="2"/>
        </w:rPr>
        <w:t>o</w:t>
      </w:r>
      <w:r>
        <w:rPr>
          <w:rFonts w:eastAsia="Cambria" w:cs="Cambria"/>
        </w:rPr>
        <w:t>r</w:t>
      </w:r>
      <w:r>
        <w:rPr>
          <w:rFonts w:eastAsia="Cambria" w:cs="Cambria"/>
          <w:spacing w:val="-4"/>
        </w:rPr>
        <w:t xml:space="preserve"> </w:t>
      </w:r>
      <w:r>
        <w:rPr>
          <w:rFonts w:eastAsia="Cambria" w:cs="Cambria"/>
          <w:spacing w:val="1"/>
        </w:rPr>
        <w:t>ca</w:t>
      </w:r>
      <w:r>
        <w:rPr>
          <w:rFonts w:eastAsia="Cambria" w:cs="Cambria"/>
        </w:rPr>
        <w:t>da</w:t>
      </w:r>
      <w:r>
        <w:rPr>
          <w:rFonts w:eastAsia="Cambria" w:cs="Cambria"/>
          <w:spacing w:val="-4"/>
        </w:rPr>
        <w:t xml:space="preserve"> </w:t>
      </w:r>
      <w:r>
        <w:rPr>
          <w:rFonts w:eastAsia="Cambria" w:cs="Cambria"/>
        </w:rPr>
        <w:t>día</w:t>
      </w:r>
      <w:r>
        <w:rPr>
          <w:rFonts w:eastAsia="Cambria" w:cs="Cambria"/>
          <w:spacing w:val="-3"/>
        </w:rPr>
        <w:t xml:space="preserve"> </w:t>
      </w:r>
      <w:r>
        <w:rPr>
          <w:rFonts w:eastAsia="Cambria" w:cs="Cambria"/>
          <w:spacing w:val="2"/>
        </w:rPr>
        <w:t>d</w:t>
      </w:r>
      <w:r>
        <w:rPr>
          <w:rFonts w:eastAsia="Cambria" w:cs="Cambria"/>
        </w:rPr>
        <w:t>e</w:t>
      </w:r>
      <w:r>
        <w:rPr>
          <w:rFonts w:eastAsia="Cambria" w:cs="Cambria"/>
          <w:spacing w:val="-2"/>
        </w:rPr>
        <w:t xml:space="preserve"> </w:t>
      </w:r>
      <w:r>
        <w:rPr>
          <w:rFonts w:eastAsia="Cambria" w:cs="Cambria"/>
        </w:rPr>
        <w:t>m</w:t>
      </w:r>
      <w:r>
        <w:rPr>
          <w:rFonts w:eastAsia="Cambria" w:cs="Cambria"/>
          <w:spacing w:val="2"/>
        </w:rPr>
        <w:t>o</w:t>
      </w:r>
      <w:r>
        <w:rPr>
          <w:rFonts w:eastAsia="Cambria" w:cs="Cambria"/>
          <w:spacing w:val="-1"/>
        </w:rPr>
        <w:t>r</w:t>
      </w:r>
      <w:r>
        <w:rPr>
          <w:rFonts w:eastAsia="Cambria" w:cs="Cambria"/>
          <w:spacing w:val="1"/>
        </w:rPr>
        <w:t>a</w:t>
      </w:r>
      <w:r>
        <w:rPr>
          <w:rFonts w:eastAsia="Cambria" w:cs="Cambria"/>
        </w:rPr>
        <w:t>,</w:t>
      </w:r>
      <w:r>
        <w:rPr>
          <w:rFonts w:eastAsia="Cambria" w:cs="Cambria"/>
          <w:spacing w:val="-6"/>
        </w:rPr>
        <w:t xml:space="preserve"> </w:t>
      </w:r>
      <w:r>
        <w:rPr>
          <w:rFonts w:eastAsia="Cambria" w:cs="Cambria"/>
          <w:spacing w:val="1"/>
        </w:rPr>
        <w:t>s</w:t>
      </w:r>
      <w:r>
        <w:rPr>
          <w:rFonts w:eastAsia="Cambria" w:cs="Cambria"/>
        </w:rPr>
        <w:t>in</w:t>
      </w:r>
      <w:r>
        <w:rPr>
          <w:rFonts w:eastAsia="Cambria" w:cs="Cambria"/>
          <w:spacing w:val="-5"/>
        </w:rPr>
        <w:t xml:space="preserve"> </w:t>
      </w:r>
      <w:r>
        <w:rPr>
          <w:rFonts w:eastAsia="Cambria" w:cs="Cambria"/>
          <w:spacing w:val="1"/>
        </w:rPr>
        <w:t>s</w:t>
      </w:r>
      <w:r>
        <w:rPr>
          <w:rFonts w:eastAsia="Cambria" w:cs="Cambria"/>
          <w:spacing w:val="3"/>
        </w:rPr>
        <w:t>u</w:t>
      </w:r>
      <w:r>
        <w:rPr>
          <w:rFonts w:eastAsia="Cambria" w:cs="Cambria"/>
        </w:rPr>
        <w:t>p</w:t>
      </w:r>
      <w:r>
        <w:rPr>
          <w:rFonts w:eastAsia="Cambria" w:cs="Cambria"/>
          <w:spacing w:val="1"/>
        </w:rPr>
        <w:t>e</w:t>
      </w:r>
      <w:r>
        <w:rPr>
          <w:rFonts w:eastAsia="Cambria" w:cs="Cambria"/>
          <w:spacing w:val="-1"/>
        </w:rPr>
        <w:t>r</w:t>
      </w:r>
      <w:r>
        <w:rPr>
          <w:rFonts w:eastAsia="Cambria" w:cs="Cambria"/>
          <w:spacing w:val="1"/>
        </w:rPr>
        <w:t>a</w:t>
      </w:r>
      <w:r>
        <w:rPr>
          <w:rFonts w:eastAsia="Cambria" w:cs="Cambria"/>
        </w:rPr>
        <w:t>r</w:t>
      </w:r>
      <w:r>
        <w:rPr>
          <w:rFonts w:eastAsia="Cambria" w:cs="Cambria"/>
          <w:spacing w:val="-6"/>
        </w:rPr>
        <w:t xml:space="preserve"> </w:t>
      </w:r>
      <w:r>
        <w:rPr>
          <w:rFonts w:eastAsia="Cambria" w:cs="Cambria"/>
          <w:spacing w:val="-1"/>
        </w:rPr>
        <w:t>e</w:t>
      </w:r>
      <w:r>
        <w:rPr>
          <w:rFonts w:eastAsia="Cambria" w:cs="Cambria"/>
        </w:rPr>
        <w:t>l</w:t>
      </w:r>
      <w:r>
        <w:rPr>
          <w:rFonts w:eastAsia="Cambria" w:cs="Cambria"/>
          <w:spacing w:val="-2"/>
        </w:rPr>
        <w:t xml:space="preserve"> </w:t>
      </w:r>
      <w:r>
        <w:rPr>
          <w:rFonts w:eastAsia="Cambria" w:cs="Cambria"/>
          <w:spacing w:val="2"/>
        </w:rPr>
        <w:t>t</w:t>
      </w:r>
      <w:r>
        <w:rPr>
          <w:rFonts w:eastAsia="Cambria" w:cs="Cambria"/>
          <w:spacing w:val="-1"/>
        </w:rPr>
        <w:t>re</w:t>
      </w:r>
      <w:r>
        <w:rPr>
          <w:rFonts w:eastAsia="Cambria" w:cs="Cambria"/>
        </w:rPr>
        <w:t>s</w:t>
      </w:r>
      <w:r>
        <w:rPr>
          <w:rFonts w:eastAsia="Cambria" w:cs="Cambria"/>
          <w:spacing w:val="-1"/>
        </w:rPr>
        <w:t xml:space="preserve"> </w:t>
      </w:r>
      <w:r>
        <w:rPr>
          <w:rFonts w:eastAsia="Cambria" w:cs="Cambria"/>
        </w:rPr>
        <w:t>por</w:t>
      </w:r>
      <w:r>
        <w:rPr>
          <w:rFonts w:eastAsia="Cambria" w:cs="Cambria"/>
          <w:spacing w:val="-3"/>
        </w:rPr>
        <w:t xml:space="preserve"> </w:t>
      </w:r>
      <w:r>
        <w:rPr>
          <w:rFonts w:eastAsia="Cambria" w:cs="Cambria"/>
          <w:spacing w:val="1"/>
        </w:rPr>
        <w:t>c</w:t>
      </w:r>
      <w:r>
        <w:rPr>
          <w:rFonts w:eastAsia="Cambria" w:cs="Cambria"/>
        </w:rPr>
        <w:t>i</w:t>
      </w:r>
      <w:r>
        <w:rPr>
          <w:rFonts w:eastAsia="Cambria" w:cs="Cambria"/>
          <w:spacing w:val="1"/>
        </w:rPr>
        <w:t>e</w:t>
      </w:r>
      <w:r>
        <w:rPr>
          <w:rFonts w:eastAsia="Cambria" w:cs="Cambria"/>
          <w:spacing w:val="-1"/>
        </w:rPr>
        <w:t>n</w:t>
      </w:r>
      <w:r>
        <w:rPr>
          <w:rFonts w:eastAsia="Cambria" w:cs="Cambria"/>
        </w:rPr>
        <w:t>to</w:t>
      </w:r>
      <w:r>
        <w:rPr>
          <w:rFonts w:eastAsia="Cambria" w:cs="Cambria"/>
          <w:spacing w:val="-6"/>
        </w:rPr>
        <w:t xml:space="preserve"> </w:t>
      </w:r>
      <w:r>
        <w:rPr>
          <w:rFonts w:eastAsia="Cambria" w:cs="Cambria"/>
          <w:spacing w:val="1"/>
        </w:rPr>
        <w:t>(</w:t>
      </w:r>
      <w:r>
        <w:rPr>
          <w:rFonts w:eastAsia="Cambria" w:cs="Cambria"/>
        </w:rPr>
        <w:t>3%)</w:t>
      </w:r>
      <w:r>
        <w:rPr>
          <w:rFonts w:eastAsia="Cambria" w:cs="Cambria"/>
          <w:spacing w:val="-1"/>
        </w:rPr>
        <w:t xml:space="preserve"> </w:t>
      </w:r>
      <w:r>
        <w:rPr>
          <w:rFonts w:eastAsia="Cambria" w:cs="Cambria"/>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3"/>
        </w:rPr>
        <w:t xml:space="preserve"> </w:t>
      </w:r>
      <w:r>
        <w:rPr>
          <w:rFonts w:eastAsia="Cambria" w:cs="Cambria"/>
        </w:rPr>
        <w:t>total</w:t>
      </w:r>
      <w:r>
        <w:rPr>
          <w:rFonts w:eastAsia="Cambria" w:cs="Cambria"/>
          <w:spacing w:val="-4"/>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1"/>
        </w:rPr>
        <w:t xml:space="preserve"> </w:t>
      </w:r>
      <w:r>
        <w:rPr>
          <w:rFonts w:eastAsia="Cambria" w:cs="Cambria"/>
        </w:rPr>
        <w:t>mismo.</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Cu</w:t>
      </w:r>
      <w:r>
        <w:rPr>
          <w:rFonts w:eastAsia="Cambria" w:cs="Cambria"/>
          <w:spacing w:val="1"/>
        </w:rPr>
        <w:t>a</w:t>
      </w:r>
      <w:r>
        <w:rPr>
          <w:rFonts w:eastAsia="Cambria" w:cs="Cambria"/>
          <w:spacing w:val="-1"/>
        </w:rPr>
        <w:t>n</w:t>
      </w:r>
      <w:r>
        <w:rPr>
          <w:rFonts w:eastAsia="Cambria" w:cs="Cambria"/>
        </w:rPr>
        <w:t>do</w:t>
      </w:r>
      <w:r>
        <w:rPr>
          <w:rFonts w:eastAsia="Cambria" w:cs="Cambria"/>
          <w:spacing w:val="38"/>
        </w:rPr>
        <w:t xml:space="preserve"> </w:t>
      </w:r>
      <w:r>
        <w:rPr>
          <w:rFonts w:eastAsia="Cambria" w:cs="Cambria"/>
          <w:spacing w:val="1"/>
        </w:rPr>
        <w:t>s</w:t>
      </w:r>
      <w:r>
        <w:rPr>
          <w:rFonts w:eastAsia="Cambria" w:cs="Cambria"/>
        </w:rPr>
        <w:t>e</w:t>
      </w:r>
      <w:r>
        <w:rPr>
          <w:rFonts w:eastAsia="Cambria" w:cs="Cambria"/>
          <w:spacing w:val="41"/>
        </w:rPr>
        <w:t xml:space="preserve"> </w:t>
      </w:r>
      <w:r>
        <w:rPr>
          <w:rFonts w:eastAsia="Cambria" w:cs="Cambria"/>
          <w:spacing w:val="2"/>
        </w:rPr>
        <w:t>p</w:t>
      </w:r>
      <w:r>
        <w:rPr>
          <w:rFonts w:eastAsia="Cambria" w:cs="Cambria"/>
          <w:spacing w:val="1"/>
        </w:rPr>
        <w:t>r</w:t>
      </w:r>
      <w:r>
        <w:rPr>
          <w:rFonts w:eastAsia="Cambria" w:cs="Cambria"/>
          <w:spacing w:val="-1"/>
        </w:rPr>
        <w:t>e</w:t>
      </w:r>
      <w:r>
        <w:rPr>
          <w:rFonts w:eastAsia="Cambria" w:cs="Cambria"/>
          <w:spacing w:val="1"/>
        </w:rPr>
        <w:t>se</w:t>
      </w:r>
      <w:r>
        <w:rPr>
          <w:rFonts w:eastAsia="Cambria" w:cs="Cambria"/>
          <w:spacing w:val="-1"/>
        </w:rPr>
        <w:t>n</w:t>
      </w:r>
      <w:r>
        <w:rPr>
          <w:rFonts w:eastAsia="Cambria" w:cs="Cambria"/>
        </w:rPr>
        <w:t>te</w:t>
      </w:r>
      <w:r>
        <w:rPr>
          <w:rFonts w:eastAsia="Cambria" w:cs="Cambria"/>
          <w:spacing w:val="35"/>
        </w:rPr>
        <w:t xml:space="preserve"> </w:t>
      </w:r>
      <w:r>
        <w:rPr>
          <w:rFonts w:eastAsia="Cambria" w:cs="Cambria"/>
          <w:spacing w:val="3"/>
        </w:rPr>
        <w:t>u</w:t>
      </w:r>
      <w:r>
        <w:rPr>
          <w:rFonts w:eastAsia="Cambria" w:cs="Cambria"/>
        </w:rPr>
        <w:t>n</w:t>
      </w:r>
      <w:r>
        <w:rPr>
          <w:rFonts w:eastAsia="Cambria" w:cs="Cambria"/>
          <w:spacing w:val="42"/>
        </w:rPr>
        <w:t xml:space="preserve"> </w:t>
      </w:r>
      <w:r>
        <w:rPr>
          <w:rFonts w:eastAsia="Cambria" w:cs="Cambria"/>
          <w:spacing w:val="1"/>
        </w:rPr>
        <w:t>a</w:t>
      </w:r>
      <w:r>
        <w:rPr>
          <w:rFonts w:eastAsia="Cambria" w:cs="Cambria"/>
        </w:rPr>
        <w:t>t</w:t>
      </w:r>
      <w:r>
        <w:rPr>
          <w:rFonts w:eastAsia="Cambria" w:cs="Cambria"/>
          <w:spacing w:val="1"/>
        </w:rPr>
        <w:t>ras</w:t>
      </w:r>
      <w:r>
        <w:rPr>
          <w:rFonts w:eastAsia="Cambria" w:cs="Cambria"/>
        </w:rPr>
        <w:t>o</w:t>
      </w:r>
      <w:r>
        <w:rPr>
          <w:rFonts w:eastAsia="Cambria" w:cs="Cambria"/>
          <w:spacing w:val="39"/>
        </w:rPr>
        <w:t xml:space="preserve"> </w:t>
      </w:r>
      <w:r>
        <w:rPr>
          <w:rFonts w:eastAsia="Cambria" w:cs="Cambria"/>
        </w:rPr>
        <w:t>m</w:t>
      </w:r>
      <w:r>
        <w:rPr>
          <w:rFonts w:eastAsia="Cambria" w:cs="Cambria"/>
          <w:spacing w:val="1"/>
        </w:rPr>
        <w:t>a</w:t>
      </w:r>
      <w:r>
        <w:rPr>
          <w:rFonts w:eastAsia="Cambria" w:cs="Cambria"/>
        </w:rPr>
        <w:t>yor</w:t>
      </w:r>
      <w:r>
        <w:rPr>
          <w:rFonts w:eastAsia="Cambria" w:cs="Cambria"/>
          <w:spacing w:val="38"/>
        </w:rPr>
        <w:t xml:space="preserve"> </w:t>
      </w:r>
      <w:r>
        <w:rPr>
          <w:rFonts w:eastAsia="Cambria" w:cs="Cambria"/>
        </w:rPr>
        <w:t>d</w:t>
      </w:r>
      <w:r>
        <w:rPr>
          <w:rFonts w:eastAsia="Cambria" w:cs="Cambria"/>
          <w:spacing w:val="-1"/>
        </w:rPr>
        <w:t>e</w:t>
      </w:r>
      <w:r>
        <w:rPr>
          <w:rFonts w:eastAsia="Cambria" w:cs="Cambria"/>
        </w:rPr>
        <w:t>l</w:t>
      </w:r>
      <w:r>
        <w:rPr>
          <w:rFonts w:eastAsia="Cambria" w:cs="Cambria"/>
          <w:spacing w:val="43"/>
        </w:rPr>
        <w:t xml:space="preserve"> </w:t>
      </w:r>
      <w:r>
        <w:rPr>
          <w:rFonts w:eastAsia="Cambria" w:cs="Cambria"/>
          <w:spacing w:val="3"/>
        </w:rPr>
        <w:t>v</w:t>
      </w:r>
      <w:r>
        <w:rPr>
          <w:rFonts w:eastAsia="Cambria" w:cs="Cambria"/>
          <w:spacing w:val="-1"/>
        </w:rPr>
        <w:t>e</w:t>
      </w:r>
      <w:r>
        <w:rPr>
          <w:rFonts w:eastAsia="Cambria" w:cs="Cambria"/>
        </w:rPr>
        <w:t>i</w:t>
      </w:r>
      <w:r>
        <w:rPr>
          <w:rFonts w:eastAsia="Cambria" w:cs="Cambria"/>
          <w:spacing w:val="1"/>
        </w:rPr>
        <w:t>n</w:t>
      </w:r>
      <w:r>
        <w:rPr>
          <w:rFonts w:eastAsia="Cambria" w:cs="Cambria"/>
        </w:rPr>
        <w:t>te</w:t>
      </w:r>
      <w:r>
        <w:rPr>
          <w:rFonts w:eastAsia="Cambria" w:cs="Cambria"/>
          <w:spacing w:val="41"/>
        </w:rPr>
        <w:t xml:space="preserve"> </w:t>
      </w:r>
      <w:r>
        <w:rPr>
          <w:rFonts w:eastAsia="Cambria" w:cs="Cambria"/>
        </w:rPr>
        <w:t>por</w:t>
      </w:r>
      <w:r>
        <w:rPr>
          <w:rFonts w:eastAsia="Cambria" w:cs="Cambria"/>
          <w:spacing w:val="43"/>
        </w:rPr>
        <w:t xml:space="preserve"> </w:t>
      </w:r>
      <w:r>
        <w:rPr>
          <w:rFonts w:eastAsia="Cambria" w:cs="Cambria"/>
          <w:spacing w:val="1"/>
        </w:rPr>
        <w:t>c</w:t>
      </w:r>
      <w:r>
        <w:rPr>
          <w:rFonts w:eastAsia="Cambria" w:cs="Cambria"/>
        </w:rPr>
        <w:t>i</w:t>
      </w:r>
      <w:r>
        <w:rPr>
          <w:rFonts w:eastAsia="Cambria" w:cs="Cambria"/>
          <w:spacing w:val="-1"/>
        </w:rPr>
        <w:t>en</w:t>
      </w:r>
      <w:r>
        <w:rPr>
          <w:rFonts w:eastAsia="Cambria" w:cs="Cambria"/>
        </w:rPr>
        <w:t>to</w:t>
      </w:r>
      <w:r>
        <w:rPr>
          <w:rFonts w:eastAsia="Cambria" w:cs="Cambria"/>
          <w:spacing w:val="42"/>
        </w:rPr>
        <w:t xml:space="preserve"> </w:t>
      </w:r>
      <w:r>
        <w:rPr>
          <w:rFonts w:eastAsia="Cambria" w:cs="Cambria"/>
          <w:spacing w:val="1"/>
        </w:rPr>
        <w:t>(</w:t>
      </w:r>
      <w:r>
        <w:rPr>
          <w:rFonts w:eastAsia="Cambria" w:cs="Cambria"/>
        </w:rPr>
        <w:t>20%)</w:t>
      </w:r>
      <w:r>
        <w:rPr>
          <w:rFonts w:eastAsia="Cambria" w:cs="Cambria"/>
          <w:spacing w:val="40"/>
        </w:rPr>
        <w:t xml:space="preserve"> </w:t>
      </w:r>
      <w:r>
        <w:rPr>
          <w:rFonts w:eastAsia="Cambria" w:cs="Cambria"/>
          <w:spacing w:val="1"/>
        </w:rPr>
        <w:t>e</w:t>
      </w:r>
      <w:r>
        <w:rPr>
          <w:rFonts w:eastAsia="Cambria" w:cs="Cambria"/>
        </w:rPr>
        <w:t>n</w:t>
      </w:r>
      <w:r>
        <w:rPr>
          <w:rFonts w:eastAsia="Cambria" w:cs="Cambria"/>
          <w:spacing w:val="42"/>
        </w:rPr>
        <w:t xml:space="preserve"> </w:t>
      </w:r>
      <w:r>
        <w:rPr>
          <w:rFonts w:eastAsia="Cambria" w:cs="Cambria"/>
          <w:spacing w:val="1"/>
        </w:rPr>
        <w:t>c</w:t>
      </w:r>
      <w:r>
        <w:rPr>
          <w:rFonts w:eastAsia="Cambria" w:cs="Cambria"/>
        </w:rPr>
        <w:t>u</w:t>
      </w:r>
      <w:r>
        <w:rPr>
          <w:rFonts w:eastAsia="Cambria" w:cs="Cambria"/>
          <w:spacing w:val="1"/>
        </w:rPr>
        <w:t>al</w:t>
      </w:r>
      <w:r>
        <w:rPr>
          <w:rFonts w:eastAsia="Cambria" w:cs="Cambria"/>
          <w:spacing w:val="-1"/>
        </w:rPr>
        <w:t>q</w:t>
      </w:r>
      <w:r>
        <w:rPr>
          <w:rFonts w:eastAsia="Cambria" w:cs="Cambria"/>
        </w:rPr>
        <w:t>ui</w:t>
      </w:r>
      <w:r>
        <w:rPr>
          <w:rFonts w:eastAsia="Cambria" w:cs="Cambria"/>
          <w:spacing w:val="1"/>
        </w:rPr>
        <w:t>er</w:t>
      </w:r>
      <w:r>
        <w:rPr>
          <w:rFonts w:eastAsia="Cambria" w:cs="Cambria"/>
        </w:rPr>
        <w:t>a</w:t>
      </w:r>
      <w:r>
        <w:rPr>
          <w:rFonts w:eastAsia="Cambria" w:cs="Cambria"/>
          <w:spacing w:val="37"/>
        </w:rPr>
        <w:t xml:space="preserve"> </w:t>
      </w:r>
      <w:r>
        <w:rPr>
          <w:rFonts w:eastAsia="Cambria" w:cs="Cambria"/>
        </w:rPr>
        <w:t>de</w:t>
      </w:r>
      <w:r>
        <w:rPr>
          <w:rFonts w:eastAsia="Cambria" w:cs="Cambria"/>
          <w:spacing w:val="41"/>
        </w:rPr>
        <w:t xml:space="preserve"> </w:t>
      </w:r>
      <w:r>
        <w:rPr>
          <w:rFonts w:eastAsia="Cambria" w:cs="Cambria"/>
          <w:spacing w:val="1"/>
        </w:rPr>
        <w:t>la</w:t>
      </w:r>
      <w:r>
        <w:rPr>
          <w:rFonts w:eastAsia="Cambria" w:cs="Cambria"/>
        </w:rPr>
        <w:t>s</w:t>
      </w:r>
      <w:r>
        <w:rPr>
          <w:rFonts w:eastAsia="Cambria" w:cs="Cambria"/>
          <w:spacing w:val="43"/>
        </w:rPr>
        <w:t xml:space="preserve"> </w:t>
      </w:r>
      <w:r>
        <w:rPr>
          <w:rFonts w:eastAsia="Cambria" w:cs="Cambria"/>
        </w:rPr>
        <w:t>g</w:t>
      </w:r>
      <w:r>
        <w:rPr>
          <w:rFonts w:eastAsia="Cambria" w:cs="Cambria"/>
          <w:spacing w:val="-1"/>
        </w:rPr>
        <w:t>r</w:t>
      </w:r>
      <w:r>
        <w:rPr>
          <w:rFonts w:eastAsia="Cambria" w:cs="Cambria"/>
          <w:spacing w:val="1"/>
        </w:rPr>
        <w:t>a</w:t>
      </w:r>
      <w:r>
        <w:rPr>
          <w:rFonts w:eastAsia="Cambria" w:cs="Cambria"/>
          <w:spacing w:val="-1"/>
        </w:rPr>
        <w:t>n</w:t>
      </w:r>
      <w:r>
        <w:rPr>
          <w:rFonts w:eastAsia="Cambria" w:cs="Cambria"/>
        </w:rPr>
        <w:t>d</w:t>
      </w:r>
      <w:r>
        <w:rPr>
          <w:rFonts w:eastAsia="Cambria" w:cs="Cambria"/>
          <w:spacing w:val="-1"/>
        </w:rPr>
        <w:t>e</w:t>
      </w:r>
      <w:r>
        <w:rPr>
          <w:rFonts w:eastAsia="Cambria" w:cs="Cambria"/>
        </w:rPr>
        <w:t>s p</w:t>
      </w:r>
      <w:r>
        <w:rPr>
          <w:rFonts w:eastAsia="Cambria" w:cs="Cambria"/>
          <w:spacing w:val="1"/>
        </w:rPr>
        <w:t>a</w:t>
      </w:r>
      <w:r>
        <w:rPr>
          <w:rFonts w:eastAsia="Cambria" w:cs="Cambria"/>
          <w:spacing w:val="-1"/>
        </w:rPr>
        <w:t>r</w:t>
      </w:r>
      <w:r>
        <w:rPr>
          <w:rFonts w:eastAsia="Cambria" w:cs="Cambria"/>
        </w:rPr>
        <w:t>tid</w:t>
      </w:r>
      <w:r>
        <w:rPr>
          <w:rFonts w:eastAsia="Cambria" w:cs="Cambria"/>
          <w:spacing w:val="1"/>
        </w:rPr>
        <w:t>a</w:t>
      </w:r>
      <w:r>
        <w:rPr>
          <w:rFonts w:eastAsia="Cambria" w:cs="Cambria"/>
        </w:rPr>
        <w:t>s</w:t>
      </w:r>
      <w:r>
        <w:rPr>
          <w:rFonts w:eastAsia="Cambria" w:cs="Cambria"/>
          <w:spacing w:val="2"/>
        </w:rPr>
        <w:t xml:space="preserve"> </w:t>
      </w:r>
      <w:r>
        <w:rPr>
          <w:rFonts w:eastAsia="Cambria" w:cs="Cambria"/>
        </w:rPr>
        <w:t>de</w:t>
      </w:r>
      <w:r>
        <w:rPr>
          <w:rFonts w:eastAsia="Cambria" w:cs="Cambria"/>
          <w:spacing w:val="5"/>
        </w:rPr>
        <w:t xml:space="preserve"> </w:t>
      </w:r>
      <w:r>
        <w:rPr>
          <w:rFonts w:eastAsia="Cambria" w:cs="Cambria"/>
        </w:rPr>
        <w:t>p</w:t>
      </w:r>
      <w:r>
        <w:rPr>
          <w:rFonts w:eastAsia="Cambria" w:cs="Cambria"/>
          <w:spacing w:val="1"/>
        </w:rPr>
        <w:t>a</w:t>
      </w:r>
      <w:r>
        <w:rPr>
          <w:rFonts w:eastAsia="Cambria" w:cs="Cambria"/>
        </w:rPr>
        <w:t>go</w:t>
      </w:r>
      <w:r>
        <w:rPr>
          <w:rFonts w:eastAsia="Cambria" w:cs="Cambria"/>
          <w:spacing w:val="4"/>
        </w:rPr>
        <w:t xml:space="preserve"> </w:t>
      </w:r>
      <w:r>
        <w:rPr>
          <w:rFonts w:eastAsia="Cambria" w:cs="Cambria"/>
        </w:rPr>
        <w:t>o</w:t>
      </w:r>
      <w:r>
        <w:rPr>
          <w:rFonts w:eastAsia="Cambria" w:cs="Cambria"/>
          <w:spacing w:val="7"/>
        </w:rPr>
        <w:t xml:space="preserve"> </w:t>
      </w:r>
      <w:r>
        <w:rPr>
          <w:rFonts w:eastAsia="Cambria" w:cs="Cambria"/>
        </w:rPr>
        <w:t>m</w:t>
      </w:r>
      <w:r>
        <w:rPr>
          <w:rFonts w:eastAsia="Cambria" w:cs="Cambria"/>
          <w:spacing w:val="1"/>
        </w:rPr>
        <w:t>á</w:t>
      </w:r>
      <w:r>
        <w:rPr>
          <w:rFonts w:eastAsia="Cambria" w:cs="Cambria"/>
        </w:rPr>
        <w:t>s</w:t>
      </w:r>
      <w:r>
        <w:rPr>
          <w:rFonts w:eastAsia="Cambria" w:cs="Cambria"/>
          <w:spacing w:val="5"/>
        </w:rPr>
        <w:t xml:space="preserve"> </w:t>
      </w:r>
      <w:r>
        <w:rPr>
          <w:rFonts w:eastAsia="Cambria" w:cs="Cambria"/>
        </w:rPr>
        <w:t>de</w:t>
      </w:r>
      <w:r>
        <w:rPr>
          <w:rFonts w:eastAsia="Cambria" w:cs="Cambria"/>
          <w:spacing w:val="5"/>
        </w:rPr>
        <w:t xml:space="preserve"> </w:t>
      </w:r>
      <w:r>
        <w:rPr>
          <w:rFonts w:eastAsia="Cambria" w:cs="Cambria"/>
        </w:rPr>
        <w:t>un</w:t>
      </w:r>
      <w:r>
        <w:rPr>
          <w:rFonts w:eastAsia="Cambria" w:cs="Cambria"/>
          <w:spacing w:val="6"/>
        </w:rPr>
        <w:t xml:space="preserve"> </w:t>
      </w:r>
      <w:r>
        <w:rPr>
          <w:rFonts w:eastAsia="Cambria" w:cs="Cambria"/>
        </w:rPr>
        <w:t>v</w:t>
      </w:r>
      <w:r>
        <w:rPr>
          <w:rFonts w:eastAsia="Cambria" w:cs="Cambria"/>
          <w:spacing w:val="-1"/>
        </w:rPr>
        <w:t>e</w:t>
      </w:r>
      <w:r>
        <w:rPr>
          <w:rFonts w:eastAsia="Cambria" w:cs="Cambria"/>
        </w:rPr>
        <w:t>i</w:t>
      </w:r>
      <w:r>
        <w:rPr>
          <w:rFonts w:eastAsia="Cambria" w:cs="Cambria"/>
          <w:spacing w:val="1"/>
        </w:rPr>
        <w:t>n</w:t>
      </w:r>
      <w:r>
        <w:rPr>
          <w:rFonts w:eastAsia="Cambria" w:cs="Cambria"/>
        </w:rPr>
        <w:t>te</w:t>
      </w:r>
      <w:r>
        <w:rPr>
          <w:rFonts w:eastAsia="Cambria" w:cs="Cambria"/>
          <w:spacing w:val="2"/>
        </w:rPr>
        <w:t xml:space="preserve"> </w:t>
      </w:r>
      <w:r>
        <w:rPr>
          <w:rFonts w:eastAsia="Cambria" w:cs="Cambria"/>
        </w:rPr>
        <w:t>p</w:t>
      </w:r>
      <w:r>
        <w:rPr>
          <w:rFonts w:eastAsia="Cambria" w:cs="Cambria"/>
          <w:spacing w:val="2"/>
        </w:rPr>
        <w:t>o</w:t>
      </w:r>
      <w:r>
        <w:rPr>
          <w:rFonts w:eastAsia="Cambria" w:cs="Cambria"/>
        </w:rPr>
        <w:t>r</w:t>
      </w:r>
      <w:r>
        <w:rPr>
          <w:rFonts w:eastAsia="Cambria" w:cs="Cambria"/>
          <w:spacing w:val="5"/>
        </w:rPr>
        <w:t xml:space="preserve"> </w:t>
      </w:r>
      <w:r>
        <w:rPr>
          <w:rFonts w:eastAsia="Cambria" w:cs="Cambria"/>
          <w:spacing w:val="1"/>
        </w:rPr>
        <w:t>c</w:t>
      </w:r>
      <w:r>
        <w:rPr>
          <w:rFonts w:eastAsia="Cambria" w:cs="Cambria"/>
        </w:rPr>
        <w:t>i</w:t>
      </w:r>
      <w:r>
        <w:rPr>
          <w:rFonts w:eastAsia="Cambria" w:cs="Cambria"/>
          <w:spacing w:val="-1"/>
        </w:rPr>
        <w:t>e</w:t>
      </w:r>
      <w:r>
        <w:rPr>
          <w:rFonts w:eastAsia="Cambria" w:cs="Cambria"/>
          <w:spacing w:val="1"/>
        </w:rPr>
        <w:t>n</w:t>
      </w:r>
      <w:r>
        <w:rPr>
          <w:rFonts w:eastAsia="Cambria" w:cs="Cambria"/>
        </w:rPr>
        <w:t>to</w:t>
      </w:r>
      <w:r>
        <w:rPr>
          <w:rFonts w:eastAsia="Cambria" w:cs="Cambria"/>
          <w:spacing w:val="3"/>
        </w:rPr>
        <w:t xml:space="preserve"> </w:t>
      </w:r>
      <w:r>
        <w:rPr>
          <w:rFonts w:eastAsia="Cambria" w:cs="Cambria"/>
          <w:spacing w:val="1"/>
        </w:rPr>
        <w:t>(</w:t>
      </w:r>
      <w:r>
        <w:rPr>
          <w:rFonts w:eastAsia="Cambria" w:cs="Cambria"/>
        </w:rPr>
        <w:t>20%)</w:t>
      </w:r>
      <w:r>
        <w:rPr>
          <w:rFonts w:eastAsia="Cambria" w:cs="Cambria"/>
          <w:spacing w:val="4"/>
        </w:rPr>
        <w:t xml:space="preserve"> </w:t>
      </w:r>
      <w:r>
        <w:rPr>
          <w:rFonts w:eastAsia="Cambria" w:cs="Cambria"/>
          <w:spacing w:val="1"/>
        </w:rPr>
        <w:t>e</w:t>
      </w:r>
      <w:r>
        <w:rPr>
          <w:rFonts w:eastAsia="Cambria" w:cs="Cambria"/>
        </w:rPr>
        <w:t>n</w:t>
      </w:r>
      <w:r>
        <w:rPr>
          <w:rFonts w:eastAsia="Cambria" w:cs="Cambria"/>
          <w:spacing w:val="6"/>
        </w:rPr>
        <w:t xml:space="preserve"> </w:t>
      </w:r>
      <w:r>
        <w:rPr>
          <w:rFonts w:eastAsia="Cambria" w:cs="Cambria"/>
          <w:spacing w:val="7"/>
        </w:rPr>
        <w:t>l</w:t>
      </w:r>
      <w:r>
        <w:rPr>
          <w:rFonts w:eastAsia="Cambria" w:cs="Cambria"/>
        </w:rPr>
        <w:t>a</w:t>
      </w:r>
      <w:r>
        <w:rPr>
          <w:rFonts w:eastAsia="Cambria" w:cs="Cambria"/>
          <w:spacing w:val="8"/>
        </w:rPr>
        <w:t xml:space="preserve"> </w:t>
      </w:r>
      <w:r>
        <w:rPr>
          <w:rFonts w:eastAsia="Cambria" w:cs="Cambria"/>
        </w:rPr>
        <w:t>i</w:t>
      </w:r>
      <w:r>
        <w:rPr>
          <w:rFonts w:eastAsia="Cambria" w:cs="Cambria"/>
          <w:spacing w:val="-1"/>
        </w:rPr>
        <w:t>n</w:t>
      </w:r>
      <w:r>
        <w:rPr>
          <w:rFonts w:eastAsia="Cambria" w:cs="Cambria"/>
        </w:rPr>
        <w:t>v</w:t>
      </w:r>
      <w:r>
        <w:rPr>
          <w:rFonts w:eastAsia="Cambria" w:cs="Cambria"/>
          <w:spacing w:val="-1"/>
        </w:rPr>
        <w:t>er</w:t>
      </w:r>
      <w:r>
        <w:rPr>
          <w:rFonts w:eastAsia="Cambria" w:cs="Cambria"/>
          <w:spacing w:val="1"/>
        </w:rPr>
        <w:t>s</w:t>
      </w:r>
      <w:r>
        <w:rPr>
          <w:rFonts w:eastAsia="Cambria" w:cs="Cambria"/>
        </w:rPr>
        <w:t>ión</w:t>
      </w:r>
      <w:r>
        <w:rPr>
          <w:rFonts w:eastAsia="Cambria" w:cs="Cambria"/>
          <w:spacing w:val="-1"/>
        </w:rPr>
        <w:t xml:space="preserve"> </w:t>
      </w:r>
      <w:r>
        <w:rPr>
          <w:rFonts w:eastAsia="Cambria" w:cs="Cambria"/>
        </w:rPr>
        <w:t>t</w:t>
      </w:r>
      <w:r>
        <w:rPr>
          <w:rFonts w:eastAsia="Cambria" w:cs="Cambria"/>
          <w:spacing w:val="2"/>
        </w:rPr>
        <w:t>o</w:t>
      </w:r>
      <w:r>
        <w:rPr>
          <w:rFonts w:eastAsia="Cambria" w:cs="Cambria"/>
        </w:rPr>
        <w:t>t</w:t>
      </w:r>
      <w:r>
        <w:rPr>
          <w:rFonts w:eastAsia="Cambria" w:cs="Cambria"/>
          <w:spacing w:val="1"/>
        </w:rPr>
        <w:t>a</w:t>
      </w:r>
      <w:r>
        <w:rPr>
          <w:rFonts w:eastAsia="Cambria" w:cs="Cambria"/>
        </w:rPr>
        <w:t>l</w:t>
      </w:r>
      <w:r>
        <w:rPr>
          <w:rFonts w:eastAsia="Cambria" w:cs="Cambria"/>
          <w:spacing w:val="5"/>
        </w:rPr>
        <w:t xml:space="preserve"> </w:t>
      </w:r>
      <w:r>
        <w:rPr>
          <w:rFonts w:eastAsia="Cambria" w:cs="Cambria"/>
          <w:spacing w:val="1"/>
        </w:rPr>
        <w:t>ac</w:t>
      </w:r>
      <w:r>
        <w:rPr>
          <w:rFonts w:eastAsia="Cambria" w:cs="Cambria"/>
        </w:rPr>
        <w:t>umu</w:t>
      </w:r>
      <w:r>
        <w:rPr>
          <w:rFonts w:eastAsia="Cambria" w:cs="Cambria"/>
          <w:spacing w:val="1"/>
        </w:rPr>
        <w:t>l</w:t>
      </w:r>
      <w:r>
        <w:rPr>
          <w:rFonts w:eastAsia="Cambria" w:cs="Cambria"/>
          <w:spacing w:val="-1"/>
        </w:rPr>
        <w:t>a</w:t>
      </w:r>
      <w:r>
        <w:rPr>
          <w:rFonts w:eastAsia="Cambria" w:cs="Cambria"/>
        </w:rPr>
        <w:t>d</w:t>
      </w:r>
      <w:r>
        <w:rPr>
          <w:rFonts w:eastAsia="Cambria" w:cs="Cambria"/>
          <w:spacing w:val="1"/>
        </w:rPr>
        <w:t>a</w:t>
      </w:r>
      <w:r>
        <w:rPr>
          <w:rFonts w:eastAsia="Cambria" w:cs="Cambria"/>
        </w:rPr>
        <w:t>,</w:t>
      </w:r>
      <w:r>
        <w:rPr>
          <w:rFonts w:eastAsia="Cambria" w:cs="Cambria"/>
          <w:spacing w:val="-1"/>
        </w:rPr>
        <w:t xml:space="preserve"> </w:t>
      </w:r>
      <w:r>
        <w:rPr>
          <w:rFonts w:eastAsia="Cambria" w:cs="Cambria"/>
          <w:spacing w:val="1"/>
        </w:rPr>
        <w:t>s</w:t>
      </w:r>
      <w:r>
        <w:rPr>
          <w:rFonts w:eastAsia="Cambria" w:cs="Cambria"/>
          <w:spacing w:val="-1"/>
        </w:rPr>
        <w:t>e</w:t>
      </w:r>
      <w:r>
        <w:rPr>
          <w:rFonts w:eastAsia="Cambria" w:cs="Cambria"/>
        </w:rPr>
        <w:t>gún</w:t>
      </w:r>
      <w:r>
        <w:rPr>
          <w:rFonts w:eastAsia="Cambria" w:cs="Cambria"/>
          <w:spacing w:val="3"/>
        </w:rPr>
        <w:t xml:space="preserve"> </w:t>
      </w:r>
      <w:r>
        <w:rPr>
          <w:rFonts w:eastAsia="Cambria" w:cs="Cambria"/>
          <w:spacing w:val="-1"/>
        </w:rPr>
        <w:t>e</w:t>
      </w:r>
      <w:r>
        <w:rPr>
          <w:rFonts w:eastAsia="Cambria" w:cs="Cambria"/>
        </w:rPr>
        <w:t>l</w:t>
      </w:r>
      <w:r>
        <w:rPr>
          <w:rFonts w:eastAsia="Cambria" w:cs="Cambria"/>
          <w:spacing w:val="7"/>
        </w:rPr>
        <w:t xml:space="preserve"> </w:t>
      </w:r>
      <w:r>
        <w:rPr>
          <w:rFonts w:eastAsia="Cambria" w:cs="Cambria"/>
        </w:rPr>
        <w:t>p</w:t>
      </w:r>
      <w:r>
        <w:rPr>
          <w:rFonts w:eastAsia="Cambria" w:cs="Cambria"/>
          <w:spacing w:val="-1"/>
        </w:rPr>
        <w:t>r</w:t>
      </w:r>
      <w:r>
        <w:rPr>
          <w:rFonts w:eastAsia="Cambria" w:cs="Cambria"/>
        </w:rPr>
        <w:t>o</w:t>
      </w:r>
      <w:r>
        <w:rPr>
          <w:rFonts w:eastAsia="Cambria" w:cs="Cambria"/>
          <w:spacing w:val="2"/>
        </w:rPr>
        <w:t>g</w:t>
      </w:r>
      <w:r>
        <w:rPr>
          <w:rFonts w:eastAsia="Cambria" w:cs="Cambria"/>
          <w:spacing w:val="-1"/>
        </w:rPr>
        <w:t>r</w:t>
      </w:r>
      <w:r>
        <w:rPr>
          <w:rFonts w:eastAsia="Cambria" w:cs="Cambria"/>
          <w:spacing w:val="1"/>
        </w:rPr>
        <w:t>a</w:t>
      </w:r>
      <w:r>
        <w:rPr>
          <w:rFonts w:eastAsia="Cambria" w:cs="Cambria"/>
        </w:rPr>
        <w:t>ma</w:t>
      </w:r>
      <w:r>
        <w:rPr>
          <w:rFonts w:eastAsia="Cambria" w:cs="Cambria"/>
          <w:spacing w:val="1"/>
        </w:rPr>
        <w:t xml:space="preserve"> </w:t>
      </w:r>
      <w:r>
        <w:rPr>
          <w:rFonts w:eastAsia="Cambria" w:cs="Cambria"/>
        </w:rPr>
        <w:t>de t</w:t>
      </w:r>
      <w:r>
        <w:rPr>
          <w:rFonts w:eastAsia="Cambria" w:cs="Cambria"/>
          <w:spacing w:val="-1"/>
        </w:rPr>
        <w:t>r</w:t>
      </w:r>
      <w:r>
        <w:rPr>
          <w:rFonts w:eastAsia="Cambria" w:cs="Cambria"/>
          <w:spacing w:val="1"/>
        </w:rPr>
        <w:t>a</w:t>
      </w:r>
      <w:r>
        <w:rPr>
          <w:rFonts w:eastAsia="Cambria" w:cs="Cambria"/>
          <w:spacing w:val="-1"/>
        </w:rPr>
        <w:t>b</w:t>
      </w:r>
      <w:r>
        <w:rPr>
          <w:rFonts w:eastAsia="Cambria" w:cs="Cambria"/>
          <w:spacing w:val="1"/>
        </w:rPr>
        <w:t>a</w:t>
      </w:r>
      <w:r>
        <w:rPr>
          <w:rFonts w:eastAsia="Cambria" w:cs="Cambria"/>
        </w:rPr>
        <w:t>jo</w:t>
      </w:r>
      <w:r>
        <w:rPr>
          <w:rFonts w:eastAsia="Cambria" w:cs="Cambria"/>
          <w:spacing w:val="-5"/>
        </w:rPr>
        <w:t xml:space="preserve"> </w:t>
      </w:r>
      <w:r>
        <w:rPr>
          <w:rFonts w:eastAsia="Cambria" w:cs="Cambria"/>
        </w:rPr>
        <w:t>e</w:t>
      </w:r>
      <w:r>
        <w:rPr>
          <w:rFonts w:eastAsia="Cambria" w:cs="Cambria"/>
          <w:spacing w:val="-1"/>
        </w:rPr>
        <w:t xml:space="preserve"> </w:t>
      </w:r>
      <w:r>
        <w:rPr>
          <w:rFonts w:eastAsia="Cambria" w:cs="Cambria"/>
          <w:spacing w:val="2"/>
        </w:rPr>
        <w:t>i</w:t>
      </w:r>
      <w:r>
        <w:rPr>
          <w:rFonts w:eastAsia="Cambria" w:cs="Cambria"/>
          <w:spacing w:val="-1"/>
        </w:rPr>
        <w:t>n</w:t>
      </w:r>
      <w:r>
        <w:rPr>
          <w:rFonts w:eastAsia="Cambria" w:cs="Cambria"/>
        </w:rPr>
        <w:t>v</w:t>
      </w:r>
      <w:r>
        <w:rPr>
          <w:rFonts w:eastAsia="Cambria" w:cs="Cambria"/>
          <w:spacing w:val="1"/>
        </w:rPr>
        <w:t>e</w:t>
      </w:r>
      <w:r>
        <w:rPr>
          <w:rFonts w:eastAsia="Cambria" w:cs="Cambria"/>
          <w:spacing w:val="-1"/>
        </w:rPr>
        <w:t>r</w:t>
      </w:r>
      <w:r>
        <w:rPr>
          <w:rFonts w:eastAsia="Cambria" w:cs="Cambria"/>
          <w:spacing w:val="1"/>
        </w:rPr>
        <w:t>s</w:t>
      </w:r>
      <w:r>
        <w:rPr>
          <w:rFonts w:eastAsia="Cambria" w:cs="Cambria"/>
        </w:rPr>
        <w:t>io</w:t>
      </w:r>
      <w:r>
        <w:rPr>
          <w:rFonts w:eastAsia="Cambria" w:cs="Cambria"/>
          <w:spacing w:val="1"/>
        </w:rPr>
        <w:t>n</w:t>
      </w:r>
      <w:r>
        <w:rPr>
          <w:rFonts w:eastAsia="Cambria" w:cs="Cambria"/>
          <w:spacing w:val="-1"/>
        </w:rPr>
        <w:t>e</w:t>
      </w:r>
      <w:r>
        <w:rPr>
          <w:rFonts w:eastAsia="Cambria" w:cs="Cambria"/>
        </w:rPr>
        <w:t>s</w:t>
      </w:r>
      <w:r>
        <w:rPr>
          <w:rFonts w:eastAsia="Cambria" w:cs="Cambria"/>
          <w:spacing w:val="-8"/>
        </w:rPr>
        <w:t xml:space="preserve"> </w:t>
      </w:r>
      <w:r>
        <w:rPr>
          <w:rFonts w:eastAsia="Cambria" w:cs="Cambria"/>
        </w:rPr>
        <w:t>p</w:t>
      </w:r>
      <w:r>
        <w:rPr>
          <w:rFonts w:eastAsia="Cambria" w:cs="Cambria"/>
          <w:spacing w:val="1"/>
        </w:rPr>
        <w:t>r</w:t>
      </w:r>
      <w:r>
        <w:rPr>
          <w:rFonts w:eastAsia="Cambria" w:cs="Cambria"/>
          <w:spacing w:val="-1"/>
        </w:rPr>
        <w:t>e</w:t>
      </w:r>
      <w:r>
        <w:rPr>
          <w:rFonts w:eastAsia="Cambria" w:cs="Cambria"/>
          <w:spacing w:val="1"/>
        </w:rPr>
        <w:t>sen</w:t>
      </w:r>
      <w:r>
        <w:rPr>
          <w:rFonts w:eastAsia="Cambria" w:cs="Cambria"/>
        </w:rPr>
        <w:t>t</w:t>
      </w:r>
      <w:r>
        <w:rPr>
          <w:rFonts w:eastAsia="Cambria" w:cs="Cambria"/>
          <w:spacing w:val="1"/>
        </w:rPr>
        <w:t>a</w:t>
      </w:r>
      <w:r>
        <w:rPr>
          <w:rFonts w:eastAsia="Cambria" w:cs="Cambria"/>
        </w:rPr>
        <w:t>do</w:t>
      </w:r>
      <w:r>
        <w:rPr>
          <w:rFonts w:eastAsia="Cambria" w:cs="Cambria"/>
          <w:spacing w:val="-9"/>
        </w:rPr>
        <w:t xml:space="preserve"> </w:t>
      </w:r>
      <w:r>
        <w:rPr>
          <w:rFonts w:eastAsia="Cambria" w:cs="Cambria"/>
        </w:rPr>
        <w:t>por</w:t>
      </w:r>
      <w:r>
        <w:rPr>
          <w:rFonts w:eastAsia="Cambria" w:cs="Cambria"/>
          <w:spacing w:val="-3"/>
        </w:rPr>
        <w:t xml:space="preserve"> </w:t>
      </w:r>
      <w:r>
        <w:rPr>
          <w:rFonts w:eastAsia="Cambria" w:cs="Cambria"/>
          <w:spacing w:val="-1"/>
        </w:rPr>
        <w:t>e</w:t>
      </w:r>
      <w:r>
        <w:rPr>
          <w:rFonts w:eastAsia="Cambria" w:cs="Cambria"/>
        </w:rPr>
        <w:t xml:space="preserve">l </w:t>
      </w:r>
      <w:r>
        <w:rPr>
          <w:rFonts w:eastAsia="Cambria" w:cs="Cambria"/>
          <w:spacing w:val="1"/>
        </w:rPr>
        <w:t>c</w:t>
      </w:r>
      <w:r>
        <w:rPr>
          <w:rFonts w:eastAsia="Cambria" w:cs="Cambria"/>
        </w:rPr>
        <w:t>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1"/>
        </w:rPr>
        <w:t>a</w:t>
      </w:r>
      <w:r>
        <w:rPr>
          <w:rFonts w:eastAsia="Cambria" w:cs="Cambria"/>
        </w:rPr>
        <w:t>tista</w:t>
      </w:r>
      <w:r>
        <w:rPr>
          <w:rFonts w:eastAsia="Cambria" w:cs="Cambria"/>
          <w:spacing w:val="-6"/>
        </w:rPr>
        <w:t xml:space="preserve"> </w:t>
      </w:r>
      <w:r>
        <w:rPr>
          <w:rFonts w:eastAsia="Cambria" w:cs="Cambria"/>
        </w:rPr>
        <w:t>y</w:t>
      </w:r>
      <w:r>
        <w:rPr>
          <w:rFonts w:eastAsia="Cambria" w:cs="Cambria"/>
          <w:spacing w:val="1"/>
        </w:rPr>
        <w:t xml:space="preserve"> a</w:t>
      </w:r>
      <w:r>
        <w:rPr>
          <w:rFonts w:eastAsia="Cambria" w:cs="Cambria"/>
        </w:rPr>
        <w:t>p</w:t>
      </w:r>
      <w:r>
        <w:rPr>
          <w:rFonts w:eastAsia="Cambria" w:cs="Cambria"/>
          <w:spacing w:val="-1"/>
        </w:rPr>
        <w:t>r</w:t>
      </w:r>
      <w:r>
        <w:rPr>
          <w:rFonts w:eastAsia="Cambria" w:cs="Cambria"/>
        </w:rPr>
        <w:t>o</w:t>
      </w:r>
      <w:r>
        <w:rPr>
          <w:rFonts w:eastAsia="Cambria" w:cs="Cambria"/>
          <w:spacing w:val="-1"/>
        </w:rPr>
        <w:t>b</w:t>
      </w:r>
      <w:r>
        <w:rPr>
          <w:rFonts w:eastAsia="Cambria" w:cs="Cambria"/>
          <w:spacing w:val="1"/>
        </w:rPr>
        <w:t>a</w:t>
      </w:r>
      <w:r>
        <w:rPr>
          <w:rFonts w:eastAsia="Cambria" w:cs="Cambria"/>
        </w:rPr>
        <w:t>do</w:t>
      </w:r>
      <w:r>
        <w:rPr>
          <w:rFonts w:eastAsia="Cambria" w:cs="Cambria"/>
          <w:spacing w:val="-7"/>
        </w:rPr>
        <w:t xml:space="preserve"> </w:t>
      </w:r>
      <w:r>
        <w:rPr>
          <w:rFonts w:eastAsia="Cambria" w:cs="Cambria"/>
        </w:rPr>
        <w:t>p</w:t>
      </w:r>
      <w:r>
        <w:rPr>
          <w:rFonts w:eastAsia="Cambria" w:cs="Cambria"/>
          <w:spacing w:val="2"/>
        </w:rPr>
        <w:t>o</w:t>
      </w:r>
      <w:r>
        <w:rPr>
          <w:rFonts w:eastAsia="Cambria" w:cs="Cambria"/>
        </w:rPr>
        <w:t>r</w:t>
      </w:r>
      <w:r>
        <w:rPr>
          <w:rFonts w:eastAsia="Cambria" w:cs="Cambria"/>
          <w:spacing w:val="-2"/>
        </w:rPr>
        <w:t xml:space="preserve"> </w:t>
      </w:r>
      <w:r>
        <w:rPr>
          <w:rFonts w:eastAsia="Cambria" w:cs="Cambria"/>
          <w:spacing w:val="1"/>
        </w:rPr>
        <w:t>l</w:t>
      </w:r>
      <w:r>
        <w:rPr>
          <w:rFonts w:eastAsia="Cambria" w:cs="Cambria"/>
        </w:rPr>
        <w:t>a In</w:t>
      </w:r>
      <w:r>
        <w:rPr>
          <w:rFonts w:eastAsia="Cambria" w:cs="Cambria"/>
          <w:spacing w:val="-1"/>
        </w:rPr>
        <w:t>ter</w:t>
      </w:r>
      <w:r>
        <w:rPr>
          <w:rFonts w:eastAsia="Cambria" w:cs="Cambria"/>
          <w:spacing w:val="3"/>
        </w:rPr>
        <w:t>v</w:t>
      </w:r>
      <w:r>
        <w:rPr>
          <w:rFonts w:eastAsia="Cambria" w:cs="Cambria"/>
          <w:spacing w:val="-1"/>
        </w:rPr>
        <w:t>en</w:t>
      </w:r>
      <w:r>
        <w:rPr>
          <w:rFonts w:eastAsia="Cambria" w:cs="Cambria"/>
          <w:spacing w:val="2"/>
        </w:rPr>
        <w:t>t</w:t>
      </w:r>
      <w:r>
        <w:rPr>
          <w:rFonts w:eastAsia="Cambria" w:cs="Cambria"/>
        </w:rPr>
        <w:t>o</w:t>
      </w:r>
      <w:r>
        <w:rPr>
          <w:rFonts w:eastAsia="Cambria" w:cs="Cambria"/>
          <w:spacing w:val="-1"/>
        </w:rPr>
        <w:t>r</w:t>
      </w:r>
      <w:r>
        <w:rPr>
          <w:rFonts w:eastAsia="Cambria" w:cs="Cambria"/>
        </w:rPr>
        <w:t>í</w:t>
      </w:r>
      <w:r>
        <w:rPr>
          <w:rFonts w:eastAsia="Cambria" w:cs="Cambria"/>
          <w:spacing w:val="1"/>
        </w:rPr>
        <w:t>a</w:t>
      </w:r>
      <w:r>
        <w:rPr>
          <w:rFonts w:eastAsia="Cambria" w:cs="Cambria"/>
        </w:rPr>
        <w:t>,</w:t>
      </w:r>
      <w:r>
        <w:rPr>
          <w:rFonts w:eastAsia="Cambria" w:cs="Cambria"/>
          <w:spacing w:val="-11"/>
        </w:rPr>
        <w:t xml:space="preserve"> </w:t>
      </w:r>
      <w:r>
        <w:rPr>
          <w:rFonts w:eastAsia="Cambria" w:cs="Cambria"/>
          <w:spacing w:val="1"/>
        </w:rPr>
        <w:t>e</w:t>
      </w:r>
      <w:r>
        <w:rPr>
          <w:rFonts w:eastAsia="Cambria" w:cs="Cambria"/>
        </w:rPr>
        <w:t>l dos</w:t>
      </w:r>
      <w:r>
        <w:rPr>
          <w:rFonts w:eastAsia="Cambria" w:cs="Cambria"/>
          <w:spacing w:val="-1"/>
        </w:rPr>
        <w:t xml:space="preserve"> </w:t>
      </w:r>
      <w:r>
        <w:rPr>
          <w:rFonts w:eastAsia="Cambria" w:cs="Cambria"/>
        </w:rPr>
        <w:t>por</w:t>
      </w:r>
      <w:r>
        <w:rPr>
          <w:rFonts w:eastAsia="Cambria" w:cs="Cambria"/>
          <w:spacing w:val="-3"/>
        </w:rPr>
        <w:t xml:space="preserve"> </w:t>
      </w:r>
      <w:r>
        <w:rPr>
          <w:rFonts w:eastAsia="Cambria" w:cs="Cambria"/>
          <w:spacing w:val="1"/>
        </w:rPr>
        <w:t>c</w:t>
      </w:r>
      <w:r>
        <w:rPr>
          <w:rFonts w:eastAsia="Cambria" w:cs="Cambria"/>
        </w:rPr>
        <w:t>i</w:t>
      </w:r>
      <w:r>
        <w:rPr>
          <w:rFonts w:eastAsia="Cambria" w:cs="Cambria"/>
          <w:spacing w:val="-1"/>
        </w:rPr>
        <w:t>en</w:t>
      </w:r>
      <w:r>
        <w:rPr>
          <w:rFonts w:eastAsia="Cambria" w:cs="Cambria"/>
        </w:rPr>
        <w:t>to</w:t>
      </w:r>
      <w:r>
        <w:rPr>
          <w:rFonts w:eastAsia="Cambria" w:cs="Cambria"/>
          <w:spacing w:val="-4"/>
        </w:rPr>
        <w:t xml:space="preserve"> </w:t>
      </w:r>
      <w:r>
        <w:rPr>
          <w:rFonts w:eastAsia="Cambria" w:cs="Cambria"/>
          <w:spacing w:val="1"/>
        </w:rPr>
        <w:t>(</w:t>
      </w:r>
      <w:r>
        <w:rPr>
          <w:rFonts w:eastAsia="Cambria" w:cs="Cambria"/>
        </w:rPr>
        <w:t>2%)</w:t>
      </w:r>
      <w:r>
        <w:rPr>
          <w:rFonts w:eastAsia="Cambria" w:cs="Cambria"/>
          <w:spacing w:val="-2"/>
        </w:rPr>
        <w:t xml:space="preserve"> </w:t>
      </w:r>
      <w:r>
        <w:rPr>
          <w:rFonts w:eastAsia="Cambria" w:cs="Cambria"/>
        </w:rPr>
        <w:t>d</w:t>
      </w:r>
      <w:r>
        <w:rPr>
          <w:rFonts w:eastAsia="Cambria" w:cs="Cambria"/>
          <w:spacing w:val="-1"/>
        </w:rPr>
        <w:t>e</w:t>
      </w:r>
      <w:r>
        <w:rPr>
          <w:rFonts w:eastAsia="Cambria" w:cs="Cambria"/>
        </w:rPr>
        <w:t>l v</w:t>
      </w:r>
      <w:r>
        <w:rPr>
          <w:rFonts w:eastAsia="Cambria" w:cs="Cambria"/>
          <w:spacing w:val="1"/>
        </w:rPr>
        <w:t>al</w:t>
      </w:r>
      <w:r>
        <w:rPr>
          <w:rFonts w:eastAsia="Cambria" w:cs="Cambria"/>
        </w:rPr>
        <w:t>or</w:t>
      </w:r>
      <w:r>
        <w:rPr>
          <w:rFonts w:eastAsia="Cambria" w:cs="Cambria"/>
          <w:spacing w:val="11"/>
        </w:rPr>
        <w:t xml:space="preserve"> </w:t>
      </w:r>
      <w:r>
        <w:rPr>
          <w:rFonts w:eastAsia="Cambria" w:cs="Cambria"/>
        </w:rPr>
        <w:t>de</w:t>
      </w:r>
      <w:r>
        <w:rPr>
          <w:rFonts w:eastAsia="Cambria" w:cs="Cambria"/>
          <w:spacing w:val="12"/>
        </w:rPr>
        <w:t xml:space="preserve"> </w:t>
      </w:r>
      <w:r>
        <w:rPr>
          <w:rFonts w:eastAsia="Cambria" w:cs="Cambria"/>
          <w:spacing w:val="1"/>
        </w:rPr>
        <w:t>l</w:t>
      </w:r>
      <w:r>
        <w:rPr>
          <w:rFonts w:eastAsia="Cambria" w:cs="Cambria"/>
        </w:rPr>
        <w:t>o</w:t>
      </w:r>
      <w:r>
        <w:rPr>
          <w:rFonts w:eastAsia="Cambria" w:cs="Cambria"/>
          <w:spacing w:val="14"/>
        </w:rPr>
        <w:t xml:space="preserve"> </w:t>
      </w:r>
      <w:r>
        <w:rPr>
          <w:rFonts w:eastAsia="Cambria" w:cs="Cambria"/>
          <w:spacing w:val="-1"/>
        </w:rPr>
        <w:t>e</w:t>
      </w:r>
      <w:r>
        <w:rPr>
          <w:rFonts w:eastAsia="Cambria" w:cs="Cambria"/>
        </w:rPr>
        <w:t>j</w:t>
      </w:r>
      <w:r>
        <w:rPr>
          <w:rFonts w:eastAsia="Cambria" w:cs="Cambria"/>
          <w:spacing w:val="-1"/>
        </w:rPr>
        <w:t>e</w:t>
      </w:r>
      <w:r>
        <w:rPr>
          <w:rFonts w:eastAsia="Cambria" w:cs="Cambria"/>
          <w:spacing w:val="1"/>
        </w:rPr>
        <w:t>c</w:t>
      </w:r>
      <w:r>
        <w:rPr>
          <w:rFonts w:eastAsia="Cambria" w:cs="Cambria"/>
        </w:rPr>
        <w:t>ut</w:t>
      </w:r>
      <w:r>
        <w:rPr>
          <w:rFonts w:eastAsia="Cambria" w:cs="Cambria"/>
          <w:spacing w:val="1"/>
        </w:rPr>
        <w:t>a</w:t>
      </w:r>
      <w:r>
        <w:rPr>
          <w:rFonts w:eastAsia="Cambria" w:cs="Cambria"/>
        </w:rPr>
        <w:t>do,</w:t>
      </w:r>
      <w:r>
        <w:rPr>
          <w:rFonts w:eastAsia="Cambria" w:cs="Cambria"/>
          <w:spacing w:val="6"/>
        </w:rPr>
        <w:t xml:space="preserve"> </w:t>
      </w:r>
      <w:r>
        <w:rPr>
          <w:rFonts w:eastAsia="Cambria" w:cs="Cambria"/>
          <w:spacing w:val="1"/>
        </w:rPr>
        <w:t>s</w:t>
      </w:r>
      <w:r>
        <w:rPr>
          <w:rFonts w:eastAsia="Cambria" w:cs="Cambria"/>
          <w:spacing w:val="2"/>
        </w:rPr>
        <w:t>i</w:t>
      </w:r>
      <w:r>
        <w:rPr>
          <w:rFonts w:eastAsia="Cambria" w:cs="Cambria"/>
        </w:rPr>
        <w:t>n</w:t>
      </w:r>
      <w:r>
        <w:rPr>
          <w:rFonts w:eastAsia="Cambria" w:cs="Cambria"/>
          <w:spacing w:val="12"/>
        </w:rPr>
        <w:t xml:space="preserve"> </w:t>
      </w:r>
      <w:r>
        <w:rPr>
          <w:rFonts w:eastAsia="Cambria" w:cs="Cambria"/>
          <w:spacing w:val="1"/>
        </w:rPr>
        <w:t>s</w:t>
      </w:r>
      <w:r>
        <w:rPr>
          <w:rFonts w:eastAsia="Cambria" w:cs="Cambria"/>
        </w:rPr>
        <w:t>up</w:t>
      </w:r>
      <w:r>
        <w:rPr>
          <w:rFonts w:eastAsia="Cambria" w:cs="Cambria"/>
          <w:spacing w:val="-1"/>
        </w:rPr>
        <w:t>er</w:t>
      </w:r>
      <w:r>
        <w:rPr>
          <w:rFonts w:eastAsia="Cambria" w:cs="Cambria"/>
          <w:spacing w:val="3"/>
        </w:rPr>
        <w:t>a</w:t>
      </w:r>
      <w:r>
        <w:rPr>
          <w:rFonts w:eastAsia="Cambria" w:cs="Cambria"/>
        </w:rPr>
        <w:t>r</w:t>
      </w:r>
      <w:r>
        <w:rPr>
          <w:rFonts w:eastAsia="Cambria" w:cs="Cambria"/>
          <w:spacing w:val="8"/>
        </w:rPr>
        <w:t xml:space="preserve"> </w:t>
      </w:r>
      <w:r>
        <w:rPr>
          <w:rFonts w:eastAsia="Cambria" w:cs="Cambria"/>
          <w:spacing w:val="-1"/>
        </w:rPr>
        <w:t>e</w:t>
      </w:r>
      <w:r>
        <w:rPr>
          <w:rFonts w:eastAsia="Cambria" w:cs="Cambria"/>
        </w:rPr>
        <w:t>l</w:t>
      </w:r>
      <w:r>
        <w:rPr>
          <w:rFonts w:eastAsia="Cambria" w:cs="Cambria"/>
          <w:spacing w:val="15"/>
        </w:rPr>
        <w:t xml:space="preserve"> </w:t>
      </w:r>
      <w:r>
        <w:rPr>
          <w:rFonts w:eastAsia="Cambria" w:cs="Cambria"/>
          <w:spacing w:val="1"/>
        </w:rPr>
        <w:t>c</w:t>
      </w:r>
      <w:r>
        <w:rPr>
          <w:rFonts w:eastAsia="Cambria" w:cs="Cambria"/>
        </w:rPr>
        <w:t>i</w:t>
      </w:r>
      <w:r>
        <w:rPr>
          <w:rFonts w:eastAsia="Cambria" w:cs="Cambria"/>
          <w:spacing w:val="-1"/>
        </w:rPr>
        <w:t>n</w:t>
      </w:r>
      <w:r>
        <w:rPr>
          <w:rFonts w:eastAsia="Cambria" w:cs="Cambria"/>
          <w:spacing w:val="1"/>
        </w:rPr>
        <w:t>c</w:t>
      </w:r>
      <w:r>
        <w:rPr>
          <w:rFonts w:eastAsia="Cambria" w:cs="Cambria"/>
        </w:rPr>
        <w:t>o</w:t>
      </w:r>
      <w:r>
        <w:rPr>
          <w:rFonts w:eastAsia="Cambria" w:cs="Cambria"/>
          <w:spacing w:val="12"/>
        </w:rPr>
        <w:t xml:space="preserve"> </w:t>
      </w:r>
      <w:r>
        <w:rPr>
          <w:rFonts w:eastAsia="Cambria" w:cs="Cambria"/>
        </w:rPr>
        <w:t>por</w:t>
      </w:r>
      <w:r>
        <w:rPr>
          <w:rFonts w:eastAsia="Cambria" w:cs="Cambria"/>
          <w:spacing w:val="11"/>
        </w:rPr>
        <w:t xml:space="preserve"> </w:t>
      </w:r>
      <w:r>
        <w:rPr>
          <w:rFonts w:eastAsia="Cambria" w:cs="Cambria"/>
          <w:spacing w:val="1"/>
        </w:rPr>
        <w:t>c</w:t>
      </w:r>
      <w:r>
        <w:rPr>
          <w:rFonts w:eastAsia="Cambria" w:cs="Cambria"/>
          <w:spacing w:val="2"/>
        </w:rPr>
        <w:t>i</w:t>
      </w:r>
      <w:r>
        <w:rPr>
          <w:rFonts w:eastAsia="Cambria" w:cs="Cambria"/>
          <w:spacing w:val="-1"/>
        </w:rPr>
        <w:t>en</w:t>
      </w:r>
      <w:r>
        <w:rPr>
          <w:rFonts w:eastAsia="Cambria" w:cs="Cambria"/>
        </w:rPr>
        <w:t>to</w:t>
      </w:r>
      <w:r>
        <w:rPr>
          <w:rFonts w:eastAsia="Cambria" w:cs="Cambria"/>
          <w:spacing w:val="11"/>
        </w:rPr>
        <w:t xml:space="preserve"> </w:t>
      </w:r>
      <w:r>
        <w:rPr>
          <w:rFonts w:eastAsia="Cambria" w:cs="Cambria"/>
          <w:spacing w:val="1"/>
        </w:rPr>
        <w:t>(</w:t>
      </w:r>
      <w:r>
        <w:rPr>
          <w:rFonts w:eastAsia="Cambria" w:cs="Cambria"/>
          <w:spacing w:val="2"/>
        </w:rPr>
        <w:t>5</w:t>
      </w:r>
      <w:r>
        <w:rPr>
          <w:rFonts w:eastAsia="Cambria" w:cs="Cambria"/>
        </w:rPr>
        <w:t>%)</w:t>
      </w:r>
      <w:r>
        <w:rPr>
          <w:rFonts w:eastAsia="Cambria" w:cs="Cambria"/>
          <w:spacing w:val="13"/>
        </w:rPr>
        <w:t xml:space="preserve"> </w:t>
      </w:r>
      <w:r>
        <w:rPr>
          <w:rFonts w:eastAsia="Cambria" w:cs="Cambria"/>
        </w:rPr>
        <w:t>d</w:t>
      </w:r>
      <w:r>
        <w:rPr>
          <w:rFonts w:eastAsia="Cambria" w:cs="Cambria"/>
          <w:spacing w:val="-1"/>
        </w:rPr>
        <w:t>e</w:t>
      </w:r>
      <w:r>
        <w:rPr>
          <w:rFonts w:eastAsia="Cambria" w:cs="Cambria"/>
        </w:rPr>
        <w:t>l</w:t>
      </w:r>
      <w:r>
        <w:rPr>
          <w:rFonts w:eastAsia="Cambria" w:cs="Cambria"/>
          <w:spacing w:val="14"/>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11"/>
        </w:rPr>
        <w:t xml:space="preserve"> </w:t>
      </w:r>
      <w:r>
        <w:rPr>
          <w:rFonts w:eastAsia="Cambria" w:cs="Cambria"/>
        </w:rPr>
        <w:t>total</w:t>
      </w:r>
      <w:r>
        <w:rPr>
          <w:rFonts w:eastAsia="Cambria" w:cs="Cambria"/>
          <w:spacing w:val="13"/>
        </w:rPr>
        <w:t xml:space="preserve"> </w:t>
      </w:r>
      <w:r>
        <w:rPr>
          <w:rFonts w:eastAsia="Cambria" w:cs="Cambria"/>
        </w:rPr>
        <w:t>d</w:t>
      </w:r>
      <w:r>
        <w:rPr>
          <w:rFonts w:eastAsia="Cambria" w:cs="Cambria"/>
          <w:spacing w:val="-1"/>
        </w:rPr>
        <w:t>e</w:t>
      </w:r>
      <w:r>
        <w:rPr>
          <w:rFonts w:eastAsia="Cambria" w:cs="Cambria"/>
        </w:rPr>
        <w:t>l</w:t>
      </w:r>
      <w:r>
        <w:rPr>
          <w:rFonts w:eastAsia="Cambria" w:cs="Cambria"/>
          <w:spacing w:val="14"/>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w:t>
      </w:r>
      <w:r>
        <w:rPr>
          <w:rFonts w:eastAsia="Cambria" w:cs="Cambria"/>
          <w:spacing w:val="7"/>
        </w:rPr>
        <w:t xml:space="preserve"> </w:t>
      </w:r>
      <w:r>
        <w:rPr>
          <w:rFonts w:eastAsia="Cambria" w:cs="Cambria"/>
          <w:spacing w:val="1"/>
        </w:rPr>
        <w:t>l</w:t>
      </w:r>
      <w:r>
        <w:rPr>
          <w:rFonts w:eastAsia="Cambria" w:cs="Cambria"/>
        </w:rPr>
        <w:t>o</w:t>
      </w:r>
      <w:r>
        <w:rPr>
          <w:rFonts w:eastAsia="Cambria" w:cs="Cambria"/>
          <w:spacing w:val="14"/>
        </w:rPr>
        <w:t xml:space="preserve"> </w:t>
      </w:r>
      <w:r>
        <w:rPr>
          <w:rFonts w:eastAsia="Cambria" w:cs="Cambria"/>
          <w:w w:val="99"/>
        </w:rPr>
        <w:t>c</w:t>
      </w:r>
      <w:r>
        <w:rPr>
          <w:rFonts w:eastAsia="Cambria" w:cs="Cambria"/>
          <w:spacing w:val="-32"/>
        </w:rPr>
        <w:t xml:space="preserve"> </w:t>
      </w:r>
      <w:r>
        <w:rPr>
          <w:rFonts w:eastAsia="Cambria" w:cs="Cambria"/>
        </w:rPr>
        <w:t>c</w:t>
      </w:r>
      <w:r>
        <w:rPr>
          <w:rFonts w:eastAsia="Cambria" w:cs="Cambria"/>
          <w:spacing w:val="-1"/>
        </w:rPr>
        <w:t>u</w:t>
      </w:r>
      <w:r>
        <w:rPr>
          <w:rFonts w:eastAsia="Cambria" w:cs="Cambria"/>
        </w:rPr>
        <w:t>al</w:t>
      </w:r>
      <w:r>
        <w:rPr>
          <w:rFonts w:eastAsia="Cambria" w:cs="Cambria"/>
          <w:spacing w:val="14"/>
        </w:rPr>
        <w:t xml:space="preserve"> </w:t>
      </w:r>
      <w:r>
        <w:rPr>
          <w:rFonts w:eastAsia="Cambria" w:cs="Cambria"/>
          <w:spacing w:val="-1"/>
        </w:rPr>
        <w:t>n</w:t>
      </w:r>
      <w:r>
        <w:rPr>
          <w:rFonts w:eastAsia="Cambria" w:cs="Cambria"/>
        </w:rPr>
        <w:t>o</w:t>
      </w:r>
      <w:r>
        <w:rPr>
          <w:rFonts w:eastAsia="Cambria" w:cs="Cambria"/>
          <w:spacing w:val="14"/>
        </w:rPr>
        <w:t xml:space="preserve"> </w:t>
      </w:r>
      <w:r>
        <w:rPr>
          <w:rFonts w:eastAsia="Cambria" w:cs="Cambria"/>
          <w:spacing w:val="-1"/>
        </w:rPr>
        <w:t>e</w:t>
      </w:r>
      <w:r>
        <w:rPr>
          <w:rFonts w:eastAsia="Cambria" w:cs="Cambria"/>
        </w:rPr>
        <w:t>xo</w:t>
      </w:r>
      <w:r>
        <w:rPr>
          <w:rFonts w:eastAsia="Cambria" w:cs="Cambria"/>
          <w:spacing w:val="1"/>
        </w:rPr>
        <w:t>n</w:t>
      </w:r>
      <w:r>
        <w:rPr>
          <w:rFonts w:eastAsia="Cambria" w:cs="Cambria"/>
          <w:spacing w:val="-1"/>
        </w:rPr>
        <w:t>er</w:t>
      </w:r>
      <w:r>
        <w:rPr>
          <w:rFonts w:eastAsia="Cambria" w:cs="Cambria"/>
        </w:rPr>
        <w:t>a</w:t>
      </w:r>
      <w:r>
        <w:rPr>
          <w:rFonts w:eastAsia="Cambria" w:cs="Cambria"/>
          <w:spacing w:val="10"/>
        </w:rPr>
        <w:t xml:space="preserve"> </w:t>
      </w:r>
      <w:r>
        <w:rPr>
          <w:rFonts w:eastAsia="Cambria" w:cs="Cambria"/>
          <w:spacing w:val="1"/>
        </w:rPr>
        <w:t>a</w:t>
      </w:r>
      <w:r>
        <w:rPr>
          <w:rFonts w:eastAsia="Cambria" w:cs="Cambria"/>
        </w:rPr>
        <w:t>l Co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tista</w:t>
      </w:r>
      <w:r>
        <w:rPr>
          <w:rFonts w:eastAsia="Cambria" w:cs="Cambria"/>
          <w:spacing w:val="-7"/>
        </w:rPr>
        <w:t xml:space="preserve"> </w:t>
      </w:r>
      <w:r>
        <w:rPr>
          <w:rFonts w:eastAsia="Cambria" w:cs="Cambria"/>
        </w:rPr>
        <w:t>de</w:t>
      </w:r>
      <w:r>
        <w:rPr>
          <w:rFonts w:eastAsia="Cambria" w:cs="Cambria"/>
          <w:spacing w:val="-2"/>
        </w:rPr>
        <w:t xml:space="preserve"> </w:t>
      </w:r>
      <w:r>
        <w:rPr>
          <w:rFonts w:eastAsia="Cambria" w:cs="Cambria"/>
          <w:spacing w:val="1"/>
        </w:rPr>
        <w:t>l</w:t>
      </w:r>
      <w:r>
        <w:rPr>
          <w:rFonts w:eastAsia="Cambria" w:cs="Cambria"/>
        </w:rPr>
        <w:t>a</w:t>
      </w:r>
      <w:r>
        <w:rPr>
          <w:rFonts w:eastAsia="Cambria" w:cs="Cambria"/>
          <w:spacing w:val="-2"/>
        </w:rPr>
        <w:t xml:space="preserve"> </w:t>
      </w:r>
      <w:r>
        <w:rPr>
          <w:rFonts w:eastAsia="Cambria" w:cs="Cambria"/>
        </w:rPr>
        <w:t>o</w:t>
      </w:r>
      <w:r>
        <w:rPr>
          <w:rFonts w:eastAsia="Cambria" w:cs="Cambria"/>
          <w:spacing w:val="-1"/>
        </w:rPr>
        <w:t>b</w:t>
      </w:r>
      <w:r>
        <w:rPr>
          <w:rFonts w:eastAsia="Cambria" w:cs="Cambria"/>
          <w:spacing w:val="1"/>
        </w:rPr>
        <w:t>l</w:t>
      </w:r>
      <w:r>
        <w:rPr>
          <w:rFonts w:eastAsia="Cambria" w:cs="Cambria"/>
        </w:rPr>
        <w:t>ig</w:t>
      </w:r>
      <w:r>
        <w:rPr>
          <w:rFonts w:eastAsia="Cambria" w:cs="Cambria"/>
          <w:spacing w:val="1"/>
        </w:rPr>
        <w:t>ac</w:t>
      </w:r>
      <w:r>
        <w:rPr>
          <w:rFonts w:eastAsia="Cambria" w:cs="Cambria"/>
        </w:rPr>
        <w:t>ión</w:t>
      </w:r>
      <w:r>
        <w:rPr>
          <w:rFonts w:eastAsia="Cambria" w:cs="Cambria"/>
          <w:spacing w:val="-7"/>
        </w:rPr>
        <w:t xml:space="preserve"> </w:t>
      </w:r>
      <w:r>
        <w:rPr>
          <w:rFonts w:eastAsia="Cambria" w:cs="Cambria"/>
        </w:rPr>
        <w:t>de</w:t>
      </w:r>
      <w:r>
        <w:rPr>
          <w:rFonts w:eastAsia="Cambria" w:cs="Cambria"/>
          <w:spacing w:val="-2"/>
        </w:rPr>
        <w:t xml:space="preserve"> </w:t>
      </w:r>
      <w:r>
        <w:rPr>
          <w:rFonts w:eastAsia="Cambria" w:cs="Cambria"/>
          <w:spacing w:val="-1"/>
        </w:rPr>
        <w:t>e</w:t>
      </w:r>
      <w:r>
        <w:rPr>
          <w:rFonts w:eastAsia="Cambria" w:cs="Cambria"/>
          <w:spacing w:val="2"/>
        </w:rPr>
        <w:t>j</w:t>
      </w:r>
      <w:r>
        <w:rPr>
          <w:rFonts w:eastAsia="Cambria" w:cs="Cambria"/>
          <w:spacing w:val="-1"/>
        </w:rPr>
        <w:t>e</w:t>
      </w:r>
      <w:r>
        <w:rPr>
          <w:rFonts w:eastAsia="Cambria" w:cs="Cambria"/>
          <w:spacing w:val="1"/>
        </w:rPr>
        <w:t>c</w:t>
      </w:r>
      <w:r>
        <w:rPr>
          <w:rFonts w:eastAsia="Cambria" w:cs="Cambria"/>
        </w:rPr>
        <w:t>ut</w:t>
      </w:r>
      <w:r>
        <w:rPr>
          <w:rFonts w:eastAsia="Cambria" w:cs="Cambria"/>
          <w:spacing w:val="1"/>
        </w:rPr>
        <w:t>a</w:t>
      </w:r>
      <w:r>
        <w:rPr>
          <w:rFonts w:eastAsia="Cambria" w:cs="Cambria"/>
        </w:rPr>
        <w:t>r</w:t>
      </w:r>
      <w:r>
        <w:rPr>
          <w:rFonts w:eastAsia="Cambria" w:cs="Cambria"/>
          <w:spacing w:val="-6"/>
        </w:rPr>
        <w:t xml:space="preserve"> </w:t>
      </w:r>
      <w:r>
        <w:rPr>
          <w:rFonts w:eastAsia="Cambria" w:cs="Cambria"/>
          <w:spacing w:val="-1"/>
        </w:rPr>
        <w:t>e</w:t>
      </w:r>
      <w:r>
        <w:rPr>
          <w:rFonts w:eastAsia="Cambria" w:cs="Cambria"/>
        </w:rPr>
        <w:t>l</w:t>
      </w:r>
      <w:r>
        <w:rPr>
          <w:rFonts w:eastAsia="Cambria" w:cs="Cambria"/>
          <w:spacing w:val="-2"/>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w:t>
      </w:r>
      <w:r>
        <w:rPr>
          <w:rFonts w:eastAsia="Cambria" w:cs="Cambria"/>
          <w:spacing w:val="-8"/>
        </w:rPr>
        <w:t xml:space="preserve"> </w:t>
      </w:r>
      <w:r>
        <w:rPr>
          <w:rFonts w:eastAsia="Cambria" w:cs="Cambria"/>
        </w:rPr>
        <w:t>h</w:t>
      </w:r>
      <w:r>
        <w:rPr>
          <w:rFonts w:eastAsia="Cambria" w:cs="Cambria"/>
          <w:spacing w:val="1"/>
        </w:rPr>
        <w:t>as</w:t>
      </w:r>
      <w:r>
        <w:rPr>
          <w:rFonts w:eastAsia="Cambria" w:cs="Cambria"/>
        </w:rPr>
        <w:t>ta</w:t>
      </w:r>
      <w:r>
        <w:rPr>
          <w:rFonts w:eastAsia="Cambria" w:cs="Cambria"/>
          <w:spacing w:val="-3"/>
        </w:rPr>
        <w:t xml:space="preserve"> </w:t>
      </w:r>
      <w:r>
        <w:rPr>
          <w:rFonts w:eastAsia="Cambria" w:cs="Cambria"/>
          <w:spacing w:val="1"/>
        </w:rPr>
        <w:t>s</w:t>
      </w:r>
      <w:r>
        <w:rPr>
          <w:rFonts w:eastAsia="Cambria" w:cs="Cambria"/>
        </w:rPr>
        <w:t>u</w:t>
      </w:r>
      <w:r>
        <w:rPr>
          <w:rFonts w:eastAsia="Cambria" w:cs="Cambria"/>
          <w:spacing w:val="-2"/>
        </w:rPr>
        <w:t xml:space="preserve"> </w:t>
      </w:r>
      <w:r>
        <w:rPr>
          <w:rFonts w:eastAsia="Cambria" w:cs="Cambria"/>
        </w:rPr>
        <w:t>t</w:t>
      </w:r>
      <w:r>
        <w:rPr>
          <w:rFonts w:eastAsia="Cambria" w:cs="Cambria"/>
          <w:spacing w:val="1"/>
        </w:rPr>
        <w:t>e</w:t>
      </w:r>
      <w:r>
        <w:rPr>
          <w:rFonts w:eastAsia="Cambria" w:cs="Cambria"/>
          <w:spacing w:val="-1"/>
        </w:rPr>
        <w:t>r</w:t>
      </w:r>
      <w:r>
        <w:rPr>
          <w:rFonts w:eastAsia="Cambria" w:cs="Cambria"/>
        </w:rPr>
        <w:t>m</w:t>
      </w:r>
      <w:r>
        <w:rPr>
          <w:rFonts w:eastAsia="Cambria" w:cs="Cambria"/>
          <w:spacing w:val="2"/>
        </w:rPr>
        <w:t>i</w:t>
      </w:r>
      <w:r>
        <w:rPr>
          <w:rFonts w:eastAsia="Cambria" w:cs="Cambria"/>
          <w:spacing w:val="-1"/>
        </w:rPr>
        <w:t>n</w:t>
      </w:r>
      <w:r>
        <w:rPr>
          <w:rFonts w:eastAsia="Cambria" w:cs="Cambria"/>
          <w:spacing w:val="1"/>
        </w:rPr>
        <w:t>ac</w:t>
      </w:r>
      <w:r>
        <w:rPr>
          <w:rFonts w:eastAsia="Cambria" w:cs="Cambria"/>
        </w:rPr>
        <w:t>ión</w:t>
      </w:r>
      <w:r>
        <w:rPr>
          <w:rFonts w:eastAsia="Cambria" w:cs="Cambria"/>
          <w:spacing w:val="-10"/>
        </w:rPr>
        <w:t xml:space="preserve"> </w:t>
      </w:r>
      <w:r>
        <w:rPr>
          <w:rFonts w:eastAsia="Cambria" w:cs="Cambria"/>
        </w:rPr>
        <w:t>a</w:t>
      </w:r>
      <w:r>
        <w:rPr>
          <w:rFonts w:eastAsia="Cambria" w:cs="Cambria"/>
          <w:spacing w:val="-1"/>
        </w:rPr>
        <w:t xml:space="preserve"> </w:t>
      </w:r>
      <w:r>
        <w:rPr>
          <w:rFonts w:eastAsia="Cambria" w:cs="Cambria"/>
          <w:spacing w:val="1"/>
        </w:rPr>
        <w:t>sa</w:t>
      </w:r>
      <w:r>
        <w:rPr>
          <w:rFonts w:eastAsia="Cambria" w:cs="Cambria"/>
        </w:rPr>
        <w:t>tisf</w:t>
      </w:r>
      <w:r>
        <w:rPr>
          <w:rFonts w:eastAsia="Cambria" w:cs="Cambria"/>
          <w:spacing w:val="1"/>
        </w:rPr>
        <w:t>acc</w:t>
      </w:r>
      <w:r>
        <w:rPr>
          <w:rFonts w:eastAsia="Cambria" w:cs="Cambria"/>
        </w:rPr>
        <w:t>ión</w:t>
      </w:r>
      <w:r>
        <w:rPr>
          <w:rFonts w:eastAsia="Cambria" w:cs="Cambria"/>
          <w:spacing w:val="-12"/>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1"/>
        </w:rPr>
        <w:t>M</w:t>
      </w:r>
      <w:r>
        <w:rPr>
          <w:rFonts w:eastAsia="Cambria" w:cs="Cambria"/>
        </w:rPr>
        <w:t>unic</w:t>
      </w:r>
      <w:r>
        <w:rPr>
          <w:rFonts w:eastAsia="Cambria" w:cs="Cambria"/>
          <w:spacing w:val="2"/>
        </w:rPr>
        <w:t>i</w:t>
      </w:r>
      <w:r>
        <w:rPr>
          <w:rFonts w:eastAsia="Cambria" w:cs="Cambria"/>
        </w:rPr>
        <w:t>pio</w:t>
      </w:r>
      <w:r>
        <w:rPr>
          <w:rFonts w:eastAsia="Cambria" w:cs="Cambria"/>
          <w:spacing w:val="-8"/>
        </w:rPr>
        <w:t xml:space="preserve"> </w:t>
      </w:r>
      <w:r>
        <w:rPr>
          <w:rFonts w:eastAsia="Cambria" w:cs="Cambria"/>
        </w:rPr>
        <w:t>de</w:t>
      </w:r>
      <w:r>
        <w:rPr>
          <w:rFonts w:eastAsia="Cambria" w:cs="Cambria"/>
          <w:spacing w:val="-2"/>
        </w:rPr>
        <w:t xml:space="preserve"> </w:t>
      </w:r>
      <w:r>
        <w:rPr>
          <w:rFonts w:eastAsia="Cambria" w:cs="Cambria"/>
          <w:spacing w:val="1"/>
        </w:rPr>
        <w:t>N</w:t>
      </w:r>
      <w:r>
        <w:rPr>
          <w:rFonts w:eastAsia="Cambria" w:cs="Cambria"/>
          <w:spacing w:val="-1"/>
        </w:rPr>
        <w:t>e</w:t>
      </w:r>
      <w:r>
        <w:rPr>
          <w:rFonts w:eastAsia="Cambria" w:cs="Cambria"/>
        </w:rPr>
        <w:t>iv</w:t>
      </w:r>
      <w:r>
        <w:rPr>
          <w:rFonts w:eastAsia="Cambria" w:cs="Cambria"/>
          <w:spacing w:val="1"/>
        </w:rPr>
        <w:t>a</w:t>
      </w:r>
      <w:r>
        <w:rPr>
          <w:rFonts w:eastAsia="Cambria" w:cs="Cambria"/>
        </w:rPr>
        <w:t xml:space="preserve">. </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Por</w:t>
      </w:r>
      <w:r>
        <w:rPr>
          <w:rFonts w:eastAsia="Cambria" w:cs="Cambria"/>
          <w:spacing w:val="4"/>
        </w:rPr>
        <w:t xml:space="preserve"> </w:t>
      </w:r>
      <w:r>
        <w:rPr>
          <w:rFonts w:eastAsia="Cambria" w:cs="Cambria"/>
          <w:spacing w:val="-1"/>
        </w:rPr>
        <w:t>n</w:t>
      </w:r>
      <w:r>
        <w:rPr>
          <w:rFonts w:eastAsia="Cambria" w:cs="Cambria"/>
        </w:rPr>
        <w:t>o</w:t>
      </w:r>
      <w:r>
        <w:rPr>
          <w:rFonts w:eastAsia="Cambria" w:cs="Cambria"/>
          <w:spacing w:val="6"/>
        </w:rPr>
        <w:t xml:space="preserve"> </w:t>
      </w:r>
      <w:r>
        <w:rPr>
          <w:rFonts w:eastAsia="Cambria" w:cs="Cambria"/>
        </w:rPr>
        <w:t>di</w:t>
      </w:r>
      <w:r>
        <w:rPr>
          <w:rFonts w:eastAsia="Cambria" w:cs="Cambria"/>
          <w:spacing w:val="3"/>
        </w:rPr>
        <w:t>s</w:t>
      </w:r>
      <w:r>
        <w:rPr>
          <w:rFonts w:eastAsia="Cambria" w:cs="Cambria"/>
        </w:rPr>
        <w:t>po</w:t>
      </w:r>
      <w:r>
        <w:rPr>
          <w:rFonts w:eastAsia="Cambria" w:cs="Cambria"/>
          <w:spacing w:val="1"/>
        </w:rPr>
        <w:t>n</w:t>
      </w:r>
      <w:r>
        <w:rPr>
          <w:rFonts w:eastAsia="Cambria" w:cs="Cambria"/>
          <w:spacing w:val="-1"/>
        </w:rPr>
        <w:t>e</w:t>
      </w:r>
      <w:r>
        <w:rPr>
          <w:rFonts w:eastAsia="Cambria" w:cs="Cambria"/>
        </w:rPr>
        <w:t xml:space="preserve">r </w:t>
      </w:r>
      <w:r>
        <w:rPr>
          <w:rFonts w:eastAsia="Cambria" w:cs="Cambria"/>
          <w:spacing w:val="2"/>
        </w:rPr>
        <w:t>d</w:t>
      </w:r>
      <w:r>
        <w:rPr>
          <w:rFonts w:eastAsia="Cambria" w:cs="Cambria"/>
          <w:spacing w:val="-1"/>
        </w:rPr>
        <w:t>e</w:t>
      </w:r>
      <w:r>
        <w:rPr>
          <w:rFonts w:eastAsia="Cambria" w:cs="Cambria"/>
        </w:rPr>
        <w:t>l</w:t>
      </w:r>
      <w:r>
        <w:rPr>
          <w:rFonts w:eastAsia="Cambria" w:cs="Cambria"/>
          <w:spacing w:val="6"/>
        </w:rPr>
        <w:t xml:space="preserve"> </w:t>
      </w:r>
      <w:r>
        <w:rPr>
          <w:rFonts w:eastAsia="Cambria" w:cs="Cambria"/>
        </w:rPr>
        <w:t>p</w:t>
      </w:r>
      <w:r>
        <w:rPr>
          <w:rFonts w:eastAsia="Cambria" w:cs="Cambria"/>
          <w:spacing w:val="1"/>
        </w:rPr>
        <w:t>e</w:t>
      </w:r>
      <w:r>
        <w:rPr>
          <w:rFonts w:eastAsia="Cambria" w:cs="Cambria"/>
          <w:spacing w:val="-1"/>
        </w:rPr>
        <w:t>r</w:t>
      </w:r>
      <w:r>
        <w:rPr>
          <w:rFonts w:eastAsia="Cambria" w:cs="Cambria"/>
          <w:spacing w:val="1"/>
        </w:rPr>
        <w:t>s</w:t>
      </w:r>
      <w:r>
        <w:rPr>
          <w:rFonts w:eastAsia="Cambria" w:cs="Cambria"/>
        </w:rPr>
        <w:t>o</w:t>
      </w:r>
      <w:r>
        <w:rPr>
          <w:rFonts w:eastAsia="Cambria" w:cs="Cambria"/>
          <w:spacing w:val="-1"/>
        </w:rPr>
        <w:t>n</w:t>
      </w:r>
      <w:r>
        <w:rPr>
          <w:rFonts w:eastAsia="Cambria" w:cs="Cambria"/>
          <w:spacing w:val="3"/>
        </w:rPr>
        <w:t>a</w:t>
      </w:r>
      <w:r>
        <w:rPr>
          <w:rFonts w:eastAsia="Cambria" w:cs="Cambria"/>
        </w:rPr>
        <w:t>l</w:t>
      </w:r>
      <w:r>
        <w:rPr>
          <w:rFonts w:eastAsia="Cambria" w:cs="Cambria"/>
          <w:spacing w:val="2"/>
        </w:rPr>
        <w:t xml:space="preserve"> </w:t>
      </w:r>
      <w:r>
        <w:rPr>
          <w:rFonts w:eastAsia="Cambria" w:cs="Cambria"/>
          <w:spacing w:val="-1"/>
        </w:rPr>
        <w:t>req</w:t>
      </w:r>
      <w:r>
        <w:rPr>
          <w:rFonts w:eastAsia="Cambria" w:cs="Cambria"/>
          <w:spacing w:val="3"/>
        </w:rPr>
        <w:t>u</w:t>
      </w:r>
      <w:r>
        <w:rPr>
          <w:rFonts w:eastAsia="Cambria" w:cs="Cambria"/>
          <w:spacing w:val="-1"/>
        </w:rPr>
        <w:t>er</w:t>
      </w:r>
      <w:r>
        <w:rPr>
          <w:rFonts w:eastAsia="Cambria" w:cs="Cambria"/>
        </w:rPr>
        <w:t>i</w:t>
      </w:r>
      <w:r>
        <w:rPr>
          <w:rFonts w:eastAsia="Cambria" w:cs="Cambria"/>
          <w:spacing w:val="2"/>
        </w:rPr>
        <w:t>d</w:t>
      </w:r>
      <w:r>
        <w:rPr>
          <w:rFonts w:eastAsia="Cambria" w:cs="Cambria"/>
        </w:rPr>
        <w:t>o</w:t>
      </w:r>
      <w:r>
        <w:rPr>
          <w:rFonts w:eastAsia="Cambria" w:cs="Cambria"/>
          <w:spacing w:val="-1"/>
        </w:rPr>
        <w:t xml:space="preserve"> </w:t>
      </w:r>
      <w:r>
        <w:rPr>
          <w:rFonts w:eastAsia="Cambria" w:cs="Cambria"/>
        </w:rPr>
        <w:t>p</w:t>
      </w:r>
      <w:r>
        <w:rPr>
          <w:rFonts w:eastAsia="Cambria" w:cs="Cambria"/>
          <w:spacing w:val="1"/>
        </w:rPr>
        <w:t>a</w:t>
      </w:r>
      <w:r>
        <w:rPr>
          <w:rFonts w:eastAsia="Cambria" w:cs="Cambria"/>
          <w:spacing w:val="-1"/>
        </w:rPr>
        <w:t>r</w:t>
      </w:r>
      <w:r>
        <w:rPr>
          <w:rFonts w:eastAsia="Cambria" w:cs="Cambria"/>
        </w:rPr>
        <w:t>a</w:t>
      </w:r>
      <w:r>
        <w:rPr>
          <w:rFonts w:eastAsia="Cambria" w:cs="Cambria"/>
          <w:spacing w:val="6"/>
        </w:rPr>
        <w:t xml:space="preserve"> </w:t>
      </w:r>
      <w:r>
        <w:rPr>
          <w:rFonts w:eastAsia="Cambria" w:cs="Cambria"/>
          <w:spacing w:val="1"/>
        </w:rPr>
        <w:t>l</w:t>
      </w:r>
      <w:r>
        <w:rPr>
          <w:rFonts w:eastAsia="Cambria" w:cs="Cambria"/>
        </w:rPr>
        <w:t>a</w:t>
      </w:r>
      <w:r>
        <w:rPr>
          <w:rFonts w:eastAsia="Cambria" w:cs="Cambria"/>
          <w:spacing w:val="8"/>
        </w:rPr>
        <w:t xml:space="preserve"> </w:t>
      </w:r>
      <w:r>
        <w:rPr>
          <w:rFonts w:eastAsia="Cambria" w:cs="Cambria"/>
          <w:spacing w:val="-1"/>
        </w:rPr>
        <w:t>e</w:t>
      </w:r>
      <w:r>
        <w:rPr>
          <w:rFonts w:eastAsia="Cambria" w:cs="Cambria"/>
        </w:rPr>
        <w:t>j</w:t>
      </w:r>
      <w:r>
        <w:rPr>
          <w:rFonts w:eastAsia="Cambria" w:cs="Cambria"/>
          <w:spacing w:val="-1"/>
        </w:rPr>
        <w:t>e</w:t>
      </w:r>
      <w:r>
        <w:rPr>
          <w:rFonts w:eastAsia="Cambria" w:cs="Cambria"/>
          <w:spacing w:val="1"/>
        </w:rPr>
        <w:t>c</w:t>
      </w:r>
      <w:r>
        <w:rPr>
          <w:rFonts w:eastAsia="Cambria" w:cs="Cambria"/>
        </w:rPr>
        <w:t>u</w:t>
      </w:r>
      <w:r>
        <w:rPr>
          <w:rFonts w:eastAsia="Cambria" w:cs="Cambria"/>
          <w:spacing w:val="1"/>
        </w:rPr>
        <w:t>c</w:t>
      </w:r>
      <w:r>
        <w:rPr>
          <w:rFonts w:eastAsia="Cambria" w:cs="Cambria"/>
        </w:rPr>
        <w:t>ión</w:t>
      </w:r>
      <w:r>
        <w:rPr>
          <w:rFonts w:eastAsia="Cambria" w:cs="Cambria"/>
          <w:spacing w:val="-1"/>
        </w:rPr>
        <w:t xml:space="preserve"> </w:t>
      </w:r>
      <w:r>
        <w:rPr>
          <w:rFonts w:eastAsia="Cambria" w:cs="Cambria"/>
        </w:rPr>
        <w:t>d</w:t>
      </w:r>
      <w:r>
        <w:rPr>
          <w:rFonts w:eastAsia="Cambria" w:cs="Cambria"/>
          <w:spacing w:val="-1"/>
        </w:rPr>
        <w:t>e</w:t>
      </w:r>
      <w:r>
        <w:rPr>
          <w:rFonts w:eastAsia="Cambria" w:cs="Cambria"/>
        </w:rPr>
        <w:t>l</w:t>
      </w:r>
      <w:r>
        <w:rPr>
          <w:rFonts w:eastAsia="Cambria" w:cs="Cambria"/>
          <w:spacing w:val="6"/>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spacing w:val="2"/>
        </w:rPr>
        <w:t>t</w:t>
      </w:r>
      <w:r>
        <w:rPr>
          <w:rFonts w:eastAsia="Cambria" w:cs="Cambria"/>
        </w:rPr>
        <w:t>o, o</w:t>
      </w:r>
      <w:r>
        <w:rPr>
          <w:rFonts w:eastAsia="Cambria" w:cs="Cambria"/>
          <w:spacing w:val="7"/>
        </w:rPr>
        <w:t xml:space="preserve"> </w:t>
      </w:r>
      <w:r>
        <w:rPr>
          <w:rFonts w:eastAsia="Cambria" w:cs="Cambria"/>
        </w:rPr>
        <w:t>por</w:t>
      </w:r>
      <w:r>
        <w:rPr>
          <w:rFonts w:eastAsia="Cambria" w:cs="Cambria"/>
          <w:spacing w:val="4"/>
        </w:rPr>
        <w:t xml:space="preserve"> </w:t>
      </w:r>
      <w:r>
        <w:rPr>
          <w:rFonts w:eastAsia="Cambria" w:cs="Cambria"/>
          <w:spacing w:val="1"/>
        </w:rPr>
        <w:t>r</w:t>
      </w:r>
      <w:r>
        <w:rPr>
          <w:rFonts w:eastAsia="Cambria" w:cs="Cambria"/>
          <w:spacing w:val="-1"/>
        </w:rPr>
        <w:t>e</w:t>
      </w:r>
      <w:r>
        <w:rPr>
          <w:rFonts w:eastAsia="Cambria" w:cs="Cambria"/>
          <w:spacing w:val="1"/>
        </w:rPr>
        <w:t>e</w:t>
      </w:r>
      <w:r>
        <w:rPr>
          <w:rFonts w:eastAsia="Cambria" w:cs="Cambria"/>
        </w:rPr>
        <w:t>mp</w:t>
      </w:r>
      <w:r>
        <w:rPr>
          <w:rFonts w:eastAsia="Cambria" w:cs="Cambria"/>
          <w:spacing w:val="3"/>
        </w:rPr>
        <w:t>l</w:t>
      </w:r>
      <w:r>
        <w:rPr>
          <w:rFonts w:eastAsia="Cambria" w:cs="Cambria"/>
          <w:spacing w:val="1"/>
        </w:rPr>
        <w:t>a</w:t>
      </w:r>
      <w:r>
        <w:rPr>
          <w:rFonts w:eastAsia="Cambria" w:cs="Cambria"/>
        </w:rPr>
        <w:t>z</w:t>
      </w:r>
      <w:r>
        <w:rPr>
          <w:rFonts w:eastAsia="Cambria" w:cs="Cambria"/>
          <w:spacing w:val="2"/>
        </w:rPr>
        <w:t>a</w:t>
      </w:r>
      <w:r>
        <w:rPr>
          <w:rFonts w:eastAsia="Cambria" w:cs="Cambria"/>
          <w:spacing w:val="-1"/>
        </w:rPr>
        <w:t>r</w:t>
      </w:r>
      <w:r>
        <w:rPr>
          <w:rFonts w:eastAsia="Cambria" w:cs="Cambria"/>
          <w:spacing w:val="1"/>
        </w:rPr>
        <w:t>l</w:t>
      </w:r>
      <w:r>
        <w:rPr>
          <w:rFonts w:eastAsia="Cambria" w:cs="Cambria"/>
        </w:rPr>
        <w:t>o</w:t>
      </w:r>
      <w:r>
        <w:rPr>
          <w:rFonts w:eastAsia="Cambria" w:cs="Cambria"/>
          <w:spacing w:val="-3"/>
        </w:rPr>
        <w:t xml:space="preserve"> </w:t>
      </w:r>
      <w:r>
        <w:rPr>
          <w:rFonts w:eastAsia="Cambria" w:cs="Cambria"/>
          <w:spacing w:val="1"/>
        </w:rPr>
        <w:t>s</w:t>
      </w:r>
      <w:r>
        <w:rPr>
          <w:rFonts w:eastAsia="Cambria" w:cs="Cambria"/>
        </w:rPr>
        <w:t>in</w:t>
      </w:r>
      <w:r>
        <w:rPr>
          <w:rFonts w:eastAsia="Cambria" w:cs="Cambria"/>
          <w:spacing w:val="5"/>
        </w:rPr>
        <w:t xml:space="preserve"> </w:t>
      </w:r>
      <w:r>
        <w:rPr>
          <w:rFonts w:eastAsia="Cambria" w:cs="Cambria"/>
        </w:rPr>
        <w:t>p</w:t>
      </w:r>
      <w:r>
        <w:rPr>
          <w:rFonts w:eastAsia="Cambria" w:cs="Cambria"/>
          <w:spacing w:val="-1"/>
        </w:rPr>
        <w:t>re</w:t>
      </w:r>
      <w:r>
        <w:rPr>
          <w:rFonts w:eastAsia="Cambria" w:cs="Cambria"/>
        </w:rPr>
        <w:t xml:space="preserve">via </w:t>
      </w:r>
      <w:r>
        <w:rPr>
          <w:rFonts w:eastAsia="Cambria" w:cs="Cambria"/>
          <w:spacing w:val="1"/>
        </w:rPr>
        <w:t>a</w:t>
      </w:r>
      <w:r>
        <w:rPr>
          <w:rFonts w:eastAsia="Cambria" w:cs="Cambria"/>
        </w:rPr>
        <w:t>uto</w:t>
      </w:r>
      <w:r>
        <w:rPr>
          <w:rFonts w:eastAsia="Cambria" w:cs="Cambria"/>
          <w:spacing w:val="-1"/>
        </w:rPr>
        <w:t>r</w:t>
      </w:r>
      <w:r>
        <w:rPr>
          <w:rFonts w:eastAsia="Cambria" w:cs="Cambria"/>
        </w:rPr>
        <w:t>iz</w:t>
      </w:r>
      <w:r>
        <w:rPr>
          <w:rFonts w:eastAsia="Cambria" w:cs="Cambria"/>
          <w:spacing w:val="1"/>
        </w:rPr>
        <w:t>ac</w:t>
      </w:r>
      <w:r>
        <w:rPr>
          <w:rFonts w:eastAsia="Cambria" w:cs="Cambria"/>
        </w:rPr>
        <w:t>ión</w:t>
      </w:r>
      <w:r>
        <w:rPr>
          <w:rFonts w:eastAsia="Cambria" w:cs="Cambria"/>
          <w:spacing w:val="-1"/>
        </w:rPr>
        <w:t xml:space="preserve"> </w:t>
      </w:r>
      <w:r>
        <w:rPr>
          <w:rFonts w:eastAsia="Cambria" w:cs="Cambria"/>
          <w:spacing w:val="2"/>
        </w:rPr>
        <w:t>d</w:t>
      </w:r>
      <w:r>
        <w:rPr>
          <w:rFonts w:eastAsia="Cambria" w:cs="Cambria"/>
        </w:rPr>
        <w:t>e</w:t>
      </w:r>
      <w:r>
        <w:rPr>
          <w:rFonts w:eastAsia="Cambria" w:cs="Cambria"/>
          <w:spacing w:val="8"/>
        </w:rPr>
        <w:t xml:space="preserve"> </w:t>
      </w:r>
      <w:r>
        <w:rPr>
          <w:rFonts w:eastAsia="Cambria" w:cs="Cambria"/>
          <w:spacing w:val="1"/>
        </w:rPr>
        <w:t>l</w:t>
      </w:r>
      <w:r>
        <w:rPr>
          <w:rFonts w:eastAsia="Cambria" w:cs="Cambria"/>
        </w:rPr>
        <w:t>a</w:t>
      </w:r>
      <w:r>
        <w:rPr>
          <w:rFonts w:eastAsia="Cambria" w:cs="Cambria"/>
          <w:spacing w:val="10"/>
        </w:rPr>
        <w:t xml:space="preserve"> </w:t>
      </w:r>
      <w:r>
        <w:rPr>
          <w:rFonts w:eastAsia="Cambria" w:cs="Cambria"/>
        </w:rPr>
        <w:t>I</w:t>
      </w:r>
      <w:r>
        <w:rPr>
          <w:rFonts w:eastAsia="Cambria" w:cs="Cambria"/>
          <w:spacing w:val="1"/>
        </w:rPr>
        <w:t>n</w:t>
      </w:r>
      <w:r>
        <w:rPr>
          <w:rFonts w:eastAsia="Cambria" w:cs="Cambria"/>
        </w:rPr>
        <w:t>t</w:t>
      </w:r>
      <w:r>
        <w:rPr>
          <w:rFonts w:eastAsia="Cambria" w:cs="Cambria"/>
          <w:spacing w:val="1"/>
        </w:rPr>
        <w:t>e</w:t>
      </w:r>
      <w:r>
        <w:rPr>
          <w:rFonts w:eastAsia="Cambria" w:cs="Cambria"/>
          <w:spacing w:val="-1"/>
        </w:rPr>
        <w:t>r</w:t>
      </w:r>
      <w:r>
        <w:rPr>
          <w:rFonts w:eastAsia="Cambria" w:cs="Cambria"/>
        </w:rPr>
        <w:t>v</w:t>
      </w:r>
      <w:r>
        <w:rPr>
          <w:rFonts w:eastAsia="Cambria" w:cs="Cambria"/>
          <w:spacing w:val="1"/>
        </w:rPr>
        <w:t>e</w:t>
      </w:r>
      <w:r>
        <w:rPr>
          <w:rFonts w:eastAsia="Cambria" w:cs="Cambria"/>
          <w:spacing w:val="-1"/>
        </w:rPr>
        <w:t>n</w:t>
      </w:r>
      <w:r>
        <w:rPr>
          <w:rFonts w:eastAsia="Cambria" w:cs="Cambria"/>
          <w:spacing w:val="2"/>
        </w:rPr>
        <w:t>t</w:t>
      </w:r>
      <w:r>
        <w:rPr>
          <w:rFonts w:eastAsia="Cambria" w:cs="Cambria"/>
        </w:rPr>
        <w:t>o</w:t>
      </w:r>
      <w:r>
        <w:rPr>
          <w:rFonts w:eastAsia="Cambria" w:cs="Cambria"/>
          <w:spacing w:val="-1"/>
        </w:rPr>
        <w:t>r</w:t>
      </w:r>
      <w:r>
        <w:rPr>
          <w:rFonts w:eastAsia="Cambria" w:cs="Cambria"/>
        </w:rPr>
        <w:t>í</w:t>
      </w:r>
      <w:r>
        <w:rPr>
          <w:rFonts w:eastAsia="Cambria" w:cs="Cambria"/>
          <w:spacing w:val="1"/>
        </w:rPr>
        <w:t>a</w:t>
      </w:r>
      <w:r>
        <w:rPr>
          <w:rFonts w:eastAsia="Cambria" w:cs="Cambria"/>
        </w:rPr>
        <w:t>,</w:t>
      </w:r>
      <w:r>
        <w:rPr>
          <w:rFonts w:eastAsia="Cambria" w:cs="Cambria"/>
          <w:spacing w:val="-1"/>
        </w:rPr>
        <w:t xml:space="preserve"> </w:t>
      </w:r>
      <w:r>
        <w:rPr>
          <w:rFonts w:eastAsia="Cambria" w:cs="Cambria"/>
        </w:rPr>
        <w:t>y</w:t>
      </w:r>
      <w:r>
        <w:rPr>
          <w:rFonts w:eastAsia="Cambria" w:cs="Cambria"/>
          <w:spacing w:val="10"/>
        </w:rPr>
        <w:t xml:space="preserve"> </w:t>
      </w:r>
      <w:r>
        <w:rPr>
          <w:rFonts w:eastAsia="Cambria" w:cs="Cambria"/>
        </w:rPr>
        <w:t>por</w:t>
      </w:r>
      <w:r>
        <w:rPr>
          <w:rFonts w:eastAsia="Cambria" w:cs="Cambria"/>
          <w:spacing w:val="7"/>
        </w:rPr>
        <w:t xml:space="preserve"> </w:t>
      </w:r>
      <w:r>
        <w:rPr>
          <w:rFonts w:eastAsia="Cambria" w:cs="Cambria"/>
          <w:spacing w:val="1"/>
        </w:rPr>
        <w:t>ca</w:t>
      </w:r>
      <w:r>
        <w:rPr>
          <w:rFonts w:eastAsia="Cambria" w:cs="Cambria"/>
        </w:rPr>
        <w:t>da</w:t>
      </w:r>
      <w:r>
        <w:rPr>
          <w:rFonts w:eastAsia="Cambria" w:cs="Cambria"/>
          <w:spacing w:val="8"/>
        </w:rPr>
        <w:t xml:space="preserve"> </w:t>
      </w:r>
      <w:r>
        <w:rPr>
          <w:rFonts w:eastAsia="Cambria" w:cs="Cambria"/>
        </w:rPr>
        <w:t>día</w:t>
      </w:r>
      <w:r>
        <w:rPr>
          <w:rFonts w:eastAsia="Cambria" w:cs="Cambria"/>
          <w:spacing w:val="9"/>
        </w:rPr>
        <w:t xml:space="preserve"> </w:t>
      </w:r>
      <w:r>
        <w:rPr>
          <w:rFonts w:eastAsia="Cambria" w:cs="Cambria"/>
        </w:rPr>
        <w:t>de</w:t>
      </w:r>
      <w:r>
        <w:rPr>
          <w:rFonts w:eastAsia="Cambria" w:cs="Cambria"/>
          <w:spacing w:val="8"/>
        </w:rPr>
        <w:t xml:space="preserve"> </w:t>
      </w:r>
      <w:r>
        <w:rPr>
          <w:rFonts w:eastAsia="Cambria" w:cs="Cambria"/>
          <w:spacing w:val="2"/>
        </w:rPr>
        <w:t>m</w:t>
      </w:r>
      <w:r>
        <w:rPr>
          <w:rFonts w:eastAsia="Cambria" w:cs="Cambria"/>
        </w:rPr>
        <w:t>o</w:t>
      </w:r>
      <w:r>
        <w:rPr>
          <w:rFonts w:eastAsia="Cambria" w:cs="Cambria"/>
          <w:spacing w:val="-1"/>
        </w:rPr>
        <w:t>r</w:t>
      </w:r>
      <w:r>
        <w:rPr>
          <w:rFonts w:eastAsia="Cambria" w:cs="Cambria"/>
        </w:rPr>
        <w:t>a</w:t>
      </w:r>
      <w:r>
        <w:rPr>
          <w:rFonts w:eastAsia="Cambria" w:cs="Cambria"/>
          <w:spacing w:val="9"/>
        </w:rPr>
        <w:t xml:space="preserve"> </w:t>
      </w:r>
      <w:r>
        <w:rPr>
          <w:rFonts w:eastAsia="Cambria" w:cs="Cambria"/>
          <w:spacing w:val="-1"/>
        </w:rPr>
        <w:t>e</w:t>
      </w:r>
      <w:r>
        <w:rPr>
          <w:rFonts w:eastAsia="Cambria" w:cs="Cambria"/>
        </w:rPr>
        <w:t>n</w:t>
      </w:r>
      <w:r>
        <w:rPr>
          <w:rFonts w:eastAsia="Cambria" w:cs="Cambria"/>
          <w:spacing w:val="8"/>
        </w:rPr>
        <w:t xml:space="preserve"> </w:t>
      </w:r>
      <w:r>
        <w:rPr>
          <w:rFonts w:eastAsia="Cambria" w:cs="Cambria"/>
          <w:spacing w:val="-1"/>
        </w:rPr>
        <w:t>e</w:t>
      </w:r>
      <w:r>
        <w:rPr>
          <w:rFonts w:eastAsia="Cambria" w:cs="Cambria"/>
        </w:rPr>
        <w:t>l</w:t>
      </w:r>
      <w:r>
        <w:rPr>
          <w:rFonts w:eastAsia="Cambria" w:cs="Cambria"/>
          <w:spacing w:val="10"/>
        </w:rPr>
        <w:t xml:space="preserve"> </w:t>
      </w:r>
      <w:r>
        <w:rPr>
          <w:rFonts w:eastAsia="Cambria" w:cs="Cambria"/>
          <w:spacing w:val="1"/>
        </w:rPr>
        <w:t>c</w:t>
      </w:r>
      <w:r>
        <w:rPr>
          <w:rFonts w:eastAsia="Cambria" w:cs="Cambria"/>
        </w:rPr>
        <w:t>ump</w:t>
      </w:r>
      <w:r>
        <w:rPr>
          <w:rFonts w:eastAsia="Cambria" w:cs="Cambria"/>
          <w:spacing w:val="1"/>
        </w:rPr>
        <w:t>l</w:t>
      </w:r>
      <w:r>
        <w:rPr>
          <w:rFonts w:eastAsia="Cambria" w:cs="Cambria"/>
          <w:spacing w:val="2"/>
        </w:rPr>
        <w:t>i</w:t>
      </w:r>
      <w:r>
        <w:rPr>
          <w:rFonts w:eastAsia="Cambria" w:cs="Cambria"/>
        </w:rPr>
        <w:t>mi</w:t>
      </w:r>
      <w:r>
        <w:rPr>
          <w:rFonts w:eastAsia="Cambria" w:cs="Cambria"/>
          <w:spacing w:val="1"/>
        </w:rPr>
        <w:t>e</w:t>
      </w:r>
      <w:r>
        <w:rPr>
          <w:rFonts w:eastAsia="Cambria" w:cs="Cambria"/>
          <w:spacing w:val="-1"/>
        </w:rPr>
        <w:t>n</w:t>
      </w:r>
      <w:r>
        <w:rPr>
          <w:rFonts w:eastAsia="Cambria" w:cs="Cambria"/>
        </w:rPr>
        <w:t>to</w:t>
      </w:r>
      <w:r>
        <w:rPr>
          <w:rFonts w:eastAsia="Cambria" w:cs="Cambria"/>
          <w:spacing w:val="-1"/>
        </w:rPr>
        <w:t xml:space="preserve"> </w:t>
      </w:r>
      <w:r>
        <w:rPr>
          <w:rFonts w:eastAsia="Cambria" w:cs="Cambria"/>
          <w:spacing w:val="2"/>
        </w:rPr>
        <w:t>d</w:t>
      </w:r>
      <w:r>
        <w:rPr>
          <w:rFonts w:eastAsia="Cambria" w:cs="Cambria"/>
        </w:rPr>
        <w:t>e</w:t>
      </w:r>
      <w:r>
        <w:rPr>
          <w:rFonts w:eastAsia="Cambria" w:cs="Cambria"/>
          <w:spacing w:val="10"/>
        </w:rPr>
        <w:t xml:space="preserve"> </w:t>
      </w:r>
      <w:r>
        <w:rPr>
          <w:rFonts w:eastAsia="Cambria" w:cs="Cambria"/>
          <w:spacing w:val="-1"/>
        </w:rPr>
        <w:t>e</w:t>
      </w:r>
      <w:r>
        <w:rPr>
          <w:rFonts w:eastAsia="Cambria" w:cs="Cambria"/>
          <w:spacing w:val="1"/>
        </w:rPr>
        <w:t>s</w:t>
      </w:r>
      <w:r>
        <w:rPr>
          <w:rFonts w:eastAsia="Cambria" w:cs="Cambria"/>
        </w:rPr>
        <w:t>te</w:t>
      </w:r>
      <w:r>
        <w:rPr>
          <w:rFonts w:eastAsia="Cambria" w:cs="Cambria"/>
          <w:spacing w:val="8"/>
        </w:rPr>
        <w:t xml:space="preserve"> </w:t>
      </w:r>
      <w:r>
        <w:rPr>
          <w:rFonts w:eastAsia="Cambria" w:cs="Cambria"/>
          <w:spacing w:val="-1"/>
        </w:rPr>
        <w:t>r</w:t>
      </w:r>
      <w:r>
        <w:rPr>
          <w:rFonts w:eastAsia="Cambria" w:cs="Cambria"/>
          <w:spacing w:val="1"/>
        </w:rPr>
        <w:t>e</w:t>
      </w:r>
      <w:r>
        <w:rPr>
          <w:rFonts w:eastAsia="Cambria" w:cs="Cambria"/>
          <w:spacing w:val="-1"/>
        </w:rPr>
        <w:t>q</w:t>
      </w:r>
      <w:r>
        <w:rPr>
          <w:rFonts w:eastAsia="Cambria" w:cs="Cambria"/>
        </w:rPr>
        <w:t>ui</w:t>
      </w:r>
      <w:r>
        <w:rPr>
          <w:rFonts w:eastAsia="Cambria" w:cs="Cambria"/>
          <w:spacing w:val="1"/>
        </w:rPr>
        <w:t>s</w:t>
      </w:r>
      <w:r>
        <w:rPr>
          <w:rFonts w:eastAsia="Cambria" w:cs="Cambria"/>
        </w:rPr>
        <w:t>ito,</w:t>
      </w:r>
      <w:r>
        <w:rPr>
          <w:rFonts w:eastAsia="Cambria" w:cs="Cambria"/>
          <w:spacing w:val="5"/>
        </w:rPr>
        <w:t xml:space="preserve"> </w:t>
      </w:r>
      <w:r>
        <w:rPr>
          <w:rFonts w:eastAsia="Cambria" w:cs="Cambria"/>
          <w:spacing w:val="-1"/>
        </w:rPr>
        <w:t>e</w:t>
      </w:r>
      <w:r>
        <w:rPr>
          <w:rFonts w:eastAsia="Cambria" w:cs="Cambria"/>
        </w:rPr>
        <w:t>l</w:t>
      </w:r>
      <w:r>
        <w:rPr>
          <w:rFonts w:eastAsia="Cambria" w:cs="Cambria"/>
          <w:spacing w:val="10"/>
        </w:rPr>
        <w:t xml:space="preserve"> </w:t>
      </w:r>
      <w:r>
        <w:rPr>
          <w:rFonts w:eastAsia="Cambria" w:cs="Cambria"/>
        </w:rPr>
        <w:t>uno</w:t>
      </w:r>
      <w:r>
        <w:rPr>
          <w:rFonts w:eastAsia="Cambria" w:cs="Cambria"/>
          <w:spacing w:val="8"/>
        </w:rPr>
        <w:t xml:space="preserve"> </w:t>
      </w:r>
      <w:r>
        <w:rPr>
          <w:rFonts w:eastAsia="Cambria" w:cs="Cambria"/>
          <w:spacing w:val="2"/>
        </w:rPr>
        <w:t>p</w:t>
      </w:r>
      <w:r>
        <w:rPr>
          <w:rFonts w:eastAsia="Cambria" w:cs="Cambria"/>
        </w:rPr>
        <w:t>or</w:t>
      </w:r>
      <w:r>
        <w:rPr>
          <w:rFonts w:eastAsia="Cambria" w:cs="Cambria"/>
          <w:spacing w:val="7"/>
        </w:rPr>
        <w:t xml:space="preserve"> </w:t>
      </w:r>
      <w:r>
        <w:rPr>
          <w:rFonts w:eastAsia="Cambria" w:cs="Cambria"/>
        </w:rPr>
        <w:t xml:space="preserve">mil </w:t>
      </w:r>
      <w:r>
        <w:rPr>
          <w:rFonts w:eastAsia="Cambria" w:cs="Cambria"/>
          <w:spacing w:val="1"/>
        </w:rPr>
        <w:t>(</w:t>
      </w:r>
      <w:r>
        <w:rPr>
          <w:rFonts w:eastAsia="Cambria" w:cs="Cambria"/>
        </w:rPr>
        <w:t>1‰)</w:t>
      </w:r>
      <w:r>
        <w:rPr>
          <w:rFonts w:eastAsia="Cambria" w:cs="Cambria"/>
          <w:spacing w:val="2"/>
        </w:rPr>
        <w:t xml:space="preserve"> </w:t>
      </w:r>
      <w:r>
        <w:rPr>
          <w:rFonts w:eastAsia="Cambria" w:cs="Cambria"/>
        </w:rPr>
        <w:t>d</w:t>
      </w:r>
      <w:r>
        <w:rPr>
          <w:rFonts w:eastAsia="Cambria" w:cs="Cambria"/>
          <w:spacing w:val="-1"/>
        </w:rPr>
        <w:t>e</w:t>
      </w:r>
      <w:r>
        <w:rPr>
          <w:rFonts w:eastAsia="Cambria" w:cs="Cambria"/>
        </w:rPr>
        <w:t>l</w:t>
      </w:r>
      <w:r>
        <w:rPr>
          <w:rFonts w:eastAsia="Cambria" w:cs="Cambria"/>
          <w:spacing w:val="5"/>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1"/>
        </w:rPr>
        <w:t xml:space="preserve"> </w:t>
      </w:r>
      <w:r>
        <w:rPr>
          <w:rFonts w:eastAsia="Cambria" w:cs="Cambria"/>
          <w:spacing w:val="2"/>
        </w:rPr>
        <w:t>t</w:t>
      </w:r>
      <w:r>
        <w:rPr>
          <w:rFonts w:eastAsia="Cambria" w:cs="Cambria"/>
        </w:rPr>
        <w:t>ot</w:t>
      </w:r>
      <w:r>
        <w:rPr>
          <w:rFonts w:eastAsia="Cambria" w:cs="Cambria"/>
          <w:spacing w:val="1"/>
        </w:rPr>
        <w:t>a</w:t>
      </w:r>
      <w:r>
        <w:rPr>
          <w:rFonts w:eastAsia="Cambria" w:cs="Cambria"/>
        </w:rPr>
        <w:t>l</w:t>
      </w:r>
      <w:r>
        <w:rPr>
          <w:rFonts w:eastAsia="Cambria" w:cs="Cambria"/>
          <w:spacing w:val="3"/>
        </w:rPr>
        <w:t xml:space="preserve"> </w:t>
      </w:r>
      <w:r>
        <w:rPr>
          <w:rFonts w:eastAsia="Cambria" w:cs="Cambria"/>
        </w:rPr>
        <w:t>d</w:t>
      </w:r>
      <w:r>
        <w:rPr>
          <w:rFonts w:eastAsia="Cambria" w:cs="Cambria"/>
          <w:spacing w:val="-1"/>
        </w:rPr>
        <w:t>e</w:t>
      </w:r>
      <w:r>
        <w:rPr>
          <w:rFonts w:eastAsia="Cambria" w:cs="Cambria"/>
        </w:rPr>
        <w:t>l</w:t>
      </w:r>
      <w:r>
        <w:rPr>
          <w:rFonts w:eastAsia="Cambria" w:cs="Cambria"/>
          <w:spacing w:val="5"/>
        </w:rPr>
        <w:t xml:space="preserve"> </w:t>
      </w:r>
      <w:r>
        <w:rPr>
          <w:rFonts w:eastAsia="Cambria" w:cs="Cambria"/>
          <w:spacing w:val="1"/>
        </w:rPr>
        <w:t>c</w:t>
      </w:r>
      <w:r>
        <w:rPr>
          <w:rFonts w:eastAsia="Cambria" w:cs="Cambria"/>
          <w:spacing w:val="2"/>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w:t>
      </w:r>
      <w:r>
        <w:rPr>
          <w:rFonts w:eastAsia="Cambria" w:cs="Cambria"/>
          <w:spacing w:val="1"/>
        </w:rPr>
        <w:t xml:space="preserve"> s</w:t>
      </w:r>
      <w:r>
        <w:rPr>
          <w:rFonts w:eastAsia="Cambria" w:cs="Cambria"/>
        </w:rPr>
        <w:t>in</w:t>
      </w:r>
      <w:r>
        <w:rPr>
          <w:rFonts w:eastAsia="Cambria" w:cs="Cambria"/>
          <w:spacing w:val="3"/>
        </w:rPr>
        <w:t xml:space="preserve"> </w:t>
      </w:r>
      <w:r>
        <w:rPr>
          <w:rFonts w:eastAsia="Cambria" w:cs="Cambria"/>
          <w:spacing w:val="1"/>
        </w:rPr>
        <w:t>s</w:t>
      </w:r>
      <w:r>
        <w:rPr>
          <w:rFonts w:eastAsia="Cambria" w:cs="Cambria"/>
          <w:spacing w:val="3"/>
        </w:rPr>
        <w:t>u</w:t>
      </w:r>
      <w:r>
        <w:rPr>
          <w:rFonts w:eastAsia="Cambria" w:cs="Cambria"/>
        </w:rPr>
        <w:t>p</w:t>
      </w:r>
      <w:r>
        <w:rPr>
          <w:rFonts w:eastAsia="Cambria" w:cs="Cambria"/>
          <w:spacing w:val="1"/>
        </w:rPr>
        <w:t>e</w:t>
      </w:r>
      <w:r>
        <w:rPr>
          <w:rFonts w:eastAsia="Cambria" w:cs="Cambria"/>
          <w:spacing w:val="-1"/>
        </w:rPr>
        <w:t>r</w:t>
      </w:r>
      <w:r>
        <w:rPr>
          <w:rFonts w:eastAsia="Cambria" w:cs="Cambria"/>
          <w:spacing w:val="1"/>
        </w:rPr>
        <w:t>a</w:t>
      </w:r>
      <w:r>
        <w:rPr>
          <w:rFonts w:eastAsia="Cambria" w:cs="Cambria"/>
        </w:rPr>
        <w:t>r</w:t>
      </w:r>
      <w:r>
        <w:rPr>
          <w:rFonts w:eastAsia="Cambria" w:cs="Cambria"/>
          <w:spacing w:val="2"/>
        </w:rPr>
        <w:t xml:space="preserve"> </w:t>
      </w:r>
      <w:r>
        <w:rPr>
          <w:rFonts w:eastAsia="Cambria" w:cs="Cambria"/>
          <w:spacing w:val="-1"/>
        </w:rPr>
        <w:t>e</w:t>
      </w:r>
      <w:r>
        <w:rPr>
          <w:rFonts w:eastAsia="Cambria" w:cs="Cambria"/>
        </w:rPr>
        <w:t>l</w:t>
      </w:r>
      <w:r>
        <w:rPr>
          <w:rFonts w:eastAsia="Cambria" w:cs="Cambria"/>
          <w:spacing w:val="6"/>
        </w:rPr>
        <w:t xml:space="preserve"> </w:t>
      </w:r>
      <w:r>
        <w:rPr>
          <w:rFonts w:eastAsia="Cambria" w:cs="Cambria"/>
        </w:rPr>
        <w:t>dos</w:t>
      </w:r>
      <w:r>
        <w:rPr>
          <w:rFonts w:eastAsia="Cambria" w:cs="Cambria"/>
          <w:spacing w:val="3"/>
        </w:rPr>
        <w:t xml:space="preserve"> </w:t>
      </w:r>
      <w:r>
        <w:rPr>
          <w:rFonts w:eastAsia="Cambria" w:cs="Cambria"/>
          <w:spacing w:val="2"/>
        </w:rPr>
        <w:t>p</w:t>
      </w:r>
      <w:r>
        <w:rPr>
          <w:rFonts w:eastAsia="Cambria" w:cs="Cambria"/>
        </w:rPr>
        <w:t>or</w:t>
      </w:r>
      <w:r>
        <w:rPr>
          <w:rFonts w:eastAsia="Cambria" w:cs="Cambria"/>
          <w:spacing w:val="2"/>
        </w:rPr>
        <w:t xml:space="preserve"> </w:t>
      </w:r>
      <w:r>
        <w:rPr>
          <w:rFonts w:eastAsia="Cambria" w:cs="Cambria"/>
          <w:spacing w:val="1"/>
        </w:rPr>
        <w:t>c</w:t>
      </w:r>
      <w:r>
        <w:rPr>
          <w:rFonts w:eastAsia="Cambria" w:cs="Cambria"/>
        </w:rPr>
        <w:t>i</w:t>
      </w:r>
      <w:r>
        <w:rPr>
          <w:rFonts w:eastAsia="Cambria" w:cs="Cambria"/>
          <w:spacing w:val="1"/>
        </w:rPr>
        <w:t>e</w:t>
      </w:r>
      <w:r>
        <w:rPr>
          <w:rFonts w:eastAsia="Cambria" w:cs="Cambria"/>
          <w:spacing w:val="-1"/>
        </w:rPr>
        <w:t>n</w:t>
      </w:r>
      <w:r>
        <w:rPr>
          <w:rFonts w:eastAsia="Cambria" w:cs="Cambria"/>
        </w:rPr>
        <w:t>to</w:t>
      </w:r>
      <w:r>
        <w:rPr>
          <w:rFonts w:eastAsia="Cambria" w:cs="Cambria"/>
          <w:spacing w:val="3"/>
        </w:rPr>
        <w:t xml:space="preserve"> </w:t>
      </w:r>
      <w:r>
        <w:rPr>
          <w:rFonts w:eastAsia="Cambria" w:cs="Cambria"/>
          <w:spacing w:val="1"/>
        </w:rPr>
        <w:t>(</w:t>
      </w:r>
      <w:r>
        <w:rPr>
          <w:rFonts w:eastAsia="Cambria" w:cs="Cambria"/>
        </w:rPr>
        <w:t>2%)</w:t>
      </w:r>
      <w:r>
        <w:rPr>
          <w:rFonts w:eastAsia="Cambria" w:cs="Cambria"/>
          <w:spacing w:val="3"/>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5"/>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1"/>
        </w:rPr>
        <w:t xml:space="preserve"> </w:t>
      </w:r>
      <w:r>
        <w:rPr>
          <w:rFonts w:eastAsia="Cambria" w:cs="Cambria"/>
        </w:rPr>
        <w:t>to</w:t>
      </w:r>
      <w:r>
        <w:rPr>
          <w:rFonts w:eastAsia="Cambria" w:cs="Cambria"/>
          <w:spacing w:val="2"/>
        </w:rPr>
        <w:t>t</w:t>
      </w:r>
      <w:r>
        <w:rPr>
          <w:rFonts w:eastAsia="Cambria" w:cs="Cambria"/>
          <w:spacing w:val="1"/>
        </w:rPr>
        <w:t>a</w:t>
      </w:r>
      <w:r>
        <w:rPr>
          <w:rFonts w:eastAsia="Cambria" w:cs="Cambria"/>
        </w:rPr>
        <w:t>l</w:t>
      </w:r>
      <w:r>
        <w:rPr>
          <w:rFonts w:eastAsia="Cambria" w:cs="Cambria"/>
          <w:spacing w:val="3"/>
        </w:rPr>
        <w:t xml:space="preserve"> </w:t>
      </w:r>
      <w:r>
        <w:rPr>
          <w:rFonts w:eastAsia="Cambria" w:cs="Cambria"/>
        </w:rPr>
        <w:t>d</w:t>
      </w:r>
      <w:r>
        <w:rPr>
          <w:rFonts w:eastAsia="Cambria" w:cs="Cambria"/>
          <w:spacing w:val="-1"/>
        </w:rPr>
        <w:t>e</w:t>
      </w:r>
      <w:r>
        <w:rPr>
          <w:rFonts w:eastAsia="Cambria" w:cs="Cambria"/>
        </w:rPr>
        <w:t>l</w:t>
      </w:r>
      <w:r>
        <w:rPr>
          <w:rFonts w:eastAsia="Cambria" w:cs="Cambria"/>
          <w:spacing w:val="5"/>
        </w:rPr>
        <w:t xml:space="preserve"> </w:t>
      </w:r>
      <w:r>
        <w:rPr>
          <w:rFonts w:eastAsia="Cambria" w:cs="Cambria"/>
        </w:rPr>
        <w:t xml:space="preserve">mismo, </w:t>
      </w:r>
      <w:r>
        <w:rPr>
          <w:rFonts w:eastAsia="Cambria" w:cs="Cambria"/>
          <w:spacing w:val="1"/>
        </w:rPr>
        <w:t>l</w:t>
      </w:r>
      <w:r>
        <w:rPr>
          <w:rFonts w:eastAsia="Cambria" w:cs="Cambria"/>
        </w:rPr>
        <w:t>o</w:t>
      </w:r>
      <w:r>
        <w:rPr>
          <w:rFonts w:eastAsia="Cambria" w:cs="Cambria"/>
          <w:spacing w:val="7"/>
        </w:rPr>
        <w:t xml:space="preserve"> </w:t>
      </w:r>
      <w:r>
        <w:rPr>
          <w:rFonts w:eastAsia="Cambria" w:cs="Cambria"/>
          <w:spacing w:val="1"/>
        </w:rPr>
        <w:t>c</w:t>
      </w:r>
      <w:r>
        <w:rPr>
          <w:rFonts w:eastAsia="Cambria" w:cs="Cambria"/>
        </w:rPr>
        <w:t>u</w:t>
      </w:r>
      <w:r>
        <w:rPr>
          <w:rFonts w:eastAsia="Cambria" w:cs="Cambria"/>
          <w:spacing w:val="1"/>
        </w:rPr>
        <w:t>a</w:t>
      </w:r>
      <w:r>
        <w:rPr>
          <w:rFonts w:eastAsia="Cambria" w:cs="Cambria"/>
        </w:rPr>
        <w:t>l</w:t>
      </w:r>
      <w:r>
        <w:rPr>
          <w:rFonts w:eastAsia="Cambria" w:cs="Cambria"/>
          <w:spacing w:val="4"/>
        </w:rPr>
        <w:t xml:space="preserve"> </w:t>
      </w:r>
      <w:r>
        <w:rPr>
          <w:rFonts w:eastAsia="Cambria" w:cs="Cambria"/>
          <w:spacing w:val="-1"/>
        </w:rPr>
        <w:t>n</w:t>
      </w:r>
      <w:r>
        <w:rPr>
          <w:rFonts w:eastAsia="Cambria" w:cs="Cambria"/>
        </w:rPr>
        <w:t xml:space="preserve">o </w:t>
      </w:r>
      <w:r>
        <w:rPr>
          <w:rFonts w:eastAsia="Cambria" w:cs="Cambria"/>
          <w:spacing w:val="-1"/>
        </w:rPr>
        <w:t>e</w:t>
      </w:r>
      <w:r>
        <w:rPr>
          <w:rFonts w:eastAsia="Cambria" w:cs="Cambria"/>
        </w:rPr>
        <w:t>x</w:t>
      </w:r>
      <w:r>
        <w:rPr>
          <w:rFonts w:eastAsia="Cambria" w:cs="Cambria"/>
          <w:spacing w:val="2"/>
        </w:rPr>
        <w:t>o</w:t>
      </w:r>
      <w:r>
        <w:rPr>
          <w:rFonts w:eastAsia="Cambria" w:cs="Cambria"/>
          <w:spacing w:val="-1"/>
        </w:rPr>
        <w:t>n</w:t>
      </w:r>
      <w:r>
        <w:rPr>
          <w:rFonts w:eastAsia="Cambria" w:cs="Cambria"/>
          <w:spacing w:val="1"/>
        </w:rPr>
        <w:t>e</w:t>
      </w:r>
      <w:r>
        <w:rPr>
          <w:rFonts w:eastAsia="Cambria" w:cs="Cambria"/>
          <w:spacing w:val="-1"/>
        </w:rPr>
        <w:t>r</w:t>
      </w:r>
      <w:r>
        <w:rPr>
          <w:rFonts w:eastAsia="Cambria" w:cs="Cambria"/>
        </w:rPr>
        <w:t>a</w:t>
      </w:r>
      <w:r>
        <w:rPr>
          <w:rFonts w:eastAsia="Cambria" w:cs="Cambria"/>
          <w:spacing w:val="-7"/>
        </w:rPr>
        <w:t xml:space="preserve"> </w:t>
      </w:r>
      <w:r>
        <w:rPr>
          <w:rFonts w:eastAsia="Cambria" w:cs="Cambria"/>
          <w:spacing w:val="1"/>
        </w:rPr>
        <w:t>a</w:t>
      </w:r>
      <w:r>
        <w:rPr>
          <w:rFonts w:eastAsia="Cambria" w:cs="Cambria"/>
        </w:rPr>
        <w:t>l</w:t>
      </w:r>
      <w:r>
        <w:rPr>
          <w:rFonts w:eastAsia="Cambria" w:cs="Cambria"/>
          <w:spacing w:val="-2"/>
        </w:rPr>
        <w:t xml:space="preserve"> </w:t>
      </w:r>
      <w:r>
        <w:rPr>
          <w:rFonts w:eastAsia="Cambria" w:cs="Cambria"/>
        </w:rPr>
        <w:t>Co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1"/>
        </w:rPr>
        <w:t>a</w:t>
      </w:r>
      <w:r>
        <w:rPr>
          <w:rFonts w:eastAsia="Cambria" w:cs="Cambria"/>
        </w:rPr>
        <w:t>tista</w:t>
      </w:r>
      <w:r>
        <w:rPr>
          <w:rFonts w:eastAsia="Cambria" w:cs="Cambria"/>
          <w:spacing w:val="-9"/>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1"/>
        </w:rPr>
        <w:t>c</w:t>
      </w:r>
      <w:r>
        <w:rPr>
          <w:rFonts w:eastAsia="Cambria" w:cs="Cambria"/>
          <w:spacing w:val="3"/>
        </w:rPr>
        <w:t>u</w:t>
      </w:r>
      <w:r>
        <w:rPr>
          <w:rFonts w:eastAsia="Cambria" w:cs="Cambria"/>
        </w:rPr>
        <w:t>mplim</w:t>
      </w:r>
      <w:r>
        <w:rPr>
          <w:rFonts w:eastAsia="Cambria" w:cs="Cambria"/>
          <w:spacing w:val="2"/>
        </w:rPr>
        <w:t>i</w:t>
      </w:r>
      <w:r>
        <w:rPr>
          <w:rFonts w:eastAsia="Cambria" w:cs="Cambria"/>
          <w:spacing w:val="-1"/>
        </w:rPr>
        <w:t>en</w:t>
      </w:r>
      <w:r>
        <w:rPr>
          <w:rFonts w:eastAsia="Cambria" w:cs="Cambria"/>
          <w:spacing w:val="2"/>
        </w:rPr>
        <w:t>t</w:t>
      </w:r>
      <w:r>
        <w:rPr>
          <w:rFonts w:eastAsia="Cambria" w:cs="Cambria"/>
        </w:rPr>
        <w:t>o</w:t>
      </w:r>
      <w:r>
        <w:rPr>
          <w:rFonts w:eastAsia="Cambria" w:cs="Cambria"/>
          <w:spacing w:val="-13"/>
        </w:rPr>
        <w:t xml:space="preserve"> </w:t>
      </w:r>
      <w:r>
        <w:rPr>
          <w:rFonts w:eastAsia="Cambria" w:cs="Cambria"/>
          <w:spacing w:val="2"/>
        </w:rPr>
        <w:t>d</w:t>
      </w:r>
      <w:r>
        <w:rPr>
          <w:rFonts w:eastAsia="Cambria" w:cs="Cambria"/>
        </w:rPr>
        <w:t>e</w:t>
      </w:r>
      <w:r>
        <w:rPr>
          <w:rFonts w:eastAsia="Cambria" w:cs="Cambria"/>
          <w:spacing w:val="-2"/>
        </w:rPr>
        <w:t xml:space="preserve"> </w:t>
      </w:r>
      <w:r>
        <w:rPr>
          <w:rFonts w:eastAsia="Cambria" w:cs="Cambria"/>
          <w:spacing w:val="-1"/>
        </w:rPr>
        <w:t>e</w:t>
      </w:r>
      <w:r>
        <w:rPr>
          <w:rFonts w:eastAsia="Cambria" w:cs="Cambria"/>
          <w:spacing w:val="1"/>
        </w:rPr>
        <w:t>s</w:t>
      </w:r>
      <w:r>
        <w:rPr>
          <w:rFonts w:eastAsia="Cambria" w:cs="Cambria"/>
        </w:rPr>
        <w:t>ta</w:t>
      </w:r>
      <w:r>
        <w:rPr>
          <w:rFonts w:eastAsia="Cambria" w:cs="Cambria"/>
          <w:spacing w:val="-3"/>
        </w:rPr>
        <w:t xml:space="preserve"> </w:t>
      </w:r>
      <w:r>
        <w:rPr>
          <w:rFonts w:eastAsia="Cambria" w:cs="Cambria"/>
          <w:spacing w:val="2"/>
        </w:rPr>
        <w:t>o</w:t>
      </w:r>
      <w:r>
        <w:rPr>
          <w:rFonts w:eastAsia="Cambria" w:cs="Cambria"/>
          <w:spacing w:val="-1"/>
        </w:rPr>
        <w:t>b</w:t>
      </w:r>
      <w:r>
        <w:rPr>
          <w:rFonts w:eastAsia="Cambria" w:cs="Cambria"/>
          <w:spacing w:val="1"/>
        </w:rPr>
        <w:t>l</w:t>
      </w:r>
      <w:r>
        <w:rPr>
          <w:rFonts w:eastAsia="Cambria" w:cs="Cambria"/>
        </w:rPr>
        <w:t>ig</w:t>
      </w:r>
      <w:r>
        <w:rPr>
          <w:rFonts w:eastAsia="Cambria" w:cs="Cambria"/>
          <w:spacing w:val="1"/>
        </w:rPr>
        <w:t>ac</w:t>
      </w:r>
      <w:r>
        <w:rPr>
          <w:rFonts w:eastAsia="Cambria" w:cs="Cambria"/>
        </w:rPr>
        <w:t>i</w:t>
      </w:r>
      <w:r>
        <w:rPr>
          <w:rFonts w:eastAsia="Cambria" w:cs="Cambria"/>
          <w:spacing w:val="2"/>
        </w:rPr>
        <w:t>ó</w:t>
      </w:r>
      <w:r>
        <w:rPr>
          <w:rFonts w:eastAsia="Cambria" w:cs="Cambria"/>
          <w:spacing w:val="-1"/>
        </w:rPr>
        <w:t>n</w:t>
      </w:r>
      <w:r>
        <w:rPr>
          <w:rFonts w:eastAsia="Cambria" w:cs="Cambria"/>
        </w:rPr>
        <w:t>.</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Por</w:t>
      </w:r>
      <w:r>
        <w:rPr>
          <w:rFonts w:eastAsia="Cambria" w:cs="Cambria"/>
          <w:spacing w:val="2"/>
        </w:rPr>
        <w:t xml:space="preserve"> </w:t>
      </w:r>
      <w:r>
        <w:rPr>
          <w:rFonts w:eastAsia="Cambria" w:cs="Cambria"/>
          <w:spacing w:val="-1"/>
        </w:rPr>
        <w:t>n</w:t>
      </w:r>
      <w:r>
        <w:rPr>
          <w:rFonts w:eastAsia="Cambria" w:cs="Cambria"/>
        </w:rPr>
        <w:t>o</w:t>
      </w:r>
      <w:r>
        <w:rPr>
          <w:rFonts w:eastAsia="Cambria" w:cs="Cambria"/>
          <w:spacing w:val="4"/>
        </w:rPr>
        <w:t xml:space="preserve"> </w:t>
      </w:r>
      <w:r>
        <w:rPr>
          <w:rFonts w:eastAsia="Cambria" w:cs="Cambria"/>
          <w:spacing w:val="1"/>
        </w:rPr>
        <w:t>s</w:t>
      </w:r>
      <w:r>
        <w:rPr>
          <w:rFonts w:eastAsia="Cambria" w:cs="Cambria"/>
        </w:rPr>
        <w:t>um</w:t>
      </w:r>
      <w:r>
        <w:rPr>
          <w:rFonts w:eastAsia="Cambria" w:cs="Cambria"/>
          <w:spacing w:val="2"/>
        </w:rPr>
        <w:t>i</w:t>
      </w:r>
      <w:r>
        <w:rPr>
          <w:rFonts w:eastAsia="Cambria" w:cs="Cambria"/>
          <w:spacing w:val="-1"/>
        </w:rPr>
        <w:t>n</w:t>
      </w:r>
      <w:r>
        <w:rPr>
          <w:rFonts w:eastAsia="Cambria" w:cs="Cambria"/>
        </w:rPr>
        <w:t>istr</w:t>
      </w:r>
      <w:r>
        <w:rPr>
          <w:rFonts w:eastAsia="Cambria" w:cs="Cambria"/>
          <w:spacing w:val="1"/>
        </w:rPr>
        <w:t>a</w:t>
      </w:r>
      <w:r>
        <w:rPr>
          <w:rFonts w:eastAsia="Cambria" w:cs="Cambria"/>
        </w:rPr>
        <w:t>r</w:t>
      </w:r>
      <w:r>
        <w:rPr>
          <w:rFonts w:eastAsia="Cambria" w:cs="Cambria"/>
          <w:spacing w:val="-5"/>
        </w:rPr>
        <w:t xml:space="preserve"> </w:t>
      </w:r>
      <w:r>
        <w:rPr>
          <w:rFonts w:eastAsia="Cambria" w:cs="Cambria"/>
          <w:spacing w:val="2"/>
        </w:rPr>
        <w:t>o</w:t>
      </w:r>
      <w:r>
        <w:rPr>
          <w:rFonts w:eastAsia="Cambria" w:cs="Cambria"/>
        </w:rPr>
        <w:t>po</w:t>
      </w:r>
      <w:r>
        <w:rPr>
          <w:rFonts w:eastAsia="Cambria" w:cs="Cambria"/>
          <w:spacing w:val="-1"/>
        </w:rPr>
        <w:t>r</w:t>
      </w:r>
      <w:r>
        <w:rPr>
          <w:rFonts w:eastAsia="Cambria" w:cs="Cambria"/>
          <w:spacing w:val="2"/>
        </w:rPr>
        <w:t>t</w:t>
      </w:r>
      <w:r>
        <w:rPr>
          <w:rFonts w:eastAsia="Cambria" w:cs="Cambria"/>
        </w:rPr>
        <w:t>u</w:t>
      </w:r>
      <w:r>
        <w:rPr>
          <w:rFonts w:eastAsia="Cambria" w:cs="Cambria"/>
          <w:spacing w:val="2"/>
        </w:rPr>
        <w:t>n</w:t>
      </w:r>
      <w:r>
        <w:rPr>
          <w:rFonts w:eastAsia="Cambria" w:cs="Cambria"/>
          <w:spacing w:val="1"/>
        </w:rPr>
        <w:t>a</w:t>
      </w:r>
      <w:r>
        <w:rPr>
          <w:rFonts w:eastAsia="Cambria" w:cs="Cambria"/>
        </w:rPr>
        <w:t>m</w:t>
      </w:r>
      <w:r>
        <w:rPr>
          <w:rFonts w:eastAsia="Cambria" w:cs="Cambria"/>
          <w:spacing w:val="-1"/>
        </w:rPr>
        <w:t>en</w:t>
      </w:r>
      <w:r>
        <w:rPr>
          <w:rFonts w:eastAsia="Cambria" w:cs="Cambria"/>
          <w:spacing w:val="2"/>
        </w:rPr>
        <w:t>t</w:t>
      </w:r>
      <w:r>
        <w:rPr>
          <w:rFonts w:eastAsia="Cambria" w:cs="Cambria"/>
        </w:rPr>
        <w:t>e</w:t>
      </w:r>
      <w:r>
        <w:rPr>
          <w:rFonts w:eastAsia="Cambria" w:cs="Cambria"/>
          <w:spacing w:val="-8"/>
        </w:rPr>
        <w:t xml:space="preserve"> </w:t>
      </w:r>
      <w:r>
        <w:rPr>
          <w:rFonts w:eastAsia="Cambria" w:cs="Cambria"/>
          <w:spacing w:val="-1"/>
        </w:rPr>
        <w:t>e</w:t>
      </w:r>
      <w:r>
        <w:rPr>
          <w:rFonts w:eastAsia="Cambria" w:cs="Cambria"/>
        </w:rPr>
        <w:t>l</w:t>
      </w:r>
      <w:r>
        <w:rPr>
          <w:rFonts w:eastAsia="Cambria" w:cs="Cambria"/>
          <w:spacing w:val="5"/>
        </w:rPr>
        <w:t xml:space="preserve"> </w:t>
      </w:r>
      <w:r>
        <w:rPr>
          <w:rFonts w:eastAsia="Cambria" w:cs="Cambria"/>
          <w:spacing w:val="1"/>
        </w:rPr>
        <w:t>e</w:t>
      </w:r>
      <w:r>
        <w:rPr>
          <w:rFonts w:eastAsia="Cambria" w:cs="Cambria"/>
          <w:spacing w:val="-1"/>
        </w:rPr>
        <w:t>q</w:t>
      </w:r>
      <w:r>
        <w:rPr>
          <w:rFonts w:eastAsia="Cambria" w:cs="Cambria"/>
        </w:rPr>
        <w:t xml:space="preserve">uipo </w:t>
      </w:r>
      <w:r>
        <w:rPr>
          <w:rFonts w:eastAsia="Cambria" w:cs="Cambria"/>
          <w:spacing w:val="1"/>
        </w:rPr>
        <w:t>n</w:t>
      </w:r>
      <w:r>
        <w:rPr>
          <w:rFonts w:eastAsia="Cambria" w:cs="Cambria"/>
          <w:spacing w:val="-1"/>
        </w:rPr>
        <w:t>e</w:t>
      </w:r>
      <w:r>
        <w:rPr>
          <w:rFonts w:eastAsia="Cambria" w:cs="Cambria"/>
          <w:spacing w:val="1"/>
        </w:rPr>
        <w:t>c</w:t>
      </w:r>
      <w:r>
        <w:rPr>
          <w:rFonts w:eastAsia="Cambria" w:cs="Cambria"/>
          <w:spacing w:val="-1"/>
        </w:rPr>
        <w:t>e</w:t>
      </w:r>
      <w:r>
        <w:rPr>
          <w:rFonts w:eastAsia="Cambria" w:cs="Cambria"/>
          <w:spacing w:val="1"/>
        </w:rPr>
        <w:t>sar</w:t>
      </w:r>
      <w:r>
        <w:rPr>
          <w:rFonts w:eastAsia="Cambria" w:cs="Cambria"/>
        </w:rPr>
        <w:t>io</w:t>
      </w:r>
      <w:r>
        <w:rPr>
          <w:rFonts w:eastAsia="Cambria" w:cs="Cambria"/>
          <w:spacing w:val="-2"/>
        </w:rPr>
        <w:t xml:space="preserve"> </w:t>
      </w:r>
      <w:r>
        <w:rPr>
          <w:rFonts w:eastAsia="Cambria" w:cs="Cambria"/>
        </w:rPr>
        <w:t>p</w:t>
      </w:r>
      <w:r>
        <w:rPr>
          <w:rFonts w:eastAsia="Cambria" w:cs="Cambria"/>
          <w:spacing w:val="1"/>
        </w:rPr>
        <w:t>a</w:t>
      </w:r>
      <w:r>
        <w:rPr>
          <w:rFonts w:eastAsia="Cambria" w:cs="Cambria"/>
          <w:spacing w:val="-1"/>
        </w:rPr>
        <w:t>r</w:t>
      </w:r>
      <w:r>
        <w:rPr>
          <w:rFonts w:eastAsia="Cambria" w:cs="Cambria"/>
        </w:rPr>
        <w:t>a</w:t>
      </w:r>
      <w:r>
        <w:rPr>
          <w:rFonts w:eastAsia="Cambria" w:cs="Cambria"/>
          <w:spacing w:val="3"/>
        </w:rPr>
        <w:t xml:space="preserve"> </w:t>
      </w:r>
      <w:r>
        <w:rPr>
          <w:rFonts w:eastAsia="Cambria" w:cs="Cambria"/>
          <w:spacing w:val="-1"/>
        </w:rPr>
        <w:t>e</w:t>
      </w:r>
      <w:r>
        <w:rPr>
          <w:rFonts w:eastAsia="Cambria" w:cs="Cambria"/>
        </w:rPr>
        <w:t>l</w:t>
      </w:r>
      <w:r>
        <w:rPr>
          <w:rFonts w:eastAsia="Cambria" w:cs="Cambria"/>
          <w:spacing w:val="5"/>
        </w:rPr>
        <w:t xml:space="preserve"> </w:t>
      </w:r>
      <w:r>
        <w:rPr>
          <w:rFonts w:eastAsia="Cambria" w:cs="Cambria"/>
          <w:spacing w:val="1"/>
        </w:rPr>
        <w:t>a</w:t>
      </w:r>
      <w:r>
        <w:rPr>
          <w:rFonts w:eastAsia="Cambria" w:cs="Cambria"/>
        </w:rPr>
        <w:t>d</w:t>
      </w:r>
      <w:r>
        <w:rPr>
          <w:rFonts w:eastAsia="Cambria" w:cs="Cambria"/>
          <w:spacing w:val="-1"/>
        </w:rPr>
        <w:t>e</w:t>
      </w:r>
      <w:r>
        <w:rPr>
          <w:rFonts w:eastAsia="Cambria" w:cs="Cambria"/>
          <w:spacing w:val="1"/>
        </w:rPr>
        <w:t>c</w:t>
      </w:r>
      <w:r>
        <w:rPr>
          <w:rFonts w:eastAsia="Cambria" w:cs="Cambria"/>
        </w:rPr>
        <w:t>u</w:t>
      </w:r>
      <w:r>
        <w:rPr>
          <w:rFonts w:eastAsia="Cambria" w:cs="Cambria"/>
          <w:spacing w:val="1"/>
        </w:rPr>
        <w:t>a</w:t>
      </w:r>
      <w:r>
        <w:rPr>
          <w:rFonts w:eastAsia="Cambria" w:cs="Cambria"/>
        </w:rPr>
        <w:t>do</w:t>
      </w:r>
      <w:r>
        <w:rPr>
          <w:rFonts w:eastAsia="Cambria" w:cs="Cambria"/>
          <w:spacing w:val="-2"/>
        </w:rPr>
        <w:t xml:space="preserve"> </w:t>
      </w:r>
      <w:r>
        <w:rPr>
          <w:rFonts w:eastAsia="Cambria" w:cs="Cambria"/>
        </w:rPr>
        <w:t>d</w:t>
      </w:r>
      <w:r>
        <w:rPr>
          <w:rFonts w:eastAsia="Cambria" w:cs="Cambria"/>
          <w:spacing w:val="-1"/>
        </w:rPr>
        <w:t>e</w:t>
      </w:r>
      <w:r>
        <w:rPr>
          <w:rFonts w:eastAsia="Cambria" w:cs="Cambria"/>
          <w:spacing w:val="1"/>
        </w:rPr>
        <w:t>sa</w:t>
      </w:r>
      <w:r>
        <w:rPr>
          <w:rFonts w:eastAsia="Cambria" w:cs="Cambria"/>
          <w:spacing w:val="-1"/>
        </w:rPr>
        <w:t>rr</w:t>
      </w:r>
      <w:r>
        <w:rPr>
          <w:rFonts w:eastAsia="Cambria" w:cs="Cambria"/>
        </w:rPr>
        <w:t>o</w:t>
      </w:r>
      <w:r>
        <w:rPr>
          <w:rFonts w:eastAsia="Cambria" w:cs="Cambria"/>
          <w:spacing w:val="1"/>
        </w:rPr>
        <w:t>ll</w:t>
      </w:r>
      <w:r>
        <w:rPr>
          <w:rFonts w:eastAsia="Cambria" w:cs="Cambria"/>
        </w:rPr>
        <w:t>o</w:t>
      </w:r>
      <w:r>
        <w:rPr>
          <w:rFonts w:eastAsia="Cambria" w:cs="Cambria"/>
          <w:spacing w:val="-3"/>
        </w:rPr>
        <w:t xml:space="preserve"> </w:t>
      </w:r>
      <w:r>
        <w:rPr>
          <w:rFonts w:eastAsia="Cambria" w:cs="Cambria"/>
        </w:rPr>
        <w:t>de</w:t>
      </w:r>
      <w:r>
        <w:rPr>
          <w:rFonts w:eastAsia="Cambria" w:cs="Cambria"/>
          <w:spacing w:val="3"/>
        </w:rPr>
        <w:t xml:space="preserve"> </w:t>
      </w:r>
      <w:r>
        <w:rPr>
          <w:rFonts w:eastAsia="Cambria" w:cs="Cambria"/>
          <w:spacing w:val="1"/>
        </w:rPr>
        <w:t>l</w:t>
      </w:r>
      <w:r>
        <w:rPr>
          <w:rFonts w:eastAsia="Cambria" w:cs="Cambria"/>
        </w:rPr>
        <w:t>os</w:t>
      </w:r>
      <w:r>
        <w:rPr>
          <w:rFonts w:eastAsia="Cambria" w:cs="Cambria"/>
          <w:spacing w:val="5"/>
        </w:rPr>
        <w:t xml:space="preserve"> </w:t>
      </w:r>
      <w:r>
        <w:rPr>
          <w:rFonts w:eastAsia="Cambria" w:cs="Cambria"/>
        </w:rPr>
        <w:t>t</w:t>
      </w:r>
      <w:r>
        <w:rPr>
          <w:rFonts w:eastAsia="Cambria" w:cs="Cambria"/>
          <w:spacing w:val="-1"/>
        </w:rPr>
        <w:t>r</w:t>
      </w:r>
      <w:r>
        <w:rPr>
          <w:rFonts w:eastAsia="Cambria" w:cs="Cambria"/>
          <w:spacing w:val="1"/>
        </w:rPr>
        <w:t>a</w:t>
      </w:r>
      <w:r>
        <w:rPr>
          <w:rFonts w:eastAsia="Cambria" w:cs="Cambria"/>
          <w:spacing w:val="-1"/>
        </w:rPr>
        <w:t>b</w:t>
      </w:r>
      <w:r>
        <w:rPr>
          <w:rFonts w:eastAsia="Cambria" w:cs="Cambria"/>
          <w:spacing w:val="1"/>
        </w:rPr>
        <w:t>a</w:t>
      </w:r>
      <w:r>
        <w:rPr>
          <w:rFonts w:eastAsia="Cambria" w:cs="Cambria"/>
        </w:rPr>
        <w:t>jos, y por</w:t>
      </w:r>
      <w:r>
        <w:rPr>
          <w:rFonts w:eastAsia="Cambria" w:cs="Cambria"/>
          <w:spacing w:val="6"/>
        </w:rPr>
        <w:t xml:space="preserve"> </w:t>
      </w:r>
      <w:r>
        <w:rPr>
          <w:rFonts w:eastAsia="Cambria" w:cs="Cambria"/>
          <w:spacing w:val="1"/>
        </w:rPr>
        <w:t>ca</w:t>
      </w:r>
      <w:r>
        <w:rPr>
          <w:rFonts w:eastAsia="Cambria" w:cs="Cambria"/>
        </w:rPr>
        <w:t>da</w:t>
      </w:r>
      <w:r>
        <w:rPr>
          <w:rFonts w:eastAsia="Cambria" w:cs="Cambria"/>
          <w:spacing w:val="7"/>
        </w:rPr>
        <w:t xml:space="preserve"> </w:t>
      </w:r>
      <w:r>
        <w:rPr>
          <w:rFonts w:eastAsia="Cambria" w:cs="Cambria"/>
        </w:rPr>
        <w:t>día</w:t>
      </w:r>
      <w:r>
        <w:rPr>
          <w:rFonts w:eastAsia="Cambria" w:cs="Cambria"/>
          <w:spacing w:val="8"/>
        </w:rPr>
        <w:t xml:space="preserve"> </w:t>
      </w:r>
      <w:r>
        <w:rPr>
          <w:rFonts w:eastAsia="Cambria" w:cs="Cambria"/>
          <w:spacing w:val="2"/>
        </w:rPr>
        <w:t>d</w:t>
      </w:r>
      <w:r>
        <w:rPr>
          <w:rFonts w:eastAsia="Cambria" w:cs="Cambria"/>
        </w:rPr>
        <w:t>e</w:t>
      </w:r>
      <w:r>
        <w:rPr>
          <w:rFonts w:eastAsia="Cambria" w:cs="Cambria"/>
          <w:spacing w:val="7"/>
        </w:rPr>
        <w:t xml:space="preserve"> </w:t>
      </w:r>
      <w:r>
        <w:rPr>
          <w:rFonts w:eastAsia="Cambria" w:cs="Cambria"/>
          <w:spacing w:val="2"/>
        </w:rPr>
        <w:t>m</w:t>
      </w:r>
      <w:r>
        <w:rPr>
          <w:rFonts w:eastAsia="Cambria" w:cs="Cambria"/>
        </w:rPr>
        <w:t>o</w:t>
      </w:r>
      <w:r>
        <w:rPr>
          <w:rFonts w:eastAsia="Cambria" w:cs="Cambria"/>
          <w:spacing w:val="-1"/>
        </w:rPr>
        <w:t>r</w:t>
      </w:r>
      <w:r>
        <w:rPr>
          <w:rFonts w:eastAsia="Cambria" w:cs="Cambria"/>
        </w:rPr>
        <w:t>a</w:t>
      </w:r>
      <w:r>
        <w:rPr>
          <w:rFonts w:eastAsia="Cambria" w:cs="Cambria"/>
          <w:spacing w:val="8"/>
        </w:rPr>
        <w:t xml:space="preserve"> </w:t>
      </w:r>
      <w:r>
        <w:rPr>
          <w:rFonts w:eastAsia="Cambria" w:cs="Cambria"/>
          <w:spacing w:val="-1"/>
        </w:rPr>
        <w:t>e</w:t>
      </w:r>
      <w:r>
        <w:rPr>
          <w:rFonts w:eastAsia="Cambria" w:cs="Cambria"/>
        </w:rPr>
        <w:t>n</w:t>
      </w:r>
      <w:r>
        <w:rPr>
          <w:rFonts w:eastAsia="Cambria" w:cs="Cambria"/>
          <w:spacing w:val="10"/>
        </w:rPr>
        <w:t xml:space="preserve"> </w:t>
      </w:r>
      <w:r>
        <w:rPr>
          <w:rFonts w:eastAsia="Cambria" w:cs="Cambria"/>
          <w:spacing w:val="-1"/>
        </w:rPr>
        <w:t>e</w:t>
      </w:r>
      <w:r>
        <w:rPr>
          <w:rFonts w:eastAsia="Cambria" w:cs="Cambria"/>
        </w:rPr>
        <w:t>l</w:t>
      </w:r>
      <w:r>
        <w:rPr>
          <w:rFonts w:eastAsia="Cambria" w:cs="Cambria"/>
          <w:spacing w:val="11"/>
        </w:rPr>
        <w:t xml:space="preserve"> </w:t>
      </w:r>
      <w:r>
        <w:rPr>
          <w:rFonts w:eastAsia="Cambria" w:cs="Cambria"/>
          <w:spacing w:val="1"/>
        </w:rPr>
        <w:t>c</w:t>
      </w:r>
      <w:r>
        <w:rPr>
          <w:rFonts w:eastAsia="Cambria" w:cs="Cambria"/>
        </w:rPr>
        <w:t>ump</w:t>
      </w:r>
      <w:r>
        <w:rPr>
          <w:rFonts w:eastAsia="Cambria" w:cs="Cambria"/>
          <w:spacing w:val="1"/>
        </w:rPr>
        <w:t>l</w:t>
      </w:r>
      <w:r>
        <w:rPr>
          <w:rFonts w:eastAsia="Cambria" w:cs="Cambria"/>
        </w:rPr>
        <w:t>imi</w:t>
      </w:r>
      <w:r>
        <w:rPr>
          <w:rFonts w:eastAsia="Cambria" w:cs="Cambria"/>
          <w:spacing w:val="1"/>
        </w:rPr>
        <w:t>e</w:t>
      </w:r>
      <w:r>
        <w:rPr>
          <w:rFonts w:eastAsia="Cambria" w:cs="Cambria"/>
          <w:spacing w:val="-1"/>
        </w:rPr>
        <w:t>n</w:t>
      </w:r>
      <w:r>
        <w:rPr>
          <w:rFonts w:eastAsia="Cambria" w:cs="Cambria"/>
        </w:rPr>
        <w:t>to de</w:t>
      </w:r>
      <w:r>
        <w:rPr>
          <w:rFonts w:eastAsia="Cambria" w:cs="Cambria"/>
          <w:spacing w:val="9"/>
        </w:rPr>
        <w:t xml:space="preserve"> </w:t>
      </w:r>
      <w:r>
        <w:rPr>
          <w:rFonts w:eastAsia="Cambria" w:cs="Cambria"/>
          <w:spacing w:val="-1"/>
        </w:rPr>
        <w:t>e</w:t>
      </w:r>
      <w:r>
        <w:rPr>
          <w:rFonts w:eastAsia="Cambria" w:cs="Cambria"/>
          <w:spacing w:val="1"/>
        </w:rPr>
        <w:t>s</w:t>
      </w:r>
      <w:r>
        <w:rPr>
          <w:rFonts w:eastAsia="Cambria" w:cs="Cambria"/>
          <w:spacing w:val="2"/>
        </w:rPr>
        <w:t>t</w:t>
      </w:r>
      <w:r>
        <w:rPr>
          <w:rFonts w:eastAsia="Cambria" w:cs="Cambria"/>
        </w:rPr>
        <w:t>e</w:t>
      </w:r>
      <w:r>
        <w:rPr>
          <w:rFonts w:eastAsia="Cambria" w:cs="Cambria"/>
          <w:spacing w:val="7"/>
        </w:rPr>
        <w:t xml:space="preserve"> </w:t>
      </w:r>
      <w:r>
        <w:rPr>
          <w:rFonts w:eastAsia="Cambria" w:cs="Cambria"/>
          <w:spacing w:val="-1"/>
        </w:rPr>
        <w:t>r</w:t>
      </w:r>
      <w:r>
        <w:rPr>
          <w:rFonts w:eastAsia="Cambria" w:cs="Cambria"/>
          <w:spacing w:val="1"/>
        </w:rPr>
        <w:t>e</w:t>
      </w:r>
      <w:r>
        <w:rPr>
          <w:rFonts w:eastAsia="Cambria" w:cs="Cambria"/>
          <w:spacing w:val="-1"/>
        </w:rPr>
        <w:t>q</w:t>
      </w:r>
      <w:r>
        <w:rPr>
          <w:rFonts w:eastAsia="Cambria" w:cs="Cambria"/>
        </w:rPr>
        <w:t>u</w:t>
      </w:r>
      <w:r>
        <w:rPr>
          <w:rFonts w:eastAsia="Cambria" w:cs="Cambria"/>
          <w:spacing w:val="2"/>
        </w:rPr>
        <w:t>i</w:t>
      </w:r>
      <w:r>
        <w:rPr>
          <w:rFonts w:eastAsia="Cambria" w:cs="Cambria"/>
          <w:spacing w:val="1"/>
        </w:rPr>
        <w:t>s</w:t>
      </w:r>
      <w:r>
        <w:rPr>
          <w:rFonts w:eastAsia="Cambria" w:cs="Cambria"/>
        </w:rPr>
        <w:t>ito,</w:t>
      </w:r>
      <w:r>
        <w:rPr>
          <w:rFonts w:eastAsia="Cambria" w:cs="Cambria"/>
          <w:spacing w:val="2"/>
        </w:rPr>
        <w:t xml:space="preserve"> </w:t>
      </w:r>
      <w:r>
        <w:rPr>
          <w:rFonts w:eastAsia="Cambria" w:cs="Cambria"/>
          <w:spacing w:val="-1"/>
        </w:rPr>
        <w:t>e</w:t>
      </w:r>
      <w:r>
        <w:rPr>
          <w:rFonts w:eastAsia="Cambria" w:cs="Cambria"/>
        </w:rPr>
        <w:t>l</w:t>
      </w:r>
      <w:r>
        <w:rPr>
          <w:rFonts w:eastAsia="Cambria" w:cs="Cambria"/>
          <w:spacing w:val="9"/>
        </w:rPr>
        <w:t xml:space="preserve"> </w:t>
      </w:r>
      <w:r>
        <w:rPr>
          <w:rFonts w:eastAsia="Cambria" w:cs="Cambria"/>
          <w:spacing w:val="3"/>
        </w:rPr>
        <w:t>u</w:t>
      </w:r>
      <w:r>
        <w:rPr>
          <w:rFonts w:eastAsia="Cambria" w:cs="Cambria"/>
          <w:spacing w:val="-1"/>
        </w:rPr>
        <w:t>n</w:t>
      </w:r>
      <w:r>
        <w:rPr>
          <w:rFonts w:eastAsia="Cambria" w:cs="Cambria"/>
        </w:rPr>
        <w:t>o</w:t>
      </w:r>
      <w:r>
        <w:rPr>
          <w:rFonts w:eastAsia="Cambria" w:cs="Cambria"/>
          <w:spacing w:val="7"/>
        </w:rPr>
        <w:t xml:space="preserve"> </w:t>
      </w:r>
      <w:r>
        <w:rPr>
          <w:rFonts w:eastAsia="Cambria" w:cs="Cambria"/>
          <w:spacing w:val="2"/>
        </w:rPr>
        <w:t>p</w:t>
      </w:r>
      <w:r>
        <w:rPr>
          <w:rFonts w:eastAsia="Cambria" w:cs="Cambria"/>
        </w:rPr>
        <w:t>or</w:t>
      </w:r>
      <w:r>
        <w:rPr>
          <w:rFonts w:eastAsia="Cambria" w:cs="Cambria"/>
          <w:spacing w:val="8"/>
        </w:rPr>
        <w:t xml:space="preserve"> </w:t>
      </w:r>
      <w:r>
        <w:rPr>
          <w:rFonts w:eastAsia="Cambria" w:cs="Cambria"/>
        </w:rPr>
        <w:t>mil</w:t>
      </w:r>
      <w:r>
        <w:rPr>
          <w:rFonts w:eastAsia="Cambria" w:cs="Cambria"/>
          <w:spacing w:val="8"/>
        </w:rPr>
        <w:t xml:space="preserve"> </w:t>
      </w:r>
      <w:r>
        <w:rPr>
          <w:rFonts w:eastAsia="Cambria" w:cs="Cambria"/>
          <w:spacing w:val="1"/>
        </w:rPr>
        <w:t>(</w:t>
      </w:r>
      <w:r>
        <w:rPr>
          <w:rFonts w:eastAsia="Cambria" w:cs="Cambria"/>
        </w:rPr>
        <w:t>1‰)</w:t>
      </w:r>
      <w:r>
        <w:rPr>
          <w:rFonts w:eastAsia="Cambria" w:cs="Cambria"/>
          <w:spacing w:val="6"/>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8"/>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4"/>
        </w:rPr>
        <w:t xml:space="preserve"> </w:t>
      </w:r>
      <w:r>
        <w:rPr>
          <w:rFonts w:eastAsia="Cambria" w:cs="Cambria"/>
        </w:rPr>
        <w:t>tot</w:t>
      </w:r>
      <w:r>
        <w:rPr>
          <w:rFonts w:eastAsia="Cambria" w:cs="Cambria"/>
          <w:spacing w:val="1"/>
        </w:rPr>
        <w:t>a</w:t>
      </w:r>
      <w:r>
        <w:rPr>
          <w:rFonts w:eastAsia="Cambria" w:cs="Cambria"/>
        </w:rPr>
        <w:t>l</w:t>
      </w:r>
      <w:r>
        <w:rPr>
          <w:rFonts w:eastAsia="Cambria" w:cs="Cambria"/>
          <w:spacing w:val="7"/>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8"/>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1"/>
        </w:rPr>
        <w:t>a</w:t>
      </w:r>
      <w:r>
        <w:rPr>
          <w:rFonts w:eastAsia="Cambria" w:cs="Cambria"/>
        </w:rPr>
        <w:t xml:space="preserve">to, </w:t>
      </w:r>
      <w:r>
        <w:rPr>
          <w:rFonts w:eastAsia="Cambria" w:cs="Cambria"/>
          <w:spacing w:val="1"/>
        </w:rPr>
        <w:t>s</w:t>
      </w:r>
      <w:r>
        <w:rPr>
          <w:rFonts w:eastAsia="Cambria" w:cs="Cambria"/>
        </w:rPr>
        <w:t>in</w:t>
      </w:r>
      <w:r>
        <w:rPr>
          <w:rFonts w:eastAsia="Cambria" w:cs="Cambria"/>
          <w:spacing w:val="-5"/>
        </w:rPr>
        <w:t xml:space="preserve"> </w:t>
      </w:r>
      <w:r>
        <w:rPr>
          <w:rFonts w:eastAsia="Cambria" w:cs="Cambria"/>
          <w:spacing w:val="1"/>
        </w:rPr>
        <w:t>s</w:t>
      </w:r>
      <w:r>
        <w:rPr>
          <w:rFonts w:eastAsia="Cambria" w:cs="Cambria"/>
        </w:rPr>
        <w:t>u</w:t>
      </w:r>
      <w:r>
        <w:rPr>
          <w:rFonts w:eastAsia="Cambria" w:cs="Cambria"/>
          <w:spacing w:val="2"/>
        </w:rPr>
        <w:t>p</w:t>
      </w:r>
      <w:r>
        <w:rPr>
          <w:rFonts w:eastAsia="Cambria" w:cs="Cambria"/>
          <w:spacing w:val="-1"/>
        </w:rPr>
        <w:t>er</w:t>
      </w:r>
      <w:r>
        <w:rPr>
          <w:rFonts w:eastAsia="Cambria" w:cs="Cambria"/>
          <w:spacing w:val="1"/>
        </w:rPr>
        <w:t>a</w:t>
      </w:r>
      <w:r>
        <w:rPr>
          <w:rFonts w:eastAsia="Cambria" w:cs="Cambria"/>
        </w:rPr>
        <w:t>r</w:t>
      </w:r>
      <w:r>
        <w:rPr>
          <w:rFonts w:eastAsia="Cambria" w:cs="Cambria"/>
          <w:spacing w:val="-6"/>
        </w:rPr>
        <w:t xml:space="preserve"> </w:t>
      </w:r>
      <w:r>
        <w:rPr>
          <w:rFonts w:eastAsia="Cambria" w:cs="Cambria"/>
          <w:spacing w:val="-1"/>
        </w:rPr>
        <w:t>e</w:t>
      </w:r>
      <w:r>
        <w:rPr>
          <w:rFonts w:eastAsia="Cambria" w:cs="Cambria"/>
        </w:rPr>
        <w:t>l dos</w:t>
      </w:r>
      <w:r>
        <w:rPr>
          <w:rFonts w:eastAsia="Cambria" w:cs="Cambria"/>
          <w:spacing w:val="-3"/>
        </w:rPr>
        <w:t xml:space="preserve"> </w:t>
      </w:r>
      <w:r>
        <w:rPr>
          <w:rFonts w:eastAsia="Cambria" w:cs="Cambria"/>
        </w:rPr>
        <w:t>p</w:t>
      </w:r>
      <w:r>
        <w:rPr>
          <w:rFonts w:eastAsia="Cambria" w:cs="Cambria"/>
          <w:spacing w:val="1"/>
        </w:rPr>
        <w:t>o</w:t>
      </w:r>
      <w:r>
        <w:rPr>
          <w:rFonts w:eastAsia="Cambria" w:cs="Cambria"/>
        </w:rPr>
        <w:t>r</w:t>
      </w:r>
      <w:r>
        <w:rPr>
          <w:rFonts w:eastAsia="Cambria" w:cs="Cambria"/>
          <w:spacing w:val="-4"/>
        </w:rPr>
        <w:t xml:space="preserve"> </w:t>
      </w:r>
      <w:r>
        <w:rPr>
          <w:rFonts w:eastAsia="Cambria" w:cs="Cambria"/>
          <w:spacing w:val="1"/>
        </w:rPr>
        <w:t>c</w:t>
      </w:r>
      <w:r>
        <w:rPr>
          <w:rFonts w:eastAsia="Cambria" w:cs="Cambria"/>
          <w:spacing w:val="2"/>
        </w:rPr>
        <w:t>i</w:t>
      </w:r>
      <w:r>
        <w:rPr>
          <w:rFonts w:eastAsia="Cambria" w:cs="Cambria"/>
          <w:spacing w:val="-1"/>
        </w:rPr>
        <w:t>e</w:t>
      </w:r>
      <w:r>
        <w:rPr>
          <w:rFonts w:eastAsia="Cambria" w:cs="Cambria"/>
          <w:spacing w:val="1"/>
        </w:rPr>
        <w:t>n</w:t>
      </w:r>
      <w:r>
        <w:rPr>
          <w:rFonts w:eastAsia="Cambria" w:cs="Cambria"/>
        </w:rPr>
        <w:t>to</w:t>
      </w:r>
      <w:r>
        <w:rPr>
          <w:rFonts w:eastAsia="Cambria" w:cs="Cambria"/>
          <w:spacing w:val="-4"/>
        </w:rPr>
        <w:t xml:space="preserve"> </w:t>
      </w:r>
      <w:r>
        <w:rPr>
          <w:rFonts w:eastAsia="Cambria" w:cs="Cambria"/>
          <w:spacing w:val="1"/>
        </w:rPr>
        <w:t>(</w:t>
      </w:r>
      <w:r>
        <w:rPr>
          <w:rFonts w:eastAsia="Cambria" w:cs="Cambria"/>
        </w:rPr>
        <w:t>2%)</w:t>
      </w:r>
      <w:r>
        <w:rPr>
          <w:rFonts w:eastAsia="Cambria" w:cs="Cambria"/>
          <w:spacing w:val="-4"/>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rPr>
        <w:t>v</w:t>
      </w:r>
      <w:r>
        <w:rPr>
          <w:rFonts w:eastAsia="Cambria" w:cs="Cambria"/>
          <w:spacing w:val="1"/>
        </w:rPr>
        <w:t>al</w:t>
      </w:r>
      <w:r>
        <w:rPr>
          <w:rFonts w:eastAsia="Cambria" w:cs="Cambria"/>
          <w:spacing w:val="4"/>
        </w:rPr>
        <w:t>o</w:t>
      </w:r>
      <w:r>
        <w:rPr>
          <w:rFonts w:eastAsia="Cambria" w:cs="Cambria"/>
        </w:rPr>
        <w:t>r</w:t>
      </w:r>
      <w:r>
        <w:rPr>
          <w:rFonts w:eastAsia="Cambria" w:cs="Cambria"/>
          <w:spacing w:val="-5"/>
        </w:rPr>
        <w:t xml:space="preserve"> </w:t>
      </w:r>
      <w:r>
        <w:rPr>
          <w:rFonts w:eastAsia="Cambria" w:cs="Cambria"/>
        </w:rPr>
        <w:t>total</w:t>
      </w:r>
      <w:r>
        <w:rPr>
          <w:rFonts w:eastAsia="Cambria" w:cs="Cambria"/>
          <w:spacing w:val="-4"/>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2"/>
        </w:rPr>
        <w:t>m</w:t>
      </w:r>
      <w:r>
        <w:rPr>
          <w:rFonts w:eastAsia="Cambria" w:cs="Cambria"/>
        </w:rPr>
        <w:t>ismo.</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Por</w:t>
      </w:r>
      <w:r>
        <w:rPr>
          <w:rFonts w:eastAsia="Cambria" w:cs="Cambria"/>
          <w:spacing w:val="4"/>
        </w:rPr>
        <w:t xml:space="preserve"> </w:t>
      </w:r>
      <w:r>
        <w:rPr>
          <w:rFonts w:eastAsia="Cambria" w:cs="Cambria"/>
          <w:spacing w:val="-1"/>
        </w:rPr>
        <w:t>n</w:t>
      </w:r>
      <w:r>
        <w:rPr>
          <w:rFonts w:eastAsia="Cambria" w:cs="Cambria"/>
        </w:rPr>
        <w:t>o</w:t>
      </w:r>
      <w:r>
        <w:rPr>
          <w:rFonts w:eastAsia="Cambria" w:cs="Cambria"/>
          <w:spacing w:val="4"/>
        </w:rPr>
        <w:t xml:space="preserve"> </w:t>
      </w:r>
      <w:r>
        <w:rPr>
          <w:rFonts w:eastAsia="Cambria" w:cs="Cambria"/>
        </w:rPr>
        <w:t>d</w:t>
      </w:r>
      <w:r>
        <w:rPr>
          <w:rFonts w:eastAsia="Cambria" w:cs="Cambria"/>
          <w:spacing w:val="1"/>
        </w:rPr>
        <w:t>a</w:t>
      </w:r>
      <w:r>
        <w:rPr>
          <w:rFonts w:eastAsia="Cambria" w:cs="Cambria"/>
        </w:rPr>
        <w:t>r</w:t>
      </w:r>
      <w:r>
        <w:rPr>
          <w:rFonts w:eastAsia="Cambria" w:cs="Cambria"/>
          <w:spacing w:val="2"/>
        </w:rPr>
        <w:t xml:space="preserve"> </w:t>
      </w:r>
      <w:r>
        <w:rPr>
          <w:rFonts w:eastAsia="Cambria" w:cs="Cambria"/>
          <w:spacing w:val="1"/>
        </w:rPr>
        <w:t>c</w:t>
      </w:r>
      <w:r>
        <w:rPr>
          <w:rFonts w:eastAsia="Cambria" w:cs="Cambria"/>
        </w:rPr>
        <w:t>u</w:t>
      </w:r>
      <w:r>
        <w:rPr>
          <w:rFonts w:eastAsia="Cambria" w:cs="Cambria"/>
          <w:spacing w:val="3"/>
        </w:rPr>
        <w:t>m</w:t>
      </w:r>
      <w:r>
        <w:rPr>
          <w:rFonts w:eastAsia="Cambria" w:cs="Cambria"/>
        </w:rPr>
        <w:t>plim</w:t>
      </w:r>
      <w:r>
        <w:rPr>
          <w:rFonts w:eastAsia="Cambria" w:cs="Cambria"/>
          <w:spacing w:val="2"/>
        </w:rPr>
        <w:t>i</w:t>
      </w:r>
      <w:r>
        <w:rPr>
          <w:rFonts w:eastAsia="Cambria" w:cs="Cambria"/>
          <w:spacing w:val="-1"/>
        </w:rPr>
        <w:t>en</w:t>
      </w:r>
      <w:r>
        <w:rPr>
          <w:rFonts w:eastAsia="Cambria" w:cs="Cambria"/>
          <w:spacing w:val="2"/>
        </w:rPr>
        <w:t>t</w:t>
      </w:r>
      <w:r>
        <w:rPr>
          <w:rFonts w:eastAsia="Cambria" w:cs="Cambria"/>
        </w:rPr>
        <w:t>o</w:t>
      </w:r>
      <w:r>
        <w:rPr>
          <w:rFonts w:eastAsia="Cambria" w:cs="Cambria"/>
          <w:spacing w:val="-6"/>
        </w:rPr>
        <w:t xml:space="preserve"> </w:t>
      </w:r>
      <w:r>
        <w:rPr>
          <w:rFonts w:eastAsia="Cambria" w:cs="Cambria"/>
        </w:rPr>
        <w:t>a</w:t>
      </w:r>
      <w:r>
        <w:rPr>
          <w:rFonts w:eastAsia="Cambria" w:cs="Cambria"/>
          <w:spacing w:val="6"/>
        </w:rPr>
        <w:t xml:space="preserve"> </w:t>
      </w:r>
      <w:r>
        <w:rPr>
          <w:rFonts w:eastAsia="Cambria" w:cs="Cambria"/>
          <w:spacing w:val="1"/>
        </w:rPr>
        <w:t>l</w:t>
      </w:r>
      <w:r>
        <w:rPr>
          <w:rFonts w:eastAsia="Cambria" w:cs="Cambria"/>
        </w:rPr>
        <w:t>a</w:t>
      </w:r>
      <w:r>
        <w:rPr>
          <w:rFonts w:eastAsia="Cambria" w:cs="Cambria"/>
          <w:spacing w:val="5"/>
        </w:rPr>
        <w:t xml:space="preserve"> </w:t>
      </w:r>
      <w:r>
        <w:rPr>
          <w:rFonts w:eastAsia="Cambria" w:cs="Cambria"/>
        </w:rPr>
        <w:t>o</w:t>
      </w:r>
      <w:r>
        <w:rPr>
          <w:rFonts w:eastAsia="Cambria" w:cs="Cambria"/>
          <w:spacing w:val="-1"/>
        </w:rPr>
        <w:t>b</w:t>
      </w:r>
      <w:r>
        <w:rPr>
          <w:rFonts w:eastAsia="Cambria" w:cs="Cambria"/>
          <w:spacing w:val="1"/>
        </w:rPr>
        <w:t>l</w:t>
      </w:r>
      <w:r>
        <w:rPr>
          <w:rFonts w:eastAsia="Cambria" w:cs="Cambria"/>
        </w:rPr>
        <w:t>ig</w:t>
      </w:r>
      <w:r>
        <w:rPr>
          <w:rFonts w:eastAsia="Cambria" w:cs="Cambria"/>
          <w:spacing w:val="1"/>
        </w:rPr>
        <w:t>ac</w:t>
      </w:r>
      <w:r>
        <w:rPr>
          <w:rFonts w:eastAsia="Cambria" w:cs="Cambria"/>
        </w:rPr>
        <w:t>ión</w:t>
      </w:r>
      <w:r>
        <w:rPr>
          <w:rFonts w:eastAsia="Cambria" w:cs="Cambria"/>
          <w:spacing w:val="-4"/>
        </w:rPr>
        <w:t xml:space="preserve"> </w:t>
      </w:r>
      <w:r>
        <w:rPr>
          <w:rFonts w:eastAsia="Cambria" w:cs="Cambria"/>
          <w:spacing w:val="2"/>
        </w:rPr>
        <w:t>d</w:t>
      </w:r>
      <w:r>
        <w:rPr>
          <w:rFonts w:eastAsia="Cambria" w:cs="Cambria"/>
        </w:rPr>
        <w:t>e</w:t>
      </w:r>
      <w:r>
        <w:rPr>
          <w:rFonts w:eastAsia="Cambria" w:cs="Cambria"/>
          <w:spacing w:val="3"/>
        </w:rPr>
        <w:t xml:space="preserve"> </w:t>
      </w:r>
      <w:r>
        <w:rPr>
          <w:rFonts w:eastAsia="Cambria" w:cs="Cambria"/>
          <w:spacing w:val="2"/>
        </w:rPr>
        <w:t>i</w:t>
      </w:r>
      <w:r>
        <w:rPr>
          <w:rFonts w:eastAsia="Cambria" w:cs="Cambria"/>
          <w:spacing w:val="-1"/>
        </w:rPr>
        <w:t>n</w:t>
      </w:r>
      <w:r>
        <w:rPr>
          <w:rFonts w:eastAsia="Cambria" w:cs="Cambria"/>
          <w:spacing w:val="1"/>
        </w:rPr>
        <w:t>s</w:t>
      </w:r>
      <w:r>
        <w:rPr>
          <w:rFonts w:eastAsia="Cambria" w:cs="Cambria"/>
        </w:rPr>
        <w:t>t</w:t>
      </w:r>
      <w:r>
        <w:rPr>
          <w:rFonts w:eastAsia="Cambria" w:cs="Cambria"/>
          <w:spacing w:val="1"/>
        </w:rPr>
        <w:t>ala</w:t>
      </w:r>
      <w:r>
        <w:rPr>
          <w:rFonts w:eastAsia="Cambria" w:cs="Cambria"/>
        </w:rPr>
        <w:t>r</w:t>
      </w:r>
      <w:r>
        <w:rPr>
          <w:rFonts w:eastAsia="Cambria" w:cs="Cambria"/>
          <w:spacing w:val="-2"/>
        </w:rPr>
        <w:t xml:space="preserve"> </w:t>
      </w:r>
      <w:r>
        <w:rPr>
          <w:rFonts w:eastAsia="Cambria" w:cs="Cambria"/>
        </w:rPr>
        <w:t>y</w:t>
      </w:r>
      <w:r>
        <w:rPr>
          <w:rFonts w:eastAsia="Cambria" w:cs="Cambria"/>
          <w:spacing w:val="6"/>
        </w:rPr>
        <w:t xml:space="preserve"> </w:t>
      </w:r>
      <w:r>
        <w:rPr>
          <w:rFonts w:eastAsia="Cambria" w:cs="Cambria"/>
          <w:spacing w:val="2"/>
        </w:rPr>
        <w:t>m</w:t>
      </w:r>
      <w:r>
        <w:rPr>
          <w:rFonts w:eastAsia="Cambria" w:cs="Cambria"/>
          <w:spacing w:val="1"/>
        </w:rPr>
        <w:t>a</w:t>
      </w:r>
      <w:r>
        <w:rPr>
          <w:rFonts w:eastAsia="Cambria" w:cs="Cambria"/>
          <w:spacing w:val="-1"/>
        </w:rPr>
        <w:t>n</w:t>
      </w:r>
      <w:r>
        <w:rPr>
          <w:rFonts w:eastAsia="Cambria" w:cs="Cambria"/>
        </w:rPr>
        <w:t>t</w:t>
      </w:r>
      <w:r>
        <w:rPr>
          <w:rFonts w:eastAsia="Cambria" w:cs="Cambria"/>
          <w:spacing w:val="1"/>
        </w:rPr>
        <w:t>e</w:t>
      </w:r>
      <w:r>
        <w:rPr>
          <w:rFonts w:eastAsia="Cambria" w:cs="Cambria"/>
          <w:spacing w:val="-1"/>
        </w:rPr>
        <w:t>n</w:t>
      </w:r>
      <w:r>
        <w:rPr>
          <w:rFonts w:eastAsia="Cambria" w:cs="Cambria"/>
          <w:spacing w:val="1"/>
        </w:rPr>
        <w:t>e</w:t>
      </w:r>
      <w:r>
        <w:rPr>
          <w:rFonts w:eastAsia="Cambria" w:cs="Cambria"/>
        </w:rPr>
        <w:t>r</w:t>
      </w:r>
      <w:r>
        <w:rPr>
          <w:rFonts w:eastAsia="Cambria" w:cs="Cambria"/>
          <w:spacing w:val="-3"/>
        </w:rPr>
        <w:t xml:space="preserve"> </w:t>
      </w:r>
      <w:r>
        <w:rPr>
          <w:rFonts w:eastAsia="Cambria" w:cs="Cambria"/>
          <w:spacing w:val="1"/>
        </w:rPr>
        <w:t>l</w:t>
      </w:r>
      <w:r>
        <w:rPr>
          <w:rFonts w:eastAsia="Cambria" w:cs="Cambria"/>
        </w:rPr>
        <w:t>a</w:t>
      </w:r>
      <w:r>
        <w:rPr>
          <w:rFonts w:eastAsia="Cambria" w:cs="Cambria"/>
          <w:spacing w:val="5"/>
        </w:rPr>
        <w:t xml:space="preserve"> </w:t>
      </w:r>
      <w:r>
        <w:rPr>
          <w:rFonts w:eastAsia="Cambria" w:cs="Cambria"/>
          <w:spacing w:val="1"/>
        </w:rPr>
        <w:t>s</w:t>
      </w:r>
      <w:r>
        <w:rPr>
          <w:rFonts w:eastAsia="Cambria" w:cs="Cambria"/>
          <w:spacing w:val="-1"/>
        </w:rPr>
        <w:t>eñ</w:t>
      </w:r>
      <w:r>
        <w:rPr>
          <w:rFonts w:eastAsia="Cambria" w:cs="Cambria"/>
          <w:spacing w:val="1"/>
        </w:rPr>
        <w:t>al</w:t>
      </w:r>
      <w:r>
        <w:rPr>
          <w:rFonts w:eastAsia="Cambria" w:cs="Cambria"/>
        </w:rPr>
        <w:t>iz</w:t>
      </w:r>
      <w:r>
        <w:rPr>
          <w:rFonts w:eastAsia="Cambria" w:cs="Cambria"/>
          <w:spacing w:val="1"/>
        </w:rPr>
        <w:t>ac</w:t>
      </w:r>
      <w:r>
        <w:rPr>
          <w:rFonts w:eastAsia="Cambria" w:cs="Cambria"/>
        </w:rPr>
        <w:t>ión</w:t>
      </w:r>
      <w:r>
        <w:rPr>
          <w:rFonts w:eastAsia="Cambria" w:cs="Cambria"/>
          <w:spacing w:val="-6"/>
        </w:rPr>
        <w:t xml:space="preserve"> </w:t>
      </w:r>
      <w:r>
        <w:rPr>
          <w:rFonts w:eastAsia="Cambria" w:cs="Cambria"/>
          <w:spacing w:val="2"/>
        </w:rPr>
        <w:t>p</w:t>
      </w:r>
      <w:r>
        <w:rPr>
          <w:rFonts w:eastAsia="Cambria" w:cs="Cambria"/>
          <w:spacing w:val="-1"/>
        </w:rPr>
        <w:t>re</w:t>
      </w:r>
      <w:r>
        <w:rPr>
          <w:rFonts w:eastAsia="Cambria" w:cs="Cambria"/>
          <w:spacing w:val="3"/>
        </w:rPr>
        <w:t>v</w:t>
      </w:r>
      <w:r>
        <w:rPr>
          <w:rFonts w:eastAsia="Cambria" w:cs="Cambria"/>
          <w:spacing w:val="-1"/>
        </w:rPr>
        <w:t>en</w:t>
      </w:r>
      <w:r>
        <w:rPr>
          <w:rFonts w:eastAsia="Cambria" w:cs="Cambria"/>
          <w:spacing w:val="2"/>
        </w:rPr>
        <w:t>t</w:t>
      </w:r>
      <w:r>
        <w:rPr>
          <w:rFonts w:eastAsia="Cambria" w:cs="Cambria"/>
        </w:rPr>
        <w:t>iva</w:t>
      </w:r>
      <w:r>
        <w:rPr>
          <w:rFonts w:eastAsia="Cambria" w:cs="Cambria"/>
          <w:spacing w:val="-2"/>
        </w:rPr>
        <w:t xml:space="preserve"> </w:t>
      </w:r>
      <w:r>
        <w:rPr>
          <w:rFonts w:eastAsia="Cambria" w:cs="Cambria"/>
        </w:rPr>
        <w:t>dura</w:t>
      </w:r>
      <w:r>
        <w:rPr>
          <w:rFonts w:eastAsia="Cambria" w:cs="Cambria"/>
          <w:spacing w:val="-1"/>
        </w:rPr>
        <w:t>n</w:t>
      </w:r>
      <w:r>
        <w:rPr>
          <w:rFonts w:eastAsia="Cambria" w:cs="Cambria"/>
          <w:spacing w:val="2"/>
        </w:rPr>
        <w:t>t</w:t>
      </w:r>
      <w:r>
        <w:rPr>
          <w:rFonts w:eastAsia="Cambria" w:cs="Cambria"/>
        </w:rPr>
        <w:t>e</w:t>
      </w:r>
      <w:r>
        <w:rPr>
          <w:rFonts w:eastAsia="Cambria" w:cs="Cambria"/>
          <w:spacing w:val="-2"/>
        </w:rPr>
        <w:t xml:space="preserve"> </w:t>
      </w:r>
      <w:r>
        <w:rPr>
          <w:rFonts w:eastAsia="Cambria" w:cs="Cambria"/>
          <w:spacing w:val="1"/>
        </w:rPr>
        <w:t>l</w:t>
      </w:r>
      <w:r>
        <w:rPr>
          <w:rFonts w:eastAsia="Cambria" w:cs="Cambria"/>
        </w:rPr>
        <w:t xml:space="preserve">a </w:t>
      </w:r>
      <w:r>
        <w:rPr>
          <w:rFonts w:eastAsia="Cambria" w:cs="Cambria"/>
          <w:spacing w:val="-1"/>
        </w:rPr>
        <w:t>e</w:t>
      </w:r>
      <w:r>
        <w:rPr>
          <w:rFonts w:eastAsia="Cambria" w:cs="Cambria"/>
        </w:rPr>
        <w:t>j</w:t>
      </w:r>
      <w:r>
        <w:rPr>
          <w:rFonts w:eastAsia="Cambria" w:cs="Cambria"/>
          <w:spacing w:val="-1"/>
        </w:rPr>
        <w:t>e</w:t>
      </w:r>
      <w:r>
        <w:rPr>
          <w:rFonts w:eastAsia="Cambria" w:cs="Cambria"/>
          <w:spacing w:val="1"/>
        </w:rPr>
        <w:t>c</w:t>
      </w:r>
      <w:r>
        <w:rPr>
          <w:rFonts w:eastAsia="Cambria" w:cs="Cambria"/>
        </w:rPr>
        <w:t>u</w:t>
      </w:r>
      <w:r>
        <w:rPr>
          <w:rFonts w:eastAsia="Cambria" w:cs="Cambria"/>
          <w:spacing w:val="1"/>
        </w:rPr>
        <w:t>c</w:t>
      </w:r>
      <w:r>
        <w:rPr>
          <w:rFonts w:eastAsia="Cambria" w:cs="Cambria"/>
        </w:rPr>
        <w:t>i</w:t>
      </w:r>
      <w:r>
        <w:rPr>
          <w:rFonts w:eastAsia="Cambria" w:cs="Cambria"/>
          <w:spacing w:val="2"/>
        </w:rPr>
        <w:t>ó</w:t>
      </w:r>
      <w:r>
        <w:rPr>
          <w:rFonts w:eastAsia="Cambria" w:cs="Cambria"/>
        </w:rPr>
        <w:t>n</w:t>
      </w:r>
      <w:r>
        <w:rPr>
          <w:rFonts w:eastAsia="Cambria" w:cs="Cambria"/>
          <w:spacing w:val="-5"/>
        </w:rPr>
        <w:t xml:space="preserve"> </w:t>
      </w:r>
      <w:r>
        <w:rPr>
          <w:rFonts w:eastAsia="Cambria" w:cs="Cambria"/>
        </w:rPr>
        <w:t>d</w:t>
      </w:r>
      <w:r>
        <w:rPr>
          <w:rFonts w:eastAsia="Cambria" w:cs="Cambria"/>
          <w:spacing w:val="-1"/>
        </w:rPr>
        <w:t>e</w:t>
      </w:r>
      <w:r>
        <w:rPr>
          <w:rFonts w:eastAsia="Cambria" w:cs="Cambria"/>
        </w:rPr>
        <w:t>l</w:t>
      </w:r>
      <w:r>
        <w:rPr>
          <w:rFonts w:eastAsia="Cambria" w:cs="Cambria"/>
          <w:spacing w:val="-1"/>
        </w:rPr>
        <w:t xml:space="preserve"> </w:t>
      </w:r>
      <w:r>
        <w:rPr>
          <w:rFonts w:eastAsia="Cambria" w:cs="Cambria"/>
          <w:spacing w:val="1"/>
        </w:rPr>
        <w:t>c</w:t>
      </w:r>
      <w:r>
        <w:rPr>
          <w:rFonts w:eastAsia="Cambria" w:cs="Cambria"/>
          <w:spacing w:val="2"/>
        </w:rPr>
        <w:t>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1"/>
        </w:rPr>
        <w:t>a</w:t>
      </w:r>
      <w:r>
        <w:rPr>
          <w:rFonts w:eastAsia="Cambria" w:cs="Cambria"/>
        </w:rPr>
        <w:t>to,</w:t>
      </w:r>
      <w:r>
        <w:rPr>
          <w:rFonts w:eastAsia="Cambria" w:cs="Cambria"/>
          <w:spacing w:val="-7"/>
        </w:rPr>
        <w:t xml:space="preserve"> </w:t>
      </w:r>
      <w:r>
        <w:rPr>
          <w:rFonts w:eastAsia="Cambria" w:cs="Cambria"/>
        </w:rPr>
        <w:t>y</w:t>
      </w:r>
      <w:r>
        <w:rPr>
          <w:rFonts w:eastAsia="Cambria" w:cs="Cambria"/>
          <w:spacing w:val="3"/>
        </w:rPr>
        <w:t xml:space="preserve"> </w:t>
      </w:r>
      <w:r>
        <w:rPr>
          <w:rFonts w:eastAsia="Cambria" w:cs="Cambria"/>
        </w:rPr>
        <w:t>p</w:t>
      </w:r>
      <w:r>
        <w:rPr>
          <w:rFonts w:eastAsia="Cambria" w:cs="Cambria"/>
          <w:spacing w:val="2"/>
        </w:rPr>
        <w:t>o</w:t>
      </w:r>
      <w:r>
        <w:rPr>
          <w:rFonts w:eastAsia="Cambria" w:cs="Cambria"/>
        </w:rPr>
        <w:t xml:space="preserve">r </w:t>
      </w:r>
      <w:r>
        <w:rPr>
          <w:rFonts w:eastAsia="Cambria" w:cs="Cambria"/>
          <w:spacing w:val="1"/>
        </w:rPr>
        <w:t>ca</w:t>
      </w:r>
      <w:r>
        <w:rPr>
          <w:rFonts w:eastAsia="Cambria" w:cs="Cambria"/>
        </w:rPr>
        <w:t>da</w:t>
      </w:r>
      <w:r>
        <w:rPr>
          <w:rFonts w:eastAsia="Cambria" w:cs="Cambria"/>
          <w:spacing w:val="-2"/>
        </w:rPr>
        <w:t xml:space="preserve"> </w:t>
      </w:r>
      <w:r>
        <w:rPr>
          <w:rFonts w:eastAsia="Cambria" w:cs="Cambria"/>
        </w:rPr>
        <w:t>día</w:t>
      </w:r>
      <w:r>
        <w:rPr>
          <w:rFonts w:eastAsia="Cambria" w:cs="Cambria"/>
          <w:spacing w:val="-1"/>
        </w:rPr>
        <w:t xml:space="preserve"> </w:t>
      </w:r>
      <w:r>
        <w:rPr>
          <w:rFonts w:eastAsia="Cambria" w:cs="Cambria"/>
          <w:spacing w:val="2"/>
        </w:rPr>
        <w:t>d</w:t>
      </w:r>
      <w:r>
        <w:rPr>
          <w:rFonts w:eastAsia="Cambria" w:cs="Cambria"/>
        </w:rPr>
        <w:t>e</w:t>
      </w:r>
      <w:r>
        <w:rPr>
          <w:rFonts w:eastAsia="Cambria" w:cs="Cambria"/>
          <w:spacing w:val="1"/>
        </w:rPr>
        <w:t xml:space="preserve"> </w:t>
      </w:r>
      <w:r>
        <w:rPr>
          <w:rFonts w:eastAsia="Cambria" w:cs="Cambria"/>
        </w:rPr>
        <w:t>mo</w:t>
      </w:r>
      <w:r>
        <w:rPr>
          <w:rFonts w:eastAsia="Cambria" w:cs="Cambria"/>
          <w:spacing w:val="-1"/>
        </w:rPr>
        <w:t>r</w:t>
      </w:r>
      <w:r>
        <w:rPr>
          <w:rFonts w:eastAsia="Cambria" w:cs="Cambria"/>
        </w:rPr>
        <w:t xml:space="preserve">a </w:t>
      </w:r>
      <w:r>
        <w:rPr>
          <w:rFonts w:eastAsia="Cambria" w:cs="Cambria"/>
          <w:spacing w:val="1"/>
        </w:rPr>
        <w:t>e</w:t>
      </w:r>
      <w:r>
        <w:rPr>
          <w:rFonts w:eastAsia="Cambria" w:cs="Cambria"/>
        </w:rPr>
        <w:t>n</w:t>
      </w:r>
      <w:r>
        <w:rPr>
          <w:rFonts w:eastAsia="Cambria" w:cs="Cambria"/>
          <w:spacing w:val="1"/>
        </w:rPr>
        <w:t xml:space="preserve"> </w:t>
      </w:r>
      <w:r>
        <w:rPr>
          <w:rFonts w:eastAsia="Cambria" w:cs="Cambria"/>
          <w:spacing w:val="-1"/>
        </w:rPr>
        <w:t>e</w:t>
      </w:r>
      <w:r>
        <w:rPr>
          <w:rFonts w:eastAsia="Cambria" w:cs="Cambria"/>
        </w:rPr>
        <w:t xml:space="preserve">l </w:t>
      </w:r>
      <w:r>
        <w:rPr>
          <w:rFonts w:eastAsia="Cambria" w:cs="Cambria"/>
          <w:spacing w:val="1"/>
        </w:rPr>
        <w:t>c</w:t>
      </w:r>
      <w:r>
        <w:rPr>
          <w:rFonts w:eastAsia="Cambria" w:cs="Cambria"/>
        </w:rPr>
        <w:t>u</w:t>
      </w:r>
      <w:r>
        <w:rPr>
          <w:rFonts w:eastAsia="Cambria" w:cs="Cambria"/>
          <w:spacing w:val="3"/>
        </w:rPr>
        <w:t>m</w:t>
      </w:r>
      <w:r>
        <w:rPr>
          <w:rFonts w:eastAsia="Cambria" w:cs="Cambria"/>
        </w:rPr>
        <w:t>plimi</w:t>
      </w:r>
      <w:r>
        <w:rPr>
          <w:rFonts w:eastAsia="Cambria" w:cs="Cambria"/>
          <w:spacing w:val="1"/>
        </w:rPr>
        <w:t>e</w:t>
      </w:r>
      <w:r>
        <w:rPr>
          <w:rFonts w:eastAsia="Cambria" w:cs="Cambria"/>
          <w:spacing w:val="-1"/>
        </w:rPr>
        <w:t>n</w:t>
      </w:r>
      <w:r>
        <w:rPr>
          <w:rFonts w:eastAsia="Cambria" w:cs="Cambria"/>
        </w:rPr>
        <w:t>to</w:t>
      </w:r>
      <w:r>
        <w:rPr>
          <w:rFonts w:eastAsia="Cambria" w:cs="Cambria"/>
          <w:spacing w:val="-9"/>
        </w:rPr>
        <w:t xml:space="preserve"> </w:t>
      </w:r>
      <w:r>
        <w:rPr>
          <w:rFonts w:eastAsia="Cambria" w:cs="Cambria"/>
          <w:spacing w:val="2"/>
        </w:rPr>
        <w:t>d</w:t>
      </w:r>
      <w:r>
        <w:rPr>
          <w:rFonts w:eastAsia="Cambria" w:cs="Cambria"/>
        </w:rPr>
        <w:t>e</w:t>
      </w:r>
      <w:r>
        <w:rPr>
          <w:rFonts w:eastAsia="Cambria" w:cs="Cambria"/>
          <w:spacing w:val="1"/>
        </w:rPr>
        <w:t xml:space="preserve"> </w:t>
      </w:r>
      <w:r>
        <w:rPr>
          <w:rFonts w:eastAsia="Cambria" w:cs="Cambria"/>
          <w:spacing w:val="-1"/>
        </w:rPr>
        <w:t>e</w:t>
      </w:r>
      <w:r>
        <w:rPr>
          <w:rFonts w:eastAsia="Cambria" w:cs="Cambria"/>
          <w:spacing w:val="1"/>
        </w:rPr>
        <w:t>s</w:t>
      </w:r>
      <w:r>
        <w:rPr>
          <w:rFonts w:eastAsia="Cambria" w:cs="Cambria"/>
        </w:rPr>
        <w:t>te</w:t>
      </w:r>
      <w:r>
        <w:rPr>
          <w:rFonts w:eastAsia="Cambria" w:cs="Cambria"/>
          <w:spacing w:val="-1"/>
        </w:rPr>
        <w:t xml:space="preserve"> </w:t>
      </w:r>
      <w:r>
        <w:rPr>
          <w:rFonts w:eastAsia="Cambria" w:cs="Cambria"/>
          <w:spacing w:val="1"/>
        </w:rPr>
        <w:t>re</w:t>
      </w:r>
      <w:r>
        <w:rPr>
          <w:rFonts w:eastAsia="Cambria" w:cs="Cambria"/>
          <w:spacing w:val="-1"/>
        </w:rPr>
        <w:t>q</w:t>
      </w:r>
      <w:r>
        <w:rPr>
          <w:rFonts w:eastAsia="Cambria" w:cs="Cambria"/>
        </w:rPr>
        <w:t>ui</w:t>
      </w:r>
      <w:r>
        <w:rPr>
          <w:rFonts w:eastAsia="Cambria" w:cs="Cambria"/>
          <w:spacing w:val="1"/>
        </w:rPr>
        <w:t>s</w:t>
      </w:r>
      <w:r>
        <w:rPr>
          <w:rFonts w:eastAsia="Cambria" w:cs="Cambria"/>
        </w:rPr>
        <w:t>ito,</w:t>
      </w:r>
      <w:r>
        <w:rPr>
          <w:rFonts w:eastAsia="Cambria" w:cs="Cambria"/>
          <w:spacing w:val="-3"/>
        </w:rPr>
        <w:t xml:space="preserve"> </w:t>
      </w:r>
      <w:r>
        <w:rPr>
          <w:rFonts w:eastAsia="Cambria" w:cs="Cambria"/>
          <w:spacing w:val="-1"/>
        </w:rPr>
        <w:t>e</w:t>
      </w:r>
      <w:r>
        <w:rPr>
          <w:rFonts w:eastAsia="Cambria" w:cs="Cambria"/>
        </w:rPr>
        <w:t xml:space="preserve">l </w:t>
      </w:r>
      <w:r>
        <w:rPr>
          <w:rFonts w:eastAsia="Cambria" w:cs="Cambria"/>
          <w:spacing w:val="1"/>
        </w:rPr>
        <w:t>ce</w:t>
      </w:r>
      <w:r>
        <w:rPr>
          <w:rFonts w:eastAsia="Cambria" w:cs="Cambria"/>
          <w:spacing w:val="-1"/>
        </w:rPr>
        <w:t>r</w:t>
      </w:r>
      <w:r>
        <w:rPr>
          <w:rFonts w:eastAsia="Cambria" w:cs="Cambria"/>
        </w:rPr>
        <w:t>o pu</w:t>
      </w:r>
      <w:r>
        <w:rPr>
          <w:rFonts w:eastAsia="Cambria" w:cs="Cambria"/>
          <w:spacing w:val="-1"/>
        </w:rPr>
        <w:t>n</w:t>
      </w:r>
      <w:r>
        <w:rPr>
          <w:rFonts w:eastAsia="Cambria" w:cs="Cambria"/>
          <w:spacing w:val="2"/>
        </w:rPr>
        <w:t>t</w:t>
      </w:r>
      <w:r>
        <w:rPr>
          <w:rFonts w:eastAsia="Cambria" w:cs="Cambria"/>
        </w:rPr>
        <w:t>o</w:t>
      </w:r>
      <w:r>
        <w:rPr>
          <w:rFonts w:eastAsia="Cambria" w:cs="Cambria"/>
          <w:spacing w:val="-4"/>
        </w:rPr>
        <w:t xml:space="preserve"> </w:t>
      </w:r>
      <w:r>
        <w:rPr>
          <w:rFonts w:eastAsia="Cambria" w:cs="Cambria"/>
          <w:spacing w:val="3"/>
        </w:rPr>
        <w:t>u</w:t>
      </w:r>
      <w:r>
        <w:rPr>
          <w:rFonts w:eastAsia="Cambria" w:cs="Cambria"/>
          <w:spacing w:val="-1"/>
        </w:rPr>
        <w:t>n</w:t>
      </w:r>
      <w:r>
        <w:rPr>
          <w:rFonts w:eastAsia="Cambria" w:cs="Cambria"/>
        </w:rPr>
        <w:t>o</w:t>
      </w:r>
      <w:r>
        <w:rPr>
          <w:rFonts w:eastAsia="Cambria" w:cs="Cambria"/>
          <w:spacing w:val="1"/>
        </w:rPr>
        <w:t xml:space="preserve"> </w:t>
      </w:r>
      <w:r>
        <w:rPr>
          <w:rFonts w:eastAsia="Cambria" w:cs="Cambria"/>
        </w:rPr>
        <w:t>por</w:t>
      </w:r>
      <w:r>
        <w:rPr>
          <w:rFonts w:eastAsia="Cambria" w:cs="Cambria"/>
          <w:spacing w:val="-1"/>
        </w:rPr>
        <w:t xml:space="preserve"> </w:t>
      </w:r>
      <w:r>
        <w:rPr>
          <w:rFonts w:eastAsia="Cambria" w:cs="Cambria"/>
        </w:rPr>
        <w:t xml:space="preserve">mil </w:t>
      </w:r>
      <w:r>
        <w:rPr>
          <w:rFonts w:eastAsia="Cambria" w:cs="Cambria"/>
          <w:spacing w:val="1"/>
        </w:rPr>
        <w:t>(</w:t>
      </w:r>
      <w:r>
        <w:rPr>
          <w:rFonts w:eastAsia="Cambria" w:cs="Cambria"/>
        </w:rPr>
        <w:t>0.1‰)</w:t>
      </w:r>
      <w:r>
        <w:rPr>
          <w:rFonts w:eastAsia="Cambria" w:cs="Cambria"/>
          <w:spacing w:val="2"/>
        </w:rPr>
        <w:t xml:space="preserve"> </w:t>
      </w:r>
      <w:r>
        <w:rPr>
          <w:rFonts w:eastAsia="Cambria" w:cs="Cambria"/>
        </w:rPr>
        <w:t>d</w:t>
      </w:r>
      <w:r>
        <w:rPr>
          <w:rFonts w:eastAsia="Cambria" w:cs="Cambria"/>
          <w:spacing w:val="-1"/>
        </w:rPr>
        <w:t>e</w:t>
      </w:r>
      <w:r>
        <w:rPr>
          <w:rFonts w:eastAsia="Cambria" w:cs="Cambria"/>
        </w:rPr>
        <w:t>l</w:t>
      </w:r>
      <w:r>
        <w:rPr>
          <w:rFonts w:eastAsia="Cambria" w:cs="Cambria"/>
          <w:spacing w:val="6"/>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2"/>
        </w:rPr>
        <w:t xml:space="preserve"> </w:t>
      </w:r>
      <w:r>
        <w:rPr>
          <w:rFonts w:eastAsia="Cambria" w:cs="Cambria"/>
        </w:rPr>
        <w:t>tot</w:t>
      </w:r>
      <w:r>
        <w:rPr>
          <w:rFonts w:eastAsia="Cambria" w:cs="Cambria"/>
          <w:spacing w:val="1"/>
        </w:rPr>
        <w:t>a</w:t>
      </w:r>
      <w:r>
        <w:rPr>
          <w:rFonts w:eastAsia="Cambria" w:cs="Cambria"/>
        </w:rPr>
        <w:t>l</w:t>
      </w:r>
      <w:r>
        <w:rPr>
          <w:rFonts w:eastAsia="Cambria" w:cs="Cambria"/>
          <w:spacing w:val="7"/>
        </w:rPr>
        <w:t xml:space="preserve"> </w:t>
      </w:r>
      <w:r>
        <w:rPr>
          <w:rFonts w:eastAsia="Cambria" w:cs="Cambria"/>
        </w:rPr>
        <w:t>d</w:t>
      </w:r>
      <w:r>
        <w:rPr>
          <w:rFonts w:eastAsia="Cambria" w:cs="Cambria"/>
          <w:spacing w:val="-1"/>
        </w:rPr>
        <w:t>e</w:t>
      </w:r>
      <w:r>
        <w:rPr>
          <w:rFonts w:eastAsia="Cambria" w:cs="Cambria"/>
        </w:rPr>
        <w:t>l</w:t>
      </w:r>
      <w:r>
        <w:rPr>
          <w:rFonts w:eastAsia="Cambria" w:cs="Cambria"/>
          <w:spacing w:val="6"/>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spacing w:val="2"/>
        </w:rPr>
        <w:t>t</w:t>
      </w:r>
      <w:r>
        <w:rPr>
          <w:rFonts w:eastAsia="Cambria" w:cs="Cambria"/>
        </w:rPr>
        <w:t xml:space="preserve">o, </w:t>
      </w:r>
      <w:r>
        <w:rPr>
          <w:rFonts w:eastAsia="Cambria" w:cs="Cambria"/>
          <w:spacing w:val="1"/>
        </w:rPr>
        <w:t>s</w:t>
      </w:r>
      <w:r>
        <w:rPr>
          <w:rFonts w:eastAsia="Cambria" w:cs="Cambria"/>
        </w:rPr>
        <w:t>in</w:t>
      </w:r>
      <w:r>
        <w:rPr>
          <w:rFonts w:eastAsia="Cambria" w:cs="Cambria"/>
          <w:spacing w:val="4"/>
        </w:rPr>
        <w:t xml:space="preserve"> </w:t>
      </w:r>
      <w:r>
        <w:rPr>
          <w:rFonts w:eastAsia="Cambria" w:cs="Cambria"/>
          <w:spacing w:val="1"/>
        </w:rPr>
        <w:t>s</w:t>
      </w:r>
      <w:r>
        <w:rPr>
          <w:rFonts w:eastAsia="Cambria" w:cs="Cambria"/>
        </w:rPr>
        <w:t>up</w:t>
      </w:r>
      <w:r>
        <w:rPr>
          <w:rFonts w:eastAsia="Cambria" w:cs="Cambria"/>
          <w:spacing w:val="-1"/>
        </w:rPr>
        <w:t>er</w:t>
      </w:r>
      <w:r>
        <w:rPr>
          <w:rFonts w:eastAsia="Cambria" w:cs="Cambria"/>
          <w:spacing w:val="3"/>
        </w:rPr>
        <w:t>a</w:t>
      </w:r>
      <w:r>
        <w:rPr>
          <w:rFonts w:eastAsia="Cambria" w:cs="Cambria"/>
        </w:rPr>
        <w:t xml:space="preserve">r </w:t>
      </w:r>
      <w:r>
        <w:rPr>
          <w:rFonts w:eastAsia="Cambria" w:cs="Cambria"/>
          <w:spacing w:val="-1"/>
        </w:rPr>
        <w:t>e</w:t>
      </w:r>
      <w:r>
        <w:rPr>
          <w:rFonts w:eastAsia="Cambria" w:cs="Cambria"/>
        </w:rPr>
        <w:t>l</w:t>
      </w:r>
      <w:r>
        <w:rPr>
          <w:rFonts w:eastAsia="Cambria" w:cs="Cambria"/>
          <w:spacing w:val="7"/>
        </w:rPr>
        <w:t xml:space="preserve"> </w:t>
      </w:r>
      <w:r>
        <w:rPr>
          <w:rFonts w:eastAsia="Cambria" w:cs="Cambria"/>
          <w:spacing w:val="1"/>
        </w:rPr>
        <w:t>c</w:t>
      </w:r>
      <w:r>
        <w:rPr>
          <w:rFonts w:eastAsia="Cambria" w:cs="Cambria"/>
        </w:rPr>
        <w:t>i</w:t>
      </w:r>
      <w:r>
        <w:rPr>
          <w:rFonts w:eastAsia="Cambria" w:cs="Cambria"/>
          <w:spacing w:val="-1"/>
        </w:rPr>
        <w:t>n</w:t>
      </w:r>
      <w:r>
        <w:rPr>
          <w:rFonts w:eastAsia="Cambria" w:cs="Cambria"/>
          <w:spacing w:val="1"/>
        </w:rPr>
        <w:t>c</w:t>
      </w:r>
      <w:r>
        <w:rPr>
          <w:rFonts w:eastAsia="Cambria" w:cs="Cambria"/>
        </w:rPr>
        <w:t>o</w:t>
      </w:r>
      <w:r>
        <w:rPr>
          <w:rFonts w:eastAsia="Cambria" w:cs="Cambria"/>
          <w:spacing w:val="3"/>
        </w:rPr>
        <w:t xml:space="preserve"> </w:t>
      </w:r>
      <w:r>
        <w:rPr>
          <w:rFonts w:eastAsia="Cambria" w:cs="Cambria"/>
        </w:rPr>
        <w:t>por</w:t>
      </w:r>
      <w:r>
        <w:rPr>
          <w:rFonts w:eastAsia="Cambria" w:cs="Cambria"/>
          <w:spacing w:val="4"/>
        </w:rPr>
        <w:t xml:space="preserve"> </w:t>
      </w:r>
      <w:r>
        <w:rPr>
          <w:rFonts w:eastAsia="Cambria" w:cs="Cambria"/>
          <w:spacing w:val="1"/>
        </w:rPr>
        <w:t>c</w:t>
      </w:r>
      <w:r>
        <w:rPr>
          <w:rFonts w:eastAsia="Cambria" w:cs="Cambria"/>
        </w:rPr>
        <w:t>i</w:t>
      </w:r>
      <w:r>
        <w:rPr>
          <w:rFonts w:eastAsia="Cambria" w:cs="Cambria"/>
          <w:spacing w:val="-1"/>
        </w:rPr>
        <w:t>en</w:t>
      </w:r>
      <w:r>
        <w:rPr>
          <w:rFonts w:eastAsia="Cambria" w:cs="Cambria"/>
          <w:spacing w:val="2"/>
        </w:rPr>
        <w:t>t</w:t>
      </w:r>
      <w:r>
        <w:rPr>
          <w:rFonts w:eastAsia="Cambria" w:cs="Cambria"/>
        </w:rPr>
        <w:t>o</w:t>
      </w:r>
      <w:r>
        <w:rPr>
          <w:rFonts w:eastAsia="Cambria" w:cs="Cambria"/>
          <w:spacing w:val="2"/>
        </w:rPr>
        <w:t xml:space="preserve"> </w:t>
      </w:r>
      <w:r>
        <w:rPr>
          <w:rFonts w:eastAsia="Cambria" w:cs="Cambria"/>
          <w:spacing w:val="1"/>
        </w:rPr>
        <w:t>(</w:t>
      </w:r>
      <w:r>
        <w:rPr>
          <w:rFonts w:eastAsia="Cambria" w:cs="Cambria"/>
        </w:rPr>
        <w:t>5%)</w:t>
      </w:r>
      <w:r>
        <w:rPr>
          <w:rFonts w:eastAsia="Cambria" w:cs="Cambria"/>
          <w:spacing w:val="4"/>
        </w:rPr>
        <w:t xml:space="preserve"> </w:t>
      </w:r>
      <w:r>
        <w:rPr>
          <w:rFonts w:eastAsia="Cambria" w:cs="Cambria"/>
        </w:rPr>
        <w:t>d</w:t>
      </w:r>
      <w:r>
        <w:rPr>
          <w:rFonts w:eastAsia="Cambria" w:cs="Cambria"/>
          <w:spacing w:val="-1"/>
        </w:rPr>
        <w:t>e</w:t>
      </w:r>
      <w:r>
        <w:rPr>
          <w:rFonts w:eastAsia="Cambria" w:cs="Cambria"/>
        </w:rPr>
        <w:t>l</w:t>
      </w:r>
      <w:r>
        <w:rPr>
          <w:rFonts w:eastAsia="Cambria" w:cs="Cambria"/>
          <w:spacing w:val="6"/>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2"/>
        </w:rPr>
        <w:t xml:space="preserve"> </w:t>
      </w:r>
      <w:r>
        <w:rPr>
          <w:rFonts w:eastAsia="Cambria" w:cs="Cambria"/>
          <w:spacing w:val="-3"/>
        </w:rPr>
        <w:t>t</w:t>
      </w:r>
      <w:r>
        <w:rPr>
          <w:rFonts w:eastAsia="Cambria" w:cs="Cambria"/>
        </w:rPr>
        <w:t>ot</w:t>
      </w:r>
      <w:r>
        <w:rPr>
          <w:rFonts w:eastAsia="Cambria" w:cs="Cambria"/>
          <w:spacing w:val="1"/>
        </w:rPr>
        <w:t>a</w:t>
      </w:r>
      <w:r>
        <w:rPr>
          <w:rFonts w:eastAsia="Cambria" w:cs="Cambria"/>
        </w:rPr>
        <w:t>l</w:t>
      </w:r>
      <w:r>
        <w:rPr>
          <w:rFonts w:eastAsia="Cambria" w:cs="Cambria"/>
          <w:spacing w:val="5"/>
        </w:rPr>
        <w:t xml:space="preserve"> </w:t>
      </w:r>
      <w:r>
        <w:rPr>
          <w:rFonts w:eastAsia="Cambria" w:cs="Cambria"/>
        </w:rPr>
        <w:t>d</w:t>
      </w:r>
      <w:r>
        <w:rPr>
          <w:rFonts w:eastAsia="Cambria" w:cs="Cambria"/>
          <w:spacing w:val="-1"/>
        </w:rPr>
        <w:t>e</w:t>
      </w:r>
      <w:r>
        <w:rPr>
          <w:rFonts w:eastAsia="Cambria" w:cs="Cambria"/>
        </w:rPr>
        <w:t>l</w:t>
      </w:r>
      <w:r>
        <w:rPr>
          <w:rFonts w:eastAsia="Cambria" w:cs="Cambria"/>
          <w:spacing w:val="6"/>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 d</w:t>
      </w:r>
      <w:r>
        <w:rPr>
          <w:rFonts w:eastAsia="Cambria" w:cs="Cambria"/>
          <w:spacing w:val="-1"/>
        </w:rPr>
        <w:t>e</w:t>
      </w:r>
      <w:r>
        <w:rPr>
          <w:rFonts w:eastAsia="Cambria" w:cs="Cambria"/>
        </w:rPr>
        <w:t>j</w:t>
      </w:r>
      <w:r>
        <w:rPr>
          <w:rFonts w:eastAsia="Cambria" w:cs="Cambria"/>
          <w:spacing w:val="1"/>
        </w:rPr>
        <w:t>a</w:t>
      </w:r>
      <w:r>
        <w:rPr>
          <w:rFonts w:eastAsia="Cambria" w:cs="Cambria"/>
        </w:rPr>
        <w:t xml:space="preserve">do </w:t>
      </w:r>
      <w:r>
        <w:rPr>
          <w:rFonts w:eastAsia="Cambria" w:cs="Cambria"/>
          <w:spacing w:val="-1"/>
        </w:rPr>
        <w:t>e</w:t>
      </w:r>
      <w:r>
        <w:rPr>
          <w:rFonts w:eastAsia="Cambria" w:cs="Cambria"/>
        </w:rPr>
        <w:t>j</w:t>
      </w:r>
      <w:r>
        <w:rPr>
          <w:rFonts w:eastAsia="Cambria" w:cs="Cambria"/>
          <w:spacing w:val="-1"/>
        </w:rPr>
        <w:t>e</w:t>
      </w:r>
      <w:r>
        <w:rPr>
          <w:rFonts w:eastAsia="Cambria" w:cs="Cambria"/>
          <w:spacing w:val="1"/>
        </w:rPr>
        <w:t>c</w:t>
      </w:r>
      <w:r>
        <w:rPr>
          <w:rFonts w:eastAsia="Cambria" w:cs="Cambria"/>
        </w:rPr>
        <w:t>ut</w:t>
      </w:r>
      <w:r>
        <w:rPr>
          <w:rFonts w:eastAsia="Cambria" w:cs="Cambria"/>
          <w:spacing w:val="4"/>
        </w:rPr>
        <w:t>a</w:t>
      </w:r>
      <w:r>
        <w:rPr>
          <w:rFonts w:eastAsia="Cambria" w:cs="Cambria"/>
          <w:spacing w:val="-1"/>
        </w:rPr>
        <w:t>r</w:t>
      </w:r>
      <w:r>
        <w:rPr>
          <w:rFonts w:eastAsia="Cambria" w:cs="Cambria"/>
        </w:rPr>
        <w:t>.</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 xml:space="preserve">Por </w:t>
      </w:r>
      <w:r>
        <w:rPr>
          <w:rFonts w:eastAsia="Cambria" w:cs="Cambria"/>
          <w:spacing w:val="22"/>
        </w:rPr>
        <w:t xml:space="preserve"> </w:t>
      </w:r>
      <w:r>
        <w:rPr>
          <w:rFonts w:eastAsia="Cambria" w:cs="Cambria"/>
          <w:spacing w:val="-1"/>
        </w:rPr>
        <w:t>n</w:t>
      </w:r>
      <w:r>
        <w:rPr>
          <w:rFonts w:eastAsia="Cambria" w:cs="Cambria"/>
        </w:rPr>
        <w:t xml:space="preserve">o </w:t>
      </w:r>
      <w:r>
        <w:rPr>
          <w:rFonts w:eastAsia="Cambria" w:cs="Cambria"/>
          <w:spacing w:val="22"/>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spacing w:val="1"/>
        </w:rPr>
        <w:t>s</w:t>
      </w:r>
      <w:r>
        <w:rPr>
          <w:rFonts w:eastAsia="Cambria" w:cs="Cambria"/>
        </w:rPr>
        <w:t>t</w:t>
      </w:r>
      <w:r>
        <w:rPr>
          <w:rFonts w:eastAsia="Cambria" w:cs="Cambria"/>
          <w:spacing w:val="2"/>
        </w:rPr>
        <w:t>i</w:t>
      </w:r>
      <w:r>
        <w:rPr>
          <w:rFonts w:eastAsia="Cambria" w:cs="Cambria"/>
        </w:rPr>
        <w:t xml:space="preserve">tuir </w:t>
      </w:r>
      <w:r>
        <w:rPr>
          <w:rFonts w:eastAsia="Cambria" w:cs="Cambria"/>
          <w:spacing w:val="14"/>
        </w:rPr>
        <w:t xml:space="preserve"> </w:t>
      </w:r>
      <w:r>
        <w:rPr>
          <w:rFonts w:eastAsia="Cambria" w:cs="Cambria"/>
        </w:rPr>
        <w:t xml:space="preserve">a </w:t>
      </w:r>
      <w:r>
        <w:rPr>
          <w:rFonts w:eastAsia="Cambria" w:cs="Cambria"/>
          <w:spacing w:val="24"/>
        </w:rPr>
        <w:t xml:space="preserve"> </w:t>
      </w:r>
      <w:r>
        <w:rPr>
          <w:rFonts w:eastAsia="Cambria" w:cs="Cambria"/>
        </w:rPr>
        <w:t>t</w:t>
      </w:r>
      <w:r>
        <w:rPr>
          <w:rFonts w:eastAsia="Cambria" w:cs="Cambria"/>
          <w:spacing w:val="2"/>
        </w:rPr>
        <w:t>i</w:t>
      </w:r>
      <w:r>
        <w:rPr>
          <w:rFonts w:eastAsia="Cambria" w:cs="Cambria"/>
          <w:spacing w:val="-1"/>
        </w:rPr>
        <w:t>e</w:t>
      </w:r>
      <w:r>
        <w:rPr>
          <w:rFonts w:eastAsia="Cambria" w:cs="Cambria"/>
          <w:spacing w:val="2"/>
        </w:rPr>
        <w:t>mp</w:t>
      </w:r>
      <w:r>
        <w:rPr>
          <w:rFonts w:eastAsia="Cambria" w:cs="Cambria"/>
        </w:rPr>
        <w:t xml:space="preserve">o </w:t>
      </w:r>
      <w:r>
        <w:rPr>
          <w:rFonts w:eastAsia="Cambria" w:cs="Cambria"/>
          <w:spacing w:val="18"/>
        </w:rPr>
        <w:t xml:space="preserve"> </w:t>
      </w:r>
      <w:r>
        <w:rPr>
          <w:rFonts w:eastAsia="Cambria" w:cs="Cambria"/>
          <w:spacing w:val="1"/>
        </w:rPr>
        <w:t>l</w:t>
      </w:r>
      <w:r>
        <w:rPr>
          <w:rFonts w:eastAsia="Cambria" w:cs="Cambria"/>
        </w:rPr>
        <w:t xml:space="preserve">a </w:t>
      </w:r>
      <w:r>
        <w:rPr>
          <w:rFonts w:eastAsia="Cambria" w:cs="Cambria"/>
          <w:spacing w:val="23"/>
        </w:rPr>
        <w:t xml:space="preserve"> </w:t>
      </w:r>
      <w:r>
        <w:rPr>
          <w:rFonts w:eastAsia="Cambria" w:cs="Cambria"/>
        </w:rPr>
        <w:t>g</w:t>
      </w:r>
      <w:r>
        <w:rPr>
          <w:rFonts w:eastAsia="Cambria" w:cs="Cambria"/>
          <w:spacing w:val="1"/>
        </w:rPr>
        <w:t>a</w:t>
      </w:r>
      <w:r>
        <w:rPr>
          <w:rFonts w:eastAsia="Cambria" w:cs="Cambria"/>
          <w:spacing w:val="-1"/>
        </w:rPr>
        <w:t>r</w:t>
      </w:r>
      <w:r>
        <w:rPr>
          <w:rFonts w:eastAsia="Cambria" w:cs="Cambria"/>
          <w:spacing w:val="1"/>
        </w:rPr>
        <w:t>a</w:t>
      </w:r>
      <w:r>
        <w:rPr>
          <w:rFonts w:eastAsia="Cambria" w:cs="Cambria"/>
          <w:spacing w:val="-1"/>
        </w:rPr>
        <w:t>n</w:t>
      </w:r>
      <w:r>
        <w:rPr>
          <w:rFonts w:eastAsia="Cambria" w:cs="Cambria"/>
        </w:rPr>
        <w:t xml:space="preserve">tía </w:t>
      </w:r>
      <w:r>
        <w:rPr>
          <w:rFonts w:eastAsia="Cambria" w:cs="Cambria"/>
          <w:spacing w:val="17"/>
        </w:rPr>
        <w:t xml:space="preserve"> </w:t>
      </w:r>
      <w:r>
        <w:rPr>
          <w:rFonts w:eastAsia="Cambria" w:cs="Cambria"/>
        </w:rPr>
        <w:t xml:space="preserve">única </w:t>
      </w:r>
      <w:r>
        <w:rPr>
          <w:rFonts w:eastAsia="Cambria" w:cs="Cambria"/>
          <w:spacing w:val="20"/>
        </w:rPr>
        <w:t xml:space="preserve"> </w:t>
      </w:r>
      <w:r>
        <w:rPr>
          <w:rFonts w:eastAsia="Cambria" w:cs="Cambria"/>
        </w:rPr>
        <w:t xml:space="preserve">de </w:t>
      </w:r>
      <w:r>
        <w:rPr>
          <w:rFonts w:eastAsia="Cambria" w:cs="Cambria"/>
          <w:spacing w:val="21"/>
        </w:rPr>
        <w:t xml:space="preserve"> </w:t>
      </w:r>
      <w:r>
        <w:rPr>
          <w:rFonts w:eastAsia="Cambria" w:cs="Cambria"/>
          <w:spacing w:val="1"/>
        </w:rPr>
        <w:t>c</w:t>
      </w:r>
      <w:r>
        <w:rPr>
          <w:rFonts w:eastAsia="Cambria" w:cs="Cambria"/>
          <w:spacing w:val="3"/>
        </w:rPr>
        <w:t>u</w:t>
      </w:r>
      <w:r>
        <w:rPr>
          <w:rFonts w:eastAsia="Cambria" w:cs="Cambria"/>
        </w:rPr>
        <w:t>mplim</w:t>
      </w:r>
      <w:r>
        <w:rPr>
          <w:rFonts w:eastAsia="Cambria" w:cs="Cambria"/>
          <w:spacing w:val="2"/>
        </w:rPr>
        <w:t>i</w:t>
      </w:r>
      <w:r>
        <w:rPr>
          <w:rFonts w:eastAsia="Cambria" w:cs="Cambria"/>
          <w:spacing w:val="-1"/>
        </w:rPr>
        <w:t>en</w:t>
      </w:r>
      <w:r>
        <w:rPr>
          <w:rFonts w:eastAsia="Cambria" w:cs="Cambria"/>
          <w:spacing w:val="2"/>
        </w:rPr>
        <w:t>t</w:t>
      </w:r>
      <w:r>
        <w:rPr>
          <w:rFonts w:eastAsia="Cambria" w:cs="Cambria"/>
        </w:rPr>
        <w:t xml:space="preserve">o, </w:t>
      </w:r>
      <w:r>
        <w:rPr>
          <w:rFonts w:eastAsia="Cambria" w:cs="Cambria"/>
          <w:spacing w:val="11"/>
        </w:rPr>
        <w:t xml:space="preserve"> </w:t>
      </w:r>
      <w:r>
        <w:rPr>
          <w:rFonts w:eastAsia="Cambria" w:cs="Cambria"/>
          <w:spacing w:val="1"/>
        </w:rPr>
        <w:t>e</w:t>
      </w:r>
      <w:r>
        <w:rPr>
          <w:rFonts w:eastAsia="Cambria" w:cs="Cambria"/>
        </w:rPr>
        <w:t xml:space="preserve">n </w:t>
      </w:r>
      <w:r>
        <w:rPr>
          <w:rFonts w:eastAsia="Cambria" w:cs="Cambria"/>
          <w:spacing w:val="21"/>
        </w:rPr>
        <w:t xml:space="preserve"> </w:t>
      </w:r>
      <w:r>
        <w:rPr>
          <w:rFonts w:eastAsia="Cambria" w:cs="Cambria"/>
          <w:spacing w:val="1"/>
        </w:rPr>
        <w:t>c</w:t>
      </w:r>
      <w:r>
        <w:rPr>
          <w:rFonts w:eastAsia="Cambria" w:cs="Cambria"/>
        </w:rPr>
        <w:t>u</w:t>
      </w:r>
      <w:r>
        <w:rPr>
          <w:rFonts w:eastAsia="Cambria" w:cs="Cambria"/>
          <w:spacing w:val="1"/>
        </w:rPr>
        <w:t>al</w:t>
      </w:r>
      <w:r>
        <w:rPr>
          <w:rFonts w:eastAsia="Cambria" w:cs="Cambria"/>
          <w:spacing w:val="-1"/>
        </w:rPr>
        <w:t>q</w:t>
      </w:r>
      <w:r>
        <w:rPr>
          <w:rFonts w:eastAsia="Cambria" w:cs="Cambria"/>
        </w:rPr>
        <w:t>ui</w:t>
      </w:r>
      <w:r>
        <w:rPr>
          <w:rFonts w:eastAsia="Cambria" w:cs="Cambria"/>
          <w:spacing w:val="1"/>
        </w:rPr>
        <w:t>e</w:t>
      </w:r>
      <w:r>
        <w:rPr>
          <w:rFonts w:eastAsia="Cambria" w:cs="Cambria"/>
          <w:spacing w:val="-1"/>
        </w:rPr>
        <w:t>r</w:t>
      </w:r>
      <w:r>
        <w:rPr>
          <w:rFonts w:eastAsia="Cambria" w:cs="Cambria"/>
        </w:rPr>
        <w:t xml:space="preserve">a </w:t>
      </w:r>
      <w:r>
        <w:rPr>
          <w:rFonts w:eastAsia="Cambria" w:cs="Cambria"/>
          <w:spacing w:val="16"/>
        </w:rPr>
        <w:t xml:space="preserve"> </w:t>
      </w:r>
      <w:r>
        <w:rPr>
          <w:rFonts w:eastAsia="Cambria" w:cs="Cambria"/>
        </w:rPr>
        <w:t xml:space="preserve">de </w:t>
      </w:r>
      <w:r>
        <w:rPr>
          <w:rFonts w:eastAsia="Cambria" w:cs="Cambria"/>
          <w:spacing w:val="21"/>
        </w:rPr>
        <w:t xml:space="preserve"> </w:t>
      </w:r>
      <w:r>
        <w:rPr>
          <w:rFonts w:eastAsia="Cambria" w:cs="Cambria"/>
          <w:spacing w:val="1"/>
        </w:rPr>
        <w:t>s</w:t>
      </w:r>
      <w:r>
        <w:rPr>
          <w:rFonts w:eastAsia="Cambria" w:cs="Cambria"/>
        </w:rPr>
        <w:t xml:space="preserve">us </w:t>
      </w:r>
      <w:r>
        <w:rPr>
          <w:rFonts w:eastAsia="Cambria" w:cs="Cambria"/>
          <w:spacing w:val="22"/>
        </w:rPr>
        <w:t xml:space="preserve"> </w:t>
      </w:r>
      <w:r>
        <w:rPr>
          <w:rFonts w:eastAsia="Cambria" w:cs="Cambria"/>
          <w:spacing w:val="-1"/>
        </w:rPr>
        <w:t>r</w:t>
      </w:r>
      <w:r>
        <w:rPr>
          <w:rFonts w:eastAsia="Cambria" w:cs="Cambria"/>
          <w:spacing w:val="2"/>
        </w:rPr>
        <w:t>i</w:t>
      </w:r>
      <w:r>
        <w:rPr>
          <w:rFonts w:eastAsia="Cambria" w:cs="Cambria"/>
          <w:spacing w:val="-1"/>
        </w:rPr>
        <w:t>e</w:t>
      </w:r>
      <w:r>
        <w:rPr>
          <w:rFonts w:eastAsia="Cambria" w:cs="Cambria"/>
          <w:spacing w:val="1"/>
        </w:rPr>
        <w:t>s</w:t>
      </w:r>
      <w:r>
        <w:rPr>
          <w:rFonts w:eastAsia="Cambria" w:cs="Cambria"/>
        </w:rPr>
        <w:t xml:space="preserve">gos </w:t>
      </w:r>
      <w:r>
        <w:rPr>
          <w:rFonts w:eastAsia="Cambria" w:cs="Cambria"/>
          <w:spacing w:val="1"/>
        </w:rPr>
        <w:t>a</w:t>
      </w:r>
      <w:r>
        <w:rPr>
          <w:rFonts w:eastAsia="Cambria" w:cs="Cambria"/>
        </w:rPr>
        <w:t>mp</w:t>
      </w:r>
      <w:r>
        <w:rPr>
          <w:rFonts w:eastAsia="Cambria" w:cs="Cambria"/>
          <w:spacing w:val="1"/>
        </w:rPr>
        <w:t>a</w:t>
      </w:r>
      <w:r>
        <w:rPr>
          <w:rFonts w:eastAsia="Cambria" w:cs="Cambria"/>
          <w:spacing w:val="-1"/>
        </w:rPr>
        <w:t>r</w:t>
      </w:r>
      <w:r>
        <w:rPr>
          <w:rFonts w:eastAsia="Cambria" w:cs="Cambria"/>
          <w:spacing w:val="1"/>
        </w:rPr>
        <w:t>a</w:t>
      </w:r>
      <w:r>
        <w:rPr>
          <w:rFonts w:eastAsia="Cambria" w:cs="Cambria"/>
        </w:rPr>
        <w:t>dos,</w:t>
      </w:r>
      <w:r>
        <w:rPr>
          <w:rFonts w:eastAsia="Cambria" w:cs="Cambria"/>
          <w:spacing w:val="-3"/>
        </w:rPr>
        <w:t xml:space="preserve"> </w:t>
      </w:r>
      <w:r>
        <w:rPr>
          <w:rFonts w:eastAsia="Cambria" w:cs="Cambria"/>
          <w:spacing w:val="-1"/>
        </w:rPr>
        <w:t>e</w:t>
      </w:r>
      <w:r>
        <w:rPr>
          <w:rFonts w:eastAsia="Cambria" w:cs="Cambria"/>
        </w:rPr>
        <w:t>l</w:t>
      </w:r>
      <w:r>
        <w:rPr>
          <w:rFonts w:eastAsia="Cambria" w:cs="Cambria"/>
          <w:spacing w:val="5"/>
        </w:rPr>
        <w:t xml:space="preserve"> </w:t>
      </w:r>
      <w:r>
        <w:rPr>
          <w:rFonts w:eastAsia="Cambria" w:cs="Cambria"/>
        </w:rPr>
        <w:t>uno</w:t>
      </w:r>
      <w:r>
        <w:rPr>
          <w:rFonts w:eastAsia="Cambria" w:cs="Cambria"/>
          <w:spacing w:val="3"/>
        </w:rPr>
        <w:t xml:space="preserve"> </w:t>
      </w:r>
      <w:r>
        <w:rPr>
          <w:rFonts w:eastAsia="Cambria" w:cs="Cambria"/>
        </w:rPr>
        <w:t>p</w:t>
      </w:r>
      <w:r>
        <w:rPr>
          <w:rFonts w:eastAsia="Cambria" w:cs="Cambria"/>
          <w:spacing w:val="2"/>
        </w:rPr>
        <w:t>o</w:t>
      </w:r>
      <w:r>
        <w:rPr>
          <w:rFonts w:eastAsia="Cambria" w:cs="Cambria"/>
        </w:rPr>
        <w:t>r</w:t>
      </w:r>
      <w:r>
        <w:rPr>
          <w:rFonts w:eastAsia="Cambria" w:cs="Cambria"/>
          <w:spacing w:val="2"/>
        </w:rPr>
        <w:t xml:space="preserve"> </w:t>
      </w:r>
      <w:r>
        <w:rPr>
          <w:rFonts w:eastAsia="Cambria" w:cs="Cambria"/>
          <w:spacing w:val="1"/>
        </w:rPr>
        <w:t>c</w:t>
      </w:r>
      <w:r>
        <w:rPr>
          <w:rFonts w:eastAsia="Cambria" w:cs="Cambria"/>
        </w:rPr>
        <w:t>i</w:t>
      </w:r>
      <w:r>
        <w:rPr>
          <w:rFonts w:eastAsia="Cambria" w:cs="Cambria"/>
          <w:spacing w:val="-1"/>
        </w:rPr>
        <w:t>e</w:t>
      </w:r>
      <w:r>
        <w:rPr>
          <w:rFonts w:eastAsia="Cambria" w:cs="Cambria"/>
          <w:spacing w:val="1"/>
        </w:rPr>
        <w:t>n</w:t>
      </w:r>
      <w:r>
        <w:rPr>
          <w:rFonts w:eastAsia="Cambria" w:cs="Cambria"/>
          <w:spacing w:val="2"/>
        </w:rPr>
        <w:t>t</w:t>
      </w:r>
      <w:r>
        <w:rPr>
          <w:rFonts w:eastAsia="Cambria" w:cs="Cambria"/>
        </w:rPr>
        <w:t>o</w:t>
      </w:r>
      <w:r>
        <w:rPr>
          <w:rFonts w:eastAsia="Cambria" w:cs="Cambria"/>
          <w:spacing w:val="1"/>
        </w:rPr>
        <w:t xml:space="preserve"> (</w:t>
      </w:r>
      <w:r>
        <w:rPr>
          <w:rFonts w:eastAsia="Cambria" w:cs="Cambria"/>
        </w:rPr>
        <w:t>1%)</w:t>
      </w:r>
      <w:r>
        <w:rPr>
          <w:rFonts w:eastAsia="Cambria" w:cs="Cambria"/>
          <w:spacing w:val="3"/>
        </w:rPr>
        <w:t xml:space="preserve"> </w:t>
      </w:r>
      <w:r>
        <w:rPr>
          <w:rFonts w:eastAsia="Cambria" w:cs="Cambria"/>
        </w:rPr>
        <w:t>d</w:t>
      </w:r>
      <w:r>
        <w:rPr>
          <w:rFonts w:eastAsia="Cambria" w:cs="Cambria"/>
          <w:spacing w:val="-1"/>
        </w:rPr>
        <w:t>e</w:t>
      </w:r>
      <w:r>
        <w:rPr>
          <w:rFonts w:eastAsia="Cambria" w:cs="Cambria"/>
        </w:rPr>
        <w:t>l</w:t>
      </w:r>
      <w:r>
        <w:rPr>
          <w:rFonts w:eastAsia="Cambria" w:cs="Cambria"/>
          <w:spacing w:val="4"/>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1"/>
        </w:rPr>
        <w:t xml:space="preserve"> </w:t>
      </w:r>
      <w:r>
        <w:rPr>
          <w:rFonts w:eastAsia="Cambria" w:cs="Cambria"/>
        </w:rPr>
        <w:t>total</w:t>
      </w:r>
      <w:r>
        <w:rPr>
          <w:rFonts w:eastAsia="Cambria" w:cs="Cambria"/>
          <w:spacing w:val="3"/>
        </w:rPr>
        <w:t xml:space="preserve"> </w:t>
      </w:r>
      <w:r>
        <w:rPr>
          <w:rFonts w:eastAsia="Cambria" w:cs="Cambria"/>
        </w:rPr>
        <w:t>d</w:t>
      </w:r>
      <w:r>
        <w:rPr>
          <w:rFonts w:eastAsia="Cambria" w:cs="Cambria"/>
          <w:spacing w:val="-1"/>
        </w:rPr>
        <w:t>e</w:t>
      </w:r>
      <w:r>
        <w:rPr>
          <w:rFonts w:eastAsia="Cambria" w:cs="Cambria"/>
        </w:rPr>
        <w:t>l</w:t>
      </w:r>
      <w:r>
        <w:rPr>
          <w:rFonts w:eastAsia="Cambria" w:cs="Cambria"/>
          <w:spacing w:val="4"/>
        </w:rPr>
        <w:t xml:space="preserve"> </w:t>
      </w:r>
      <w:r>
        <w:rPr>
          <w:rFonts w:eastAsia="Cambria" w:cs="Cambria"/>
          <w:spacing w:val="1"/>
        </w:rPr>
        <w:t>c</w:t>
      </w:r>
      <w:r>
        <w:rPr>
          <w:rFonts w:eastAsia="Cambria" w:cs="Cambria"/>
          <w:spacing w:val="-3"/>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w:t>
      </w:r>
      <w:r>
        <w:rPr>
          <w:rFonts w:eastAsia="Cambria" w:cs="Cambria"/>
          <w:spacing w:val="4"/>
        </w:rPr>
        <w:t xml:space="preserve"> </w:t>
      </w:r>
      <w:r>
        <w:rPr>
          <w:rFonts w:eastAsia="Cambria" w:cs="Cambria"/>
          <w:spacing w:val="1"/>
        </w:rPr>
        <w:t>s</w:t>
      </w:r>
      <w:r>
        <w:rPr>
          <w:rFonts w:eastAsia="Cambria" w:cs="Cambria"/>
        </w:rPr>
        <w:t>uma</w:t>
      </w:r>
      <w:r>
        <w:rPr>
          <w:rFonts w:eastAsia="Cambria" w:cs="Cambria"/>
          <w:spacing w:val="2"/>
        </w:rPr>
        <w:t xml:space="preserve"> </w:t>
      </w:r>
      <w:r>
        <w:rPr>
          <w:rFonts w:eastAsia="Cambria" w:cs="Cambria"/>
          <w:spacing w:val="-1"/>
        </w:rPr>
        <w:t>q</w:t>
      </w:r>
      <w:r>
        <w:rPr>
          <w:rFonts w:eastAsia="Cambria" w:cs="Cambria"/>
          <w:spacing w:val="3"/>
        </w:rPr>
        <w:t>u</w:t>
      </w:r>
      <w:r>
        <w:rPr>
          <w:rFonts w:eastAsia="Cambria" w:cs="Cambria"/>
        </w:rPr>
        <w:t>e</w:t>
      </w:r>
      <w:r>
        <w:rPr>
          <w:rFonts w:eastAsia="Cambria" w:cs="Cambria"/>
          <w:spacing w:val="2"/>
        </w:rPr>
        <w:t xml:space="preserve"> </w:t>
      </w:r>
      <w:r>
        <w:rPr>
          <w:rFonts w:eastAsia="Cambria" w:cs="Cambria"/>
          <w:spacing w:val="1"/>
        </w:rPr>
        <w:t>s</w:t>
      </w:r>
      <w:r>
        <w:rPr>
          <w:rFonts w:eastAsia="Cambria" w:cs="Cambria"/>
          <w:spacing w:val="-1"/>
        </w:rPr>
        <w:t>er</w:t>
      </w:r>
      <w:r>
        <w:rPr>
          <w:rFonts w:eastAsia="Cambria" w:cs="Cambria"/>
        </w:rPr>
        <w:t>á</w:t>
      </w:r>
      <w:r>
        <w:rPr>
          <w:rFonts w:eastAsia="Cambria" w:cs="Cambria"/>
          <w:spacing w:val="3"/>
        </w:rPr>
        <w:t xml:space="preserve"> </w:t>
      </w:r>
      <w:r>
        <w:rPr>
          <w:rFonts w:eastAsia="Cambria" w:cs="Cambria"/>
          <w:spacing w:val="2"/>
        </w:rPr>
        <w:t>d</w:t>
      </w:r>
      <w:r>
        <w:rPr>
          <w:rFonts w:eastAsia="Cambria" w:cs="Cambria"/>
          <w:spacing w:val="-1"/>
        </w:rPr>
        <w:t>e</w:t>
      </w:r>
      <w:r>
        <w:rPr>
          <w:rFonts w:eastAsia="Cambria" w:cs="Cambria"/>
        </w:rPr>
        <w:t>du</w:t>
      </w:r>
      <w:r>
        <w:rPr>
          <w:rFonts w:eastAsia="Cambria" w:cs="Cambria"/>
          <w:spacing w:val="3"/>
        </w:rPr>
        <w:t>c</w:t>
      </w:r>
      <w:r>
        <w:rPr>
          <w:rFonts w:eastAsia="Cambria" w:cs="Cambria"/>
        </w:rPr>
        <w:t>ida</w:t>
      </w:r>
      <w:r>
        <w:rPr>
          <w:rFonts w:eastAsia="Cambria" w:cs="Cambria"/>
          <w:spacing w:val="-1"/>
        </w:rPr>
        <w:t xml:space="preserve"> </w:t>
      </w:r>
      <w:r>
        <w:rPr>
          <w:rFonts w:eastAsia="Cambria" w:cs="Cambria"/>
        </w:rPr>
        <w:t>de</w:t>
      </w:r>
      <w:r>
        <w:rPr>
          <w:rFonts w:eastAsia="Cambria" w:cs="Cambria"/>
          <w:spacing w:val="3"/>
        </w:rPr>
        <w:t xml:space="preserve"> </w:t>
      </w:r>
      <w:r>
        <w:rPr>
          <w:rFonts w:eastAsia="Cambria" w:cs="Cambria"/>
          <w:spacing w:val="1"/>
        </w:rPr>
        <w:t>l</w:t>
      </w:r>
      <w:r>
        <w:rPr>
          <w:rFonts w:eastAsia="Cambria" w:cs="Cambria"/>
        </w:rPr>
        <w:t>a</w:t>
      </w:r>
      <w:r>
        <w:rPr>
          <w:rFonts w:eastAsia="Cambria" w:cs="Cambria"/>
          <w:spacing w:val="5"/>
        </w:rPr>
        <w:t xml:space="preserve"> </w:t>
      </w:r>
      <w:r>
        <w:rPr>
          <w:rFonts w:eastAsia="Cambria" w:cs="Cambria"/>
        </w:rPr>
        <w:t>p</w:t>
      </w:r>
      <w:r>
        <w:rPr>
          <w:rFonts w:eastAsia="Cambria" w:cs="Cambria"/>
          <w:spacing w:val="-1"/>
        </w:rPr>
        <w:t>r</w:t>
      </w:r>
      <w:r>
        <w:rPr>
          <w:rFonts w:eastAsia="Cambria" w:cs="Cambria"/>
        </w:rPr>
        <w:t>im</w:t>
      </w:r>
      <w:r>
        <w:rPr>
          <w:rFonts w:eastAsia="Cambria" w:cs="Cambria"/>
          <w:spacing w:val="1"/>
        </w:rPr>
        <w:t>e</w:t>
      </w:r>
      <w:r>
        <w:rPr>
          <w:rFonts w:eastAsia="Cambria" w:cs="Cambria"/>
          <w:spacing w:val="-1"/>
        </w:rPr>
        <w:t>r</w:t>
      </w:r>
      <w:r>
        <w:rPr>
          <w:rFonts w:eastAsia="Cambria" w:cs="Cambria"/>
        </w:rPr>
        <w:t xml:space="preserve">a </w:t>
      </w:r>
      <w:r>
        <w:rPr>
          <w:rFonts w:eastAsia="Cambria" w:cs="Cambria"/>
          <w:spacing w:val="1"/>
        </w:rPr>
        <w:t>ac</w:t>
      </w:r>
      <w:r>
        <w:rPr>
          <w:rFonts w:eastAsia="Cambria" w:cs="Cambria"/>
        </w:rPr>
        <w:t>ta</w:t>
      </w:r>
      <w:r>
        <w:rPr>
          <w:rFonts w:eastAsia="Cambria" w:cs="Cambria"/>
          <w:spacing w:val="3"/>
        </w:rPr>
        <w:t xml:space="preserve"> </w:t>
      </w:r>
      <w:r>
        <w:rPr>
          <w:rFonts w:eastAsia="Cambria" w:cs="Cambria"/>
        </w:rPr>
        <w:t>de p</w:t>
      </w:r>
      <w:r>
        <w:rPr>
          <w:rFonts w:eastAsia="Cambria" w:cs="Cambria"/>
          <w:spacing w:val="1"/>
        </w:rPr>
        <w:t>a</w:t>
      </w:r>
      <w:r>
        <w:rPr>
          <w:rFonts w:eastAsia="Cambria" w:cs="Cambria"/>
        </w:rPr>
        <w:t>go.</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Por</w:t>
      </w:r>
      <w:r>
        <w:rPr>
          <w:rFonts w:eastAsia="Cambria" w:cs="Cambria"/>
          <w:spacing w:val="23"/>
        </w:rPr>
        <w:t xml:space="preserve"> </w:t>
      </w:r>
      <w:r>
        <w:rPr>
          <w:rFonts w:eastAsia="Cambria" w:cs="Cambria"/>
          <w:spacing w:val="1"/>
        </w:rPr>
        <w:t>ca</w:t>
      </w:r>
      <w:r>
        <w:rPr>
          <w:rFonts w:eastAsia="Cambria" w:cs="Cambria"/>
        </w:rPr>
        <w:t>da</w:t>
      </w:r>
      <w:r>
        <w:rPr>
          <w:rFonts w:eastAsia="Cambria" w:cs="Cambria"/>
          <w:spacing w:val="25"/>
        </w:rPr>
        <w:t xml:space="preserve"> </w:t>
      </w:r>
      <w:r>
        <w:rPr>
          <w:rFonts w:eastAsia="Cambria" w:cs="Cambria"/>
        </w:rPr>
        <w:t>día</w:t>
      </w:r>
      <w:r>
        <w:rPr>
          <w:rFonts w:eastAsia="Cambria" w:cs="Cambria"/>
          <w:spacing w:val="25"/>
        </w:rPr>
        <w:t xml:space="preserve"> </w:t>
      </w:r>
      <w:r>
        <w:rPr>
          <w:rFonts w:eastAsia="Cambria" w:cs="Cambria"/>
        </w:rPr>
        <w:t>de</w:t>
      </w:r>
      <w:r>
        <w:rPr>
          <w:rFonts w:eastAsia="Cambria" w:cs="Cambria"/>
          <w:spacing w:val="24"/>
        </w:rPr>
        <w:t xml:space="preserve"> </w:t>
      </w:r>
      <w:r>
        <w:rPr>
          <w:rFonts w:eastAsia="Cambria" w:cs="Cambria"/>
          <w:spacing w:val="-1"/>
        </w:rPr>
        <w:t>r</w:t>
      </w:r>
      <w:r>
        <w:rPr>
          <w:rFonts w:eastAsia="Cambria" w:cs="Cambria"/>
          <w:spacing w:val="1"/>
        </w:rPr>
        <w:t>e</w:t>
      </w:r>
      <w:r>
        <w:rPr>
          <w:rFonts w:eastAsia="Cambria" w:cs="Cambria"/>
        </w:rPr>
        <w:t>t</w:t>
      </w:r>
      <w:r>
        <w:rPr>
          <w:rFonts w:eastAsia="Cambria" w:cs="Cambria"/>
          <w:spacing w:val="-1"/>
        </w:rPr>
        <w:t>r</w:t>
      </w:r>
      <w:r>
        <w:rPr>
          <w:rFonts w:eastAsia="Cambria" w:cs="Cambria"/>
          <w:spacing w:val="1"/>
        </w:rPr>
        <w:t>as</w:t>
      </w:r>
      <w:r>
        <w:rPr>
          <w:rFonts w:eastAsia="Cambria" w:cs="Cambria"/>
        </w:rPr>
        <w:t>o</w:t>
      </w:r>
      <w:r>
        <w:rPr>
          <w:rFonts w:eastAsia="Cambria" w:cs="Cambria"/>
          <w:spacing w:val="22"/>
        </w:rPr>
        <w:t xml:space="preserve"> </w:t>
      </w:r>
      <w:r>
        <w:rPr>
          <w:rFonts w:eastAsia="Cambria" w:cs="Cambria"/>
          <w:spacing w:val="1"/>
        </w:rPr>
        <w:t>e</w:t>
      </w:r>
      <w:r>
        <w:rPr>
          <w:rFonts w:eastAsia="Cambria" w:cs="Cambria"/>
        </w:rPr>
        <w:t>n</w:t>
      </w:r>
      <w:r>
        <w:rPr>
          <w:rFonts w:eastAsia="Cambria" w:cs="Cambria"/>
          <w:spacing w:val="27"/>
        </w:rPr>
        <w:t xml:space="preserve"> </w:t>
      </w:r>
      <w:r>
        <w:rPr>
          <w:rFonts w:eastAsia="Cambria" w:cs="Cambria"/>
          <w:spacing w:val="1"/>
        </w:rPr>
        <w:t>l</w:t>
      </w:r>
      <w:r>
        <w:rPr>
          <w:rFonts w:eastAsia="Cambria" w:cs="Cambria"/>
        </w:rPr>
        <w:t>a</w:t>
      </w:r>
      <w:r>
        <w:rPr>
          <w:rFonts w:eastAsia="Cambria" w:cs="Cambria"/>
          <w:spacing w:val="27"/>
        </w:rPr>
        <w:t xml:space="preserve"> </w:t>
      </w:r>
      <w:r>
        <w:rPr>
          <w:rFonts w:eastAsia="Cambria" w:cs="Cambria"/>
          <w:spacing w:val="-1"/>
        </w:rPr>
        <w:t>en</w:t>
      </w:r>
      <w:r>
        <w:rPr>
          <w:rFonts w:eastAsia="Cambria" w:cs="Cambria"/>
        </w:rPr>
        <w:t>t</w:t>
      </w:r>
      <w:r>
        <w:rPr>
          <w:rFonts w:eastAsia="Cambria" w:cs="Cambria"/>
          <w:spacing w:val="1"/>
        </w:rPr>
        <w:t>r</w:t>
      </w:r>
      <w:r>
        <w:rPr>
          <w:rFonts w:eastAsia="Cambria" w:cs="Cambria"/>
          <w:spacing w:val="-1"/>
        </w:rPr>
        <w:t>e</w:t>
      </w:r>
      <w:r>
        <w:rPr>
          <w:rFonts w:eastAsia="Cambria" w:cs="Cambria"/>
        </w:rPr>
        <w:t>g</w:t>
      </w:r>
      <w:r>
        <w:rPr>
          <w:rFonts w:eastAsia="Cambria" w:cs="Cambria"/>
          <w:spacing w:val="1"/>
        </w:rPr>
        <w:t>a</w:t>
      </w:r>
      <w:r>
        <w:rPr>
          <w:rFonts w:eastAsia="Cambria" w:cs="Cambria"/>
        </w:rPr>
        <w:t>,</w:t>
      </w:r>
      <w:r>
        <w:rPr>
          <w:rFonts w:eastAsia="Cambria" w:cs="Cambria"/>
          <w:spacing w:val="21"/>
        </w:rPr>
        <w:t xml:space="preserve"> </w:t>
      </w:r>
      <w:r>
        <w:rPr>
          <w:rFonts w:eastAsia="Cambria" w:cs="Cambria"/>
          <w:spacing w:val="-1"/>
        </w:rPr>
        <w:t>e</w:t>
      </w:r>
      <w:r>
        <w:rPr>
          <w:rFonts w:eastAsia="Cambria" w:cs="Cambria"/>
        </w:rPr>
        <w:t>l</w:t>
      </w:r>
      <w:r>
        <w:rPr>
          <w:rFonts w:eastAsia="Cambria" w:cs="Cambria"/>
          <w:spacing w:val="27"/>
        </w:rPr>
        <w:t xml:space="preserve"> </w:t>
      </w:r>
      <w:r>
        <w:rPr>
          <w:rFonts w:eastAsia="Cambria" w:cs="Cambria"/>
        </w:rPr>
        <w:t>uno</w:t>
      </w:r>
      <w:r>
        <w:rPr>
          <w:rFonts w:eastAsia="Cambria" w:cs="Cambria"/>
          <w:spacing w:val="24"/>
        </w:rPr>
        <w:t xml:space="preserve"> </w:t>
      </w:r>
      <w:r>
        <w:rPr>
          <w:rFonts w:eastAsia="Cambria" w:cs="Cambria"/>
        </w:rPr>
        <w:t>p</w:t>
      </w:r>
      <w:r>
        <w:rPr>
          <w:rFonts w:eastAsia="Cambria" w:cs="Cambria"/>
          <w:spacing w:val="2"/>
        </w:rPr>
        <w:t>o</w:t>
      </w:r>
      <w:r>
        <w:rPr>
          <w:rFonts w:eastAsia="Cambria" w:cs="Cambria"/>
        </w:rPr>
        <w:t>r</w:t>
      </w:r>
      <w:r>
        <w:rPr>
          <w:rFonts w:eastAsia="Cambria" w:cs="Cambria"/>
          <w:spacing w:val="24"/>
        </w:rPr>
        <w:t xml:space="preserve"> </w:t>
      </w:r>
      <w:r>
        <w:rPr>
          <w:rFonts w:eastAsia="Cambria" w:cs="Cambria"/>
        </w:rPr>
        <w:t>mil</w:t>
      </w:r>
      <w:r>
        <w:rPr>
          <w:rFonts w:eastAsia="Cambria" w:cs="Cambria"/>
          <w:spacing w:val="26"/>
        </w:rPr>
        <w:t xml:space="preserve"> </w:t>
      </w:r>
      <w:r>
        <w:rPr>
          <w:rFonts w:eastAsia="Cambria" w:cs="Cambria"/>
          <w:spacing w:val="1"/>
        </w:rPr>
        <w:t>(</w:t>
      </w:r>
      <w:r>
        <w:rPr>
          <w:rFonts w:eastAsia="Cambria" w:cs="Cambria"/>
        </w:rPr>
        <w:t>1‰)</w:t>
      </w:r>
      <w:r>
        <w:rPr>
          <w:rFonts w:eastAsia="Cambria" w:cs="Cambria"/>
          <w:spacing w:val="24"/>
        </w:rPr>
        <w:t xml:space="preserve"> </w:t>
      </w:r>
      <w:r>
        <w:rPr>
          <w:rFonts w:eastAsia="Cambria" w:cs="Cambria"/>
        </w:rPr>
        <w:t>d</w:t>
      </w:r>
      <w:r>
        <w:rPr>
          <w:rFonts w:eastAsia="Cambria" w:cs="Cambria"/>
          <w:spacing w:val="-1"/>
        </w:rPr>
        <w:t>e</w:t>
      </w:r>
      <w:r>
        <w:rPr>
          <w:rFonts w:eastAsia="Cambria" w:cs="Cambria"/>
        </w:rPr>
        <w:t>l</w:t>
      </w:r>
      <w:r>
        <w:rPr>
          <w:rFonts w:eastAsia="Cambria" w:cs="Cambria"/>
          <w:spacing w:val="26"/>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23"/>
        </w:rPr>
        <w:t xml:space="preserve"> </w:t>
      </w:r>
      <w:r>
        <w:rPr>
          <w:rFonts w:eastAsia="Cambria" w:cs="Cambria"/>
        </w:rPr>
        <w:t>tot</w:t>
      </w:r>
      <w:r>
        <w:rPr>
          <w:rFonts w:eastAsia="Cambria" w:cs="Cambria"/>
          <w:spacing w:val="1"/>
        </w:rPr>
        <w:t>a</w:t>
      </w:r>
      <w:r>
        <w:rPr>
          <w:rFonts w:eastAsia="Cambria" w:cs="Cambria"/>
        </w:rPr>
        <w:t>l</w:t>
      </w:r>
      <w:r>
        <w:rPr>
          <w:rFonts w:eastAsia="Cambria" w:cs="Cambria"/>
          <w:spacing w:val="25"/>
        </w:rPr>
        <w:t xml:space="preserve"> </w:t>
      </w:r>
      <w:r>
        <w:rPr>
          <w:rFonts w:eastAsia="Cambria" w:cs="Cambria"/>
        </w:rPr>
        <w:t>d</w:t>
      </w:r>
      <w:r>
        <w:rPr>
          <w:rFonts w:eastAsia="Cambria" w:cs="Cambria"/>
          <w:spacing w:val="-1"/>
        </w:rPr>
        <w:t>e</w:t>
      </w:r>
      <w:r>
        <w:rPr>
          <w:rFonts w:eastAsia="Cambria" w:cs="Cambria"/>
        </w:rPr>
        <w:t>l</w:t>
      </w:r>
      <w:r>
        <w:rPr>
          <w:rFonts w:eastAsia="Cambria" w:cs="Cambria"/>
          <w:spacing w:val="26"/>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to</w:t>
      </w:r>
      <w:r>
        <w:rPr>
          <w:rFonts w:eastAsia="Cambria" w:cs="Cambria"/>
          <w:spacing w:val="21"/>
        </w:rPr>
        <w:t xml:space="preserve"> </w:t>
      </w:r>
      <w:r>
        <w:rPr>
          <w:rFonts w:eastAsia="Cambria" w:cs="Cambria"/>
          <w:spacing w:val="2"/>
        </w:rPr>
        <w:t>d</w:t>
      </w:r>
      <w:r>
        <w:rPr>
          <w:rFonts w:eastAsia="Cambria" w:cs="Cambria"/>
          <w:spacing w:val="-1"/>
        </w:rPr>
        <w:t>e</w:t>
      </w:r>
      <w:r>
        <w:rPr>
          <w:rFonts w:eastAsia="Cambria" w:cs="Cambria"/>
        </w:rPr>
        <w:t>j</w:t>
      </w:r>
      <w:r>
        <w:rPr>
          <w:rFonts w:eastAsia="Cambria" w:cs="Cambria"/>
          <w:spacing w:val="1"/>
        </w:rPr>
        <w:t>a</w:t>
      </w:r>
      <w:r>
        <w:rPr>
          <w:rFonts w:eastAsia="Cambria" w:cs="Cambria"/>
        </w:rPr>
        <w:t>do</w:t>
      </w:r>
      <w:r>
        <w:rPr>
          <w:rFonts w:eastAsia="Cambria" w:cs="Cambria"/>
          <w:spacing w:val="22"/>
        </w:rPr>
        <w:t xml:space="preserve"> </w:t>
      </w:r>
      <w:r>
        <w:rPr>
          <w:rFonts w:eastAsia="Cambria" w:cs="Cambria"/>
          <w:spacing w:val="2"/>
        </w:rPr>
        <w:t>d</w:t>
      </w:r>
      <w:r>
        <w:rPr>
          <w:rFonts w:eastAsia="Cambria" w:cs="Cambria"/>
        </w:rPr>
        <w:t xml:space="preserve">e </w:t>
      </w:r>
      <w:r>
        <w:rPr>
          <w:rFonts w:eastAsia="Cambria" w:cs="Cambria"/>
          <w:spacing w:val="-1"/>
        </w:rPr>
        <w:t>e</w:t>
      </w:r>
      <w:r>
        <w:rPr>
          <w:rFonts w:eastAsia="Cambria" w:cs="Cambria"/>
        </w:rPr>
        <w:t>j</w:t>
      </w:r>
      <w:r>
        <w:rPr>
          <w:rFonts w:eastAsia="Cambria" w:cs="Cambria"/>
          <w:spacing w:val="-1"/>
        </w:rPr>
        <w:t>e</w:t>
      </w:r>
      <w:r>
        <w:rPr>
          <w:rFonts w:eastAsia="Cambria" w:cs="Cambria"/>
          <w:spacing w:val="1"/>
        </w:rPr>
        <w:t>c</w:t>
      </w:r>
      <w:r>
        <w:rPr>
          <w:rFonts w:eastAsia="Cambria" w:cs="Cambria"/>
        </w:rPr>
        <w:t>ut</w:t>
      </w:r>
      <w:r>
        <w:rPr>
          <w:rFonts w:eastAsia="Cambria" w:cs="Cambria"/>
          <w:spacing w:val="4"/>
        </w:rPr>
        <w:t>a</w:t>
      </w:r>
      <w:r>
        <w:rPr>
          <w:rFonts w:eastAsia="Cambria" w:cs="Cambria"/>
          <w:spacing w:val="-1"/>
        </w:rPr>
        <w:t>r</w:t>
      </w:r>
      <w:r>
        <w:rPr>
          <w:rFonts w:eastAsia="Cambria" w:cs="Cambria"/>
        </w:rPr>
        <w:t>.</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Por</w:t>
      </w:r>
      <w:r>
        <w:rPr>
          <w:rFonts w:eastAsia="Cambria" w:cs="Cambria"/>
          <w:spacing w:val="-5"/>
        </w:rPr>
        <w:t xml:space="preserve"> </w:t>
      </w:r>
      <w:r>
        <w:rPr>
          <w:rFonts w:eastAsia="Cambria" w:cs="Cambria"/>
          <w:spacing w:val="1"/>
        </w:rPr>
        <w:t>ca</w:t>
      </w:r>
      <w:r>
        <w:rPr>
          <w:rFonts w:eastAsia="Cambria" w:cs="Cambria"/>
        </w:rPr>
        <w:t>da</w:t>
      </w:r>
      <w:r>
        <w:rPr>
          <w:rFonts w:eastAsia="Cambria" w:cs="Cambria"/>
          <w:spacing w:val="-4"/>
        </w:rPr>
        <w:t xml:space="preserve"> </w:t>
      </w:r>
      <w:r>
        <w:rPr>
          <w:rFonts w:eastAsia="Cambria" w:cs="Cambria"/>
        </w:rPr>
        <w:t>día</w:t>
      </w:r>
      <w:r>
        <w:rPr>
          <w:rFonts w:eastAsia="Cambria" w:cs="Cambria"/>
          <w:spacing w:val="-1"/>
        </w:rPr>
        <w:t xml:space="preserve"> </w:t>
      </w:r>
      <w:r>
        <w:rPr>
          <w:rFonts w:eastAsia="Cambria" w:cs="Cambria"/>
        </w:rPr>
        <w:t>de</w:t>
      </w:r>
      <w:r>
        <w:rPr>
          <w:rFonts w:eastAsia="Cambria" w:cs="Cambria"/>
          <w:spacing w:val="-2"/>
        </w:rPr>
        <w:t xml:space="preserve"> </w:t>
      </w:r>
      <w:r>
        <w:rPr>
          <w:rFonts w:eastAsia="Cambria" w:cs="Cambria"/>
          <w:spacing w:val="1"/>
        </w:rPr>
        <w:t>r</w:t>
      </w:r>
      <w:r>
        <w:rPr>
          <w:rFonts w:eastAsia="Cambria" w:cs="Cambria"/>
          <w:spacing w:val="-1"/>
        </w:rPr>
        <w:t>e</w:t>
      </w:r>
      <w:r>
        <w:rPr>
          <w:rFonts w:eastAsia="Cambria" w:cs="Cambria"/>
          <w:spacing w:val="2"/>
        </w:rPr>
        <w:t>t</w:t>
      </w:r>
      <w:r>
        <w:rPr>
          <w:rFonts w:eastAsia="Cambria" w:cs="Cambria"/>
          <w:spacing w:val="-1"/>
        </w:rPr>
        <w:t>r</w:t>
      </w:r>
      <w:r>
        <w:rPr>
          <w:rFonts w:eastAsia="Cambria" w:cs="Cambria"/>
          <w:spacing w:val="1"/>
        </w:rPr>
        <w:t>as</w:t>
      </w:r>
      <w:r>
        <w:rPr>
          <w:rFonts w:eastAsia="Cambria" w:cs="Cambria"/>
        </w:rPr>
        <w:t>o</w:t>
      </w:r>
      <w:r>
        <w:rPr>
          <w:rFonts w:eastAsia="Cambria" w:cs="Cambria"/>
          <w:spacing w:val="-7"/>
        </w:rPr>
        <w:t xml:space="preserve"> </w:t>
      </w:r>
      <w:r>
        <w:rPr>
          <w:rFonts w:eastAsia="Cambria" w:cs="Cambria"/>
          <w:spacing w:val="1"/>
        </w:rPr>
        <w:t>e</w:t>
      </w:r>
      <w:r>
        <w:rPr>
          <w:rFonts w:eastAsia="Cambria" w:cs="Cambria"/>
        </w:rPr>
        <w:t>n</w:t>
      </w:r>
      <w:r>
        <w:rPr>
          <w:rFonts w:eastAsia="Cambria" w:cs="Cambria"/>
          <w:spacing w:val="-4"/>
        </w:rPr>
        <w:t xml:space="preserve"> </w:t>
      </w:r>
      <w:r>
        <w:rPr>
          <w:rFonts w:eastAsia="Cambria" w:cs="Cambria"/>
          <w:spacing w:val="1"/>
        </w:rPr>
        <w:t>l</w:t>
      </w:r>
      <w:r>
        <w:rPr>
          <w:rFonts w:eastAsia="Cambria" w:cs="Cambria"/>
        </w:rPr>
        <w:t>a</w:t>
      </w:r>
      <w:r>
        <w:rPr>
          <w:rFonts w:eastAsia="Cambria" w:cs="Cambria"/>
          <w:spacing w:val="-2"/>
        </w:rPr>
        <w:t xml:space="preserve"> </w:t>
      </w:r>
      <w:r>
        <w:rPr>
          <w:rFonts w:eastAsia="Cambria" w:cs="Cambria"/>
          <w:spacing w:val="1"/>
        </w:rPr>
        <w:t>e</w:t>
      </w:r>
      <w:r>
        <w:rPr>
          <w:rFonts w:eastAsia="Cambria" w:cs="Cambria"/>
          <w:spacing w:val="-1"/>
        </w:rPr>
        <w:t>n</w:t>
      </w:r>
      <w:r>
        <w:rPr>
          <w:rFonts w:eastAsia="Cambria" w:cs="Cambria"/>
        </w:rPr>
        <w:t>t</w:t>
      </w:r>
      <w:r>
        <w:rPr>
          <w:rFonts w:eastAsia="Cambria" w:cs="Cambria"/>
          <w:spacing w:val="1"/>
        </w:rPr>
        <w:t>r</w:t>
      </w:r>
      <w:r>
        <w:rPr>
          <w:rFonts w:eastAsia="Cambria" w:cs="Cambria"/>
          <w:spacing w:val="-1"/>
        </w:rPr>
        <w:t>e</w:t>
      </w:r>
      <w:r>
        <w:rPr>
          <w:rFonts w:eastAsia="Cambria" w:cs="Cambria"/>
        </w:rPr>
        <w:t>g</w:t>
      </w:r>
      <w:r>
        <w:rPr>
          <w:rFonts w:eastAsia="Cambria" w:cs="Cambria"/>
          <w:spacing w:val="1"/>
        </w:rPr>
        <w:t>a</w:t>
      </w:r>
      <w:r>
        <w:rPr>
          <w:rFonts w:eastAsia="Cambria" w:cs="Cambria"/>
        </w:rPr>
        <w:t>,</w:t>
      </w:r>
      <w:r>
        <w:rPr>
          <w:rFonts w:eastAsia="Cambria" w:cs="Cambria"/>
          <w:spacing w:val="-6"/>
        </w:rPr>
        <w:t xml:space="preserve"> </w:t>
      </w:r>
      <w:r>
        <w:rPr>
          <w:rFonts w:eastAsia="Cambria" w:cs="Cambria"/>
          <w:spacing w:val="-1"/>
        </w:rPr>
        <w:t>e</w:t>
      </w:r>
      <w:r>
        <w:rPr>
          <w:rFonts w:eastAsia="Cambria" w:cs="Cambria"/>
        </w:rPr>
        <w:t>l</w:t>
      </w:r>
      <w:r>
        <w:rPr>
          <w:rFonts w:eastAsia="Cambria" w:cs="Cambria"/>
          <w:spacing w:val="-2"/>
        </w:rPr>
        <w:t xml:space="preserve"> </w:t>
      </w:r>
      <w:r>
        <w:rPr>
          <w:rFonts w:eastAsia="Cambria" w:cs="Cambria"/>
        </w:rPr>
        <w:t>u</w:t>
      </w:r>
      <w:r>
        <w:rPr>
          <w:rFonts w:eastAsia="Cambria" w:cs="Cambria"/>
          <w:spacing w:val="2"/>
        </w:rPr>
        <w:t>n</w:t>
      </w:r>
      <w:r>
        <w:rPr>
          <w:rFonts w:eastAsia="Cambria" w:cs="Cambria"/>
        </w:rPr>
        <w:t>o</w:t>
      </w:r>
      <w:r>
        <w:rPr>
          <w:rFonts w:eastAsia="Cambria" w:cs="Cambria"/>
          <w:spacing w:val="-4"/>
        </w:rPr>
        <w:t xml:space="preserve"> </w:t>
      </w:r>
      <w:r>
        <w:rPr>
          <w:rFonts w:eastAsia="Cambria" w:cs="Cambria"/>
        </w:rPr>
        <w:t>p</w:t>
      </w:r>
      <w:r>
        <w:rPr>
          <w:rFonts w:eastAsia="Cambria" w:cs="Cambria"/>
          <w:spacing w:val="2"/>
        </w:rPr>
        <w:t>o</w:t>
      </w:r>
      <w:r>
        <w:rPr>
          <w:rFonts w:eastAsia="Cambria" w:cs="Cambria"/>
        </w:rPr>
        <w:t>r</w:t>
      </w:r>
      <w:r>
        <w:rPr>
          <w:rFonts w:eastAsia="Cambria" w:cs="Cambria"/>
          <w:spacing w:val="-2"/>
        </w:rPr>
        <w:t xml:space="preserve"> </w:t>
      </w:r>
      <w:r>
        <w:rPr>
          <w:rFonts w:eastAsia="Cambria" w:cs="Cambria"/>
        </w:rPr>
        <w:t>mil</w:t>
      </w:r>
      <w:r>
        <w:rPr>
          <w:rFonts w:eastAsia="Cambria" w:cs="Cambria"/>
          <w:spacing w:val="-3"/>
        </w:rPr>
        <w:t xml:space="preserve"> </w:t>
      </w:r>
      <w:r>
        <w:rPr>
          <w:rFonts w:eastAsia="Cambria" w:cs="Cambria"/>
          <w:spacing w:val="1"/>
        </w:rPr>
        <w:t>(</w:t>
      </w:r>
      <w:r>
        <w:rPr>
          <w:rFonts w:eastAsia="Cambria" w:cs="Cambria"/>
        </w:rPr>
        <w:t>1</w:t>
      </w:r>
      <w:r>
        <w:rPr>
          <w:rFonts w:eastAsia="Cambria" w:cs="Cambria"/>
          <w:spacing w:val="3"/>
        </w:rPr>
        <w:t>‰</w:t>
      </w:r>
      <w:r>
        <w:rPr>
          <w:rFonts w:eastAsia="Cambria" w:cs="Cambria"/>
        </w:rPr>
        <w:t>)</w:t>
      </w:r>
      <w:r>
        <w:rPr>
          <w:rFonts w:eastAsia="Cambria" w:cs="Cambria"/>
          <w:spacing w:val="-5"/>
        </w:rPr>
        <w:t xml:space="preserve"> </w:t>
      </w:r>
      <w:r>
        <w:rPr>
          <w:rFonts w:eastAsia="Cambria" w:cs="Cambria"/>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4"/>
        </w:rPr>
        <w:t xml:space="preserve"> </w:t>
      </w:r>
      <w:r>
        <w:rPr>
          <w:rFonts w:eastAsia="Cambria" w:cs="Cambria"/>
        </w:rPr>
        <w:t>tot</w:t>
      </w:r>
      <w:r>
        <w:rPr>
          <w:rFonts w:eastAsia="Cambria" w:cs="Cambria"/>
          <w:spacing w:val="1"/>
        </w:rPr>
        <w:t>a</w:t>
      </w:r>
      <w:r>
        <w:rPr>
          <w:rFonts w:eastAsia="Cambria" w:cs="Cambria"/>
        </w:rPr>
        <w:t>l</w:t>
      </w:r>
      <w:r>
        <w:rPr>
          <w:rFonts w:eastAsia="Cambria" w:cs="Cambria"/>
          <w:spacing w:val="-4"/>
        </w:rPr>
        <w:t xml:space="preserve"> </w:t>
      </w:r>
      <w:r>
        <w:rPr>
          <w:rFonts w:eastAsia="Cambria" w:cs="Cambria"/>
          <w:spacing w:val="2"/>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1"/>
        </w:rPr>
        <w:t>a</w:t>
      </w:r>
      <w:r>
        <w:rPr>
          <w:rFonts w:eastAsia="Cambria" w:cs="Cambria"/>
        </w:rPr>
        <w:t>to.</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 xml:space="preserve">Por </w:t>
      </w:r>
      <w:r>
        <w:rPr>
          <w:rFonts w:eastAsia="Cambria" w:cs="Cambria"/>
          <w:spacing w:val="7"/>
        </w:rPr>
        <w:t xml:space="preserve"> </w:t>
      </w:r>
      <w:r>
        <w:rPr>
          <w:rFonts w:eastAsia="Cambria" w:cs="Cambria"/>
          <w:spacing w:val="1"/>
        </w:rPr>
        <w:t>n</w:t>
      </w:r>
      <w:r>
        <w:rPr>
          <w:rFonts w:eastAsia="Cambria" w:cs="Cambria"/>
        </w:rPr>
        <w:t xml:space="preserve">o </w:t>
      </w:r>
      <w:r>
        <w:rPr>
          <w:rFonts w:eastAsia="Cambria" w:cs="Cambria"/>
          <w:spacing w:val="8"/>
        </w:rPr>
        <w:t xml:space="preserve"> </w:t>
      </w:r>
      <w:r>
        <w:rPr>
          <w:rFonts w:eastAsia="Cambria" w:cs="Cambria"/>
        </w:rPr>
        <w:t>p</w:t>
      </w:r>
      <w:r>
        <w:rPr>
          <w:rFonts w:eastAsia="Cambria" w:cs="Cambria"/>
          <w:spacing w:val="1"/>
        </w:rPr>
        <w:t>r</w:t>
      </w:r>
      <w:r>
        <w:rPr>
          <w:rFonts w:eastAsia="Cambria" w:cs="Cambria"/>
          <w:spacing w:val="-1"/>
        </w:rPr>
        <w:t>e</w:t>
      </w:r>
      <w:r>
        <w:rPr>
          <w:rFonts w:eastAsia="Cambria" w:cs="Cambria"/>
          <w:spacing w:val="1"/>
        </w:rPr>
        <w:t>se</w:t>
      </w:r>
      <w:r>
        <w:rPr>
          <w:rFonts w:eastAsia="Cambria" w:cs="Cambria"/>
          <w:spacing w:val="-1"/>
        </w:rPr>
        <w:t>n</w:t>
      </w:r>
      <w:r>
        <w:rPr>
          <w:rFonts w:eastAsia="Cambria" w:cs="Cambria"/>
        </w:rPr>
        <w:t>t</w:t>
      </w:r>
      <w:r>
        <w:rPr>
          <w:rFonts w:eastAsia="Cambria" w:cs="Cambria"/>
          <w:spacing w:val="1"/>
        </w:rPr>
        <w:t>a</w:t>
      </w:r>
      <w:r>
        <w:rPr>
          <w:rFonts w:eastAsia="Cambria" w:cs="Cambria"/>
        </w:rPr>
        <w:t xml:space="preserve">r </w:t>
      </w:r>
      <w:r>
        <w:rPr>
          <w:rFonts w:eastAsia="Cambria" w:cs="Cambria"/>
          <w:spacing w:val="2"/>
        </w:rPr>
        <w:t xml:space="preserve"> </w:t>
      </w:r>
      <w:r>
        <w:rPr>
          <w:rFonts w:eastAsia="Cambria" w:cs="Cambria"/>
          <w:spacing w:val="1"/>
        </w:rPr>
        <w:t>l</w:t>
      </w:r>
      <w:r>
        <w:rPr>
          <w:rFonts w:eastAsia="Cambria" w:cs="Cambria"/>
        </w:rPr>
        <w:t xml:space="preserve">os </w:t>
      </w:r>
      <w:r>
        <w:rPr>
          <w:rFonts w:eastAsia="Cambria" w:cs="Cambria"/>
          <w:spacing w:val="9"/>
        </w:rPr>
        <w:t xml:space="preserve"> </w:t>
      </w:r>
      <w:r>
        <w:rPr>
          <w:rFonts w:eastAsia="Cambria" w:cs="Cambria"/>
        </w:rPr>
        <w:t>do</w:t>
      </w:r>
      <w:r>
        <w:rPr>
          <w:rFonts w:eastAsia="Cambria" w:cs="Cambria"/>
          <w:spacing w:val="3"/>
        </w:rPr>
        <w:t>c</w:t>
      </w:r>
      <w:r>
        <w:rPr>
          <w:rFonts w:eastAsia="Cambria" w:cs="Cambria"/>
        </w:rPr>
        <w:t>um</w:t>
      </w:r>
      <w:r>
        <w:rPr>
          <w:rFonts w:eastAsia="Cambria" w:cs="Cambria"/>
          <w:spacing w:val="1"/>
        </w:rPr>
        <w:t>e</w:t>
      </w:r>
      <w:r>
        <w:rPr>
          <w:rFonts w:eastAsia="Cambria" w:cs="Cambria"/>
          <w:spacing w:val="-1"/>
        </w:rPr>
        <w:t>n</w:t>
      </w:r>
      <w:r>
        <w:rPr>
          <w:rFonts w:eastAsia="Cambria" w:cs="Cambria"/>
        </w:rPr>
        <w:t xml:space="preserve">tos </w:t>
      </w:r>
      <w:r>
        <w:rPr>
          <w:rFonts w:eastAsia="Cambria" w:cs="Cambria"/>
          <w:spacing w:val="1"/>
        </w:rPr>
        <w:t xml:space="preserve"> e</w:t>
      </w:r>
      <w:r>
        <w:rPr>
          <w:rFonts w:eastAsia="Cambria" w:cs="Cambria"/>
        </w:rPr>
        <w:t>xigi</w:t>
      </w:r>
      <w:r>
        <w:rPr>
          <w:rFonts w:eastAsia="Cambria" w:cs="Cambria"/>
          <w:spacing w:val="-1"/>
        </w:rPr>
        <w:t>d</w:t>
      </w:r>
      <w:r>
        <w:rPr>
          <w:rFonts w:eastAsia="Cambria" w:cs="Cambria"/>
        </w:rPr>
        <w:t xml:space="preserve">os </w:t>
      </w:r>
      <w:r>
        <w:rPr>
          <w:rFonts w:eastAsia="Cambria" w:cs="Cambria"/>
          <w:spacing w:val="4"/>
        </w:rPr>
        <w:t xml:space="preserve"> </w:t>
      </w:r>
      <w:r>
        <w:rPr>
          <w:rFonts w:eastAsia="Cambria" w:cs="Cambria"/>
        </w:rPr>
        <w:t>p</w:t>
      </w:r>
      <w:r>
        <w:rPr>
          <w:rFonts w:eastAsia="Cambria" w:cs="Cambria"/>
          <w:spacing w:val="3"/>
        </w:rPr>
        <w:t>a</w:t>
      </w:r>
      <w:r>
        <w:rPr>
          <w:rFonts w:eastAsia="Cambria" w:cs="Cambria"/>
          <w:spacing w:val="-1"/>
        </w:rPr>
        <w:t>r</w:t>
      </w:r>
      <w:r>
        <w:rPr>
          <w:rFonts w:eastAsia="Cambria" w:cs="Cambria"/>
        </w:rPr>
        <w:t xml:space="preserve">a </w:t>
      </w:r>
      <w:r>
        <w:rPr>
          <w:rFonts w:eastAsia="Cambria" w:cs="Cambria"/>
          <w:spacing w:val="8"/>
        </w:rPr>
        <w:t xml:space="preserve"> </w:t>
      </w:r>
      <w:r>
        <w:rPr>
          <w:rFonts w:eastAsia="Cambria" w:cs="Cambria"/>
          <w:spacing w:val="1"/>
        </w:rPr>
        <w:t>l</w:t>
      </w:r>
      <w:r>
        <w:rPr>
          <w:rFonts w:eastAsia="Cambria" w:cs="Cambria"/>
        </w:rPr>
        <w:t xml:space="preserve">a </w:t>
      </w:r>
      <w:r>
        <w:rPr>
          <w:rFonts w:eastAsia="Cambria" w:cs="Cambria"/>
          <w:spacing w:val="8"/>
        </w:rPr>
        <w:t xml:space="preserve"> </w:t>
      </w:r>
      <w:r>
        <w:rPr>
          <w:rFonts w:eastAsia="Cambria" w:cs="Cambria"/>
          <w:spacing w:val="1"/>
        </w:rPr>
        <w:t>l</w:t>
      </w:r>
      <w:r>
        <w:rPr>
          <w:rFonts w:eastAsia="Cambria" w:cs="Cambria"/>
        </w:rPr>
        <w:t>i</w:t>
      </w:r>
      <w:r>
        <w:rPr>
          <w:rFonts w:eastAsia="Cambria" w:cs="Cambria"/>
          <w:spacing w:val="-1"/>
        </w:rPr>
        <w:t>q</w:t>
      </w:r>
      <w:r>
        <w:rPr>
          <w:rFonts w:eastAsia="Cambria" w:cs="Cambria"/>
        </w:rPr>
        <w:t>uid</w:t>
      </w:r>
      <w:r>
        <w:rPr>
          <w:rFonts w:eastAsia="Cambria" w:cs="Cambria"/>
          <w:spacing w:val="1"/>
        </w:rPr>
        <w:t>ac</w:t>
      </w:r>
      <w:r>
        <w:rPr>
          <w:rFonts w:eastAsia="Cambria" w:cs="Cambria"/>
        </w:rPr>
        <w:t xml:space="preserve">ión  </w:t>
      </w:r>
      <w:r>
        <w:rPr>
          <w:rFonts w:eastAsia="Cambria" w:cs="Cambria"/>
          <w:spacing w:val="2"/>
        </w:rPr>
        <w:t>d</w:t>
      </w:r>
      <w:r>
        <w:rPr>
          <w:rFonts w:eastAsia="Cambria" w:cs="Cambria"/>
          <w:spacing w:val="-1"/>
        </w:rPr>
        <w:t>e</w:t>
      </w:r>
      <w:r>
        <w:rPr>
          <w:rFonts w:eastAsia="Cambria" w:cs="Cambria"/>
        </w:rPr>
        <w:t xml:space="preserve">l </w:t>
      </w:r>
      <w:r>
        <w:rPr>
          <w:rFonts w:eastAsia="Cambria" w:cs="Cambria"/>
          <w:spacing w:val="9"/>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spacing w:val="2"/>
        </w:rPr>
        <w:t>t</w:t>
      </w:r>
      <w:r>
        <w:rPr>
          <w:rFonts w:eastAsia="Cambria" w:cs="Cambria"/>
        </w:rPr>
        <w:t xml:space="preserve">o, </w:t>
      </w:r>
      <w:r>
        <w:rPr>
          <w:rFonts w:eastAsia="Cambria" w:cs="Cambria"/>
          <w:spacing w:val="3"/>
        </w:rPr>
        <w:t xml:space="preserve"> </w:t>
      </w:r>
      <w:r>
        <w:rPr>
          <w:rFonts w:eastAsia="Cambria" w:cs="Cambria"/>
          <w:spacing w:val="2"/>
        </w:rPr>
        <w:t>d</w:t>
      </w:r>
      <w:r>
        <w:rPr>
          <w:rFonts w:eastAsia="Cambria" w:cs="Cambria"/>
          <w:spacing w:val="-1"/>
        </w:rPr>
        <w:t>en</w:t>
      </w:r>
      <w:r>
        <w:rPr>
          <w:rFonts w:eastAsia="Cambria" w:cs="Cambria"/>
          <w:spacing w:val="2"/>
        </w:rPr>
        <w:t>t</w:t>
      </w:r>
      <w:r>
        <w:rPr>
          <w:rFonts w:eastAsia="Cambria" w:cs="Cambria"/>
          <w:spacing w:val="-1"/>
        </w:rPr>
        <w:t>r</w:t>
      </w:r>
      <w:r>
        <w:rPr>
          <w:rFonts w:eastAsia="Cambria" w:cs="Cambria"/>
        </w:rPr>
        <w:t xml:space="preserve">o </w:t>
      </w:r>
      <w:r>
        <w:rPr>
          <w:rFonts w:eastAsia="Cambria" w:cs="Cambria"/>
          <w:spacing w:val="5"/>
        </w:rPr>
        <w:t xml:space="preserve"> </w:t>
      </w:r>
      <w:r>
        <w:rPr>
          <w:rFonts w:eastAsia="Cambria" w:cs="Cambria"/>
          <w:spacing w:val="2"/>
        </w:rPr>
        <w:t>d</w:t>
      </w:r>
      <w:r>
        <w:rPr>
          <w:rFonts w:eastAsia="Cambria" w:cs="Cambria"/>
          <w:spacing w:val="-1"/>
        </w:rPr>
        <w:t>e</w:t>
      </w:r>
      <w:r>
        <w:rPr>
          <w:rFonts w:eastAsia="Cambria" w:cs="Cambria"/>
        </w:rPr>
        <w:t xml:space="preserve">l </w:t>
      </w:r>
      <w:r>
        <w:rPr>
          <w:rFonts w:eastAsia="Cambria" w:cs="Cambria"/>
          <w:spacing w:val="9"/>
        </w:rPr>
        <w:t xml:space="preserve"> </w:t>
      </w:r>
      <w:r>
        <w:rPr>
          <w:rFonts w:eastAsia="Cambria" w:cs="Cambria"/>
        </w:rPr>
        <w:t>pl</w:t>
      </w:r>
      <w:r>
        <w:rPr>
          <w:rFonts w:eastAsia="Cambria" w:cs="Cambria"/>
          <w:spacing w:val="1"/>
        </w:rPr>
        <w:t>a</w:t>
      </w:r>
      <w:r>
        <w:rPr>
          <w:rFonts w:eastAsia="Cambria" w:cs="Cambria"/>
        </w:rPr>
        <w:t xml:space="preserve">zo </w:t>
      </w:r>
      <w:r>
        <w:rPr>
          <w:rFonts w:eastAsia="Cambria" w:cs="Cambria"/>
          <w:spacing w:val="-1"/>
        </w:rPr>
        <w:t>e</w:t>
      </w:r>
      <w:r>
        <w:rPr>
          <w:rFonts w:eastAsia="Cambria" w:cs="Cambria"/>
          <w:spacing w:val="1"/>
        </w:rPr>
        <w:t>s</w:t>
      </w:r>
      <w:r>
        <w:rPr>
          <w:rFonts w:eastAsia="Cambria" w:cs="Cambria"/>
        </w:rPr>
        <w:t>t</w:t>
      </w:r>
      <w:r>
        <w:rPr>
          <w:rFonts w:eastAsia="Cambria" w:cs="Cambria"/>
          <w:spacing w:val="1"/>
        </w:rPr>
        <w:t>a</w:t>
      </w:r>
      <w:r>
        <w:rPr>
          <w:rFonts w:eastAsia="Cambria" w:cs="Cambria"/>
          <w:spacing w:val="-1"/>
        </w:rPr>
        <w:t>b</w:t>
      </w:r>
      <w:r>
        <w:rPr>
          <w:rFonts w:eastAsia="Cambria" w:cs="Cambria"/>
          <w:spacing w:val="1"/>
        </w:rPr>
        <w:t>l</w:t>
      </w:r>
      <w:r>
        <w:rPr>
          <w:rFonts w:eastAsia="Cambria" w:cs="Cambria"/>
          <w:spacing w:val="-1"/>
        </w:rPr>
        <w:t>e</w:t>
      </w:r>
      <w:r>
        <w:rPr>
          <w:rFonts w:eastAsia="Cambria" w:cs="Cambria"/>
          <w:spacing w:val="1"/>
        </w:rPr>
        <w:t>c</w:t>
      </w:r>
      <w:r>
        <w:rPr>
          <w:rFonts w:eastAsia="Cambria" w:cs="Cambria"/>
        </w:rPr>
        <w:t>i</w:t>
      </w:r>
      <w:r>
        <w:rPr>
          <w:rFonts w:eastAsia="Cambria" w:cs="Cambria"/>
          <w:spacing w:val="2"/>
        </w:rPr>
        <w:t>d</w:t>
      </w:r>
      <w:r>
        <w:rPr>
          <w:rFonts w:eastAsia="Cambria" w:cs="Cambria"/>
        </w:rPr>
        <w:t>o</w:t>
      </w:r>
      <w:r>
        <w:rPr>
          <w:rFonts w:eastAsia="Cambria" w:cs="Cambria"/>
          <w:spacing w:val="18"/>
        </w:rPr>
        <w:t xml:space="preserve"> </w:t>
      </w:r>
      <w:r>
        <w:rPr>
          <w:rFonts w:eastAsia="Cambria" w:cs="Cambria"/>
        </w:rPr>
        <w:t>p</w:t>
      </w:r>
      <w:r>
        <w:rPr>
          <w:rFonts w:eastAsia="Cambria" w:cs="Cambria"/>
          <w:spacing w:val="1"/>
        </w:rPr>
        <w:t>a</w:t>
      </w:r>
      <w:r>
        <w:rPr>
          <w:rFonts w:eastAsia="Cambria" w:cs="Cambria"/>
          <w:spacing w:val="-1"/>
        </w:rPr>
        <w:t>r</w:t>
      </w:r>
      <w:r>
        <w:rPr>
          <w:rFonts w:eastAsia="Cambria" w:cs="Cambria"/>
        </w:rPr>
        <w:t>a</w:t>
      </w:r>
      <w:r>
        <w:rPr>
          <w:rFonts w:eastAsia="Cambria" w:cs="Cambria"/>
          <w:spacing w:val="25"/>
        </w:rPr>
        <w:t xml:space="preserve"> </w:t>
      </w:r>
      <w:r>
        <w:rPr>
          <w:rFonts w:eastAsia="Cambria" w:cs="Cambria"/>
          <w:spacing w:val="-1"/>
        </w:rPr>
        <w:t>e</w:t>
      </w:r>
      <w:r>
        <w:rPr>
          <w:rFonts w:eastAsia="Cambria" w:cs="Cambria"/>
        </w:rPr>
        <w:t>l</w:t>
      </w:r>
      <w:r>
        <w:rPr>
          <w:rFonts w:eastAsia="Cambria" w:cs="Cambria"/>
          <w:spacing w:val="27"/>
        </w:rPr>
        <w:t xml:space="preserve"> </w:t>
      </w:r>
      <w:r>
        <w:rPr>
          <w:rFonts w:eastAsia="Cambria" w:cs="Cambria"/>
          <w:spacing w:val="-1"/>
        </w:rPr>
        <w:t>e</w:t>
      </w:r>
      <w:r>
        <w:rPr>
          <w:rFonts w:eastAsia="Cambria" w:cs="Cambria"/>
          <w:spacing w:val="2"/>
        </w:rPr>
        <w:t>f</w:t>
      </w:r>
      <w:r>
        <w:rPr>
          <w:rFonts w:eastAsia="Cambria" w:cs="Cambria"/>
          <w:spacing w:val="-1"/>
        </w:rPr>
        <w:t>e</w:t>
      </w:r>
      <w:r>
        <w:rPr>
          <w:rFonts w:eastAsia="Cambria" w:cs="Cambria"/>
          <w:spacing w:val="1"/>
        </w:rPr>
        <w:t>c</w:t>
      </w:r>
      <w:r>
        <w:rPr>
          <w:rFonts w:eastAsia="Cambria" w:cs="Cambria"/>
        </w:rPr>
        <w:t>to,</w:t>
      </w:r>
      <w:r>
        <w:rPr>
          <w:rFonts w:eastAsia="Cambria" w:cs="Cambria"/>
          <w:spacing w:val="21"/>
        </w:rPr>
        <w:t xml:space="preserve"> </w:t>
      </w:r>
      <w:r>
        <w:rPr>
          <w:rFonts w:eastAsia="Cambria" w:cs="Cambria"/>
          <w:spacing w:val="1"/>
        </w:rPr>
        <w:t>s</w:t>
      </w:r>
      <w:r>
        <w:rPr>
          <w:rFonts w:eastAsia="Cambria" w:cs="Cambria"/>
          <w:spacing w:val="-1"/>
        </w:rPr>
        <w:t>e</w:t>
      </w:r>
      <w:r>
        <w:rPr>
          <w:rFonts w:eastAsia="Cambria" w:cs="Cambria"/>
        </w:rPr>
        <w:t>gún</w:t>
      </w:r>
      <w:r>
        <w:rPr>
          <w:rFonts w:eastAsia="Cambria" w:cs="Cambria"/>
          <w:spacing w:val="22"/>
        </w:rPr>
        <w:t xml:space="preserve"> </w:t>
      </w:r>
      <w:r>
        <w:rPr>
          <w:rFonts w:eastAsia="Cambria" w:cs="Cambria"/>
          <w:spacing w:val="1"/>
        </w:rPr>
        <w:t>la</w:t>
      </w:r>
      <w:r>
        <w:rPr>
          <w:rFonts w:eastAsia="Cambria" w:cs="Cambria"/>
        </w:rPr>
        <w:t>s</w:t>
      </w:r>
      <w:r>
        <w:rPr>
          <w:rFonts w:eastAsia="Cambria" w:cs="Cambria"/>
          <w:spacing w:val="26"/>
        </w:rPr>
        <w:t xml:space="preserve"> </w:t>
      </w:r>
      <w:r>
        <w:rPr>
          <w:rFonts w:eastAsia="Cambria" w:cs="Cambria"/>
        </w:rPr>
        <w:t>dispo</w:t>
      </w:r>
      <w:r>
        <w:rPr>
          <w:rFonts w:eastAsia="Cambria" w:cs="Cambria"/>
          <w:spacing w:val="1"/>
        </w:rPr>
        <w:t>s</w:t>
      </w:r>
      <w:r>
        <w:rPr>
          <w:rFonts w:eastAsia="Cambria" w:cs="Cambria"/>
        </w:rPr>
        <w:t>i</w:t>
      </w:r>
      <w:r>
        <w:rPr>
          <w:rFonts w:eastAsia="Cambria" w:cs="Cambria"/>
          <w:spacing w:val="1"/>
        </w:rPr>
        <w:t>c</w:t>
      </w:r>
      <w:r>
        <w:rPr>
          <w:rFonts w:eastAsia="Cambria" w:cs="Cambria"/>
        </w:rPr>
        <w:t>io</w:t>
      </w:r>
      <w:r>
        <w:rPr>
          <w:rFonts w:eastAsia="Cambria" w:cs="Cambria"/>
          <w:spacing w:val="1"/>
        </w:rPr>
        <w:t>n</w:t>
      </w:r>
      <w:r>
        <w:rPr>
          <w:rFonts w:eastAsia="Cambria" w:cs="Cambria"/>
          <w:spacing w:val="-1"/>
        </w:rPr>
        <w:t>e</w:t>
      </w:r>
      <w:r>
        <w:rPr>
          <w:rFonts w:eastAsia="Cambria" w:cs="Cambria"/>
        </w:rPr>
        <w:t>s</w:t>
      </w:r>
      <w:r>
        <w:rPr>
          <w:rFonts w:eastAsia="Cambria" w:cs="Cambria"/>
          <w:spacing w:val="16"/>
        </w:rPr>
        <w:t xml:space="preserve"> </w:t>
      </w:r>
      <w:r>
        <w:rPr>
          <w:rFonts w:eastAsia="Cambria" w:cs="Cambria"/>
        </w:rPr>
        <w:t>vig</w:t>
      </w:r>
      <w:r>
        <w:rPr>
          <w:rFonts w:eastAsia="Cambria" w:cs="Cambria"/>
          <w:spacing w:val="1"/>
        </w:rPr>
        <w:t>e</w:t>
      </w:r>
      <w:r>
        <w:rPr>
          <w:rFonts w:eastAsia="Cambria" w:cs="Cambria"/>
          <w:spacing w:val="-1"/>
        </w:rPr>
        <w:t>n</w:t>
      </w:r>
      <w:r>
        <w:rPr>
          <w:rFonts w:eastAsia="Cambria" w:cs="Cambria"/>
        </w:rPr>
        <w:t>t</w:t>
      </w:r>
      <w:r>
        <w:rPr>
          <w:rFonts w:eastAsia="Cambria" w:cs="Cambria"/>
          <w:spacing w:val="-1"/>
        </w:rPr>
        <w:t>e</w:t>
      </w:r>
      <w:r>
        <w:rPr>
          <w:rFonts w:eastAsia="Cambria" w:cs="Cambria"/>
          <w:spacing w:val="1"/>
        </w:rPr>
        <w:t>s</w:t>
      </w:r>
      <w:r>
        <w:rPr>
          <w:rFonts w:eastAsia="Cambria" w:cs="Cambria"/>
        </w:rPr>
        <w:t>,</w:t>
      </w:r>
      <w:r>
        <w:rPr>
          <w:rFonts w:eastAsia="Cambria" w:cs="Cambria"/>
          <w:spacing w:val="22"/>
        </w:rPr>
        <w:t xml:space="preserve"> </w:t>
      </w:r>
      <w:r>
        <w:rPr>
          <w:rFonts w:eastAsia="Cambria" w:cs="Cambria"/>
          <w:spacing w:val="-1"/>
        </w:rPr>
        <w:t>e</w:t>
      </w:r>
      <w:r>
        <w:rPr>
          <w:rFonts w:eastAsia="Cambria" w:cs="Cambria"/>
        </w:rPr>
        <w:t>l</w:t>
      </w:r>
      <w:r>
        <w:rPr>
          <w:rFonts w:eastAsia="Cambria" w:cs="Cambria"/>
          <w:spacing w:val="27"/>
        </w:rPr>
        <w:t xml:space="preserve"> </w:t>
      </w:r>
      <w:r>
        <w:rPr>
          <w:rFonts w:eastAsia="Cambria" w:cs="Cambria"/>
          <w:spacing w:val="1"/>
        </w:rPr>
        <w:t>c</w:t>
      </w:r>
      <w:r>
        <w:rPr>
          <w:rFonts w:eastAsia="Cambria" w:cs="Cambria"/>
          <w:spacing w:val="-1"/>
        </w:rPr>
        <w:t>er</w:t>
      </w:r>
      <w:r>
        <w:rPr>
          <w:rFonts w:eastAsia="Cambria" w:cs="Cambria"/>
        </w:rPr>
        <w:t>o</w:t>
      </w:r>
      <w:r>
        <w:rPr>
          <w:rFonts w:eastAsia="Cambria" w:cs="Cambria"/>
          <w:spacing w:val="24"/>
        </w:rPr>
        <w:t xml:space="preserve"> </w:t>
      </w:r>
      <w:r>
        <w:rPr>
          <w:rFonts w:eastAsia="Cambria" w:cs="Cambria"/>
        </w:rPr>
        <w:t>pu</w:t>
      </w:r>
      <w:r>
        <w:rPr>
          <w:rFonts w:eastAsia="Cambria" w:cs="Cambria"/>
          <w:spacing w:val="1"/>
        </w:rPr>
        <w:t>n</w:t>
      </w:r>
      <w:r>
        <w:rPr>
          <w:rFonts w:eastAsia="Cambria" w:cs="Cambria"/>
        </w:rPr>
        <w:t>to</w:t>
      </w:r>
      <w:r>
        <w:rPr>
          <w:rFonts w:eastAsia="Cambria" w:cs="Cambria"/>
          <w:spacing w:val="22"/>
        </w:rPr>
        <w:t xml:space="preserve"> </w:t>
      </w:r>
      <w:r>
        <w:rPr>
          <w:rFonts w:eastAsia="Cambria" w:cs="Cambria"/>
        </w:rPr>
        <w:t>t</w:t>
      </w:r>
      <w:r>
        <w:rPr>
          <w:rFonts w:eastAsia="Cambria" w:cs="Cambria"/>
          <w:spacing w:val="1"/>
        </w:rPr>
        <w:t>r</w:t>
      </w:r>
      <w:r>
        <w:rPr>
          <w:rFonts w:eastAsia="Cambria" w:cs="Cambria"/>
          <w:spacing w:val="-1"/>
        </w:rPr>
        <w:t>e</w:t>
      </w:r>
      <w:r>
        <w:rPr>
          <w:rFonts w:eastAsia="Cambria" w:cs="Cambria"/>
        </w:rPr>
        <w:t>s</w:t>
      </w:r>
      <w:r>
        <w:rPr>
          <w:rFonts w:eastAsia="Cambria" w:cs="Cambria"/>
          <w:spacing w:val="25"/>
        </w:rPr>
        <w:t xml:space="preserve"> </w:t>
      </w:r>
      <w:r>
        <w:rPr>
          <w:rFonts w:eastAsia="Cambria" w:cs="Cambria"/>
        </w:rPr>
        <w:t>por</w:t>
      </w:r>
      <w:r>
        <w:rPr>
          <w:rFonts w:eastAsia="Cambria" w:cs="Cambria"/>
          <w:spacing w:val="26"/>
        </w:rPr>
        <w:t xml:space="preserve"> </w:t>
      </w:r>
      <w:r>
        <w:rPr>
          <w:rFonts w:eastAsia="Cambria" w:cs="Cambria"/>
          <w:spacing w:val="1"/>
        </w:rPr>
        <w:t>c</w:t>
      </w:r>
      <w:r>
        <w:rPr>
          <w:rFonts w:eastAsia="Cambria" w:cs="Cambria"/>
        </w:rPr>
        <w:t>i</w:t>
      </w:r>
      <w:r>
        <w:rPr>
          <w:rFonts w:eastAsia="Cambria" w:cs="Cambria"/>
          <w:spacing w:val="-1"/>
        </w:rPr>
        <w:t>en</w:t>
      </w:r>
      <w:r>
        <w:rPr>
          <w:rFonts w:eastAsia="Cambria" w:cs="Cambria"/>
        </w:rPr>
        <w:t>to</w:t>
      </w:r>
      <w:r>
        <w:rPr>
          <w:rFonts w:eastAsia="Cambria" w:cs="Cambria"/>
          <w:spacing w:val="22"/>
        </w:rPr>
        <w:t xml:space="preserve"> </w:t>
      </w:r>
      <w:r>
        <w:rPr>
          <w:rFonts w:eastAsia="Cambria" w:cs="Cambria"/>
          <w:spacing w:val="1"/>
        </w:rPr>
        <w:t>(</w:t>
      </w:r>
      <w:r>
        <w:rPr>
          <w:rFonts w:eastAsia="Cambria" w:cs="Cambria"/>
        </w:rPr>
        <w:t>0.3%)</w:t>
      </w:r>
      <w:r>
        <w:rPr>
          <w:rFonts w:eastAsia="Cambria" w:cs="Cambria"/>
          <w:spacing w:val="23"/>
        </w:rPr>
        <w:t xml:space="preserve"> </w:t>
      </w:r>
      <w:r>
        <w:rPr>
          <w:rFonts w:eastAsia="Cambria" w:cs="Cambria"/>
        </w:rPr>
        <w:t>d</w:t>
      </w:r>
      <w:r>
        <w:rPr>
          <w:rFonts w:eastAsia="Cambria" w:cs="Cambria"/>
          <w:spacing w:val="-1"/>
        </w:rPr>
        <w:t>e</w:t>
      </w:r>
      <w:r>
        <w:rPr>
          <w:rFonts w:eastAsia="Cambria" w:cs="Cambria"/>
        </w:rPr>
        <w:t>l</w:t>
      </w:r>
      <w:r>
        <w:rPr>
          <w:rFonts w:eastAsia="Cambria" w:cs="Cambria"/>
          <w:spacing w:val="26"/>
        </w:rPr>
        <w:t xml:space="preserve"> </w:t>
      </w:r>
      <w:r>
        <w:rPr>
          <w:rFonts w:eastAsia="Cambria" w:cs="Cambria"/>
        </w:rPr>
        <w:t>v</w:t>
      </w:r>
      <w:r>
        <w:rPr>
          <w:rFonts w:eastAsia="Cambria" w:cs="Cambria"/>
          <w:spacing w:val="1"/>
        </w:rPr>
        <w:t>al</w:t>
      </w:r>
      <w:r>
        <w:rPr>
          <w:rFonts w:eastAsia="Cambria" w:cs="Cambria"/>
        </w:rPr>
        <w:t>or total</w:t>
      </w:r>
      <w:r>
        <w:rPr>
          <w:rFonts w:eastAsia="Cambria" w:cs="Cambria"/>
          <w:spacing w:val="-4"/>
        </w:rPr>
        <w:t xml:space="preserve"> </w:t>
      </w:r>
      <w:r>
        <w:rPr>
          <w:rFonts w:eastAsia="Cambria" w:cs="Cambria"/>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1"/>
        </w:rPr>
        <w:t>c</w:t>
      </w:r>
      <w:r>
        <w:rPr>
          <w:rFonts w:eastAsia="Cambria" w:cs="Cambria"/>
          <w:spacing w:val="2"/>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w:t>
      </w:r>
      <w:r>
        <w:rPr>
          <w:rFonts w:eastAsia="Cambria" w:cs="Cambria"/>
          <w:spacing w:val="2"/>
        </w:rPr>
        <w:t>o</w:t>
      </w:r>
      <w:r>
        <w:rPr>
          <w:rFonts w:eastAsia="Cambria" w:cs="Cambria"/>
        </w:rPr>
        <w:t>.</w:t>
      </w:r>
      <w:r>
        <w:rPr>
          <w:rFonts w:eastAsia="Cambria" w:cs="Cambria"/>
          <w:spacing w:val="34"/>
        </w:rPr>
        <w:t xml:space="preserve"> </w:t>
      </w:r>
      <w:r>
        <w:rPr>
          <w:rFonts w:eastAsia="Cambria" w:cs="Cambria"/>
          <w:spacing w:val="3"/>
        </w:rPr>
        <w:t>E</w:t>
      </w:r>
      <w:r>
        <w:rPr>
          <w:rFonts w:eastAsia="Cambria" w:cs="Cambria"/>
        </w:rPr>
        <w:t>n</w:t>
      </w:r>
      <w:r>
        <w:rPr>
          <w:rFonts w:eastAsia="Cambria" w:cs="Cambria"/>
          <w:spacing w:val="-1"/>
        </w:rPr>
        <w:t xml:space="preserve"> e</w:t>
      </w:r>
      <w:r>
        <w:rPr>
          <w:rFonts w:eastAsia="Cambria" w:cs="Cambria"/>
          <w:spacing w:val="1"/>
        </w:rPr>
        <w:t>s</w:t>
      </w:r>
      <w:r>
        <w:rPr>
          <w:rFonts w:eastAsia="Cambria" w:cs="Cambria"/>
        </w:rPr>
        <w:t>te</w:t>
      </w:r>
      <w:r>
        <w:rPr>
          <w:rFonts w:eastAsia="Cambria" w:cs="Cambria"/>
          <w:spacing w:val="-3"/>
        </w:rPr>
        <w:t xml:space="preserve"> </w:t>
      </w:r>
      <w:r>
        <w:rPr>
          <w:rFonts w:eastAsia="Cambria" w:cs="Cambria"/>
          <w:spacing w:val="1"/>
        </w:rPr>
        <w:t>cas</w:t>
      </w:r>
      <w:r>
        <w:rPr>
          <w:rFonts w:eastAsia="Cambria" w:cs="Cambria"/>
        </w:rPr>
        <w:t>o,</w:t>
      </w:r>
      <w:r>
        <w:rPr>
          <w:rFonts w:eastAsia="Cambria" w:cs="Cambria"/>
          <w:spacing w:val="-5"/>
        </w:rPr>
        <w:t xml:space="preserve"> </w:t>
      </w:r>
      <w:r>
        <w:rPr>
          <w:rFonts w:eastAsia="Cambria" w:cs="Cambria"/>
        </w:rPr>
        <w:t>El</w:t>
      </w:r>
      <w:r>
        <w:rPr>
          <w:rFonts w:eastAsia="Cambria" w:cs="Cambria"/>
          <w:spacing w:val="-2"/>
        </w:rPr>
        <w:t xml:space="preserve"> </w:t>
      </w:r>
      <w:r>
        <w:rPr>
          <w:rFonts w:eastAsia="Cambria" w:cs="Cambria"/>
          <w:spacing w:val="1"/>
        </w:rPr>
        <w:t>M</w:t>
      </w:r>
      <w:r>
        <w:rPr>
          <w:rFonts w:eastAsia="Cambria" w:cs="Cambria"/>
        </w:rPr>
        <w:t>unicip</w:t>
      </w:r>
      <w:r>
        <w:rPr>
          <w:rFonts w:eastAsia="Cambria" w:cs="Cambria"/>
          <w:spacing w:val="2"/>
        </w:rPr>
        <w:t>i</w:t>
      </w:r>
      <w:r>
        <w:rPr>
          <w:rFonts w:eastAsia="Cambria" w:cs="Cambria"/>
        </w:rPr>
        <w:t>o</w:t>
      </w:r>
      <w:r>
        <w:rPr>
          <w:rFonts w:eastAsia="Cambria" w:cs="Cambria"/>
          <w:spacing w:val="-10"/>
        </w:rPr>
        <w:t xml:space="preserve"> </w:t>
      </w:r>
      <w:r>
        <w:rPr>
          <w:rFonts w:eastAsia="Cambria" w:cs="Cambria"/>
          <w:spacing w:val="2"/>
        </w:rPr>
        <w:t>d</w:t>
      </w:r>
      <w:r>
        <w:rPr>
          <w:rFonts w:eastAsia="Cambria" w:cs="Cambria"/>
        </w:rPr>
        <w:t>e</w:t>
      </w:r>
      <w:r>
        <w:rPr>
          <w:rFonts w:eastAsia="Cambria" w:cs="Cambria"/>
          <w:spacing w:val="-4"/>
        </w:rPr>
        <w:t xml:space="preserve"> </w:t>
      </w:r>
      <w:r>
        <w:rPr>
          <w:rFonts w:eastAsia="Cambria" w:cs="Cambria"/>
          <w:spacing w:val="3"/>
        </w:rPr>
        <w:t>N</w:t>
      </w:r>
      <w:r>
        <w:rPr>
          <w:rFonts w:eastAsia="Cambria" w:cs="Cambria"/>
          <w:spacing w:val="-1"/>
        </w:rPr>
        <w:t>e</w:t>
      </w:r>
      <w:r>
        <w:rPr>
          <w:rFonts w:eastAsia="Cambria" w:cs="Cambria"/>
          <w:spacing w:val="4"/>
        </w:rPr>
        <w:t>i</w:t>
      </w:r>
      <w:r>
        <w:rPr>
          <w:rFonts w:eastAsia="Cambria" w:cs="Cambria"/>
        </w:rPr>
        <w:t>va</w:t>
      </w:r>
      <w:r>
        <w:rPr>
          <w:rFonts w:eastAsia="Cambria" w:cs="Cambria"/>
          <w:spacing w:val="-2"/>
        </w:rPr>
        <w:t xml:space="preserve"> </w:t>
      </w:r>
      <w:r>
        <w:rPr>
          <w:rFonts w:eastAsia="Cambria" w:cs="Cambria"/>
          <w:spacing w:val="-1"/>
        </w:rPr>
        <w:t>e</w:t>
      </w:r>
      <w:r>
        <w:rPr>
          <w:rFonts w:eastAsia="Cambria" w:cs="Cambria"/>
          <w:spacing w:val="1"/>
        </w:rPr>
        <w:t>la</w:t>
      </w:r>
      <w:r>
        <w:rPr>
          <w:rFonts w:eastAsia="Cambria" w:cs="Cambria"/>
          <w:spacing w:val="-1"/>
        </w:rPr>
        <w:t>b</w:t>
      </w:r>
      <w:r>
        <w:rPr>
          <w:rFonts w:eastAsia="Cambria" w:cs="Cambria"/>
        </w:rPr>
        <w:t>o</w:t>
      </w:r>
      <w:r>
        <w:rPr>
          <w:rFonts w:eastAsia="Cambria" w:cs="Cambria"/>
          <w:spacing w:val="-1"/>
        </w:rPr>
        <w:t>r</w:t>
      </w:r>
      <w:r>
        <w:rPr>
          <w:rFonts w:eastAsia="Cambria" w:cs="Cambria"/>
          <w:spacing w:val="1"/>
        </w:rPr>
        <w:t>a</w:t>
      </w:r>
      <w:r>
        <w:rPr>
          <w:rFonts w:eastAsia="Cambria" w:cs="Cambria"/>
          <w:spacing w:val="-1"/>
        </w:rPr>
        <w:t>r</w:t>
      </w:r>
      <w:r>
        <w:rPr>
          <w:rFonts w:eastAsia="Cambria" w:cs="Cambria"/>
        </w:rPr>
        <w:t>á</w:t>
      </w:r>
      <w:r>
        <w:rPr>
          <w:rFonts w:eastAsia="Cambria" w:cs="Cambria"/>
          <w:spacing w:val="-5"/>
        </w:rPr>
        <w:t xml:space="preserve"> </w:t>
      </w:r>
      <w:r>
        <w:rPr>
          <w:rFonts w:eastAsia="Cambria" w:cs="Cambria"/>
          <w:spacing w:val="1"/>
        </w:rPr>
        <w:t>l</w:t>
      </w:r>
      <w:r>
        <w:rPr>
          <w:rFonts w:eastAsia="Cambria" w:cs="Cambria"/>
        </w:rPr>
        <w:t>a</w:t>
      </w:r>
      <w:r>
        <w:rPr>
          <w:rFonts w:eastAsia="Cambria" w:cs="Cambria"/>
          <w:spacing w:val="-2"/>
        </w:rPr>
        <w:t xml:space="preserve"> </w:t>
      </w:r>
      <w:r>
        <w:rPr>
          <w:rFonts w:eastAsia="Cambria" w:cs="Cambria"/>
          <w:spacing w:val="1"/>
        </w:rPr>
        <w:t>l</w:t>
      </w:r>
      <w:r>
        <w:rPr>
          <w:rFonts w:eastAsia="Cambria" w:cs="Cambria"/>
        </w:rPr>
        <w:t>i</w:t>
      </w:r>
      <w:r>
        <w:rPr>
          <w:rFonts w:eastAsia="Cambria" w:cs="Cambria"/>
          <w:spacing w:val="-1"/>
        </w:rPr>
        <w:t>q</w:t>
      </w:r>
      <w:r>
        <w:rPr>
          <w:rFonts w:eastAsia="Cambria" w:cs="Cambria"/>
        </w:rPr>
        <w:t>uid</w:t>
      </w:r>
      <w:r>
        <w:rPr>
          <w:rFonts w:eastAsia="Cambria" w:cs="Cambria"/>
          <w:spacing w:val="1"/>
        </w:rPr>
        <w:t>ac</w:t>
      </w:r>
      <w:r>
        <w:rPr>
          <w:rFonts w:eastAsia="Cambria" w:cs="Cambria"/>
        </w:rPr>
        <w:t>ión</w:t>
      </w:r>
      <w:r>
        <w:rPr>
          <w:rFonts w:eastAsia="Cambria" w:cs="Cambria"/>
          <w:spacing w:val="-10"/>
        </w:rPr>
        <w:t xml:space="preserve"> </w:t>
      </w:r>
      <w:r>
        <w:rPr>
          <w:rFonts w:eastAsia="Cambria" w:cs="Cambria"/>
          <w:spacing w:val="2"/>
        </w:rPr>
        <w:t>d</w:t>
      </w:r>
      <w:r>
        <w:rPr>
          <w:rFonts w:eastAsia="Cambria" w:cs="Cambria"/>
        </w:rPr>
        <w:t>e</w:t>
      </w:r>
      <w:r>
        <w:rPr>
          <w:rFonts w:eastAsia="Cambria" w:cs="Cambria"/>
          <w:spacing w:val="-4"/>
        </w:rPr>
        <w:t xml:space="preserve"> </w:t>
      </w:r>
      <w:r>
        <w:rPr>
          <w:rFonts w:eastAsia="Cambria" w:cs="Cambria"/>
        </w:rPr>
        <w:t>o</w:t>
      </w:r>
      <w:r>
        <w:rPr>
          <w:rFonts w:eastAsia="Cambria" w:cs="Cambria"/>
          <w:spacing w:val="2"/>
        </w:rPr>
        <w:t>f</w:t>
      </w:r>
      <w:r>
        <w:rPr>
          <w:rFonts w:eastAsia="Cambria" w:cs="Cambria"/>
        </w:rPr>
        <w:t>i</w:t>
      </w:r>
      <w:r>
        <w:rPr>
          <w:rFonts w:eastAsia="Cambria" w:cs="Cambria"/>
          <w:spacing w:val="1"/>
        </w:rPr>
        <w:t>c</w:t>
      </w:r>
      <w:r>
        <w:rPr>
          <w:rFonts w:eastAsia="Cambria" w:cs="Cambria"/>
        </w:rPr>
        <w:t>io.</w:t>
      </w:r>
    </w:p>
    <w:p>
      <w:pPr>
        <w:spacing w:after="0"/>
        <w:rPr>
          <w:rFonts w:eastAsia="Cambria" w:cs="Cambria"/>
        </w:rPr>
      </w:pPr>
    </w:p>
    <w:p>
      <w:pPr>
        <w:pStyle w:val="17"/>
        <w:numPr>
          <w:ilvl w:val="0"/>
          <w:numId w:val="8"/>
        </w:numPr>
        <w:spacing w:after="0"/>
        <w:ind w:left="360"/>
        <w:rPr>
          <w:rFonts w:eastAsia="Cambria" w:cs="Cambria"/>
        </w:rPr>
      </w:pPr>
      <w:r>
        <w:rPr>
          <w:rFonts w:eastAsia="Cambria" w:cs="Cambria"/>
        </w:rPr>
        <w:t>Por</w:t>
      </w:r>
      <w:r>
        <w:rPr>
          <w:rFonts w:eastAsia="Cambria" w:cs="Cambria"/>
          <w:spacing w:val="7"/>
        </w:rPr>
        <w:t xml:space="preserve"> </w:t>
      </w:r>
      <w:r>
        <w:rPr>
          <w:rFonts w:eastAsia="Cambria" w:cs="Cambria"/>
          <w:spacing w:val="-1"/>
        </w:rPr>
        <w:t>e</w:t>
      </w:r>
      <w:r>
        <w:rPr>
          <w:rFonts w:eastAsia="Cambria" w:cs="Cambria"/>
        </w:rPr>
        <w:t>l</w:t>
      </w:r>
      <w:r>
        <w:rPr>
          <w:rFonts w:eastAsia="Cambria" w:cs="Cambria"/>
          <w:spacing w:val="8"/>
        </w:rPr>
        <w:t xml:space="preserve"> </w:t>
      </w:r>
      <w:r>
        <w:rPr>
          <w:rFonts w:eastAsia="Cambria" w:cs="Cambria"/>
        </w:rPr>
        <w:t>i</w:t>
      </w:r>
      <w:r>
        <w:rPr>
          <w:rFonts w:eastAsia="Cambria" w:cs="Cambria"/>
          <w:spacing w:val="-1"/>
        </w:rPr>
        <w:t>n</w:t>
      </w:r>
      <w:r>
        <w:rPr>
          <w:rFonts w:eastAsia="Cambria" w:cs="Cambria"/>
          <w:spacing w:val="1"/>
        </w:rPr>
        <w:t>c</w:t>
      </w:r>
      <w:r>
        <w:rPr>
          <w:rFonts w:eastAsia="Cambria" w:cs="Cambria"/>
        </w:rPr>
        <w:t>u</w:t>
      </w:r>
      <w:r>
        <w:rPr>
          <w:rFonts w:eastAsia="Cambria" w:cs="Cambria"/>
          <w:spacing w:val="3"/>
        </w:rPr>
        <w:t>m</w:t>
      </w:r>
      <w:r>
        <w:rPr>
          <w:rFonts w:eastAsia="Cambria" w:cs="Cambria"/>
        </w:rPr>
        <w:t>p</w:t>
      </w:r>
      <w:r>
        <w:rPr>
          <w:rFonts w:eastAsia="Cambria" w:cs="Cambria"/>
          <w:spacing w:val="1"/>
        </w:rPr>
        <w:t>l</w:t>
      </w:r>
      <w:r>
        <w:rPr>
          <w:rFonts w:eastAsia="Cambria" w:cs="Cambria"/>
        </w:rPr>
        <w:t>im</w:t>
      </w:r>
      <w:r>
        <w:rPr>
          <w:rFonts w:eastAsia="Cambria" w:cs="Cambria"/>
          <w:spacing w:val="2"/>
        </w:rPr>
        <w:t>i</w:t>
      </w:r>
      <w:r>
        <w:rPr>
          <w:rFonts w:eastAsia="Cambria" w:cs="Cambria"/>
          <w:spacing w:val="-1"/>
        </w:rPr>
        <w:t>en</w:t>
      </w:r>
      <w:r>
        <w:rPr>
          <w:rFonts w:eastAsia="Cambria" w:cs="Cambria"/>
          <w:spacing w:val="2"/>
        </w:rPr>
        <w:t>t</w:t>
      </w:r>
      <w:r>
        <w:rPr>
          <w:rFonts w:eastAsia="Cambria" w:cs="Cambria"/>
        </w:rPr>
        <w:t>o</w:t>
      </w:r>
      <w:r>
        <w:rPr>
          <w:rFonts w:eastAsia="Cambria" w:cs="Cambria"/>
          <w:spacing w:val="-6"/>
        </w:rPr>
        <w:t xml:space="preserve"> </w:t>
      </w:r>
      <w:r>
        <w:rPr>
          <w:rFonts w:eastAsia="Cambria" w:cs="Cambria"/>
          <w:spacing w:val="2"/>
        </w:rPr>
        <w:t>d</w:t>
      </w:r>
      <w:r>
        <w:rPr>
          <w:rFonts w:eastAsia="Cambria" w:cs="Cambria"/>
        </w:rPr>
        <w:t>e</w:t>
      </w:r>
      <w:r>
        <w:rPr>
          <w:rFonts w:eastAsia="Cambria" w:cs="Cambria"/>
          <w:spacing w:val="5"/>
        </w:rPr>
        <w:t xml:space="preserve"> </w:t>
      </w:r>
      <w:r>
        <w:rPr>
          <w:rFonts w:eastAsia="Cambria" w:cs="Cambria"/>
          <w:spacing w:val="1"/>
        </w:rPr>
        <w:t>c</w:t>
      </w:r>
      <w:r>
        <w:rPr>
          <w:rFonts w:eastAsia="Cambria" w:cs="Cambria"/>
        </w:rPr>
        <w:t>u</w:t>
      </w:r>
      <w:r>
        <w:rPr>
          <w:rFonts w:eastAsia="Cambria" w:cs="Cambria"/>
          <w:spacing w:val="1"/>
        </w:rPr>
        <w:t>al</w:t>
      </w:r>
      <w:r>
        <w:rPr>
          <w:rFonts w:eastAsia="Cambria" w:cs="Cambria"/>
          <w:spacing w:val="-1"/>
        </w:rPr>
        <w:t>q</w:t>
      </w:r>
      <w:r>
        <w:rPr>
          <w:rFonts w:eastAsia="Cambria" w:cs="Cambria"/>
        </w:rPr>
        <w:t>ui</w:t>
      </w:r>
      <w:r>
        <w:rPr>
          <w:rFonts w:eastAsia="Cambria" w:cs="Cambria"/>
          <w:spacing w:val="-1"/>
        </w:rPr>
        <w:t>er</w:t>
      </w:r>
      <w:r>
        <w:rPr>
          <w:rFonts w:eastAsia="Cambria" w:cs="Cambria"/>
        </w:rPr>
        <w:t>a</w:t>
      </w:r>
      <w:r>
        <w:rPr>
          <w:rFonts w:eastAsia="Cambria" w:cs="Cambria"/>
          <w:spacing w:val="1"/>
        </w:rPr>
        <w:t xml:space="preserve"> </w:t>
      </w:r>
      <w:r>
        <w:rPr>
          <w:rFonts w:eastAsia="Cambria" w:cs="Cambria"/>
          <w:spacing w:val="2"/>
        </w:rPr>
        <w:t>d</w:t>
      </w:r>
      <w:r>
        <w:rPr>
          <w:rFonts w:eastAsia="Cambria" w:cs="Cambria"/>
        </w:rPr>
        <w:t>e</w:t>
      </w:r>
      <w:r>
        <w:rPr>
          <w:rFonts w:eastAsia="Cambria" w:cs="Cambria"/>
          <w:spacing w:val="5"/>
        </w:rPr>
        <w:t xml:space="preserve"> </w:t>
      </w:r>
      <w:r>
        <w:rPr>
          <w:rFonts w:eastAsia="Cambria" w:cs="Cambria"/>
          <w:spacing w:val="1"/>
        </w:rPr>
        <w:t>la</w:t>
      </w:r>
      <w:r>
        <w:rPr>
          <w:rFonts w:eastAsia="Cambria" w:cs="Cambria"/>
        </w:rPr>
        <w:t>s</w:t>
      </w:r>
      <w:r>
        <w:rPr>
          <w:rFonts w:eastAsia="Cambria" w:cs="Cambria"/>
          <w:spacing w:val="7"/>
        </w:rPr>
        <w:t xml:space="preserve"> </w:t>
      </w:r>
      <w:r>
        <w:rPr>
          <w:rFonts w:eastAsia="Cambria" w:cs="Cambria"/>
        </w:rPr>
        <w:t>o</w:t>
      </w:r>
      <w:r>
        <w:rPr>
          <w:rFonts w:eastAsia="Cambria" w:cs="Cambria"/>
          <w:spacing w:val="-1"/>
        </w:rPr>
        <w:t>b</w:t>
      </w:r>
      <w:r>
        <w:rPr>
          <w:rFonts w:eastAsia="Cambria" w:cs="Cambria"/>
          <w:spacing w:val="1"/>
        </w:rPr>
        <w:t>l</w:t>
      </w:r>
      <w:r>
        <w:rPr>
          <w:rFonts w:eastAsia="Cambria" w:cs="Cambria"/>
        </w:rPr>
        <w:t>ig</w:t>
      </w:r>
      <w:r>
        <w:rPr>
          <w:rFonts w:eastAsia="Cambria" w:cs="Cambria"/>
          <w:spacing w:val="1"/>
        </w:rPr>
        <w:t>ac</w:t>
      </w:r>
      <w:r>
        <w:rPr>
          <w:rFonts w:eastAsia="Cambria" w:cs="Cambria"/>
        </w:rPr>
        <w:t>io</w:t>
      </w:r>
      <w:r>
        <w:rPr>
          <w:rFonts w:eastAsia="Cambria" w:cs="Cambria"/>
          <w:spacing w:val="1"/>
        </w:rPr>
        <w:t>n</w:t>
      </w:r>
      <w:r>
        <w:rPr>
          <w:rFonts w:eastAsia="Cambria" w:cs="Cambria"/>
          <w:spacing w:val="-1"/>
        </w:rPr>
        <w:t>e</w:t>
      </w:r>
      <w:r>
        <w:rPr>
          <w:rFonts w:eastAsia="Cambria" w:cs="Cambria"/>
          <w:spacing w:val="1"/>
        </w:rPr>
        <w:t>s</w:t>
      </w:r>
      <w:r>
        <w:rPr>
          <w:rFonts w:eastAsia="Cambria" w:cs="Cambria"/>
        </w:rPr>
        <w:t xml:space="preserve">, </w:t>
      </w:r>
      <w:r>
        <w:rPr>
          <w:rFonts w:eastAsia="Cambria" w:cs="Cambria"/>
          <w:spacing w:val="-1"/>
        </w:rPr>
        <w:t>q</w:t>
      </w:r>
      <w:r>
        <w:rPr>
          <w:rFonts w:eastAsia="Cambria" w:cs="Cambria"/>
        </w:rPr>
        <w:t>ue</w:t>
      </w:r>
      <w:r>
        <w:rPr>
          <w:rFonts w:eastAsia="Cambria" w:cs="Cambria"/>
          <w:spacing w:val="5"/>
        </w:rPr>
        <w:t xml:space="preserve"> </w:t>
      </w:r>
      <w:r>
        <w:rPr>
          <w:rFonts w:eastAsia="Cambria" w:cs="Cambria"/>
          <w:spacing w:val="1"/>
        </w:rPr>
        <w:t>a</w:t>
      </w:r>
      <w:r>
        <w:rPr>
          <w:rFonts w:eastAsia="Cambria" w:cs="Cambria"/>
          <w:spacing w:val="2"/>
        </w:rPr>
        <w:t>f</w:t>
      </w:r>
      <w:r>
        <w:rPr>
          <w:rFonts w:eastAsia="Cambria" w:cs="Cambria"/>
          <w:spacing w:val="-1"/>
        </w:rPr>
        <w:t>e</w:t>
      </w:r>
      <w:r>
        <w:rPr>
          <w:rFonts w:eastAsia="Cambria" w:cs="Cambria"/>
          <w:spacing w:val="1"/>
        </w:rPr>
        <w:t>c</w:t>
      </w:r>
      <w:r>
        <w:rPr>
          <w:rFonts w:eastAsia="Cambria" w:cs="Cambria"/>
          <w:spacing w:val="2"/>
        </w:rPr>
        <w:t>t</w:t>
      </w:r>
      <w:r>
        <w:rPr>
          <w:rFonts w:eastAsia="Cambria" w:cs="Cambria"/>
        </w:rPr>
        <w:t>e</w:t>
      </w:r>
      <w:r>
        <w:rPr>
          <w:rFonts w:eastAsia="Cambria" w:cs="Cambria"/>
          <w:spacing w:val="2"/>
        </w:rPr>
        <w:t xml:space="preserve"> </w:t>
      </w:r>
      <w:r>
        <w:rPr>
          <w:rFonts w:eastAsia="Cambria" w:cs="Cambria"/>
          <w:spacing w:val="-1"/>
        </w:rPr>
        <w:t>e</w:t>
      </w:r>
      <w:r>
        <w:rPr>
          <w:rFonts w:eastAsia="Cambria" w:cs="Cambria"/>
        </w:rPr>
        <w:t>l</w:t>
      </w:r>
      <w:r>
        <w:rPr>
          <w:rFonts w:eastAsia="Cambria" w:cs="Cambria"/>
          <w:spacing w:val="8"/>
        </w:rPr>
        <w:t xml:space="preserve"> </w:t>
      </w:r>
      <w:r>
        <w:rPr>
          <w:rFonts w:eastAsia="Cambria" w:cs="Cambria"/>
          <w:spacing w:val="1"/>
        </w:rPr>
        <w:t>c</w:t>
      </w:r>
      <w:r>
        <w:rPr>
          <w:rFonts w:eastAsia="Cambria" w:cs="Cambria"/>
          <w:spacing w:val="2"/>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rPr>
        <w:t>t</w:t>
      </w:r>
      <w:r>
        <w:rPr>
          <w:rFonts w:eastAsia="Cambria" w:cs="Cambria"/>
          <w:spacing w:val="2"/>
        </w:rPr>
        <w:t>o</w:t>
      </w:r>
      <w:r>
        <w:rPr>
          <w:rFonts w:eastAsia="Cambria" w:cs="Cambria"/>
        </w:rPr>
        <w:t>,</w:t>
      </w:r>
      <w:r>
        <w:rPr>
          <w:rFonts w:eastAsia="Cambria" w:cs="Cambria"/>
          <w:spacing w:val="1"/>
        </w:rPr>
        <w:t xml:space="preserve"> </w:t>
      </w:r>
      <w:r>
        <w:rPr>
          <w:rFonts w:eastAsia="Cambria" w:cs="Cambria"/>
          <w:spacing w:val="-1"/>
        </w:rPr>
        <w:t>e</w:t>
      </w:r>
      <w:r>
        <w:rPr>
          <w:rFonts w:eastAsia="Cambria" w:cs="Cambria"/>
        </w:rPr>
        <w:t>l</w:t>
      </w:r>
      <w:r>
        <w:rPr>
          <w:rFonts w:eastAsia="Cambria" w:cs="Cambria"/>
          <w:spacing w:val="8"/>
        </w:rPr>
        <w:t xml:space="preserve"> </w:t>
      </w:r>
      <w:r>
        <w:rPr>
          <w:rFonts w:eastAsia="Cambria" w:cs="Cambria"/>
          <w:spacing w:val="3"/>
        </w:rPr>
        <w:t>u</w:t>
      </w:r>
      <w:r>
        <w:rPr>
          <w:rFonts w:eastAsia="Cambria" w:cs="Cambria"/>
          <w:spacing w:val="1"/>
        </w:rPr>
        <w:t>n</w:t>
      </w:r>
      <w:r>
        <w:rPr>
          <w:rFonts w:eastAsia="Cambria" w:cs="Cambria"/>
        </w:rPr>
        <w:t>o</w:t>
      </w:r>
      <w:r>
        <w:rPr>
          <w:rFonts w:eastAsia="Cambria" w:cs="Cambria"/>
          <w:spacing w:val="5"/>
        </w:rPr>
        <w:t xml:space="preserve"> </w:t>
      </w:r>
      <w:r>
        <w:rPr>
          <w:rFonts w:eastAsia="Cambria" w:cs="Cambria"/>
        </w:rPr>
        <w:t>por</w:t>
      </w:r>
      <w:r>
        <w:rPr>
          <w:rFonts w:eastAsia="Cambria" w:cs="Cambria"/>
          <w:spacing w:val="7"/>
        </w:rPr>
        <w:t xml:space="preserve"> </w:t>
      </w:r>
      <w:r>
        <w:rPr>
          <w:rFonts w:eastAsia="Cambria" w:cs="Cambria"/>
        </w:rPr>
        <w:t>mil</w:t>
      </w:r>
      <w:r>
        <w:rPr>
          <w:rFonts w:eastAsia="Cambria" w:cs="Cambria"/>
          <w:spacing w:val="6"/>
        </w:rPr>
        <w:t xml:space="preserve"> </w:t>
      </w:r>
      <w:r>
        <w:rPr>
          <w:rFonts w:eastAsia="Cambria" w:cs="Cambria"/>
          <w:spacing w:val="1"/>
        </w:rPr>
        <w:t>(</w:t>
      </w:r>
      <w:r>
        <w:rPr>
          <w:rFonts w:eastAsia="Cambria" w:cs="Cambria"/>
        </w:rPr>
        <w:t>1‰) d</w:t>
      </w:r>
      <w:r>
        <w:rPr>
          <w:rFonts w:eastAsia="Cambria" w:cs="Cambria"/>
          <w:spacing w:val="-1"/>
        </w:rPr>
        <w:t>e</w:t>
      </w:r>
      <w:r>
        <w:rPr>
          <w:rFonts w:eastAsia="Cambria" w:cs="Cambria"/>
        </w:rPr>
        <w:t>l</w:t>
      </w:r>
      <w:r>
        <w:rPr>
          <w:rFonts w:eastAsia="Cambria" w:cs="Cambria"/>
          <w:spacing w:val="-3"/>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6"/>
        </w:rPr>
        <w:t xml:space="preserve"> </w:t>
      </w:r>
      <w:r>
        <w:rPr>
          <w:rFonts w:eastAsia="Cambria" w:cs="Cambria"/>
          <w:spacing w:val="2"/>
        </w:rPr>
        <w:t>t</w:t>
      </w:r>
      <w:r>
        <w:rPr>
          <w:rFonts w:eastAsia="Cambria" w:cs="Cambria"/>
        </w:rPr>
        <w:t>ot</w:t>
      </w:r>
      <w:r>
        <w:rPr>
          <w:rFonts w:eastAsia="Cambria" w:cs="Cambria"/>
          <w:spacing w:val="1"/>
        </w:rPr>
        <w:t>a</w:t>
      </w:r>
      <w:r>
        <w:rPr>
          <w:rFonts w:eastAsia="Cambria" w:cs="Cambria"/>
        </w:rPr>
        <w:t>l</w:t>
      </w:r>
      <w:r>
        <w:rPr>
          <w:rFonts w:eastAsia="Cambria" w:cs="Cambria"/>
          <w:spacing w:val="-4"/>
        </w:rPr>
        <w:t xml:space="preserve"> </w:t>
      </w:r>
      <w:r>
        <w:rPr>
          <w:rFonts w:eastAsia="Cambria" w:cs="Cambria"/>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1"/>
        </w:rPr>
        <w:t>c</w:t>
      </w:r>
      <w:r>
        <w:rPr>
          <w:rFonts w:eastAsia="Cambria" w:cs="Cambria"/>
          <w:spacing w:val="2"/>
        </w:rPr>
        <w:t>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1"/>
        </w:rPr>
        <w:t>a</w:t>
      </w:r>
      <w:r>
        <w:rPr>
          <w:rFonts w:eastAsia="Cambria" w:cs="Cambria"/>
        </w:rPr>
        <w:t>to.</w:t>
      </w:r>
    </w:p>
    <w:p>
      <w:pPr>
        <w:spacing w:after="0"/>
      </w:pPr>
    </w:p>
    <w:p>
      <w:pPr>
        <w:spacing w:after="0"/>
        <w:rPr>
          <w:rFonts w:eastAsia="Cambria" w:cs="Cambria"/>
        </w:rPr>
      </w:pPr>
      <w:r>
        <w:rPr>
          <w:rFonts w:eastAsia="Cambria" w:cs="Cambria"/>
        </w:rPr>
        <w:t>En</w:t>
      </w:r>
      <w:r>
        <w:rPr>
          <w:rFonts w:eastAsia="Cambria" w:cs="Cambria"/>
          <w:spacing w:val="-1"/>
        </w:rPr>
        <w:t xml:space="preserve"> </w:t>
      </w:r>
      <w:r>
        <w:rPr>
          <w:rFonts w:eastAsia="Cambria" w:cs="Cambria"/>
          <w:spacing w:val="1"/>
        </w:rPr>
        <w:t>cas</w:t>
      </w:r>
      <w:r>
        <w:rPr>
          <w:rFonts w:eastAsia="Cambria" w:cs="Cambria"/>
        </w:rPr>
        <w:t>o</w:t>
      </w:r>
      <w:r>
        <w:rPr>
          <w:rFonts w:eastAsia="Cambria" w:cs="Cambria"/>
          <w:spacing w:val="-3"/>
        </w:rPr>
        <w:t xml:space="preserve"> </w:t>
      </w:r>
      <w:r>
        <w:rPr>
          <w:rFonts w:eastAsia="Cambria" w:cs="Cambria"/>
        </w:rPr>
        <w:t xml:space="preserve">de </w:t>
      </w:r>
      <w:r>
        <w:rPr>
          <w:rFonts w:eastAsia="Cambria" w:cs="Cambria"/>
          <w:spacing w:val="-1"/>
        </w:rPr>
        <w:t>q</w:t>
      </w:r>
      <w:r>
        <w:rPr>
          <w:rFonts w:eastAsia="Cambria" w:cs="Cambria"/>
          <w:spacing w:val="3"/>
        </w:rPr>
        <w:t>u</w:t>
      </w:r>
      <w:r>
        <w:rPr>
          <w:rFonts w:eastAsia="Cambria" w:cs="Cambria"/>
        </w:rPr>
        <w:t xml:space="preserve">e </w:t>
      </w:r>
      <w:r>
        <w:rPr>
          <w:rFonts w:eastAsia="Cambria" w:cs="Cambria"/>
          <w:spacing w:val="-1"/>
        </w:rPr>
        <w:t>e</w:t>
      </w:r>
      <w:r>
        <w:rPr>
          <w:rFonts w:eastAsia="Cambria" w:cs="Cambria"/>
        </w:rPr>
        <w:t xml:space="preserve">l </w:t>
      </w:r>
      <w:r>
        <w:rPr>
          <w:rFonts w:eastAsia="Cambria" w:cs="Cambria"/>
          <w:spacing w:val="1"/>
        </w:rPr>
        <w:t>c</w:t>
      </w:r>
      <w:r>
        <w:rPr>
          <w:rFonts w:eastAsia="Cambria" w:cs="Cambria"/>
        </w:rPr>
        <w:t>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1"/>
        </w:rPr>
        <w:t>a</w:t>
      </w:r>
      <w:r>
        <w:rPr>
          <w:rFonts w:eastAsia="Cambria" w:cs="Cambria"/>
        </w:rPr>
        <w:t>tista</w:t>
      </w:r>
      <w:r>
        <w:rPr>
          <w:rFonts w:eastAsia="Cambria" w:cs="Cambria"/>
          <w:spacing w:val="-4"/>
        </w:rPr>
        <w:t xml:space="preserve"> </w:t>
      </w:r>
      <w:r>
        <w:rPr>
          <w:rFonts w:eastAsia="Cambria" w:cs="Cambria"/>
        </w:rPr>
        <w:t>i</w:t>
      </w:r>
      <w:r>
        <w:rPr>
          <w:rFonts w:eastAsia="Cambria" w:cs="Cambria"/>
          <w:spacing w:val="-1"/>
        </w:rPr>
        <w:t>n</w:t>
      </w:r>
      <w:r>
        <w:rPr>
          <w:rFonts w:eastAsia="Cambria" w:cs="Cambria"/>
          <w:spacing w:val="1"/>
        </w:rPr>
        <w:t>c</w:t>
      </w:r>
      <w:r>
        <w:rPr>
          <w:rFonts w:eastAsia="Cambria" w:cs="Cambria"/>
        </w:rPr>
        <w:t>u</w:t>
      </w:r>
      <w:r>
        <w:rPr>
          <w:rFonts w:eastAsia="Cambria" w:cs="Cambria"/>
          <w:spacing w:val="2"/>
        </w:rPr>
        <w:t>r</w:t>
      </w:r>
      <w:r>
        <w:rPr>
          <w:rFonts w:eastAsia="Cambria" w:cs="Cambria"/>
          <w:spacing w:val="-1"/>
        </w:rPr>
        <w:t>r</w:t>
      </w:r>
      <w:r>
        <w:rPr>
          <w:rFonts w:eastAsia="Cambria" w:cs="Cambria"/>
        </w:rPr>
        <w:t>a</w:t>
      </w:r>
      <w:r>
        <w:rPr>
          <w:rFonts w:eastAsia="Cambria" w:cs="Cambria"/>
          <w:spacing w:val="-4"/>
        </w:rPr>
        <w:t xml:space="preserve"> </w:t>
      </w:r>
      <w:r>
        <w:rPr>
          <w:rFonts w:eastAsia="Cambria" w:cs="Cambria"/>
          <w:spacing w:val="1"/>
        </w:rPr>
        <w:t>e</w:t>
      </w:r>
      <w:r>
        <w:rPr>
          <w:rFonts w:eastAsia="Cambria" w:cs="Cambria"/>
        </w:rPr>
        <w:t>n</w:t>
      </w:r>
      <w:r>
        <w:rPr>
          <w:rFonts w:eastAsia="Cambria" w:cs="Cambria"/>
          <w:spacing w:val="-1"/>
        </w:rPr>
        <w:t xml:space="preserve"> </w:t>
      </w:r>
      <w:r>
        <w:rPr>
          <w:rFonts w:eastAsia="Cambria" w:cs="Cambria"/>
          <w:spacing w:val="3"/>
        </w:rPr>
        <w:t>u</w:t>
      </w:r>
      <w:r>
        <w:rPr>
          <w:rFonts w:eastAsia="Cambria" w:cs="Cambria"/>
          <w:spacing w:val="-1"/>
        </w:rPr>
        <w:t>n</w:t>
      </w:r>
      <w:r>
        <w:rPr>
          <w:rFonts w:eastAsia="Cambria" w:cs="Cambria"/>
        </w:rPr>
        <w:t>a</w:t>
      </w:r>
      <w:r>
        <w:rPr>
          <w:rFonts w:eastAsia="Cambria" w:cs="Cambria"/>
          <w:spacing w:val="-1"/>
        </w:rPr>
        <w:t xml:space="preserve"> </w:t>
      </w:r>
      <w:r>
        <w:rPr>
          <w:rFonts w:eastAsia="Cambria" w:cs="Cambria"/>
        </w:rPr>
        <w:t xml:space="preserve">de </w:t>
      </w:r>
      <w:r>
        <w:rPr>
          <w:rFonts w:eastAsia="Cambria" w:cs="Cambria"/>
          <w:spacing w:val="1"/>
        </w:rPr>
        <w:t>la</w:t>
      </w:r>
      <w:r>
        <w:rPr>
          <w:rFonts w:eastAsia="Cambria" w:cs="Cambria"/>
        </w:rPr>
        <w:t xml:space="preserve">s </w:t>
      </w:r>
      <w:r>
        <w:rPr>
          <w:rFonts w:eastAsia="Cambria" w:cs="Cambria"/>
          <w:spacing w:val="1"/>
        </w:rPr>
        <w:t>ca</w:t>
      </w:r>
      <w:r>
        <w:rPr>
          <w:rFonts w:eastAsia="Cambria" w:cs="Cambria"/>
        </w:rPr>
        <w:t>u</w:t>
      </w:r>
      <w:r>
        <w:rPr>
          <w:rFonts w:eastAsia="Cambria" w:cs="Cambria"/>
          <w:spacing w:val="1"/>
        </w:rPr>
        <w:t>sa</w:t>
      </w:r>
      <w:r>
        <w:rPr>
          <w:rFonts w:eastAsia="Cambria" w:cs="Cambria"/>
          <w:spacing w:val="-1"/>
        </w:rPr>
        <w:t>le</w:t>
      </w:r>
      <w:r>
        <w:rPr>
          <w:rFonts w:eastAsia="Cambria" w:cs="Cambria"/>
        </w:rPr>
        <w:t>s</w:t>
      </w:r>
      <w:r>
        <w:rPr>
          <w:rFonts w:eastAsia="Cambria" w:cs="Cambria"/>
          <w:spacing w:val="-5"/>
        </w:rPr>
        <w:t xml:space="preserve"> </w:t>
      </w:r>
      <w:r>
        <w:rPr>
          <w:rFonts w:eastAsia="Cambria" w:cs="Cambria"/>
          <w:spacing w:val="2"/>
        </w:rPr>
        <w:t>d</w:t>
      </w:r>
      <w:r>
        <w:rPr>
          <w:rFonts w:eastAsia="Cambria" w:cs="Cambria"/>
        </w:rPr>
        <w:t>e</w:t>
      </w:r>
      <w:r>
        <w:rPr>
          <w:rFonts w:eastAsia="Cambria" w:cs="Cambria"/>
          <w:spacing w:val="-2"/>
        </w:rPr>
        <w:t xml:space="preserve"> </w:t>
      </w:r>
      <w:r>
        <w:rPr>
          <w:rFonts w:eastAsia="Cambria" w:cs="Cambria"/>
        </w:rPr>
        <w:t>mu</w:t>
      </w:r>
      <w:r>
        <w:rPr>
          <w:rFonts w:eastAsia="Cambria" w:cs="Cambria"/>
          <w:spacing w:val="1"/>
        </w:rPr>
        <w:t>l</w:t>
      </w:r>
      <w:r>
        <w:rPr>
          <w:rFonts w:eastAsia="Cambria" w:cs="Cambria"/>
        </w:rPr>
        <w:t>t</w:t>
      </w:r>
      <w:r>
        <w:rPr>
          <w:rFonts w:eastAsia="Cambria" w:cs="Cambria"/>
          <w:spacing w:val="1"/>
        </w:rPr>
        <w:t>a</w:t>
      </w:r>
      <w:r>
        <w:rPr>
          <w:rFonts w:eastAsia="Cambria" w:cs="Cambria"/>
        </w:rPr>
        <w:t>,</w:t>
      </w:r>
      <w:r>
        <w:rPr>
          <w:rFonts w:eastAsia="Cambria" w:cs="Cambria"/>
          <w:spacing w:val="-1"/>
        </w:rPr>
        <w:t xml:space="preserve"> é</w:t>
      </w:r>
      <w:r>
        <w:rPr>
          <w:rFonts w:eastAsia="Cambria" w:cs="Cambria"/>
          <w:spacing w:val="1"/>
        </w:rPr>
        <w:t>s</w:t>
      </w:r>
      <w:r>
        <w:rPr>
          <w:rFonts w:eastAsia="Cambria" w:cs="Cambria"/>
        </w:rPr>
        <w:t>te</w:t>
      </w:r>
      <w:r>
        <w:rPr>
          <w:rFonts w:eastAsia="Cambria" w:cs="Cambria"/>
          <w:spacing w:val="8"/>
        </w:rPr>
        <w:t xml:space="preserve"> </w:t>
      </w:r>
      <w:r>
        <w:rPr>
          <w:rFonts w:eastAsia="Cambria" w:cs="Cambria"/>
          <w:spacing w:val="1"/>
        </w:rPr>
        <w:t>a</w:t>
      </w:r>
      <w:r>
        <w:rPr>
          <w:rFonts w:eastAsia="Cambria" w:cs="Cambria"/>
        </w:rPr>
        <w:t>uto</w:t>
      </w:r>
      <w:r>
        <w:rPr>
          <w:rFonts w:eastAsia="Cambria" w:cs="Cambria"/>
          <w:spacing w:val="-1"/>
        </w:rPr>
        <w:t>r</w:t>
      </w:r>
      <w:r>
        <w:rPr>
          <w:rFonts w:eastAsia="Cambria" w:cs="Cambria"/>
        </w:rPr>
        <w:t>iza</w:t>
      </w:r>
      <w:r>
        <w:rPr>
          <w:rFonts w:eastAsia="Cambria" w:cs="Cambria"/>
          <w:spacing w:val="-4"/>
        </w:rPr>
        <w:t xml:space="preserve"> </w:t>
      </w:r>
      <w:r>
        <w:rPr>
          <w:rFonts w:eastAsia="Cambria" w:cs="Cambria"/>
          <w:spacing w:val="1"/>
        </w:rPr>
        <w:t>a</w:t>
      </w:r>
      <w:r>
        <w:rPr>
          <w:rFonts w:eastAsia="Cambria" w:cs="Cambria"/>
        </w:rPr>
        <w:t>l</w:t>
      </w:r>
      <w:r>
        <w:rPr>
          <w:rFonts w:eastAsia="Cambria" w:cs="Cambria"/>
          <w:spacing w:val="3"/>
        </w:rPr>
        <w:t xml:space="preserve"> </w:t>
      </w:r>
      <w:r>
        <w:rPr>
          <w:rFonts w:eastAsia="Cambria" w:cs="Cambria"/>
          <w:spacing w:val="1"/>
        </w:rPr>
        <w:t>M</w:t>
      </w:r>
      <w:r>
        <w:rPr>
          <w:rFonts w:eastAsia="Cambria" w:cs="Cambria"/>
        </w:rPr>
        <w:t>unicipio</w:t>
      </w:r>
      <w:r>
        <w:rPr>
          <w:rFonts w:eastAsia="Cambria" w:cs="Cambria"/>
          <w:spacing w:val="-6"/>
        </w:rPr>
        <w:t xml:space="preserve"> </w:t>
      </w:r>
      <w:r>
        <w:rPr>
          <w:rFonts w:eastAsia="Cambria" w:cs="Cambria"/>
        </w:rPr>
        <w:t xml:space="preserve">de </w:t>
      </w:r>
      <w:r>
        <w:rPr>
          <w:rFonts w:eastAsia="Cambria" w:cs="Cambria"/>
          <w:spacing w:val="1"/>
        </w:rPr>
        <w:t>N</w:t>
      </w:r>
      <w:r>
        <w:rPr>
          <w:rFonts w:eastAsia="Cambria" w:cs="Cambria"/>
          <w:spacing w:val="-1"/>
        </w:rPr>
        <w:t>e</w:t>
      </w:r>
      <w:r>
        <w:rPr>
          <w:rFonts w:eastAsia="Cambria" w:cs="Cambria"/>
        </w:rPr>
        <w:t>iva p</w:t>
      </w:r>
      <w:r>
        <w:rPr>
          <w:rFonts w:eastAsia="Cambria" w:cs="Cambria"/>
          <w:spacing w:val="1"/>
        </w:rPr>
        <w:t>a</w:t>
      </w:r>
      <w:r>
        <w:rPr>
          <w:rFonts w:eastAsia="Cambria" w:cs="Cambria"/>
          <w:spacing w:val="-1"/>
        </w:rPr>
        <w:t>r</w:t>
      </w:r>
      <w:r>
        <w:rPr>
          <w:rFonts w:eastAsia="Cambria" w:cs="Cambria"/>
        </w:rPr>
        <w:t>a d</w:t>
      </w:r>
      <w:r>
        <w:rPr>
          <w:rFonts w:eastAsia="Cambria" w:cs="Cambria"/>
          <w:spacing w:val="-1"/>
        </w:rPr>
        <w:t>e</w:t>
      </w:r>
      <w:r>
        <w:rPr>
          <w:rFonts w:eastAsia="Cambria" w:cs="Cambria"/>
          <w:spacing w:val="1"/>
        </w:rPr>
        <w:t>sc</w:t>
      </w:r>
      <w:r>
        <w:rPr>
          <w:rFonts w:eastAsia="Cambria" w:cs="Cambria"/>
        </w:rPr>
        <w:t>o</w:t>
      </w:r>
      <w:r>
        <w:rPr>
          <w:rFonts w:eastAsia="Cambria" w:cs="Cambria"/>
          <w:spacing w:val="-1"/>
        </w:rPr>
        <w:t>n</w:t>
      </w:r>
      <w:r>
        <w:rPr>
          <w:rFonts w:eastAsia="Cambria" w:cs="Cambria"/>
        </w:rPr>
        <w:t>t</w:t>
      </w:r>
      <w:r>
        <w:rPr>
          <w:rFonts w:eastAsia="Cambria" w:cs="Cambria"/>
          <w:spacing w:val="3"/>
        </w:rPr>
        <w:t>a</w:t>
      </w:r>
      <w:r>
        <w:rPr>
          <w:rFonts w:eastAsia="Cambria" w:cs="Cambria"/>
        </w:rPr>
        <w:t xml:space="preserve">r </w:t>
      </w:r>
      <w:r>
        <w:rPr>
          <w:rFonts w:eastAsia="Cambria" w:cs="Cambria"/>
          <w:spacing w:val="-1"/>
        </w:rPr>
        <w:t>e</w:t>
      </w:r>
      <w:r>
        <w:rPr>
          <w:rFonts w:eastAsia="Cambria" w:cs="Cambria"/>
        </w:rPr>
        <w:t>l</w:t>
      </w:r>
      <w:r>
        <w:rPr>
          <w:rFonts w:eastAsia="Cambria" w:cs="Cambria"/>
          <w:spacing w:val="9"/>
        </w:rPr>
        <w:t xml:space="preserve"> </w:t>
      </w:r>
      <w:r>
        <w:rPr>
          <w:rFonts w:eastAsia="Cambria" w:cs="Cambria"/>
        </w:rPr>
        <w:t>v</w:t>
      </w:r>
      <w:r>
        <w:rPr>
          <w:rFonts w:eastAsia="Cambria" w:cs="Cambria"/>
          <w:spacing w:val="1"/>
        </w:rPr>
        <w:t>al</w:t>
      </w:r>
      <w:r>
        <w:rPr>
          <w:rFonts w:eastAsia="Cambria" w:cs="Cambria"/>
        </w:rPr>
        <w:t>or</w:t>
      </w:r>
      <w:r>
        <w:rPr>
          <w:rFonts w:eastAsia="Cambria" w:cs="Cambria"/>
          <w:spacing w:val="6"/>
        </w:rPr>
        <w:t xml:space="preserve"> </w:t>
      </w:r>
      <w:r>
        <w:rPr>
          <w:rFonts w:eastAsia="Cambria" w:cs="Cambria"/>
        </w:rPr>
        <w:t>de</w:t>
      </w:r>
      <w:r>
        <w:rPr>
          <w:rFonts w:eastAsia="Cambria" w:cs="Cambria"/>
          <w:spacing w:val="8"/>
        </w:rPr>
        <w:t xml:space="preserve"> </w:t>
      </w:r>
      <w:r>
        <w:rPr>
          <w:rFonts w:eastAsia="Cambria" w:cs="Cambria"/>
          <w:spacing w:val="1"/>
        </w:rPr>
        <w:t>l</w:t>
      </w:r>
      <w:r>
        <w:rPr>
          <w:rFonts w:eastAsia="Cambria" w:cs="Cambria"/>
        </w:rPr>
        <w:t>a</w:t>
      </w:r>
      <w:r>
        <w:rPr>
          <w:rFonts w:eastAsia="Cambria" w:cs="Cambria"/>
          <w:spacing w:val="9"/>
        </w:rPr>
        <w:t xml:space="preserve"> </w:t>
      </w:r>
      <w:r>
        <w:rPr>
          <w:rFonts w:eastAsia="Cambria" w:cs="Cambria"/>
        </w:rPr>
        <w:t>mi</w:t>
      </w:r>
      <w:r>
        <w:rPr>
          <w:rFonts w:eastAsia="Cambria" w:cs="Cambria"/>
          <w:spacing w:val="3"/>
        </w:rPr>
        <w:t>s</w:t>
      </w:r>
      <w:r>
        <w:rPr>
          <w:rFonts w:eastAsia="Cambria" w:cs="Cambria"/>
        </w:rPr>
        <w:t>ma</w:t>
      </w:r>
      <w:r>
        <w:rPr>
          <w:rFonts w:eastAsia="Cambria" w:cs="Cambria"/>
          <w:spacing w:val="5"/>
        </w:rPr>
        <w:t xml:space="preserve"> </w:t>
      </w:r>
      <w:r>
        <w:rPr>
          <w:rFonts w:eastAsia="Cambria" w:cs="Cambria"/>
        </w:rPr>
        <w:t>de</w:t>
      </w:r>
      <w:r>
        <w:rPr>
          <w:rFonts w:eastAsia="Cambria" w:cs="Cambria"/>
          <w:spacing w:val="6"/>
        </w:rPr>
        <w:t xml:space="preserve"> </w:t>
      </w:r>
      <w:r>
        <w:rPr>
          <w:rFonts w:eastAsia="Cambria" w:cs="Cambria"/>
          <w:spacing w:val="1"/>
        </w:rPr>
        <w:t>c</w:t>
      </w:r>
      <w:r>
        <w:rPr>
          <w:rFonts w:eastAsia="Cambria" w:cs="Cambria"/>
        </w:rPr>
        <w:t>u</w:t>
      </w:r>
      <w:r>
        <w:rPr>
          <w:rFonts w:eastAsia="Cambria" w:cs="Cambria"/>
          <w:spacing w:val="1"/>
        </w:rPr>
        <w:t>al</w:t>
      </w:r>
      <w:r>
        <w:rPr>
          <w:rFonts w:eastAsia="Cambria" w:cs="Cambria"/>
          <w:spacing w:val="-1"/>
        </w:rPr>
        <w:t>q</w:t>
      </w:r>
      <w:r>
        <w:rPr>
          <w:rFonts w:eastAsia="Cambria" w:cs="Cambria"/>
        </w:rPr>
        <w:t>u</w:t>
      </w:r>
      <w:r>
        <w:rPr>
          <w:rFonts w:eastAsia="Cambria" w:cs="Cambria"/>
          <w:spacing w:val="2"/>
        </w:rPr>
        <w:t>i</w:t>
      </w:r>
      <w:r>
        <w:rPr>
          <w:rFonts w:eastAsia="Cambria" w:cs="Cambria"/>
          <w:spacing w:val="-1"/>
        </w:rPr>
        <w:t>e</w:t>
      </w:r>
      <w:r>
        <w:rPr>
          <w:rFonts w:eastAsia="Cambria" w:cs="Cambria"/>
        </w:rPr>
        <w:t>r</w:t>
      </w:r>
      <w:r>
        <w:rPr>
          <w:rFonts w:eastAsia="Cambria" w:cs="Cambria"/>
          <w:spacing w:val="2"/>
        </w:rPr>
        <w:t xml:space="preserve"> </w:t>
      </w:r>
      <w:r>
        <w:rPr>
          <w:rFonts w:eastAsia="Cambria" w:cs="Cambria"/>
          <w:spacing w:val="1"/>
        </w:rPr>
        <w:t>s</w:t>
      </w:r>
      <w:r>
        <w:rPr>
          <w:rFonts w:eastAsia="Cambria" w:cs="Cambria"/>
        </w:rPr>
        <w:t>uma</w:t>
      </w:r>
      <w:r>
        <w:rPr>
          <w:rFonts w:eastAsia="Cambria" w:cs="Cambria"/>
          <w:spacing w:val="6"/>
        </w:rPr>
        <w:t xml:space="preserve"> </w:t>
      </w:r>
      <w:r>
        <w:rPr>
          <w:rFonts w:eastAsia="Cambria" w:cs="Cambria"/>
          <w:spacing w:val="-1"/>
        </w:rPr>
        <w:t>q</w:t>
      </w:r>
      <w:r>
        <w:rPr>
          <w:rFonts w:eastAsia="Cambria" w:cs="Cambria"/>
          <w:spacing w:val="3"/>
        </w:rPr>
        <w:t>u</w:t>
      </w:r>
      <w:r>
        <w:rPr>
          <w:rFonts w:eastAsia="Cambria" w:cs="Cambria"/>
        </w:rPr>
        <w:t>e</w:t>
      </w:r>
      <w:r>
        <w:rPr>
          <w:rFonts w:eastAsia="Cambria" w:cs="Cambria"/>
          <w:spacing w:val="5"/>
        </w:rPr>
        <w:t xml:space="preserve"> </w:t>
      </w:r>
      <w:r>
        <w:rPr>
          <w:rFonts w:eastAsia="Cambria" w:cs="Cambria"/>
          <w:spacing w:val="3"/>
        </w:rPr>
        <w:t>l</w:t>
      </w:r>
      <w:r>
        <w:rPr>
          <w:rFonts w:eastAsia="Cambria" w:cs="Cambria"/>
        </w:rPr>
        <w:t>e</w:t>
      </w:r>
      <w:r>
        <w:rPr>
          <w:rFonts w:eastAsia="Cambria" w:cs="Cambria"/>
          <w:spacing w:val="7"/>
        </w:rPr>
        <w:t xml:space="preserve"> </w:t>
      </w:r>
      <w:r>
        <w:rPr>
          <w:rFonts w:eastAsia="Cambria" w:cs="Cambria"/>
          <w:spacing w:val="1"/>
        </w:rPr>
        <w:t>a</w:t>
      </w:r>
      <w:r>
        <w:rPr>
          <w:rFonts w:eastAsia="Cambria" w:cs="Cambria"/>
        </w:rPr>
        <w:t>d</w:t>
      </w:r>
      <w:r>
        <w:rPr>
          <w:rFonts w:eastAsia="Cambria" w:cs="Cambria"/>
          <w:spacing w:val="-1"/>
        </w:rPr>
        <w:t>e</w:t>
      </w:r>
      <w:r>
        <w:rPr>
          <w:rFonts w:eastAsia="Cambria" w:cs="Cambria"/>
          <w:spacing w:val="3"/>
        </w:rPr>
        <w:t>u</w:t>
      </w:r>
      <w:r>
        <w:rPr>
          <w:rFonts w:eastAsia="Cambria" w:cs="Cambria"/>
        </w:rPr>
        <w:t>d</w:t>
      </w:r>
      <w:r>
        <w:rPr>
          <w:rFonts w:eastAsia="Cambria" w:cs="Cambria"/>
          <w:spacing w:val="-1"/>
        </w:rPr>
        <w:t>e</w:t>
      </w:r>
      <w:r>
        <w:rPr>
          <w:rFonts w:eastAsia="Cambria" w:cs="Cambria"/>
        </w:rPr>
        <w:t>,</w:t>
      </w:r>
      <w:r>
        <w:rPr>
          <w:rFonts w:eastAsia="Cambria" w:cs="Cambria"/>
          <w:spacing w:val="5"/>
        </w:rPr>
        <w:t xml:space="preserve"> </w:t>
      </w:r>
      <w:r>
        <w:rPr>
          <w:rFonts w:eastAsia="Cambria" w:cs="Cambria"/>
          <w:spacing w:val="1"/>
        </w:rPr>
        <w:t>s</w:t>
      </w:r>
      <w:r>
        <w:rPr>
          <w:rFonts w:eastAsia="Cambria" w:cs="Cambria"/>
        </w:rPr>
        <w:t>in</w:t>
      </w:r>
      <w:r>
        <w:rPr>
          <w:rFonts w:eastAsia="Cambria" w:cs="Cambria"/>
          <w:spacing w:val="8"/>
        </w:rPr>
        <w:t xml:space="preserve"> </w:t>
      </w:r>
      <w:r>
        <w:rPr>
          <w:rFonts w:eastAsia="Cambria" w:cs="Cambria"/>
        </w:rPr>
        <w:t>p</w:t>
      </w:r>
      <w:r>
        <w:rPr>
          <w:rFonts w:eastAsia="Cambria" w:cs="Cambria"/>
          <w:spacing w:val="1"/>
        </w:rPr>
        <w:t>e</w:t>
      </w:r>
      <w:r>
        <w:rPr>
          <w:rFonts w:eastAsia="Cambria" w:cs="Cambria"/>
          <w:spacing w:val="-1"/>
        </w:rPr>
        <w:t>r</w:t>
      </w:r>
      <w:r>
        <w:rPr>
          <w:rFonts w:eastAsia="Cambria" w:cs="Cambria"/>
        </w:rPr>
        <w:t>jui</w:t>
      </w:r>
      <w:r>
        <w:rPr>
          <w:rFonts w:eastAsia="Cambria" w:cs="Cambria"/>
          <w:spacing w:val="1"/>
        </w:rPr>
        <w:t>c</w:t>
      </w:r>
      <w:r>
        <w:rPr>
          <w:rFonts w:eastAsia="Cambria" w:cs="Cambria"/>
        </w:rPr>
        <w:t>io</w:t>
      </w:r>
      <w:r>
        <w:rPr>
          <w:rFonts w:eastAsia="Cambria" w:cs="Cambria"/>
          <w:spacing w:val="4"/>
        </w:rPr>
        <w:t xml:space="preserve"> </w:t>
      </w:r>
      <w:r>
        <w:rPr>
          <w:rFonts w:eastAsia="Cambria" w:cs="Cambria"/>
          <w:spacing w:val="2"/>
        </w:rPr>
        <w:t>d</w:t>
      </w:r>
      <w:r>
        <w:rPr>
          <w:rFonts w:eastAsia="Cambria" w:cs="Cambria"/>
        </w:rPr>
        <w:t>e</w:t>
      </w:r>
      <w:r>
        <w:rPr>
          <w:rFonts w:eastAsia="Cambria" w:cs="Cambria"/>
          <w:spacing w:val="6"/>
        </w:rPr>
        <w:t xml:space="preserve"> </w:t>
      </w:r>
      <w:r>
        <w:rPr>
          <w:rFonts w:eastAsia="Cambria" w:cs="Cambria"/>
          <w:spacing w:val="3"/>
        </w:rPr>
        <w:t>h</w:t>
      </w:r>
      <w:r>
        <w:rPr>
          <w:rFonts w:eastAsia="Cambria" w:cs="Cambria"/>
          <w:spacing w:val="1"/>
        </w:rPr>
        <w:t>ac</w:t>
      </w:r>
      <w:r>
        <w:rPr>
          <w:rFonts w:eastAsia="Cambria" w:cs="Cambria"/>
          <w:spacing w:val="-1"/>
        </w:rPr>
        <w:t>er</w:t>
      </w:r>
      <w:r>
        <w:rPr>
          <w:rFonts w:eastAsia="Cambria" w:cs="Cambria"/>
          <w:spacing w:val="1"/>
        </w:rPr>
        <w:t>l</w:t>
      </w:r>
      <w:r>
        <w:rPr>
          <w:rFonts w:eastAsia="Cambria" w:cs="Cambria"/>
        </w:rPr>
        <w:t>e</w:t>
      </w:r>
      <w:r>
        <w:rPr>
          <w:rFonts w:eastAsia="Cambria" w:cs="Cambria"/>
          <w:spacing w:val="4"/>
        </w:rPr>
        <w:t xml:space="preserve"> </w:t>
      </w:r>
      <w:r>
        <w:rPr>
          <w:rFonts w:eastAsia="Cambria" w:cs="Cambria"/>
          <w:spacing w:val="-1"/>
        </w:rPr>
        <w:t>e</w:t>
      </w:r>
      <w:r>
        <w:rPr>
          <w:rFonts w:eastAsia="Cambria" w:cs="Cambria"/>
          <w:spacing w:val="2"/>
        </w:rPr>
        <w:t>f</w:t>
      </w:r>
      <w:r>
        <w:rPr>
          <w:rFonts w:eastAsia="Cambria" w:cs="Cambria"/>
          <w:spacing w:val="-1"/>
        </w:rPr>
        <w:t>e</w:t>
      </w:r>
      <w:r>
        <w:rPr>
          <w:rFonts w:eastAsia="Cambria" w:cs="Cambria"/>
          <w:spacing w:val="1"/>
        </w:rPr>
        <w:t>c</w:t>
      </w:r>
      <w:r>
        <w:rPr>
          <w:rFonts w:eastAsia="Cambria" w:cs="Cambria"/>
        </w:rPr>
        <w:t>tiva</w:t>
      </w:r>
      <w:r>
        <w:rPr>
          <w:rFonts w:eastAsia="Cambria" w:cs="Cambria"/>
          <w:spacing w:val="4"/>
        </w:rPr>
        <w:t xml:space="preserve"> </w:t>
      </w:r>
      <w:r>
        <w:rPr>
          <w:rFonts w:eastAsia="Cambria" w:cs="Cambria"/>
          <w:spacing w:val="1"/>
        </w:rPr>
        <w:t>l</w:t>
      </w:r>
      <w:r>
        <w:rPr>
          <w:rFonts w:eastAsia="Cambria" w:cs="Cambria"/>
        </w:rPr>
        <w:t>a</w:t>
      </w:r>
      <w:r>
        <w:rPr>
          <w:rFonts w:eastAsia="Cambria" w:cs="Cambria"/>
          <w:spacing w:val="9"/>
        </w:rPr>
        <w:t xml:space="preserve"> </w:t>
      </w:r>
      <w:r>
        <w:rPr>
          <w:rFonts w:eastAsia="Cambria" w:cs="Cambria"/>
          <w:spacing w:val="1"/>
        </w:rPr>
        <w:t>clá</w:t>
      </w:r>
      <w:r>
        <w:rPr>
          <w:rFonts w:eastAsia="Cambria" w:cs="Cambria"/>
        </w:rPr>
        <w:t>u</w:t>
      </w:r>
      <w:r>
        <w:rPr>
          <w:rFonts w:eastAsia="Cambria" w:cs="Cambria"/>
          <w:spacing w:val="1"/>
        </w:rPr>
        <w:t>s</w:t>
      </w:r>
      <w:r>
        <w:rPr>
          <w:rFonts w:eastAsia="Cambria" w:cs="Cambria"/>
          <w:spacing w:val="-2"/>
        </w:rPr>
        <w:t>u</w:t>
      </w:r>
      <w:r>
        <w:rPr>
          <w:rFonts w:eastAsia="Cambria" w:cs="Cambria"/>
          <w:spacing w:val="-1"/>
        </w:rPr>
        <w:t>l</w:t>
      </w:r>
      <w:r>
        <w:rPr>
          <w:rFonts w:eastAsia="Cambria" w:cs="Cambria"/>
        </w:rPr>
        <w:t>a p</w:t>
      </w:r>
      <w:r>
        <w:rPr>
          <w:rFonts w:eastAsia="Cambria" w:cs="Cambria"/>
          <w:spacing w:val="1"/>
        </w:rPr>
        <w:t>e</w:t>
      </w:r>
      <w:r>
        <w:rPr>
          <w:rFonts w:eastAsia="Cambria" w:cs="Cambria"/>
          <w:spacing w:val="-1"/>
        </w:rPr>
        <w:t>n</w:t>
      </w:r>
      <w:r>
        <w:rPr>
          <w:rFonts w:eastAsia="Cambria" w:cs="Cambria"/>
          <w:spacing w:val="1"/>
        </w:rPr>
        <w:t>a</w:t>
      </w:r>
      <w:r>
        <w:rPr>
          <w:rFonts w:eastAsia="Cambria" w:cs="Cambria"/>
        </w:rPr>
        <w:t>l</w:t>
      </w:r>
      <w:r>
        <w:rPr>
          <w:rFonts w:eastAsia="Cambria" w:cs="Cambria"/>
          <w:spacing w:val="-5"/>
        </w:rPr>
        <w:t xml:space="preserve"> </w:t>
      </w:r>
      <w:r>
        <w:rPr>
          <w:rFonts w:eastAsia="Cambria" w:cs="Cambria"/>
        </w:rPr>
        <w:t>o</w:t>
      </w:r>
      <w:r>
        <w:rPr>
          <w:rFonts w:eastAsia="Cambria" w:cs="Cambria"/>
          <w:spacing w:val="-2"/>
        </w:rPr>
        <w:t xml:space="preserve"> </w:t>
      </w:r>
      <w:r>
        <w:rPr>
          <w:rFonts w:eastAsia="Cambria" w:cs="Cambria"/>
          <w:spacing w:val="1"/>
        </w:rPr>
        <w:t>l</w:t>
      </w:r>
      <w:r>
        <w:rPr>
          <w:rFonts w:eastAsia="Cambria" w:cs="Cambria"/>
        </w:rPr>
        <w:t>a</w:t>
      </w:r>
      <w:r>
        <w:rPr>
          <w:rFonts w:eastAsia="Cambria" w:cs="Cambria"/>
          <w:spacing w:val="-2"/>
        </w:rPr>
        <w:t xml:space="preserve"> </w:t>
      </w:r>
      <w:r>
        <w:rPr>
          <w:rFonts w:eastAsia="Cambria" w:cs="Cambria"/>
        </w:rPr>
        <w:t>g</w:t>
      </w:r>
      <w:r>
        <w:rPr>
          <w:rFonts w:eastAsia="Cambria" w:cs="Cambria"/>
          <w:spacing w:val="1"/>
        </w:rPr>
        <w:t>a</w:t>
      </w:r>
      <w:r>
        <w:rPr>
          <w:rFonts w:eastAsia="Cambria" w:cs="Cambria"/>
          <w:spacing w:val="-1"/>
        </w:rPr>
        <w:t>r</w:t>
      </w:r>
      <w:r>
        <w:rPr>
          <w:rFonts w:eastAsia="Cambria" w:cs="Cambria"/>
          <w:spacing w:val="1"/>
        </w:rPr>
        <w:t>a</w:t>
      </w:r>
      <w:r>
        <w:rPr>
          <w:rFonts w:eastAsia="Cambria" w:cs="Cambria"/>
          <w:spacing w:val="-1"/>
        </w:rPr>
        <w:t>n</w:t>
      </w:r>
      <w:r>
        <w:rPr>
          <w:rFonts w:eastAsia="Cambria" w:cs="Cambria"/>
        </w:rPr>
        <w:t>tía</w:t>
      </w:r>
      <w:r>
        <w:rPr>
          <w:rFonts w:eastAsia="Cambria" w:cs="Cambria"/>
          <w:spacing w:val="-5"/>
        </w:rPr>
        <w:t xml:space="preserve"> </w:t>
      </w:r>
      <w:r>
        <w:rPr>
          <w:rFonts w:eastAsia="Cambria" w:cs="Cambria"/>
        </w:rPr>
        <w:t>de</w:t>
      </w:r>
      <w:r>
        <w:rPr>
          <w:rFonts w:eastAsia="Cambria" w:cs="Cambria"/>
          <w:spacing w:val="-2"/>
        </w:rPr>
        <w:t xml:space="preserve"> </w:t>
      </w:r>
      <w:r>
        <w:rPr>
          <w:rFonts w:eastAsia="Cambria" w:cs="Cambria"/>
          <w:spacing w:val="1"/>
        </w:rPr>
        <w:t>c</w:t>
      </w:r>
      <w:r>
        <w:rPr>
          <w:rFonts w:eastAsia="Cambria" w:cs="Cambria"/>
        </w:rPr>
        <w:t>ump</w:t>
      </w:r>
      <w:r>
        <w:rPr>
          <w:rFonts w:eastAsia="Cambria" w:cs="Cambria"/>
          <w:spacing w:val="1"/>
        </w:rPr>
        <w:t>l</w:t>
      </w:r>
      <w:r>
        <w:rPr>
          <w:rFonts w:eastAsia="Cambria" w:cs="Cambria"/>
          <w:spacing w:val="2"/>
        </w:rPr>
        <w:t>i</w:t>
      </w:r>
      <w:r>
        <w:rPr>
          <w:rFonts w:eastAsia="Cambria" w:cs="Cambria"/>
        </w:rPr>
        <w:t>mi</w:t>
      </w:r>
      <w:r>
        <w:rPr>
          <w:rFonts w:eastAsia="Cambria" w:cs="Cambria"/>
          <w:spacing w:val="1"/>
        </w:rPr>
        <w:t>e</w:t>
      </w:r>
      <w:r>
        <w:rPr>
          <w:rFonts w:eastAsia="Cambria" w:cs="Cambria"/>
          <w:spacing w:val="-1"/>
        </w:rPr>
        <w:t>n</w:t>
      </w:r>
      <w:r>
        <w:rPr>
          <w:rFonts w:eastAsia="Cambria" w:cs="Cambria"/>
        </w:rPr>
        <w:t>to</w:t>
      </w:r>
      <w:r>
        <w:rPr>
          <w:rFonts w:eastAsia="Cambria" w:cs="Cambria"/>
          <w:spacing w:val="-11"/>
        </w:rPr>
        <w:t xml:space="preserve"> </w:t>
      </w:r>
      <w:r>
        <w:rPr>
          <w:rFonts w:eastAsia="Cambria" w:cs="Cambria"/>
        </w:rPr>
        <w:t>d</w:t>
      </w:r>
      <w:r>
        <w:rPr>
          <w:rFonts w:eastAsia="Cambria" w:cs="Cambria"/>
          <w:spacing w:val="-1"/>
        </w:rPr>
        <w:t>e</w:t>
      </w:r>
      <w:r>
        <w:rPr>
          <w:rFonts w:eastAsia="Cambria" w:cs="Cambria"/>
        </w:rPr>
        <w:t>l</w:t>
      </w:r>
      <w:r>
        <w:rPr>
          <w:rFonts w:eastAsia="Cambria" w:cs="Cambria"/>
          <w:spacing w:val="-3"/>
        </w:rPr>
        <w:t xml:space="preserve"> </w:t>
      </w:r>
      <w:r>
        <w:rPr>
          <w:rFonts w:eastAsia="Cambria" w:cs="Cambria"/>
          <w:spacing w:val="1"/>
        </w:rPr>
        <w:t>c</w:t>
      </w:r>
      <w:r>
        <w:rPr>
          <w:rFonts w:eastAsia="Cambria" w:cs="Cambria"/>
          <w:spacing w:val="2"/>
        </w:rPr>
        <w:t>o</w:t>
      </w:r>
      <w:r>
        <w:rPr>
          <w:rFonts w:eastAsia="Cambria" w:cs="Cambria"/>
          <w:spacing w:val="-1"/>
        </w:rPr>
        <w:t>n</w:t>
      </w:r>
      <w:r>
        <w:rPr>
          <w:rFonts w:eastAsia="Cambria" w:cs="Cambria"/>
        </w:rPr>
        <w:t>t</w:t>
      </w:r>
      <w:r>
        <w:rPr>
          <w:rFonts w:eastAsia="Cambria" w:cs="Cambria"/>
          <w:spacing w:val="-1"/>
        </w:rPr>
        <w:t>r</w:t>
      </w:r>
      <w:r>
        <w:rPr>
          <w:rFonts w:eastAsia="Cambria" w:cs="Cambria"/>
          <w:spacing w:val="1"/>
        </w:rPr>
        <w:t>a</w:t>
      </w:r>
      <w:r>
        <w:rPr>
          <w:rFonts w:eastAsia="Cambria" w:cs="Cambria"/>
          <w:spacing w:val="2"/>
        </w:rPr>
        <w:t>t</w:t>
      </w:r>
      <w:r>
        <w:rPr>
          <w:rFonts w:eastAsia="Cambria" w:cs="Cambria"/>
        </w:rPr>
        <w:t>o.</w:t>
      </w:r>
    </w:p>
    <w:p>
      <w:pPr>
        <w:spacing w:after="0"/>
      </w:pPr>
    </w:p>
    <w:p>
      <w:pPr>
        <w:spacing w:after="0"/>
        <w:rPr>
          <w:rFonts w:eastAsia="Cambria" w:cs="Cambria"/>
        </w:rPr>
      </w:pPr>
      <w:r>
        <w:rPr>
          <w:rFonts w:eastAsia="Cambria" w:cs="Cambria"/>
        </w:rPr>
        <w:t>Si</w:t>
      </w:r>
      <w:r>
        <w:rPr>
          <w:rFonts w:eastAsia="Cambria" w:cs="Cambria"/>
          <w:spacing w:val="13"/>
        </w:rPr>
        <w:t xml:space="preserve"> </w:t>
      </w:r>
      <w:r>
        <w:rPr>
          <w:rFonts w:eastAsia="Cambria" w:cs="Cambria"/>
        </w:rPr>
        <w:t>pos</w:t>
      </w:r>
      <w:r>
        <w:rPr>
          <w:rFonts w:eastAsia="Cambria" w:cs="Cambria"/>
          <w:spacing w:val="2"/>
        </w:rPr>
        <w:t>t</w:t>
      </w:r>
      <w:r>
        <w:rPr>
          <w:rFonts w:eastAsia="Cambria" w:cs="Cambria"/>
          <w:spacing w:val="-1"/>
        </w:rPr>
        <w:t>er</w:t>
      </w:r>
      <w:r>
        <w:rPr>
          <w:rFonts w:eastAsia="Cambria" w:cs="Cambria"/>
          <w:spacing w:val="2"/>
        </w:rPr>
        <w:t>i</w:t>
      </w:r>
      <w:r>
        <w:rPr>
          <w:rFonts w:eastAsia="Cambria" w:cs="Cambria"/>
        </w:rPr>
        <w:t>o</w:t>
      </w:r>
      <w:r>
        <w:rPr>
          <w:rFonts w:eastAsia="Cambria" w:cs="Cambria"/>
          <w:spacing w:val="-1"/>
        </w:rPr>
        <w:t>r</w:t>
      </w:r>
      <w:r>
        <w:rPr>
          <w:rFonts w:eastAsia="Cambria" w:cs="Cambria"/>
          <w:spacing w:val="2"/>
        </w:rPr>
        <w:t>m</w:t>
      </w:r>
      <w:r>
        <w:rPr>
          <w:rFonts w:eastAsia="Cambria" w:cs="Cambria"/>
          <w:spacing w:val="1"/>
        </w:rPr>
        <w:t>e</w:t>
      </w:r>
      <w:r>
        <w:rPr>
          <w:rFonts w:eastAsia="Cambria" w:cs="Cambria"/>
          <w:spacing w:val="-1"/>
        </w:rPr>
        <w:t>n</w:t>
      </w:r>
      <w:r>
        <w:rPr>
          <w:rFonts w:eastAsia="Cambria" w:cs="Cambria"/>
        </w:rPr>
        <w:t>te</w:t>
      </w:r>
      <w:r>
        <w:rPr>
          <w:rFonts w:eastAsia="Cambria" w:cs="Cambria"/>
          <w:spacing w:val="3"/>
        </w:rPr>
        <w:t xml:space="preserve"> </w:t>
      </w:r>
      <w:r>
        <w:rPr>
          <w:rFonts w:eastAsia="Cambria" w:cs="Cambria"/>
          <w:spacing w:val="-1"/>
        </w:rPr>
        <w:t>e</w:t>
      </w:r>
      <w:r>
        <w:rPr>
          <w:rFonts w:eastAsia="Cambria" w:cs="Cambria"/>
        </w:rPr>
        <w:t>l</w:t>
      </w:r>
      <w:r>
        <w:rPr>
          <w:rFonts w:eastAsia="Cambria" w:cs="Cambria"/>
          <w:spacing w:val="14"/>
        </w:rPr>
        <w:t xml:space="preserve"> </w:t>
      </w:r>
      <w:r>
        <w:rPr>
          <w:rFonts w:eastAsia="Cambria" w:cs="Cambria"/>
          <w:spacing w:val="1"/>
        </w:rPr>
        <w:t>c</w:t>
      </w:r>
      <w:r>
        <w:rPr>
          <w:rFonts w:eastAsia="Cambria" w:cs="Cambria"/>
        </w:rPr>
        <w:t>o</w:t>
      </w:r>
      <w:r>
        <w:rPr>
          <w:rFonts w:eastAsia="Cambria" w:cs="Cambria"/>
          <w:spacing w:val="-1"/>
        </w:rPr>
        <w:t>n</w:t>
      </w:r>
      <w:r>
        <w:rPr>
          <w:rFonts w:eastAsia="Cambria" w:cs="Cambria"/>
          <w:spacing w:val="2"/>
        </w:rPr>
        <w:t>t</w:t>
      </w:r>
      <w:r>
        <w:rPr>
          <w:rFonts w:eastAsia="Cambria" w:cs="Cambria"/>
          <w:spacing w:val="-1"/>
        </w:rPr>
        <w:t>r</w:t>
      </w:r>
      <w:r>
        <w:rPr>
          <w:rFonts w:eastAsia="Cambria" w:cs="Cambria"/>
          <w:spacing w:val="3"/>
        </w:rPr>
        <w:t>a</w:t>
      </w:r>
      <w:r>
        <w:rPr>
          <w:rFonts w:eastAsia="Cambria" w:cs="Cambria"/>
        </w:rPr>
        <w:t>tista</w:t>
      </w:r>
      <w:r>
        <w:rPr>
          <w:rFonts w:eastAsia="Cambria" w:cs="Cambria"/>
          <w:spacing w:val="7"/>
        </w:rPr>
        <w:t xml:space="preserve"> </w:t>
      </w:r>
      <w:r>
        <w:rPr>
          <w:rFonts w:eastAsia="Cambria" w:cs="Cambria"/>
          <w:spacing w:val="1"/>
        </w:rPr>
        <w:t>ac</w:t>
      </w:r>
      <w:r>
        <w:rPr>
          <w:rFonts w:eastAsia="Cambria" w:cs="Cambria"/>
          <w:spacing w:val="-1"/>
        </w:rPr>
        <w:t>re</w:t>
      </w:r>
      <w:r>
        <w:rPr>
          <w:rFonts w:eastAsia="Cambria" w:cs="Cambria"/>
        </w:rPr>
        <w:t>dita</w:t>
      </w:r>
      <w:r>
        <w:rPr>
          <w:rFonts w:eastAsia="Cambria" w:cs="Cambria"/>
          <w:spacing w:val="8"/>
        </w:rPr>
        <w:t xml:space="preserve"> </w:t>
      </w:r>
      <w:r>
        <w:rPr>
          <w:rFonts w:eastAsia="Cambria" w:cs="Cambria"/>
          <w:spacing w:val="1"/>
        </w:rPr>
        <w:t>l</w:t>
      </w:r>
      <w:r>
        <w:rPr>
          <w:rFonts w:eastAsia="Cambria" w:cs="Cambria"/>
        </w:rPr>
        <w:t>a</w:t>
      </w:r>
      <w:r>
        <w:rPr>
          <w:rFonts w:eastAsia="Cambria" w:cs="Cambria"/>
          <w:spacing w:val="14"/>
        </w:rPr>
        <w:t xml:space="preserve"> </w:t>
      </w:r>
      <w:r>
        <w:rPr>
          <w:rFonts w:eastAsia="Cambria" w:cs="Cambria"/>
          <w:spacing w:val="-1"/>
        </w:rPr>
        <w:t>e</w:t>
      </w:r>
      <w:r>
        <w:rPr>
          <w:rFonts w:eastAsia="Cambria" w:cs="Cambria"/>
        </w:rPr>
        <w:t>xis</w:t>
      </w:r>
      <w:r>
        <w:rPr>
          <w:rFonts w:eastAsia="Cambria" w:cs="Cambria"/>
          <w:spacing w:val="2"/>
        </w:rPr>
        <w:t>t</w:t>
      </w:r>
      <w:r>
        <w:rPr>
          <w:rFonts w:eastAsia="Cambria" w:cs="Cambria"/>
          <w:spacing w:val="-1"/>
        </w:rPr>
        <w:t>en</w:t>
      </w:r>
      <w:r>
        <w:rPr>
          <w:rFonts w:eastAsia="Cambria" w:cs="Cambria"/>
          <w:spacing w:val="1"/>
        </w:rPr>
        <w:t>c</w:t>
      </w:r>
      <w:r>
        <w:rPr>
          <w:rFonts w:eastAsia="Cambria" w:cs="Cambria"/>
        </w:rPr>
        <w:t>ia</w:t>
      </w:r>
      <w:r>
        <w:rPr>
          <w:rFonts w:eastAsia="Cambria" w:cs="Cambria"/>
          <w:spacing w:val="7"/>
        </w:rPr>
        <w:t xml:space="preserve"> </w:t>
      </w:r>
      <w:r>
        <w:rPr>
          <w:rFonts w:eastAsia="Cambria" w:cs="Cambria"/>
          <w:spacing w:val="2"/>
        </w:rPr>
        <w:t>d</w:t>
      </w:r>
      <w:r>
        <w:rPr>
          <w:rFonts w:eastAsia="Cambria" w:cs="Cambria"/>
        </w:rPr>
        <w:t>e</w:t>
      </w:r>
      <w:r>
        <w:rPr>
          <w:rFonts w:eastAsia="Cambria" w:cs="Cambria"/>
          <w:spacing w:val="18"/>
        </w:rPr>
        <w:t xml:space="preserve"> </w:t>
      </w:r>
      <w:r>
        <w:rPr>
          <w:rFonts w:eastAsia="Cambria" w:cs="Cambria"/>
          <w:spacing w:val="1"/>
        </w:rPr>
        <w:t>s</w:t>
      </w:r>
      <w:r>
        <w:rPr>
          <w:rFonts w:eastAsia="Cambria" w:cs="Cambria"/>
        </w:rPr>
        <w:t>itu</w:t>
      </w:r>
      <w:r>
        <w:rPr>
          <w:rFonts w:eastAsia="Cambria" w:cs="Cambria"/>
          <w:spacing w:val="1"/>
        </w:rPr>
        <w:t>ac</w:t>
      </w:r>
      <w:r>
        <w:rPr>
          <w:rFonts w:eastAsia="Cambria" w:cs="Cambria"/>
        </w:rPr>
        <w:t>io</w:t>
      </w:r>
      <w:r>
        <w:rPr>
          <w:rFonts w:eastAsia="Cambria" w:cs="Cambria"/>
          <w:spacing w:val="1"/>
        </w:rPr>
        <w:t>n</w:t>
      </w:r>
      <w:r>
        <w:rPr>
          <w:rFonts w:eastAsia="Cambria" w:cs="Cambria"/>
          <w:spacing w:val="-1"/>
        </w:rPr>
        <w:t>e</w:t>
      </w:r>
      <w:r>
        <w:rPr>
          <w:rFonts w:eastAsia="Cambria" w:cs="Cambria"/>
        </w:rPr>
        <w:t>s</w:t>
      </w:r>
      <w:r>
        <w:rPr>
          <w:rFonts w:eastAsia="Cambria" w:cs="Cambria"/>
          <w:spacing w:val="6"/>
        </w:rPr>
        <w:t xml:space="preserve"> </w:t>
      </w:r>
      <w:r>
        <w:rPr>
          <w:rFonts w:eastAsia="Cambria" w:cs="Cambria"/>
          <w:spacing w:val="-1"/>
        </w:rPr>
        <w:t>q</w:t>
      </w:r>
      <w:r>
        <w:rPr>
          <w:rFonts w:eastAsia="Cambria" w:cs="Cambria"/>
          <w:spacing w:val="3"/>
        </w:rPr>
        <w:t>u</w:t>
      </w:r>
      <w:r>
        <w:rPr>
          <w:rFonts w:eastAsia="Cambria" w:cs="Cambria"/>
        </w:rPr>
        <w:t>e</w:t>
      </w:r>
      <w:r>
        <w:rPr>
          <w:rFonts w:eastAsia="Cambria" w:cs="Cambria"/>
          <w:spacing w:val="10"/>
        </w:rPr>
        <w:t xml:space="preserve"> </w:t>
      </w:r>
      <w:r>
        <w:rPr>
          <w:rFonts w:eastAsia="Cambria" w:cs="Cambria"/>
          <w:spacing w:val="1"/>
        </w:rPr>
        <w:t>l</w:t>
      </w:r>
      <w:r>
        <w:rPr>
          <w:rFonts w:eastAsia="Cambria" w:cs="Cambria"/>
        </w:rPr>
        <w:t>o</w:t>
      </w:r>
      <w:r>
        <w:rPr>
          <w:rFonts w:eastAsia="Cambria" w:cs="Cambria"/>
          <w:spacing w:val="13"/>
        </w:rPr>
        <w:t xml:space="preserve"> </w:t>
      </w:r>
      <w:r>
        <w:rPr>
          <w:rFonts w:eastAsia="Cambria" w:cs="Cambria"/>
          <w:spacing w:val="1"/>
        </w:rPr>
        <w:t>e</w:t>
      </w:r>
      <w:r>
        <w:rPr>
          <w:rFonts w:eastAsia="Cambria" w:cs="Cambria"/>
        </w:rPr>
        <w:t>xo</w:t>
      </w:r>
      <w:r>
        <w:rPr>
          <w:rFonts w:eastAsia="Cambria" w:cs="Cambria"/>
          <w:spacing w:val="1"/>
        </w:rPr>
        <w:t>ner</w:t>
      </w:r>
      <w:r>
        <w:rPr>
          <w:rFonts w:eastAsia="Cambria" w:cs="Cambria"/>
          <w:spacing w:val="-1"/>
        </w:rPr>
        <w:t>e</w:t>
      </w:r>
      <w:r>
        <w:rPr>
          <w:rFonts w:eastAsia="Cambria" w:cs="Cambria"/>
        </w:rPr>
        <w:t>n</w:t>
      </w:r>
      <w:r>
        <w:rPr>
          <w:rFonts w:eastAsia="Cambria" w:cs="Cambria"/>
          <w:spacing w:val="6"/>
        </w:rPr>
        <w:t xml:space="preserve"> </w:t>
      </w:r>
      <w:r>
        <w:rPr>
          <w:rFonts w:eastAsia="Cambria" w:cs="Cambria"/>
          <w:spacing w:val="2"/>
        </w:rPr>
        <w:t>d</w:t>
      </w:r>
      <w:r>
        <w:rPr>
          <w:rFonts w:eastAsia="Cambria" w:cs="Cambria"/>
        </w:rPr>
        <w:t>e</w:t>
      </w:r>
      <w:r>
        <w:rPr>
          <w:rFonts w:eastAsia="Cambria" w:cs="Cambria"/>
          <w:spacing w:val="11"/>
        </w:rPr>
        <w:t xml:space="preserve"> </w:t>
      </w:r>
      <w:r>
        <w:rPr>
          <w:rFonts w:eastAsia="Cambria" w:cs="Cambria"/>
          <w:spacing w:val="1"/>
        </w:rPr>
        <w:t>r</w:t>
      </w:r>
      <w:r>
        <w:rPr>
          <w:rFonts w:eastAsia="Cambria" w:cs="Cambria"/>
          <w:spacing w:val="-1"/>
        </w:rPr>
        <w:t>e</w:t>
      </w:r>
      <w:r>
        <w:rPr>
          <w:rFonts w:eastAsia="Cambria" w:cs="Cambria"/>
          <w:spacing w:val="1"/>
        </w:rPr>
        <w:t>s</w:t>
      </w:r>
      <w:r>
        <w:rPr>
          <w:rFonts w:eastAsia="Cambria" w:cs="Cambria"/>
          <w:spacing w:val="2"/>
        </w:rPr>
        <w:t>p</w:t>
      </w:r>
      <w:r>
        <w:rPr>
          <w:rFonts w:eastAsia="Cambria" w:cs="Cambria"/>
        </w:rPr>
        <w:t>o</w:t>
      </w:r>
      <w:r>
        <w:rPr>
          <w:rFonts w:eastAsia="Cambria" w:cs="Cambria"/>
          <w:spacing w:val="-1"/>
        </w:rPr>
        <w:t>n</w:t>
      </w:r>
      <w:r>
        <w:rPr>
          <w:rFonts w:eastAsia="Cambria" w:cs="Cambria"/>
          <w:spacing w:val="1"/>
        </w:rPr>
        <w:t>sa</w:t>
      </w:r>
      <w:r>
        <w:rPr>
          <w:rFonts w:eastAsia="Cambria" w:cs="Cambria"/>
          <w:spacing w:val="-1"/>
        </w:rPr>
        <w:t>b</w:t>
      </w:r>
      <w:r>
        <w:rPr>
          <w:rFonts w:eastAsia="Cambria" w:cs="Cambria"/>
        </w:rPr>
        <w:t>i</w:t>
      </w:r>
      <w:r>
        <w:rPr>
          <w:rFonts w:eastAsia="Cambria" w:cs="Cambria"/>
          <w:spacing w:val="1"/>
        </w:rPr>
        <w:t>l</w:t>
      </w:r>
      <w:r>
        <w:rPr>
          <w:rFonts w:eastAsia="Cambria" w:cs="Cambria"/>
        </w:rPr>
        <w:t>id</w:t>
      </w:r>
      <w:r>
        <w:rPr>
          <w:rFonts w:eastAsia="Cambria" w:cs="Cambria"/>
          <w:spacing w:val="1"/>
        </w:rPr>
        <w:t>a</w:t>
      </w:r>
      <w:r>
        <w:rPr>
          <w:rFonts w:eastAsia="Cambria" w:cs="Cambria"/>
        </w:rPr>
        <w:t xml:space="preserve">d, y </w:t>
      </w:r>
      <w:r>
        <w:rPr>
          <w:rFonts w:eastAsia="Cambria" w:cs="Cambria"/>
          <w:spacing w:val="-1"/>
        </w:rPr>
        <w:t>é</w:t>
      </w:r>
      <w:r>
        <w:rPr>
          <w:rFonts w:eastAsia="Cambria" w:cs="Cambria"/>
          <w:spacing w:val="1"/>
        </w:rPr>
        <w:t>s</w:t>
      </w:r>
      <w:r>
        <w:rPr>
          <w:rFonts w:eastAsia="Cambria" w:cs="Cambria"/>
        </w:rPr>
        <w:t>t</w:t>
      </w:r>
      <w:r>
        <w:rPr>
          <w:rFonts w:eastAsia="Cambria" w:cs="Cambria"/>
          <w:spacing w:val="1"/>
        </w:rPr>
        <w:t>a</w:t>
      </w:r>
      <w:r>
        <w:rPr>
          <w:rFonts w:eastAsia="Cambria" w:cs="Cambria"/>
        </w:rPr>
        <w:t>s</w:t>
      </w:r>
      <w:r>
        <w:rPr>
          <w:rFonts w:eastAsia="Cambria" w:cs="Cambria"/>
          <w:spacing w:val="6"/>
        </w:rPr>
        <w:t xml:space="preserve"> </w:t>
      </w:r>
      <w:r>
        <w:rPr>
          <w:rFonts w:eastAsia="Cambria" w:cs="Cambria"/>
          <w:spacing w:val="1"/>
        </w:rPr>
        <w:t>s</w:t>
      </w:r>
      <w:r>
        <w:rPr>
          <w:rFonts w:eastAsia="Cambria" w:cs="Cambria"/>
        </w:rPr>
        <w:t>on</w:t>
      </w:r>
      <w:r>
        <w:rPr>
          <w:rFonts w:eastAsia="Cambria" w:cs="Cambria"/>
          <w:spacing w:val="6"/>
        </w:rPr>
        <w:t xml:space="preserve"> </w:t>
      </w:r>
      <w:r>
        <w:rPr>
          <w:rFonts w:eastAsia="Cambria" w:cs="Cambria"/>
          <w:spacing w:val="1"/>
        </w:rPr>
        <w:t>ac</w:t>
      </w:r>
      <w:r>
        <w:rPr>
          <w:rFonts w:eastAsia="Cambria" w:cs="Cambria"/>
          <w:spacing w:val="-1"/>
        </w:rPr>
        <w:t>e</w:t>
      </w:r>
      <w:r>
        <w:rPr>
          <w:rFonts w:eastAsia="Cambria" w:cs="Cambria"/>
        </w:rPr>
        <w:t>ptad</w:t>
      </w:r>
      <w:r>
        <w:rPr>
          <w:rFonts w:eastAsia="Cambria" w:cs="Cambria"/>
          <w:spacing w:val="1"/>
        </w:rPr>
        <w:t>a</w:t>
      </w:r>
      <w:r>
        <w:rPr>
          <w:rFonts w:eastAsia="Cambria" w:cs="Cambria"/>
        </w:rPr>
        <w:t>s</w:t>
      </w:r>
      <w:r>
        <w:rPr>
          <w:rFonts w:eastAsia="Cambria" w:cs="Cambria"/>
          <w:spacing w:val="2"/>
        </w:rPr>
        <w:t xml:space="preserve"> </w:t>
      </w:r>
      <w:r>
        <w:rPr>
          <w:rFonts w:eastAsia="Cambria" w:cs="Cambria"/>
        </w:rPr>
        <w:t>por</w:t>
      </w:r>
      <w:r>
        <w:rPr>
          <w:rFonts w:eastAsia="Cambria" w:cs="Cambria"/>
          <w:spacing w:val="6"/>
        </w:rPr>
        <w:t xml:space="preserve"> </w:t>
      </w:r>
      <w:r>
        <w:rPr>
          <w:rFonts w:eastAsia="Cambria" w:cs="Cambria"/>
        </w:rPr>
        <w:t>El</w:t>
      </w:r>
      <w:r>
        <w:rPr>
          <w:rFonts w:eastAsia="Cambria" w:cs="Cambria"/>
          <w:spacing w:val="9"/>
        </w:rPr>
        <w:t xml:space="preserve"> </w:t>
      </w:r>
      <w:r>
        <w:rPr>
          <w:rFonts w:eastAsia="Cambria" w:cs="Cambria"/>
          <w:spacing w:val="1"/>
        </w:rPr>
        <w:t>M</w:t>
      </w:r>
      <w:r>
        <w:rPr>
          <w:rFonts w:eastAsia="Cambria" w:cs="Cambria"/>
        </w:rPr>
        <w:t>unicipio</w:t>
      </w:r>
      <w:r>
        <w:rPr>
          <w:rFonts w:eastAsia="Cambria" w:cs="Cambria"/>
          <w:spacing w:val="1"/>
        </w:rPr>
        <w:t xml:space="preserve"> </w:t>
      </w:r>
      <w:r>
        <w:rPr>
          <w:rFonts w:eastAsia="Cambria" w:cs="Cambria"/>
          <w:spacing w:val="2"/>
        </w:rPr>
        <w:t>d</w:t>
      </w:r>
      <w:r>
        <w:rPr>
          <w:rFonts w:eastAsia="Cambria" w:cs="Cambria"/>
        </w:rPr>
        <w:t>e</w:t>
      </w:r>
      <w:r>
        <w:rPr>
          <w:rFonts w:eastAsia="Cambria" w:cs="Cambria"/>
          <w:spacing w:val="7"/>
        </w:rPr>
        <w:t xml:space="preserve"> </w:t>
      </w:r>
      <w:r>
        <w:rPr>
          <w:rFonts w:eastAsia="Cambria" w:cs="Cambria"/>
          <w:spacing w:val="1"/>
        </w:rPr>
        <w:t>N</w:t>
      </w:r>
      <w:r>
        <w:rPr>
          <w:rFonts w:eastAsia="Cambria" w:cs="Cambria"/>
          <w:spacing w:val="-1"/>
        </w:rPr>
        <w:t>e</w:t>
      </w:r>
      <w:r>
        <w:rPr>
          <w:rFonts w:eastAsia="Cambria" w:cs="Cambria"/>
        </w:rPr>
        <w:t>iv</w:t>
      </w:r>
      <w:r>
        <w:rPr>
          <w:rFonts w:eastAsia="Cambria" w:cs="Cambria"/>
          <w:spacing w:val="1"/>
        </w:rPr>
        <w:t>a</w:t>
      </w:r>
      <w:r>
        <w:rPr>
          <w:rFonts w:eastAsia="Cambria" w:cs="Cambria"/>
        </w:rPr>
        <w:t>,</w:t>
      </w:r>
      <w:r>
        <w:rPr>
          <w:rFonts w:eastAsia="Cambria" w:cs="Cambria"/>
          <w:spacing w:val="5"/>
        </w:rPr>
        <w:t xml:space="preserve"> </w:t>
      </w:r>
      <w:r>
        <w:rPr>
          <w:rFonts w:eastAsia="Cambria" w:cs="Cambria"/>
        </w:rPr>
        <w:t>h</w:t>
      </w:r>
      <w:r>
        <w:rPr>
          <w:rFonts w:eastAsia="Cambria" w:cs="Cambria"/>
          <w:spacing w:val="1"/>
        </w:rPr>
        <w:t>a</w:t>
      </w:r>
      <w:r>
        <w:rPr>
          <w:rFonts w:eastAsia="Cambria" w:cs="Cambria"/>
          <w:spacing w:val="-1"/>
        </w:rPr>
        <w:t>br</w:t>
      </w:r>
      <w:r>
        <w:rPr>
          <w:rFonts w:eastAsia="Cambria" w:cs="Cambria"/>
        </w:rPr>
        <w:t>á</w:t>
      </w:r>
      <w:r>
        <w:rPr>
          <w:rFonts w:eastAsia="Cambria" w:cs="Cambria"/>
          <w:spacing w:val="8"/>
        </w:rPr>
        <w:t xml:space="preserve"> </w:t>
      </w:r>
      <w:r>
        <w:rPr>
          <w:rFonts w:eastAsia="Cambria" w:cs="Cambria"/>
          <w:spacing w:val="1"/>
        </w:rPr>
        <w:t>l</w:t>
      </w:r>
      <w:r>
        <w:rPr>
          <w:rFonts w:eastAsia="Cambria" w:cs="Cambria"/>
        </w:rPr>
        <w:t>ug</w:t>
      </w:r>
      <w:r>
        <w:rPr>
          <w:rFonts w:eastAsia="Cambria" w:cs="Cambria"/>
          <w:spacing w:val="1"/>
        </w:rPr>
        <w:t>a</w:t>
      </w:r>
      <w:r>
        <w:rPr>
          <w:rFonts w:eastAsia="Cambria" w:cs="Cambria"/>
        </w:rPr>
        <w:t>r</w:t>
      </w:r>
      <w:r>
        <w:rPr>
          <w:rFonts w:eastAsia="Cambria" w:cs="Cambria"/>
          <w:spacing w:val="4"/>
        </w:rPr>
        <w:t xml:space="preserve"> </w:t>
      </w:r>
      <w:r>
        <w:rPr>
          <w:rFonts w:eastAsia="Cambria" w:cs="Cambria"/>
        </w:rPr>
        <w:t>a</w:t>
      </w:r>
      <w:r>
        <w:rPr>
          <w:rFonts w:eastAsia="Cambria" w:cs="Cambria"/>
          <w:spacing w:val="10"/>
        </w:rPr>
        <w:t xml:space="preserve"> </w:t>
      </w:r>
      <w:r>
        <w:rPr>
          <w:rFonts w:eastAsia="Cambria" w:cs="Cambria"/>
          <w:spacing w:val="-1"/>
        </w:rPr>
        <w:t>q</w:t>
      </w:r>
      <w:r>
        <w:rPr>
          <w:rFonts w:eastAsia="Cambria" w:cs="Cambria"/>
        </w:rPr>
        <w:t>ue</w:t>
      </w:r>
      <w:r>
        <w:rPr>
          <w:rFonts w:eastAsia="Cambria" w:cs="Cambria"/>
          <w:spacing w:val="6"/>
        </w:rPr>
        <w:t xml:space="preserve"> </w:t>
      </w:r>
      <w:r>
        <w:rPr>
          <w:rFonts w:eastAsia="Cambria" w:cs="Cambria"/>
          <w:spacing w:val="1"/>
        </w:rPr>
        <w:t>s</w:t>
      </w:r>
      <w:r>
        <w:rPr>
          <w:rFonts w:eastAsia="Cambria" w:cs="Cambria"/>
        </w:rPr>
        <w:t>e</w:t>
      </w:r>
      <w:r>
        <w:rPr>
          <w:rFonts w:eastAsia="Cambria" w:cs="Cambria"/>
          <w:spacing w:val="7"/>
        </w:rPr>
        <w:t xml:space="preserve"> </w:t>
      </w:r>
      <w:r>
        <w:rPr>
          <w:rFonts w:eastAsia="Cambria" w:cs="Cambria"/>
          <w:spacing w:val="1"/>
        </w:rPr>
        <w:t>l</w:t>
      </w:r>
      <w:r>
        <w:rPr>
          <w:rFonts w:eastAsia="Cambria" w:cs="Cambria"/>
        </w:rPr>
        <w:t>e</w:t>
      </w:r>
      <w:r>
        <w:rPr>
          <w:rFonts w:eastAsia="Cambria" w:cs="Cambria"/>
          <w:spacing w:val="7"/>
        </w:rPr>
        <w:t xml:space="preserve"> </w:t>
      </w:r>
      <w:r>
        <w:rPr>
          <w:rFonts w:eastAsia="Cambria" w:cs="Cambria"/>
        </w:rPr>
        <w:t>d</w:t>
      </w:r>
      <w:r>
        <w:rPr>
          <w:rFonts w:eastAsia="Cambria" w:cs="Cambria"/>
          <w:spacing w:val="-1"/>
        </w:rPr>
        <w:t>e</w:t>
      </w:r>
      <w:r>
        <w:rPr>
          <w:rFonts w:eastAsia="Cambria" w:cs="Cambria"/>
        </w:rPr>
        <w:t>v</w:t>
      </w:r>
      <w:r>
        <w:rPr>
          <w:rFonts w:eastAsia="Cambria" w:cs="Cambria"/>
          <w:spacing w:val="3"/>
        </w:rPr>
        <w:t>u</w:t>
      </w:r>
      <w:r>
        <w:rPr>
          <w:rFonts w:eastAsia="Cambria" w:cs="Cambria"/>
          <w:spacing w:val="-1"/>
        </w:rPr>
        <w:t>e</w:t>
      </w:r>
      <w:r>
        <w:rPr>
          <w:rFonts w:eastAsia="Cambria" w:cs="Cambria"/>
          <w:spacing w:val="1"/>
        </w:rPr>
        <w:t>l</w:t>
      </w:r>
      <w:r>
        <w:rPr>
          <w:rFonts w:eastAsia="Cambria" w:cs="Cambria"/>
        </w:rPr>
        <w:t>v</w:t>
      </w:r>
      <w:r>
        <w:rPr>
          <w:rFonts w:eastAsia="Cambria" w:cs="Cambria"/>
          <w:spacing w:val="1"/>
        </w:rPr>
        <w:t>a</w:t>
      </w:r>
      <w:r>
        <w:rPr>
          <w:rFonts w:eastAsia="Cambria" w:cs="Cambria"/>
        </w:rPr>
        <w:t xml:space="preserve">n </w:t>
      </w:r>
      <w:r>
        <w:rPr>
          <w:rFonts w:eastAsia="Cambria" w:cs="Cambria"/>
          <w:spacing w:val="1"/>
        </w:rPr>
        <w:t>l</w:t>
      </w:r>
      <w:r>
        <w:rPr>
          <w:rFonts w:eastAsia="Cambria" w:cs="Cambria"/>
        </w:rPr>
        <w:t>os</w:t>
      </w:r>
      <w:r>
        <w:rPr>
          <w:rFonts w:eastAsia="Cambria" w:cs="Cambria"/>
          <w:spacing w:val="8"/>
        </w:rPr>
        <w:t xml:space="preserve"> </w:t>
      </w:r>
      <w:r>
        <w:rPr>
          <w:rFonts w:eastAsia="Cambria" w:cs="Cambria"/>
        </w:rPr>
        <w:t>v</w:t>
      </w:r>
      <w:r>
        <w:rPr>
          <w:rFonts w:eastAsia="Cambria" w:cs="Cambria"/>
          <w:spacing w:val="1"/>
        </w:rPr>
        <w:t>al</w:t>
      </w:r>
      <w:r>
        <w:rPr>
          <w:rFonts w:eastAsia="Cambria" w:cs="Cambria"/>
        </w:rPr>
        <w:t>o</w:t>
      </w:r>
      <w:r>
        <w:rPr>
          <w:rFonts w:eastAsia="Cambria" w:cs="Cambria"/>
          <w:spacing w:val="-1"/>
        </w:rPr>
        <w:t>re</w:t>
      </w:r>
      <w:r>
        <w:rPr>
          <w:rFonts w:eastAsia="Cambria" w:cs="Cambria"/>
        </w:rPr>
        <w:t>s</w:t>
      </w:r>
      <w:r>
        <w:rPr>
          <w:rFonts w:eastAsia="Cambria" w:cs="Cambria"/>
          <w:spacing w:val="5"/>
        </w:rPr>
        <w:t xml:space="preserve"> </w:t>
      </w:r>
      <w:r>
        <w:rPr>
          <w:rFonts w:eastAsia="Cambria" w:cs="Cambria"/>
        </w:rPr>
        <w:t>d</w:t>
      </w:r>
      <w:r>
        <w:rPr>
          <w:rFonts w:eastAsia="Cambria" w:cs="Cambria"/>
          <w:spacing w:val="-1"/>
        </w:rPr>
        <w:t>e</w:t>
      </w:r>
      <w:r>
        <w:rPr>
          <w:rFonts w:eastAsia="Cambria" w:cs="Cambria"/>
        </w:rPr>
        <w:t>du</w:t>
      </w:r>
      <w:r>
        <w:rPr>
          <w:rFonts w:eastAsia="Cambria" w:cs="Cambria"/>
          <w:spacing w:val="1"/>
        </w:rPr>
        <w:t>c</w:t>
      </w:r>
      <w:r>
        <w:rPr>
          <w:rFonts w:eastAsia="Cambria" w:cs="Cambria"/>
        </w:rPr>
        <w:t xml:space="preserve">idos, </w:t>
      </w:r>
      <w:r>
        <w:rPr>
          <w:rFonts w:eastAsia="Cambria" w:cs="Cambria"/>
          <w:spacing w:val="1"/>
        </w:rPr>
        <w:t>a</w:t>
      </w:r>
      <w:r>
        <w:rPr>
          <w:rFonts w:eastAsia="Cambria" w:cs="Cambria"/>
        </w:rPr>
        <w:t>ju</w:t>
      </w:r>
      <w:r>
        <w:rPr>
          <w:rFonts w:eastAsia="Cambria" w:cs="Cambria"/>
          <w:spacing w:val="1"/>
        </w:rPr>
        <w:t>s</w:t>
      </w:r>
      <w:r>
        <w:rPr>
          <w:rFonts w:eastAsia="Cambria" w:cs="Cambria"/>
        </w:rPr>
        <w:t>t</w:t>
      </w:r>
      <w:r>
        <w:rPr>
          <w:rFonts w:eastAsia="Cambria" w:cs="Cambria"/>
          <w:spacing w:val="1"/>
        </w:rPr>
        <w:t>a</w:t>
      </w:r>
      <w:r>
        <w:rPr>
          <w:rFonts w:eastAsia="Cambria" w:cs="Cambria"/>
        </w:rPr>
        <w:t>dos</w:t>
      </w:r>
      <w:r>
        <w:rPr>
          <w:rFonts w:eastAsia="Cambria" w:cs="Cambria"/>
          <w:spacing w:val="3"/>
        </w:rPr>
        <w:t xml:space="preserve"> </w:t>
      </w:r>
      <w:r>
        <w:rPr>
          <w:rFonts w:eastAsia="Cambria" w:cs="Cambria"/>
          <w:spacing w:val="1"/>
        </w:rPr>
        <w:t>e</w:t>
      </w:r>
      <w:r>
        <w:rPr>
          <w:rFonts w:eastAsia="Cambria" w:cs="Cambria"/>
        </w:rPr>
        <w:t>n</w:t>
      </w:r>
      <w:r>
        <w:rPr>
          <w:rFonts w:eastAsia="Cambria" w:cs="Cambria"/>
          <w:spacing w:val="8"/>
        </w:rPr>
        <w:t xml:space="preserve"> </w:t>
      </w:r>
      <w:r>
        <w:rPr>
          <w:rFonts w:eastAsia="Cambria" w:cs="Cambria"/>
          <w:spacing w:val="3"/>
        </w:rPr>
        <w:t>u</w:t>
      </w:r>
      <w:r>
        <w:rPr>
          <w:rFonts w:eastAsia="Cambria" w:cs="Cambria"/>
        </w:rPr>
        <w:t>n</w:t>
      </w:r>
      <w:r>
        <w:rPr>
          <w:rFonts w:eastAsia="Cambria" w:cs="Cambria"/>
          <w:spacing w:val="8"/>
        </w:rPr>
        <w:t xml:space="preserve"> </w:t>
      </w:r>
      <w:r>
        <w:rPr>
          <w:rFonts w:eastAsia="Cambria" w:cs="Cambria"/>
          <w:spacing w:val="2"/>
        </w:rPr>
        <w:t>p</w:t>
      </w:r>
      <w:r>
        <w:rPr>
          <w:rFonts w:eastAsia="Cambria" w:cs="Cambria"/>
        </w:rPr>
        <w:t>o</w:t>
      </w:r>
      <w:r>
        <w:rPr>
          <w:rFonts w:eastAsia="Cambria" w:cs="Cambria"/>
          <w:spacing w:val="-1"/>
        </w:rPr>
        <w:t>r</w:t>
      </w:r>
      <w:r>
        <w:rPr>
          <w:rFonts w:eastAsia="Cambria" w:cs="Cambria"/>
          <w:spacing w:val="1"/>
        </w:rPr>
        <w:t>ce</w:t>
      </w:r>
      <w:r>
        <w:rPr>
          <w:rFonts w:eastAsia="Cambria" w:cs="Cambria"/>
          <w:spacing w:val="-1"/>
        </w:rPr>
        <w:t>n</w:t>
      </w:r>
      <w:r>
        <w:rPr>
          <w:rFonts w:eastAsia="Cambria" w:cs="Cambria"/>
        </w:rPr>
        <w:t>t</w:t>
      </w:r>
      <w:r>
        <w:rPr>
          <w:rFonts w:eastAsia="Cambria" w:cs="Cambria"/>
          <w:spacing w:val="1"/>
        </w:rPr>
        <w:t>a</w:t>
      </w:r>
      <w:r>
        <w:rPr>
          <w:rFonts w:eastAsia="Cambria" w:cs="Cambria"/>
          <w:spacing w:val="2"/>
        </w:rPr>
        <w:t>j</w:t>
      </w:r>
      <w:r>
        <w:rPr>
          <w:rFonts w:eastAsia="Cambria" w:cs="Cambria"/>
        </w:rPr>
        <w:t xml:space="preserve">e </w:t>
      </w:r>
      <w:r>
        <w:rPr>
          <w:rFonts w:eastAsia="Cambria" w:cs="Cambria"/>
          <w:spacing w:val="2"/>
        </w:rPr>
        <w:t>i</w:t>
      </w:r>
      <w:r>
        <w:rPr>
          <w:rFonts w:eastAsia="Cambria" w:cs="Cambria"/>
        </w:rPr>
        <w:t>gu</w:t>
      </w:r>
      <w:r>
        <w:rPr>
          <w:rFonts w:eastAsia="Cambria" w:cs="Cambria"/>
          <w:spacing w:val="1"/>
        </w:rPr>
        <w:t>a</w:t>
      </w:r>
      <w:r>
        <w:rPr>
          <w:rFonts w:eastAsia="Cambria" w:cs="Cambria"/>
        </w:rPr>
        <w:t>l</w:t>
      </w:r>
      <w:r>
        <w:rPr>
          <w:rFonts w:eastAsia="Cambria" w:cs="Cambria"/>
          <w:spacing w:val="7"/>
        </w:rPr>
        <w:t xml:space="preserve"> </w:t>
      </w:r>
      <w:r>
        <w:rPr>
          <w:rFonts w:eastAsia="Cambria" w:cs="Cambria"/>
          <w:spacing w:val="1"/>
        </w:rPr>
        <w:t>a</w:t>
      </w:r>
      <w:r>
        <w:rPr>
          <w:rFonts w:eastAsia="Cambria" w:cs="Cambria"/>
        </w:rPr>
        <w:t>l</w:t>
      </w:r>
      <w:r>
        <w:rPr>
          <w:rFonts w:eastAsia="Cambria" w:cs="Cambria"/>
          <w:spacing w:val="10"/>
        </w:rPr>
        <w:t xml:space="preserve"> </w:t>
      </w:r>
      <w:r>
        <w:rPr>
          <w:rFonts w:eastAsia="Cambria" w:cs="Cambria"/>
        </w:rPr>
        <w:t>í</w:t>
      </w:r>
      <w:r>
        <w:rPr>
          <w:rFonts w:eastAsia="Cambria" w:cs="Cambria"/>
          <w:spacing w:val="-1"/>
        </w:rPr>
        <w:t>n</w:t>
      </w:r>
      <w:r>
        <w:rPr>
          <w:rFonts w:eastAsia="Cambria" w:cs="Cambria"/>
        </w:rPr>
        <w:t>di</w:t>
      </w:r>
      <w:r>
        <w:rPr>
          <w:rFonts w:eastAsia="Cambria" w:cs="Cambria"/>
          <w:spacing w:val="1"/>
        </w:rPr>
        <w:t>c</w:t>
      </w:r>
      <w:r>
        <w:rPr>
          <w:rFonts w:eastAsia="Cambria" w:cs="Cambria"/>
        </w:rPr>
        <w:t>e</w:t>
      </w:r>
      <w:r>
        <w:rPr>
          <w:rFonts w:eastAsia="Cambria" w:cs="Cambria"/>
          <w:spacing w:val="6"/>
        </w:rPr>
        <w:t xml:space="preserve"> </w:t>
      </w:r>
      <w:r>
        <w:rPr>
          <w:rFonts w:eastAsia="Cambria" w:cs="Cambria"/>
          <w:spacing w:val="2"/>
        </w:rPr>
        <w:t>d</w:t>
      </w:r>
      <w:r>
        <w:rPr>
          <w:rFonts w:eastAsia="Cambria" w:cs="Cambria"/>
        </w:rPr>
        <w:t>e</w:t>
      </w:r>
      <w:r>
        <w:rPr>
          <w:rFonts w:eastAsia="Cambria" w:cs="Cambria"/>
          <w:spacing w:val="7"/>
        </w:rPr>
        <w:t xml:space="preserve"> </w:t>
      </w:r>
      <w:r>
        <w:rPr>
          <w:rFonts w:eastAsia="Cambria" w:cs="Cambria"/>
          <w:spacing w:val="2"/>
        </w:rPr>
        <w:t>i</w:t>
      </w:r>
      <w:r>
        <w:rPr>
          <w:rFonts w:eastAsia="Cambria" w:cs="Cambria"/>
          <w:spacing w:val="-1"/>
        </w:rPr>
        <w:t>n</w:t>
      </w:r>
      <w:r>
        <w:rPr>
          <w:rFonts w:eastAsia="Cambria" w:cs="Cambria"/>
        </w:rPr>
        <w:t>f</w:t>
      </w:r>
      <w:r>
        <w:rPr>
          <w:rFonts w:eastAsia="Cambria" w:cs="Cambria"/>
          <w:spacing w:val="1"/>
        </w:rPr>
        <w:t>lac</w:t>
      </w:r>
      <w:r>
        <w:rPr>
          <w:rFonts w:eastAsia="Cambria" w:cs="Cambria"/>
        </w:rPr>
        <w:t>ión</w:t>
      </w:r>
      <w:r>
        <w:rPr>
          <w:rFonts w:eastAsia="Cambria" w:cs="Cambria"/>
          <w:spacing w:val="5"/>
        </w:rPr>
        <w:t xml:space="preserve"> </w:t>
      </w:r>
      <w:r>
        <w:rPr>
          <w:rFonts w:eastAsia="Cambria" w:cs="Cambria"/>
        </w:rPr>
        <w:t>fi</w:t>
      </w:r>
      <w:r>
        <w:rPr>
          <w:rFonts w:eastAsia="Cambria" w:cs="Cambria"/>
          <w:spacing w:val="1"/>
        </w:rPr>
        <w:t>ja</w:t>
      </w:r>
      <w:r>
        <w:rPr>
          <w:rFonts w:eastAsia="Cambria" w:cs="Cambria"/>
        </w:rPr>
        <w:t>do</w:t>
      </w:r>
      <w:r>
        <w:rPr>
          <w:rFonts w:eastAsia="Cambria" w:cs="Cambria"/>
          <w:spacing w:val="5"/>
        </w:rPr>
        <w:t xml:space="preserve"> </w:t>
      </w:r>
      <w:r>
        <w:rPr>
          <w:rFonts w:eastAsia="Cambria" w:cs="Cambria"/>
        </w:rPr>
        <w:t>p</w:t>
      </w:r>
      <w:r>
        <w:rPr>
          <w:rFonts w:eastAsia="Cambria" w:cs="Cambria"/>
          <w:spacing w:val="2"/>
        </w:rPr>
        <w:t>o</w:t>
      </w:r>
      <w:r>
        <w:rPr>
          <w:rFonts w:eastAsia="Cambria" w:cs="Cambria"/>
        </w:rPr>
        <w:t>r</w:t>
      </w:r>
      <w:r>
        <w:rPr>
          <w:rFonts w:eastAsia="Cambria" w:cs="Cambria"/>
          <w:spacing w:val="9"/>
        </w:rPr>
        <w:t xml:space="preserve"> </w:t>
      </w:r>
      <w:r>
        <w:rPr>
          <w:rFonts w:eastAsia="Cambria" w:cs="Cambria"/>
          <w:spacing w:val="-1"/>
        </w:rPr>
        <w:t>e</w:t>
      </w:r>
      <w:r>
        <w:rPr>
          <w:rFonts w:eastAsia="Cambria" w:cs="Cambria"/>
        </w:rPr>
        <w:t>l</w:t>
      </w:r>
      <w:r>
        <w:rPr>
          <w:rFonts w:eastAsia="Cambria" w:cs="Cambria"/>
          <w:spacing w:val="10"/>
        </w:rPr>
        <w:t xml:space="preserve"> </w:t>
      </w:r>
      <w:r>
        <w:rPr>
          <w:rFonts w:eastAsia="Cambria" w:cs="Cambria"/>
        </w:rPr>
        <w:t>G</w:t>
      </w:r>
      <w:r>
        <w:rPr>
          <w:rFonts w:eastAsia="Cambria" w:cs="Cambria"/>
          <w:spacing w:val="2"/>
        </w:rPr>
        <w:t>o</w:t>
      </w:r>
      <w:r>
        <w:rPr>
          <w:rFonts w:eastAsia="Cambria" w:cs="Cambria"/>
          <w:spacing w:val="-1"/>
        </w:rPr>
        <w:t>b</w:t>
      </w:r>
      <w:r>
        <w:rPr>
          <w:rFonts w:eastAsia="Cambria" w:cs="Cambria"/>
        </w:rPr>
        <w:t>i</w:t>
      </w:r>
      <w:r>
        <w:rPr>
          <w:rFonts w:eastAsia="Cambria" w:cs="Cambria"/>
          <w:spacing w:val="1"/>
        </w:rPr>
        <w:t>e</w:t>
      </w:r>
      <w:r>
        <w:rPr>
          <w:rFonts w:eastAsia="Cambria" w:cs="Cambria"/>
          <w:spacing w:val="-1"/>
        </w:rPr>
        <w:t>r</w:t>
      </w:r>
      <w:r>
        <w:rPr>
          <w:rFonts w:eastAsia="Cambria" w:cs="Cambria"/>
          <w:spacing w:val="1"/>
        </w:rPr>
        <w:t>n</w:t>
      </w:r>
      <w:r>
        <w:rPr>
          <w:rFonts w:eastAsia="Cambria" w:cs="Cambria"/>
        </w:rPr>
        <w:t>o</w:t>
      </w:r>
      <w:r>
        <w:rPr>
          <w:rFonts w:eastAsia="Cambria" w:cs="Cambria"/>
          <w:spacing w:val="2"/>
        </w:rPr>
        <w:t xml:space="preserve"> </w:t>
      </w:r>
      <w:r>
        <w:rPr>
          <w:rFonts w:eastAsia="Cambria" w:cs="Cambria"/>
          <w:spacing w:val="1"/>
        </w:rPr>
        <w:t>Nac</w:t>
      </w:r>
      <w:r>
        <w:rPr>
          <w:rFonts w:eastAsia="Cambria" w:cs="Cambria"/>
        </w:rPr>
        <w:t>io</w:t>
      </w:r>
      <w:r>
        <w:rPr>
          <w:rFonts w:eastAsia="Cambria" w:cs="Cambria"/>
          <w:spacing w:val="1"/>
        </w:rPr>
        <w:t>na</w:t>
      </w:r>
      <w:r>
        <w:rPr>
          <w:rFonts w:eastAsia="Cambria" w:cs="Cambria"/>
        </w:rPr>
        <w:t>l</w:t>
      </w:r>
      <w:r>
        <w:rPr>
          <w:rFonts w:eastAsia="Cambria" w:cs="Cambria"/>
          <w:spacing w:val="4"/>
        </w:rPr>
        <w:t xml:space="preserve"> </w:t>
      </w:r>
      <w:r>
        <w:rPr>
          <w:rFonts w:eastAsia="Cambria" w:cs="Cambria"/>
        </w:rPr>
        <w:t>p</w:t>
      </w:r>
      <w:r>
        <w:rPr>
          <w:rFonts w:eastAsia="Cambria" w:cs="Cambria"/>
          <w:spacing w:val="1"/>
        </w:rPr>
        <w:t>a</w:t>
      </w:r>
      <w:r>
        <w:rPr>
          <w:rFonts w:eastAsia="Cambria" w:cs="Cambria"/>
          <w:spacing w:val="-1"/>
        </w:rPr>
        <w:t>r</w:t>
      </w:r>
      <w:r>
        <w:rPr>
          <w:rFonts w:eastAsia="Cambria" w:cs="Cambria"/>
        </w:rPr>
        <w:t>a</w:t>
      </w:r>
      <w:r>
        <w:rPr>
          <w:rFonts w:eastAsia="Cambria" w:cs="Cambria"/>
          <w:spacing w:val="7"/>
        </w:rPr>
        <w:t xml:space="preserve"> </w:t>
      </w:r>
      <w:r>
        <w:rPr>
          <w:rFonts w:eastAsia="Cambria" w:cs="Cambria"/>
          <w:spacing w:val="-1"/>
        </w:rPr>
        <w:t>e</w:t>
      </w:r>
      <w:r>
        <w:rPr>
          <w:rFonts w:eastAsia="Cambria" w:cs="Cambria"/>
        </w:rPr>
        <w:t>l</w:t>
      </w:r>
      <w:r>
        <w:rPr>
          <w:rFonts w:eastAsia="Cambria" w:cs="Cambria"/>
          <w:spacing w:val="10"/>
        </w:rPr>
        <w:t xml:space="preserve"> </w:t>
      </w:r>
      <w:r>
        <w:rPr>
          <w:rFonts w:eastAsia="Cambria" w:cs="Cambria"/>
          <w:spacing w:val="1"/>
        </w:rPr>
        <w:t>añ</w:t>
      </w:r>
      <w:r>
        <w:rPr>
          <w:rFonts w:eastAsia="Cambria" w:cs="Cambria"/>
        </w:rPr>
        <w:t>o</w:t>
      </w:r>
      <w:r>
        <w:rPr>
          <w:rFonts w:eastAsia="Cambria" w:cs="Cambria"/>
          <w:spacing w:val="10"/>
        </w:rPr>
        <w:t xml:space="preserve"> </w:t>
      </w:r>
      <w:r>
        <w:rPr>
          <w:rFonts w:eastAsia="Cambria" w:cs="Cambria"/>
          <w:spacing w:val="-1"/>
        </w:rPr>
        <w:t>e</w:t>
      </w:r>
      <w:r>
        <w:rPr>
          <w:rFonts w:eastAsia="Cambria" w:cs="Cambria"/>
        </w:rPr>
        <w:t>n</w:t>
      </w:r>
      <w:r>
        <w:rPr>
          <w:rFonts w:eastAsia="Cambria" w:cs="Cambria"/>
          <w:spacing w:val="25"/>
        </w:rPr>
        <w:t xml:space="preserve"> </w:t>
      </w:r>
      <w:r>
        <w:rPr>
          <w:rFonts w:eastAsia="Cambria" w:cs="Cambria"/>
          <w:spacing w:val="-1"/>
        </w:rPr>
        <w:t>q</w:t>
      </w:r>
      <w:r>
        <w:rPr>
          <w:rFonts w:eastAsia="Cambria" w:cs="Cambria"/>
          <w:spacing w:val="3"/>
        </w:rPr>
        <w:t>u</w:t>
      </w:r>
      <w:r>
        <w:rPr>
          <w:rFonts w:eastAsia="Cambria" w:cs="Cambria"/>
        </w:rPr>
        <w:t>e</w:t>
      </w:r>
      <w:r>
        <w:rPr>
          <w:rFonts w:eastAsia="Cambria" w:cs="Cambria"/>
          <w:spacing w:val="8"/>
        </w:rPr>
        <w:t xml:space="preserve"> </w:t>
      </w:r>
      <w:r>
        <w:rPr>
          <w:rFonts w:eastAsia="Cambria" w:cs="Cambria"/>
          <w:spacing w:val="1"/>
        </w:rPr>
        <w:t>s</w:t>
      </w:r>
      <w:r>
        <w:rPr>
          <w:rFonts w:eastAsia="Cambria" w:cs="Cambria"/>
        </w:rPr>
        <w:t>e p</w:t>
      </w:r>
      <w:r>
        <w:rPr>
          <w:rFonts w:eastAsia="Cambria" w:cs="Cambria"/>
          <w:spacing w:val="-1"/>
        </w:rPr>
        <w:t>r</w:t>
      </w:r>
      <w:r>
        <w:rPr>
          <w:rFonts w:eastAsia="Cambria" w:cs="Cambria"/>
        </w:rPr>
        <w:t>o</w:t>
      </w:r>
      <w:r>
        <w:rPr>
          <w:rFonts w:eastAsia="Cambria" w:cs="Cambria"/>
          <w:spacing w:val="1"/>
        </w:rPr>
        <w:t>ce</w:t>
      </w:r>
      <w:r>
        <w:rPr>
          <w:rFonts w:eastAsia="Cambria" w:cs="Cambria"/>
        </w:rPr>
        <w:t>da</w:t>
      </w:r>
      <w:r>
        <w:rPr>
          <w:rFonts w:eastAsia="Cambria" w:cs="Cambria"/>
          <w:spacing w:val="-7"/>
        </w:rPr>
        <w:t xml:space="preserve"> </w:t>
      </w:r>
      <w:r>
        <w:rPr>
          <w:rFonts w:eastAsia="Cambria" w:cs="Cambria"/>
        </w:rPr>
        <w:t>a</w:t>
      </w:r>
      <w:r>
        <w:rPr>
          <w:rFonts w:eastAsia="Cambria" w:cs="Cambria"/>
          <w:spacing w:val="-1"/>
        </w:rPr>
        <w:t xml:space="preserve"> </w:t>
      </w:r>
      <w:r>
        <w:rPr>
          <w:rFonts w:eastAsia="Cambria" w:cs="Cambria"/>
          <w:spacing w:val="1"/>
        </w:rPr>
        <w:t>l</w:t>
      </w:r>
      <w:r>
        <w:rPr>
          <w:rFonts w:eastAsia="Cambria" w:cs="Cambria"/>
        </w:rPr>
        <w:t>a</w:t>
      </w:r>
      <w:r>
        <w:rPr>
          <w:rFonts w:eastAsia="Cambria" w:cs="Cambria"/>
          <w:spacing w:val="-2"/>
        </w:rPr>
        <w:t xml:space="preserve"> </w:t>
      </w:r>
      <w:r>
        <w:rPr>
          <w:rFonts w:eastAsia="Cambria" w:cs="Cambria"/>
        </w:rPr>
        <w:t>d</w:t>
      </w:r>
      <w:r>
        <w:rPr>
          <w:rFonts w:eastAsia="Cambria" w:cs="Cambria"/>
          <w:spacing w:val="-1"/>
        </w:rPr>
        <w:t>e</w:t>
      </w:r>
      <w:r>
        <w:rPr>
          <w:rFonts w:eastAsia="Cambria" w:cs="Cambria"/>
          <w:spacing w:val="3"/>
        </w:rPr>
        <w:t>v</w:t>
      </w:r>
      <w:r>
        <w:rPr>
          <w:rFonts w:eastAsia="Cambria" w:cs="Cambria"/>
        </w:rPr>
        <w:t>o</w:t>
      </w:r>
      <w:r>
        <w:rPr>
          <w:rFonts w:eastAsia="Cambria" w:cs="Cambria"/>
          <w:spacing w:val="1"/>
        </w:rPr>
        <w:t>l</w:t>
      </w:r>
      <w:r>
        <w:rPr>
          <w:rFonts w:eastAsia="Cambria" w:cs="Cambria"/>
        </w:rPr>
        <w:t>u</w:t>
      </w:r>
      <w:r>
        <w:rPr>
          <w:rFonts w:eastAsia="Cambria" w:cs="Cambria"/>
          <w:spacing w:val="1"/>
        </w:rPr>
        <w:t>c</w:t>
      </w:r>
      <w:r>
        <w:rPr>
          <w:rFonts w:eastAsia="Cambria" w:cs="Cambria"/>
        </w:rPr>
        <w:t>ió</w:t>
      </w:r>
      <w:r>
        <w:rPr>
          <w:rFonts w:eastAsia="Cambria" w:cs="Cambria"/>
          <w:spacing w:val="-1"/>
        </w:rPr>
        <w:t>n</w:t>
      </w:r>
      <w:r>
        <w:rPr>
          <w:rFonts w:eastAsia="Cambria" w:cs="Cambria"/>
        </w:rPr>
        <w:t>.</w:t>
      </w:r>
    </w:p>
    <w:p>
      <w:pPr>
        <w:spacing w:after="0"/>
        <w:rPr>
          <w:rFonts w:eastAsia="Cambria" w:cs="Cambria"/>
        </w:rPr>
      </w:pPr>
    </w:p>
    <w:p>
      <w:pPr>
        <w:pStyle w:val="4"/>
        <w:numPr>
          <w:ilvl w:val="2"/>
          <w:numId w:val="0"/>
        </w:numPr>
        <w:spacing w:before="0" w:after="0"/>
        <w:ind w:leftChars="0"/>
      </w:pPr>
      <w:r>
        <w:rPr>
          <w:lang w:val="es-CO"/>
        </w:rPr>
        <w:t xml:space="preserve">6.31 </w:t>
      </w:r>
      <w:r>
        <w:t>PROCEDIMIENTO PARA IMPOSICIÓN DE LAS MULTAS</w:t>
      </w:r>
    </w:p>
    <w:p>
      <w:pPr>
        <w:spacing w:after="0"/>
      </w:pPr>
    </w:p>
    <w:p>
      <w:pPr>
        <w:spacing w:after="0"/>
      </w:pPr>
      <w:r>
        <w:t>El Municipio de Neiva aplicará el procedimiento establecido en el artículo 86 de la Ley 1474 de 2011.</w:t>
      </w:r>
    </w:p>
    <w:p>
      <w:pPr>
        <w:spacing w:after="0"/>
      </w:pPr>
    </w:p>
    <w:p>
      <w:pPr>
        <w:spacing w:after="0"/>
      </w:pPr>
      <w:r>
        <w:t>De conformidad con lo establecido en el parágrafo del artículo 17 de la Ley 1150 de 2007, el CONTRATISTA autoriza a el Municipio de Neiva para compensar el valor por concepto de multas de las cuentas mensuales pendientes de pago a su favor. Cuando no exista saldo a favor del CONTRATISTA, el valor por concepto de multas se podrá hacer efectivo a través de la garantía constituida o el Municipio de Neiva podrá acudir a la Jurisdicción Coactiva.</w:t>
      </w:r>
    </w:p>
    <w:p>
      <w:pPr>
        <w:spacing w:after="0"/>
      </w:pPr>
    </w:p>
    <w:p>
      <w:pPr>
        <w:pStyle w:val="3"/>
        <w:numPr>
          <w:ilvl w:val="1"/>
          <w:numId w:val="0"/>
        </w:numPr>
        <w:spacing w:after="0"/>
        <w:ind w:leftChars="0"/>
      </w:pPr>
      <w:r>
        <w:rPr>
          <w:lang w:val="es-CO"/>
        </w:rPr>
        <w:t xml:space="preserve">6.32 </w:t>
      </w:r>
      <w:r>
        <w:t xml:space="preserve">CLÁUSULA PENAL PECUNIARIA </w:t>
      </w:r>
    </w:p>
    <w:p>
      <w:pPr>
        <w:spacing w:after="0"/>
      </w:pPr>
    </w:p>
    <w:p>
      <w:pPr>
        <w:spacing w:after="0"/>
      </w:pPr>
      <w:r>
        <w:t xml:space="preserve">En caso de incumplimiento total de las obligaciones a cargo del CONTRATISTA, éste deberá pagar a título de pena pecuniaria una suma de dinero equivalente al diez por ciento (10%) del valor total del contrato, sin que el pago de la pena extinga la obligación principal o el pago de los perjuicios causados. </w:t>
      </w:r>
    </w:p>
    <w:p>
      <w:pPr>
        <w:spacing w:after="0"/>
      </w:pPr>
    </w:p>
    <w:p>
      <w:pPr>
        <w:spacing w:after="0"/>
      </w:pPr>
      <w:r>
        <w:t xml:space="preserve">De conformidad con lo establecido en el parágrafo del artículo 17 de la Ley 1150 de 2007, el CONTRATISTA, autoriza a el Municipio de Neiva para compensar el valor por concepto de la cláusula penal pecuniaria, de las sumas que resulten a su favor al momento de la liquidación del contrato. </w:t>
      </w:r>
    </w:p>
    <w:p>
      <w:pPr>
        <w:spacing w:after="0"/>
      </w:pPr>
    </w:p>
    <w:p>
      <w:pPr>
        <w:spacing w:after="0"/>
      </w:pPr>
      <w:r>
        <w:t>Cuando no exista saldo a favor del CONTRATISTA, el valor por concepto de la cláusula penal pecuniaria se podrá hacer efectivo a través de la garantía constituida o el Municipio de Neiva podrá acudir a la Jurisdicción Coactiva.</w:t>
      </w:r>
    </w:p>
    <w:p>
      <w:pPr>
        <w:spacing w:after="0"/>
      </w:pPr>
    </w:p>
    <w:p>
      <w:pPr>
        <w:pStyle w:val="3"/>
        <w:numPr>
          <w:ilvl w:val="1"/>
          <w:numId w:val="0"/>
        </w:numPr>
        <w:spacing w:after="0"/>
        <w:ind w:leftChars="0"/>
      </w:pPr>
      <w:r>
        <w:rPr>
          <w:lang w:val="es-CO"/>
        </w:rPr>
        <w:t xml:space="preserve">6.33 </w:t>
      </w:r>
      <w:r>
        <w:t xml:space="preserve">POTESTADES EXCEPCIONALES DEL CONTRATO ESTATAL </w:t>
      </w:r>
    </w:p>
    <w:p>
      <w:pPr>
        <w:spacing w:after="0"/>
      </w:pPr>
    </w:p>
    <w:p>
      <w:pPr>
        <w:spacing w:after="0"/>
        <w:rPr>
          <w:highlight w:val="yellow"/>
        </w:rPr>
      </w:pPr>
      <w:r>
        <w:t xml:space="preserve">El presente contrato le será incorporadas las potestades excepcionales contempladas en los Artículos 14, 15, 16,17 y 18 de la Ley 80 de 1993. </w:t>
      </w:r>
    </w:p>
    <w:p>
      <w:pPr>
        <w:spacing w:after="0"/>
        <w:rPr>
          <w:highlight w:val="yellow"/>
        </w:rPr>
      </w:pPr>
    </w:p>
    <w:p>
      <w:pPr>
        <w:pStyle w:val="3"/>
        <w:numPr>
          <w:ilvl w:val="1"/>
          <w:numId w:val="0"/>
        </w:numPr>
        <w:spacing w:after="0"/>
        <w:ind w:leftChars="0"/>
      </w:pPr>
      <w:r>
        <w:rPr>
          <w:lang w:val="es-CO"/>
        </w:rPr>
        <w:t xml:space="preserve">6.34 </w:t>
      </w:r>
      <w:r>
        <w:t xml:space="preserve">SOLUCIÓN DE CONTROVERSIAS </w:t>
      </w:r>
    </w:p>
    <w:p>
      <w:pPr>
        <w:spacing w:after="0"/>
      </w:pPr>
    </w:p>
    <w:p>
      <w:pPr>
        <w:spacing w:after="0"/>
      </w:pPr>
      <w:r>
        <w:t>Las diferencias y conflictos que surjan en desarrollo del objeto contractual, se solucionarán a través de los mecanismos de conciliación y transacción previstos en el artículo 68 de la Ley 80 de 1993, la Ley 446 de 1998, Ley 640 de 2001 y el Decreto 1716 de 2009.</w:t>
      </w:r>
    </w:p>
    <w:p>
      <w:pPr>
        <w:spacing w:after="0"/>
      </w:pPr>
    </w:p>
    <w:p>
      <w:pPr>
        <w:pStyle w:val="3"/>
        <w:numPr>
          <w:ilvl w:val="1"/>
          <w:numId w:val="0"/>
        </w:numPr>
        <w:spacing w:after="0"/>
        <w:ind w:leftChars="0"/>
      </w:pPr>
      <w:r>
        <w:rPr>
          <w:lang w:val="es-CO"/>
        </w:rPr>
        <w:t xml:space="preserve">6.35 </w:t>
      </w:r>
      <w:r>
        <w:t>INDEMNIDAD</w:t>
      </w:r>
    </w:p>
    <w:p>
      <w:pPr>
        <w:spacing w:after="0"/>
      </w:pPr>
    </w:p>
    <w:p>
      <w:pPr>
        <w:spacing w:after="0"/>
      </w:pPr>
      <w:r>
        <w:t>El CONTRATISTA mantendrá indemne y defenderá a su costa al Municipio de Neiva, de cualquier pleito, queja, demanda y responsabilidad de cualquier naturaleza, incluyendo costos y gastos provenientes de actos y omisiones de este frente a reclamaciones de terceros en el desarrollo y ejecución del contrato. 2. El CONTRATISTA se obliga a evitar que sus empleados o los familiares de los mismos, sus acreedores, sus proveedores o terceros, presenten reclamaciones (judiciales o extrajudiciales) contra el Municipio de Neiva, con ocasión o por razón de acciones u omisiones suyas relacionadas con la ejecución del contrato. Si ello no fuere posible y se presentaren reclamaciones o demandas contra el Municipio de Neiva, dentro de los cinco (5) días hábiles siguientes la fecha en que le sean notificadas o en que se radiquen aquellas, podrá comunicarle la situación por escrito al CONTRATISTA o llamarlo en garantía. En cualquiera de dichas situaciones, el CONTRATISTA se obliga a acudir en defensa de los intereses de el Municipio de Neiva para lo cual contratará profesionales idóneos que asuman la representación y asumirá el costo de los honorarios de éstos, del proceso y de la condena si la hubiere. Si el Municipio de Neiva estima que sus intereses no están siendo adecuadamente defendidos, lo manifestará por escrito al CONTRATISTA, caso en el cual acordarán la mejor estrategia de defensa o que si el Municipio de Neiva lo estima necesario, asuma directamente la misma. Si no hubiere saldos pendientes de pago a favor del CONTRATISTA, a través de la Jurisdicción Coactiva, el Municipio de Neiva podrá proceder, para el cobro de los valores a que se refiere esta cláusula, para lo cual este contrato junto con los documentos en los que se consignen dichos valores, presta el mérito ejecutivo.</w:t>
      </w:r>
    </w:p>
    <w:p>
      <w:pPr>
        <w:spacing w:after="0"/>
      </w:pPr>
    </w:p>
    <w:p>
      <w:pPr>
        <w:pStyle w:val="3"/>
        <w:numPr>
          <w:ilvl w:val="1"/>
          <w:numId w:val="0"/>
        </w:numPr>
        <w:spacing w:after="0"/>
        <w:ind w:leftChars="0"/>
      </w:pPr>
      <w:r>
        <w:rPr>
          <w:lang w:val="es-CO"/>
        </w:rPr>
        <w:t xml:space="preserve">6.36 </w:t>
      </w:r>
      <w:r>
        <w:t>LIQUIDACIÓN</w:t>
      </w:r>
    </w:p>
    <w:p>
      <w:pPr>
        <w:spacing w:after="0"/>
      </w:pPr>
    </w:p>
    <w:p>
      <w:pPr>
        <w:spacing w:after="0"/>
      </w:pPr>
      <w:r>
        <w:t xml:space="preserve">La liquidación del contrato que se suscriba se sujetará a los términos y oportunidades establecidas en el artículo 11 de la Ley 1150 de 2007 y en las disposiciones concordantes de la Ley 446 de 1998.  </w:t>
      </w:r>
    </w:p>
    <w:p>
      <w:pPr>
        <w:spacing w:after="0"/>
      </w:pPr>
    </w:p>
    <w:p>
      <w:pPr>
        <w:spacing w:after="0"/>
      </w:pPr>
      <w:r>
        <w:t xml:space="preserve">La liquidación se hará de mutuo acuerdo dentro del término fijado en el pliego de condiciones, o dentro del que acuerden las partes para el efecto. De no existir tal término, la liquidación se realizará dentro de los cuatro (4) meses siguientes a la expiración del término previsto para la ejecución del contrato o a la expedición del acto administrativo que ordene la terminación, o a la fecha del acuerdo que la disponga. </w:t>
      </w:r>
    </w:p>
    <w:p>
      <w:pPr>
        <w:spacing w:after="0"/>
      </w:pPr>
    </w:p>
    <w:p>
      <w:pPr>
        <w:spacing w:after="0"/>
      </w:pPr>
      <w:r>
        <w:t xml:space="preserve">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de conformidad con lo dispuesto en el Código de Procedimiento Administrativo y de lo Contencioso Administrativo. </w:t>
      </w:r>
    </w:p>
    <w:p>
      <w:pPr>
        <w:spacing w:after="0"/>
      </w:pPr>
    </w:p>
    <w:p>
      <w:pPr>
        <w:spacing w:after="0"/>
      </w:pPr>
      <w:r>
        <w:t xml:space="preserve">Si vencido el plazo anteriormente establecido no se ha realizado la liquidación, la misma se podrá efectuar en cualquier tiempo dentro de los dos (2) años siguientes al vencimiento de los términos mencionados anteriormente, de mutuo acuerdo o unilateralmente, sin perjuicio de lo previsto en el Código Administrativo y de lo Contencioso Administrativo. </w:t>
      </w:r>
    </w:p>
    <w:p>
      <w:pPr>
        <w:spacing w:after="0"/>
      </w:pPr>
    </w:p>
    <w:p>
      <w:pPr>
        <w:spacing w:after="0"/>
      </w:pPr>
      <w:r>
        <w:t>El (los) contratista(s) tendrá(n) derecho a efectuar salvedades a la liquidación por mutuo acuerdo y en este evento la liquidación unilateral solo procederá en relación con los aspectos que no hayan sido objeto de acuerdo.</w:t>
      </w:r>
    </w:p>
    <w:p>
      <w:pPr>
        <w:spacing w:after="0"/>
        <w:rPr>
          <w:highlight w:val="yellow"/>
        </w:rPr>
      </w:pPr>
    </w:p>
    <w:p>
      <w:pPr>
        <w:spacing w:after="0"/>
        <w:rPr>
          <w:highlight w:val="yellow"/>
        </w:rPr>
      </w:pPr>
    </w:p>
    <w:p>
      <w:pPr>
        <w:spacing w:after="0"/>
        <w:rPr>
          <w:highlight w:val="yellow"/>
        </w:rPr>
      </w:pPr>
    </w:p>
    <w:p>
      <w:pPr>
        <w:spacing w:after="0"/>
        <w:rPr>
          <w:highlight w:val="yellow"/>
        </w:rPr>
      </w:pPr>
    </w:p>
    <w:p>
      <w:pPr>
        <w:pStyle w:val="2"/>
        <w:numPr>
          <w:ilvl w:val="0"/>
          <w:numId w:val="0"/>
        </w:numPr>
        <w:spacing w:after="0"/>
        <w:ind w:leftChars="0"/>
        <w:jc w:val="center"/>
      </w:pPr>
      <w:r>
        <w:rPr>
          <w:lang w:val="es-CO"/>
        </w:rPr>
        <w:t xml:space="preserve">7 </w:t>
      </w:r>
      <w:r>
        <w:t>CAUSALES DE RECHAZO DE LAS OFERTAS</w:t>
      </w:r>
    </w:p>
    <w:p>
      <w:pPr>
        <w:spacing w:after="0"/>
        <w:rPr>
          <w:rFonts w:ascii="Arial Narrow" w:hAnsi="Arial Narrow" w:cs="Arial"/>
          <w:sz w:val="20"/>
          <w:szCs w:val="20"/>
        </w:rPr>
      </w:pPr>
    </w:p>
    <w:p>
      <w:pPr>
        <w:spacing w:after="0"/>
      </w:pPr>
      <w:r>
        <w:t>Las propuestas serán rechazadas cuando se presente cualquiera de las siguientes situaciones:</w:t>
      </w:r>
    </w:p>
    <w:p>
      <w:pPr>
        <w:spacing w:after="0"/>
      </w:pPr>
    </w:p>
    <w:p>
      <w:pPr>
        <w:numPr>
          <w:ilvl w:val="0"/>
          <w:numId w:val="9"/>
        </w:numPr>
        <w:spacing w:after="0"/>
      </w:pPr>
      <w:r>
        <w:t>Cuando el proponente se halle incurso en alguna de las causales de inhabilidad e incompatibilidad para contratar establecidas en la Constitución o en la Ley.</w:t>
      </w:r>
    </w:p>
    <w:p>
      <w:pPr>
        <w:spacing w:after="0"/>
      </w:pPr>
    </w:p>
    <w:p>
      <w:pPr>
        <w:numPr>
          <w:ilvl w:val="0"/>
          <w:numId w:val="9"/>
        </w:numPr>
        <w:spacing w:after="0"/>
      </w:pPr>
      <w:r>
        <w:t>Cuando la propuesta sea presentada extemporáneamente luego de la fecha y hora exacta señalada para el cierre del proceso o la presente en sitio diferente al destinado en el SECOP II para la presentación electrónica de la propuesta.</w:t>
      </w:r>
    </w:p>
    <w:p>
      <w:pPr>
        <w:spacing w:after="0"/>
      </w:pPr>
    </w:p>
    <w:p>
      <w:pPr>
        <w:numPr>
          <w:ilvl w:val="0"/>
          <w:numId w:val="9"/>
        </w:numPr>
        <w:spacing w:after="0"/>
      </w:pPr>
      <w:r>
        <w:t>La presentación de varias propuestas por parte del mismo proponente por sí o por interpuesta persona o la participación de una misma persona en más de una propuesta.</w:t>
      </w:r>
    </w:p>
    <w:p>
      <w:pPr>
        <w:spacing w:after="0"/>
      </w:pPr>
    </w:p>
    <w:p>
      <w:pPr>
        <w:numPr>
          <w:ilvl w:val="0"/>
          <w:numId w:val="9"/>
        </w:numPr>
        <w:spacing w:after="0"/>
      </w:pPr>
      <w:r>
        <w:t>Cuando la propuesta sea presentada por personas jurídicamente incapaces para obligarse.</w:t>
      </w:r>
    </w:p>
    <w:p>
      <w:pPr>
        <w:spacing w:after="0"/>
      </w:pPr>
    </w:p>
    <w:p>
      <w:pPr>
        <w:numPr>
          <w:ilvl w:val="0"/>
          <w:numId w:val="9"/>
        </w:numPr>
        <w:spacing w:after="0"/>
      </w:pPr>
      <w:r>
        <w:t xml:space="preserve">Cuando uno o más socios de la persona jurídica proponente, o su representante legal, sean socios o representante legal de otra persona jurídica oferente en este mismo proceso. </w:t>
      </w:r>
    </w:p>
    <w:p>
      <w:pPr>
        <w:spacing w:after="0"/>
      </w:pPr>
    </w:p>
    <w:p>
      <w:pPr>
        <w:numPr>
          <w:ilvl w:val="0"/>
          <w:numId w:val="9"/>
        </w:numPr>
        <w:spacing w:after="0"/>
      </w:pPr>
      <w:r>
        <w:t xml:space="preserve">Cuando uno o más socios de la persona jurídica proponente, o su representante legal, se presenten como personas naturales en este mismo proceso. </w:t>
      </w:r>
    </w:p>
    <w:p>
      <w:pPr>
        <w:spacing w:after="0"/>
      </w:pPr>
    </w:p>
    <w:p>
      <w:pPr>
        <w:numPr>
          <w:ilvl w:val="0"/>
          <w:numId w:val="9"/>
        </w:numPr>
        <w:spacing w:after="0"/>
      </w:pPr>
      <w:r>
        <w:t xml:space="preserve">Cuando una sociedad extranjera se presente y su filial o subsidiaria, también presente oferta invocando subordinación de su casa matriz. </w:t>
      </w:r>
    </w:p>
    <w:p>
      <w:pPr>
        <w:spacing w:after="0"/>
      </w:pPr>
    </w:p>
    <w:p>
      <w:pPr>
        <w:numPr>
          <w:ilvl w:val="0"/>
          <w:numId w:val="9"/>
        </w:numPr>
        <w:spacing w:after="0"/>
      </w:pPr>
      <w:r>
        <w:t>Cuando no se presente la documentación establecida en la Invocación de Subordinación, de manera previa a la fecha y hora del acto administrativo o audiencia que decide el proceso de selección o evento de subasta, según corresponda.</w:t>
      </w:r>
    </w:p>
    <w:p>
      <w:pPr>
        <w:spacing w:after="0"/>
      </w:pPr>
    </w:p>
    <w:p>
      <w:pPr>
        <w:numPr>
          <w:ilvl w:val="0"/>
          <w:numId w:val="9"/>
        </w:numPr>
        <w:spacing w:after="0"/>
        <w:rPr>
          <w:highlight w:val="none"/>
        </w:rPr>
      </w:pPr>
      <w:r>
        <w:rPr>
          <w:highlight w:val="none"/>
        </w:rPr>
        <w:t>Cuando el Representante Legal de la sociedad o de la unión temporal o consorcio, no se encuentre debidamente autorizado para presentar la propuesta de acuerdo con los estatutos sociales.</w:t>
      </w:r>
    </w:p>
    <w:p>
      <w:pPr>
        <w:spacing w:after="0"/>
      </w:pPr>
    </w:p>
    <w:p>
      <w:pPr>
        <w:numPr>
          <w:ilvl w:val="0"/>
          <w:numId w:val="9"/>
        </w:numPr>
        <w:spacing w:after="0"/>
      </w:pPr>
      <w:r>
        <w:t>Cuando falte el documento de integración del Consorcio o Unión Temporal o su firma, o cuando alguno de sus miembros, tratándose de personas jurídicas no se encuentre debidamente autorizado y no se haya subsanado este requisito hasta el término de traslado del informe de evaluación</w:t>
      </w:r>
    </w:p>
    <w:p>
      <w:pPr>
        <w:spacing w:after="0"/>
      </w:pPr>
    </w:p>
    <w:p>
      <w:pPr>
        <w:numPr>
          <w:ilvl w:val="0"/>
          <w:numId w:val="9"/>
        </w:numPr>
        <w:spacing w:after="0"/>
      </w:pPr>
      <w:r>
        <w:t>Cuando existan evidencias de que el proponente ha tratado de interferir o influenciar indebidamente en el análisis de las propuestas, o la decisión de adjudicación.</w:t>
      </w:r>
    </w:p>
    <w:p>
      <w:pPr>
        <w:spacing w:after="0"/>
      </w:pPr>
    </w:p>
    <w:p>
      <w:pPr>
        <w:numPr>
          <w:ilvl w:val="0"/>
          <w:numId w:val="9"/>
        </w:numPr>
        <w:spacing w:after="0"/>
      </w:pPr>
      <w:r>
        <w:t>Cuando se evidencie que la información presentada por el proponente no se ajusta a la realidad, por contener datos tergiversados, alterados, contradictorios o tendientes a inducir a error a la Entidad.</w:t>
      </w:r>
    </w:p>
    <w:p>
      <w:pPr>
        <w:spacing w:after="0"/>
      </w:pPr>
    </w:p>
    <w:p>
      <w:pPr>
        <w:numPr>
          <w:ilvl w:val="0"/>
          <w:numId w:val="9"/>
        </w:numPr>
        <w:spacing w:after="0"/>
      </w:pPr>
      <w:r>
        <w:t>Cuando no se aporte la garantía de seriedad de la oferta junto con la propuesta</w:t>
      </w:r>
    </w:p>
    <w:p>
      <w:pPr>
        <w:spacing w:after="0"/>
      </w:pPr>
    </w:p>
    <w:p>
      <w:pPr>
        <w:numPr>
          <w:ilvl w:val="0"/>
          <w:numId w:val="9"/>
        </w:numPr>
        <w:spacing w:after="0"/>
      </w:pPr>
      <w:r>
        <w:t>Cuando la oferta haya sido evaluada como no hábil en los términos establecidos en el presente pliego de condiciones y no se haya subsanado este requisito hasta el término de traslado del informe de evaluación</w:t>
      </w:r>
    </w:p>
    <w:p>
      <w:pPr>
        <w:spacing w:after="0"/>
      </w:pPr>
    </w:p>
    <w:p>
      <w:pPr>
        <w:numPr>
          <w:ilvl w:val="0"/>
          <w:numId w:val="9"/>
        </w:numPr>
        <w:spacing w:after="0"/>
      </w:pPr>
      <w:r>
        <w:t>Cuando no se oferten todos los ítems que componen la oferta económica.</w:t>
      </w:r>
    </w:p>
    <w:p>
      <w:pPr>
        <w:spacing w:after="0"/>
      </w:pPr>
    </w:p>
    <w:p>
      <w:pPr>
        <w:numPr>
          <w:ilvl w:val="0"/>
          <w:numId w:val="9"/>
        </w:numPr>
        <w:spacing w:after="0"/>
      </w:pPr>
      <w:r>
        <w:t>Cuando el Proponente en su propuesta económica exceda el presupuesto oficial asignado o cuando la propuesta económica SECOP II, no se presente o se modifique o se presente incompleta o condicionada.</w:t>
      </w:r>
    </w:p>
    <w:p>
      <w:pPr>
        <w:spacing w:after="0"/>
      </w:pPr>
    </w:p>
    <w:p>
      <w:pPr>
        <w:numPr>
          <w:ilvl w:val="0"/>
          <w:numId w:val="9"/>
        </w:numPr>
        <w:spacing w:after="0"/>
      </w:pPr>
      <w:r>
        <w:t>Cuando el proponente condicione su propuesta.</w:t>
      </w:r>
    </w:p>
    <w:p>
      <w:pPr>
        <w:spacing w:after="0"/>
      </w:pPr>
    </w:p>
    <w:p>
      <w:pPr>
        <w:numPr>
          <w:ilvl w:val="0"/>
          <w:numId w:val="9"/>
        </w:numPr>
        <w:spacing w:after="0"/>
      </w:pPr>
      <w:r>
        <w:t xml:space="preserve">Si el proponente no responde de manera satisfactoria el requerimiento efectuado por el Municipio de Neiva hasta el término de traslado del informe de evaluación y en consecuencia no cumple con alguno de los aspectos, jurídicos, financieros y técnicas. </w:t>
      </w:r>
    </w:p>
    <w:p>
      <w:pPr>
        <w:spacing w:after="0"/>
      </w:pPr>
    </w:p>
    <w:p>
      <w:pPr>
        <w:numPr>
          <w:ilvl w:val="0"/>
          <w:numId w:val="9"/>
        </w:numPr>
        <w:spacing w:after="0"/>
      </w:pPr>
      <w:r>
        <w:t xml:space="preserve">Cuando el proponente no haya presentado en el término previsto manifestación de interés para participar en el presente proceso. </w:t>
      </w:r>
    </w:p>
    <w:p>
      <w:pPr>
        <w:spacing w:after="0"/>
      </w:pPr>
    </w:p>
    <w:p>
      <w:pPr>
        <w:numPr>
          <w:ilvl w:val="0"/>
          <w:numId w:val="9"/>
        </w:numPr>
        <w:spacing w:after="0"/>
      </w:pPr>
      <w:r>
        <w:t>Cuando el oferente sobrepase el presupuesto oficial estimado establecido para el presente proceso de selección.</w:t>
      </w:r>
    </w:p>
    <w:p>
      <w:pPr>
        <w:spacing w:after="0"/>
      </w:pPr>
    </w:p>
    <w:p>
      <w:pPr>
        <w:numPr>
          <w:ilvl w:val="0"/>
          <w:numId w:val="9"/>
        </w:numPr>
        <w:spacing w:after="0"/>
      </w:pPr>
      <w:r>
        <w:t>Cuando el proponente en su oferta económica no exprese valor alguno.</w:t>
      </w:r>
    </w:p>
    <w:p>
      <w:pPr>
        <w:spacing w:after="0"/>
      </w:pPr>
    </w:p>
    <w:p>
      <w:pPr>
        <w:numPr>
          <w:ilvl w:val="0"/>
          <w:numId w:val="9"/>
        </w:numPr>
        <w:spacing w:after="0"/>
      </w:pPr>
      <w:r>
        <w:t>Toda otra causa contemplada en las normas legales vigentes.</w:t>
      </w:r>
    </w:p>
    <w:p>
      <w:pPr>
        <w:spacing w:after="0"/>
      </w:pPr>
    </w:p>
    <w:p>
      <w:pPr>
        <w:numPr>
          <w:ilvl w:val="0"/>
          <w:numId w:val="9"/>
        </w:numPr>
        <w:spacing w:after="0"/>
      </w:pPr>
      <w:r>
        <w:t>Cuando el objeto social del Proponente o de los integrantes del Consorcio o Unión Temporal que sean persona jurídica, no guarde relación con el objeto a contratar.</w:t>
      </w:r>
    </w:p>
    <w:p>
      <w:pPr>
        <w:spacing w:after="0"/>
      </w:pPr>
    </w:p>
    <w:p>
      <w:pPr>
        <w:numPr>
          <w:ilvl w:val="0"/>
          <w:numId w:val="9"/>
        </w:numPr>
        <w:spacing w:after="0"/>
      </w:pPr>
      <w:r>
        <w:t xml:space="preserve">No aportar hasta el término de traslado del informe de evaluación, el documento de constitución del Consorcio o Unión Temporal, según el caso, o sea presentado sin la suscripción de los integrantes, o no se designe el representante legal en el mismo, o que en el mismo se impongan limitaciones al representante legal y este las exceda. </w:t>
      </w:r>
    </w:p>
    <w:p>
      <w:pPr>
        <w:spacing w:after="0"/>
      </w:pPr>
    </w:p>
    <w:p>
      <w:pPr>
        <w:spacing w:after="0"/>
      </w:pPr>
      <w:r>
        <w:t>Cuando el Proponente no cumpla con los requisitos mínimos exigidos para la propuesta.</w:t>
      </w:r>
    </w:p>
    <w:p>
      <w:pPr>
        <w:spacing w:after="0"/>
      </w:pPr>
    </w:p>
    <w:p>
      <w:pPr>
        <w:spacing w:after="0"/>
      </w:pPr>
      <w:r>
        <w:t>NOTA: Las anteriores causales de rechazo en este documento serán las únicas descritas para el rechazo de la oferta, y las contenidas en los documentos técnicos y anexos se tomarán como no escritas. Los demás deberes y obligaciones que contiene estas reglas de selección podrán subsanarse por parte de los PROPONENTES</w:t>
      </w:r>
    </w:p>
    <w:p>
      <w:pPr>
        <w:spacing w:after="0"/>
      </w:pPr>
      <w:r>
        <w:br w:type="page"/>
      </w:r>
    </w:p>
    <w:p>
      <w:pPr>
        <w:pStyle w:val="2"/>
        <w:numPr>
          <w:ilvl w:val="0"/>
          <w:numId w:val="0"/>
        </w:numPr>
        <w:spacing w:after="0"/>
        <w:ind w:leftChars="0"/>
        <w:jc w:val="center"/>
      </w:pPr>
      <w:r>
        <w:rPr>
          <w:lang w:val="es-CO"/>
        </w:rPr>
        <w:t xml:space="preserve">8 </w:t>
      </w:r>
      <w:r>
        <w:t>FACTORES DE DESEMPATE</w:t>
      </w:r>
    </w:p>
    <w:p>
      <w:pPr>
        <w:spacing w:after="0"/>
      </w:pPr>
    </w:p>
    <w:p>
      <w:pPr>
        <w:spacing w:after="0"/>
      </w:pPr>
      <w:r>
        <w:t>Para el caso de empate entre varias propuestas que se encuentren en igualdad en el puntaje total, se tendrán en cuenta de acuerdo con el artículo 2.2.1.1.2.2.9. Factores de Desempate, del Decreto 1082 de 2015, en su orden y de manera sucesiva y excluyente los siguientes criterios de desempate:</w:t>
      </w:r>
    </w:p>
    <w:p>
      <w:pPr>
        <w:spacing w:after="0"/>
      </w:pPr>
    </w:p>
    <w:p>
      <w:pPr>
        <w:spacing w:after="0"/>
      </w:pPr>
      <w:r>
        <w:t xml:space="preserve">Factores de desempate. En caso de empate en el puntaje total de dos o más ofertas, la Entidad Estatal escogerá el oferente que tenga el mayor puntaje en el primero de los factores de escogencia y calificación establecidos en los pliegos de condiciones del Proceso de Contratación. (Técnico) </w:t>
      </w:r>
    </w:p>
    <w:p>
      <w:pPr>
        <w:spacing w:after="0"/>
      </w:pPr>
    </w:p>
    <w:p>
      <w:pPr>
        <w:spacing w:after="0"/>
      </w:pPr>
      <w:r>
        <w:t>Si persiste el empate, escogerá al oferente que tenga el mayor puntaje en el segundo de los factores de escogencia y calificación (económico) establecidos en los pliegos de condiciones del Proceso de Contratación y así sucesivamente hasta agotar la totalidad de los factores de escogencia y calificación establecidos en los pliegos de condiciones.</w:t>
      </w:r>
    </w:p>
    <w:p>
      <w:pPr>
        <w:spacing w:after="0"/>
      </w:pPr>
    </w:p>
    <w:p>
      <w:pPr>
        <w:spacing w:after="0"/>
      </w:pPr>
      <w:r>
        <w:t>Si persiste el empate, la Entidad Estatal debe utilizar las siguientes reglas de forma sucesiva y excluyente para seleccionar el oferente favorecido, respetando los compromisos adquiridos por Acuerdos Comerciales:</w:t>
      </w:r>
    </w:p>
    <w:p>
      <w:pPr>
        <w:spacing w:after="0"/>
      </w:pPr>
    </w:p>
    <w:p>
      <w:pPr>
        <w:numPr>
          <w:ilvl w:val="0"/>
          <w:numId w:val="10"/>
        </w:numPr>
        <w:spacing w:after="0"/>
      </w:pPr>
      <w:r>
        <w:t>Preferir la oferta de bienes o servicios nacionales frente a la oferta de bienes o servicios extranjeros.</w:t>
      </w:r>
    </w:p>
    <w:p>
      <w:pPr>
        <w:spacing w:after="0"/>
      </w:pPr>
    </w:p>
    <w:p>
      <w:pPr>
        <w:numPr>
          <w:ilvl w:val="0"/>
          <w:numId w:val="10"/>
        </w:numPr>
        <w:spacing w:after="0"/>
      </w:pPr>
      <w:r>
        <w:t>Preferir las ofertas presentada por una Mipyme nacional.</w:t>
      </w:r>
    </w:p>
    <w:p>
      <w:pPr>
        <w:spacing w:after="0"/>
      </w:pPr>
    </w:p>
    <w:p>
      <w:pPr>
        <w:spacing w:after="0"/>
      </w:pPr>
      <w:r>
        <w:t xml:space="preserve">NOTA: Cuando un consorcio, unión temporal esté conformado en un cien por ciento (100%) por Mypimes nacionales, es en sí, una Mipyme Nacional. </w:t>
      </w:r>
    </w:p>
    <w:p>
      <w:pPr>
        <w:spacing w:after="0"/>
      </w:pPr>
    </w:p>
    <w:p>
      <w:pPr>
        <w:numPr>
          <w:ilvl w:val="0"/>
          <w:numId w:val="10"/>
        </w:numPr>
        <w:spacing w:after="0"/>
      </w:pPr>
      <w:r>
        <w:t>Preferir la oferta presentada por un Consorcio, Unión Temporal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integrantes del Consorcio, Unión Temporal.</w:t>
      </w:r>
    </w:p>
    <w:p>
      <w:pPr>
        <w:spacing w:after="0"/>
      </w:pPr>
    </w:p>
    <w:p>
      <w:pPr>
        <w:spacing w:after="0"/>
      </w:pPr>
      <w:r>
        <w:t xml:space="preserve">NOTA: Este numeral 3 aplica, en caso que la participación de las Mypimes sea igual o mayor al 25% y MENOR al 100%, y no cuando el consorcio, unión temporal estén conformados en un 100% por Mypimes Nacionales. </w:t>
      </w:r>
    </w:p>
    <w:p>
      <w:pPr>
        <w:spacing w:after="0"/>
      </w:pPr>
    </w:p>
    <w:p>
      <w:pPr>
        <w:numPr>
          <w:ilvl w:val="0"/>
          <w:numId w:val="10"/>
        </w:numPr>
        <w:spacing w:after="0"/>
      </w:pPr>
      <w:r>
        <w:t>Preferir la propuesta presentada por el oferente que acredite en las condiciones esta</w:t>
      </w:r>
      <w:r>
        <w:softHyphen/>
      </w:r>
      <w:r>
        <w:t>blecidas en la ley que por lo menos el diez por ciento (10%) de su nómina está en condición de discapacidad a la que se refiere la Ley </w:t>
      </w:r>
      <w:r>
        <w:fldChar w:fldCharType="begin"/>
      </w:r>
      <w:r>
        <w:instrText xml:space="preserve"> HYPERLINK "http://www.alcaldiabogota.gov.co/sisjur/normas/Norma1.jsp?i=343" \l "0" </w:instrText>
      </w:r>
      <w:r>
        <w:fldChar w:fldCharType="separate"/>
      </w:r>
      <w:r>
        <w:rPr>
          <w:rStyle w:val="14"/>
          <w:rFonts w:ascii="Arial Narrow" w:hAnsi="Arial Narrow" w:cs="Arial"/>
          <w:szCs w:val="20"/>
        </w:rPr>
        <w:t>361</w:t>
      </w:r>
      <w:r>
        <w:rPr>
          <w:rStyle w:val="14"/>
          <w:rFonts w:ascii="Arial Narrow" w:hAnsi="Arial Narrow" w:cs="Arial"/>
          <w:szCs w:val="20"/>
        </w:rPr>
        <w:fldChar w:fldCharType="end"/>
      </w:r>
      <w:r>
        <w:t> de 1997. Si la oferta es presentada por un Consorcio, Unión Temporal, el integrante del oferente que acredite que el diez por ciento (10%) de su nómina está en condición de discapacidad en los términos del presente numeral, debe tener una participación de por lo menos el veinticinco por ciento (25%) en el Consorcio, Unión Temporal y aportar mínimo el veinticinco por ciento (25%) de la experiencia acreditada en la oferta.</w:t>
      </w:r>
    </w:p>
    <w:p>
      <w:pPr>
        <w:spacing w:after="0"/>
      </w:pPr>
    </w:p>
    <w:p>
      <w:pPr>
        <w:spacing w:after="0"/>
      </w:pPr>
      <w:r>
        <w:t>NOTA: Para efectos de acreditar este requerimiento el proponente deberá presentar la certificación expida por el Ministerio de Trabajo o la entidad competente.</w:t>
      </w:r>
    </w:p>
    <w:p>
      <w:pPr>
        <w:spacing w:after="0"/>
      </w:pPr>
    </w:p>
    <w:p>
      <w:pPr>
        <w:numPr>
          <w:ilvl w:val="0"/>
          <w:numId w:val="10"/>
        </w:numPr>
        <w:spacing w:after="0"/>
      </w:pPr>
      <w:r>
        <w:t>Utilizar un método aleatorio para seleccionar el oferente, método que deberá haber sido previsto en los pliegos de condiciones del Proceso de Contratación.</w:t>
      </w:r>
    </w:p>
    <w:p>
      <w:pPr>
        <w:spacing w:after="0"/>
      </w:pPr>
    </w:p>
    <w:p>
      <w:pPr>
        <w:spacing w:after="0"/>
      </w:pPr>
      <w:r>
        <w:t>NOTA: Para dar aplicación al numeral anterior, se procederá a elegir el ganador mediante el sorteo por balotas, para lo cual en la Audiencia, los Representantes Legales (o delegados) de las propuestas empatadas escogerán las balotas y se adjudicará a aqu</w:t>
      </w:r>
      <w:bookmarkStart w:id="12" w:name="_Toc413926369"/>
      <w:r>
        <w:t>el que obtenga el número mayor.</w:t>
      </w:r>
    </w:p>
    <w:bookmarkEnd w:id="12"/>
    <w:p/>
    <w:p/>
    <w:p/>
    <w:p/>
    <w:p/>
    <w:p/>
    <w:p/>
    <w:p/>
    <w:p/>
    <w:p>
      <w:pPr>
        <w:numPr>
          <w:ilvl w:val="0"/>
          <w:numId w:val="0"/>
        </w:numPr>
        <w:spacing w:after="0"/>
        <w:jc w:val="center"/>
        <w:rPr>
          <w:rFonts w:cs="Calibri"/>
          <w:b/>
        </w:rPr>
      </w:pPr>
      <w:r>
        <w:rPr>
          <w:rFonts w:cs="Calibri"/>
          <w:b/>
          <w:lang w:val="es-CO"/>
        </w:rPr>
        <w:t xml:space="preserve">9 </w:t>
      </w:r>
      <w:r>
        <w:rPr>
          <w:rFonts w:cs="Calibri"/>
          <w:b/>
        </w:rPr>
        <w:t>CRITERIOS DE EVALUACIÓN (PONDERABLES)</w:t>
      </w:r>
    </w:p>
    <w:p>
      <w:pPr>
        <w:spacing w:after="0"/>
        <w:rPr>
          <w:rFonts w:cs="Calibri"/>
          <w:bCs/>
        </w:rPr>
      </w:pPr>
    </w:p>
    <w:p>
      <w:pPr>
        <w:spacing w:after="0"/>
        <w:rPr>
          <w:rFonts w:cs="Calibri"/>
          <w:bCs/>
        </w:rPr>
      </w:pPr>
      <w:r>
        <w:rPr>
          <w:rFonts w:cs="Calibri"/>
          <w:bCs/>
        </w:rPr>
        <w:t>Para dar cumplimiento a lo mencionado en el Artículo 5 de la Ley 1150 de 2007 y el Artículo 2.2.1.1.2.2.2 del Decreto 1082 de 2015, en lo referente al ofrecimiento más favorable para la entidad, el MUNICIPIO realizará la ponderación de calidad de la propuesta y evaluación del factor económico, en los siguientes aspectos, sobre los cuales se obtendrá un máximo de 1.000 puntos así:</w:t>
      </w:r>
    </w:p>
    <w:p>
      <w:pPr>
        <w:spacing w:after="0"/>
        <w:rPr>
          <w:rFonts w:cs="Calibri"/>
          <w:bCs/>
        </w:rPr>
      </w:pPr>
    </w:p>
    <w:p>
      <w:pPr>
        <w:spacing w:after="0"/>
        <w:rPr>
          <w:rFonts w:eastAsia="Times New Roman" w:cs="Calibri"/>
          <w:b/>
        </w:rPr>
      </w:pPr>
      <w:r>
        <w:rPr>
          <w:rFonts w:cs="Calibri"/>
          <w:bCs/>
        </w:rPr>
        <w:t>Criterios de Evaluación ponderables:</w:t>
      </w:r>
    </w:p>
    <w:tbl>
      <w:tblPr>
        <w:tblStyle w:val="15"/>
        <w:tblW w:w="8272" w:type="dxa"/>
        <w:jc w:val="center"/>
        <w:tblInd w:w="12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7"/>
        <w:gridCol w:w="3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7"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0"/>
              <w:jc w:val="center"/>
              <w:rPr>
                <w:rFonts w:eastAsia="Times New Roman" w:cs="Calibri"/>
                <w:b/>
                <w:sz w:val="20"/>
                <w:szCs w:val="20"/>
              </w:rPr>
            </w:pPr>
            <w:r>
              <w:rPr>
                <w:rFonts w:eastAsia="Times New Roman" w:cs="Calibri"/>
                <w:b/>
                <w:sz w:val="20"/>
                <w:szCs w:val="20"/>
              </w:rPr>
              <w:t>CRITERIOS DE EVALUACIÓN</w:t>
            </w:r>
          </w:p>
        </w:tc>
        <w:tc>
          <w:tcPr>
            <w:tcW w:w="3545" w:type="dxa"/>
            <w:tcBorders>
              <w:top w:val="single" w:color="auto" w:sz="4" w:space="0"/>
              <w:left w:val="single" w:color="auto" w:sz="4" w:space="0"/>
              <w:bottom w:val="single" w:color="auto" w:sz="4" w:space="0"/>
              <w:right w:val="single" w:color="auto" w:sz="4" w:space="0"/>
            </w:tcBorders>
            <w:shd w:val="clear" w:color="auto" w:fill="BFBFBF"/>
            <w:vAlign w:val="center"/>
          </w:tcPr>
          <w:p>
            <w:pPr>
              <w:spacing w:after="0"/>
              <w:jc w:val="center"/>
              <w:rPr>
                <w:rFonts w:eastAsia="Times New Roman" w:cs="Calibri"/>
                <w:b/>
                <w:sz w:val="20"/>
                <w:szCs w:val="20"/>
              </w:rPr>
            </w:pPr>
            <w:r>
              <w:rPr>
                <w:rFonts w:eastAsia="Times New Roman" w:cs="Calibri"/>
                <w:b/>
                <w:sz w:val="20"/>
                <w:szCs w:val="20"/>
              </w:rPr>
              <w:t>PUNTAJE TOTAL POR CRITERIO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5" w:hRule="atLeast"/>
          <w:jc w:val="center"/>
        </w:trPr>
        <w:tc>
          <w:tcPr>
            <w:tcW w:w="4727"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Calidad</w:t>
            </w:r>
          </w:p>
        </w:tc>
        <w:tc>
          <w:tcPr>
            <w:tcW w:w="3545"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7"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Incentivo a la industria Nacional</w:t>
            </w:r>
          </w:p>
        </w:tc>
        <w:tc>
          <w:tcPr>
            <w:tcW w:w="3545"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7"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No registro de multas, clausula penal, incumplimientos en el RUP</w:t>
            </w:r>
          </w:p>
        </w:tc>
        <w:tc>
          <w:tcPr>
            <w:tcW w:w="3545"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7"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Propuesta Económica</w:t>
            </w:r>
          </w:p>
        </w:tc>
        <w:tc>
          <w:tcPr>
            <w:tcW w:w="3545"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sz w:val="20"/>
                <w:szCs w:val="20"/>
              </w:rPr>
            </w:pPr>
            <w:r>
              <w:rPr>
                <w:rFonts w:eastAsia="Times New Roman" w:cs="Calibri"/>
                <w:sz w:val="20"/>
                <w:szCs w:val="20"/>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727"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b/>
                <w:sz w:val="20"/>
                <w:szCs w:val="20"/>
              </w:rPr>
            </w:pPr>
            <w:r>
              <w:rPr>
                <w:rFonts w:eastAsia="Times New Roman" w:cs="Calibri"/>
                <w:b/>
                <w:sz w:val="20"/>
                <w:szCs w:val="20"/>
              </w:rPr>
              <w:t>PUNTAJE TOTAL</w:t>
            </w:r>
          </w:p>
        </w:tc>
        <w:tc>
          <w:tcPr>
            <w:tcW w:w="3545" w:type="dxa"/>
            <w:tcBorders>
              <w:top w:val="single" w:color="auto" w:sz="4" w:space="0"/>
              <w:left w:val="single" w:color="auto" w:sz="4" w:space="0"/>
              <w:bottom w:val="single" w:color="auto" w:sz="4" w:space="0"/>
              <w:right w:val="single" w:color="auto" w:sz="4" w:space="0"/>
            </w:tcBorders>
            <w:vAlign w:val="center"/>
          </w:tcPr>
          <w:p>
            <w:pPr>
              <w:spacing w:after="0"/>
              <w:jc w:val="center"/>
              <w:rPr>
                <w:rFonts w:eastAsia="Times New Roman" w:cs="Calibri"/>
                <w:b/>
                <w:sz w:val="20"/>
                <w:szCs w:val="20"/>
              </w:rPr>
            </w:pPr>
            <w:r>
              <w:rPr>
                <w:rFonts w:eastAsia="Times New Roman" w:cs="Calibri"/>
                <w:b/>
                <w:sz w:val="20"/>
                <w:szCs w:val="20"/>
              </w:rPr>
              <w:t>1000</w:t>
            </w:r>
          </w:p>
        </w:tc>
      </w:tr>
    </w:tbl>
    <w:p>
      <w:pPr>
        <w:spacing w:after="0"/>
        <w:rPr>
          <w:rFonts w:eastAsia="Times New Roman" w:cs="Calibri"/>
          <w:b/>
        </w:rPr>
      </w:pPr>
    </w:p>
    <w:p>
      <w:pPr>
        <w:tabs>
          <w:tab w:val="left" w:pos="284"/>
        </w:tabs>
        <w:spacing w:after="0"/>
        <w:rPr>
          <w:rFonts w:eastAsia="Times New Roman" w:cs="Calibri"/>
        </w:rPr>
      </w:pPr>
      <w:r>
        <w:rPr>
          <w:rFonts w:eastAsia="Times New Roman" w:cs="Calibri"/>
        </w:rPr>
        <w:t>La ponderación de los factores de evaluación de las propuestas, se aplicará a aquellas propuestas que resultaron hábiles en los aspectos jurídico, técnico y financiero.</w:t>
      </w:r>
    </w:p>
    <w:p>
      <w:pPr>
        <w:tabs>
          <w:tab w:val="left" w:pos="284"/>
        </w:tabs>
        <w:spacing w:after="0"/>
        <w:rPr>
          <w:rFonts w:eastAsia="Times New Roman" w:cs="Calibri"/>
        </w:rPr>
      </w:pPr>
    </w:p>
    <w:p>
      <w:pPr>
        <w:tabs>
          <w:tab w:val="left" w:pos="284"/>
        </w:tabs>
        <w:spacing w:after="0"/>
        <w:rPr>
          <w:rFonts w:eastAsia="Times New Roman" w:cs="Calibri"/>
        </w:rPr>
      </w:pPr>
      <w:r>
        <w:rPr>
          <w:rFonts w:eastAsia="Times New Roman" w:cs="Calibri"/>
        </w:rPr>
        <w:t>Por la ponderación de las propuestas, la entidad tendrá en cuenta los siguientes factores y puntajes máximos asociados, que le permitirán escoger la propuesta más favorable.</w:t>
      </w:r>
    </w:p>
    <w:p>
      <w:pPr>
        <w:tabs>
          <w:tab w:val="left" w:pos="284"/>
        </w:tabs>
        <w:spacing w:after="0"/>
        <w:rPr>
          <w:rFonts w:eastAsia="Times New Roman" w:cs="Calibri"/>
        </w:rPr>
      </w:pPr>
    </w:p>
    <w:p>
      <w:pPr>
        <w:tabs>
          <w:tab w:val="left" w:pos="284"/>
        </w:tabs>
        <w:spacing w:after="0"/>
        <w:rPr>
          <w:rFonts w:eastAsia="Times New Roman" w:cs="Calibri"/>
        </w:rPr>
      </w:pPr>
      <w:r>
        <w:rPr>
          <w:rFonts w:eastAsia="Times New Roman" w:cs="Calibri"/>
        </w:rPr>
        <w:t>Con base a lo establecido por el numeral 2 del artículo 5 de la ley 1150 de 2007, modificado por el artículo 88 de la ley 1474 de 2011 la oferta más favorable será aquella que teniendo en cuenta los factores técnicos y económicos, resulte más ventajosa para la entidad, soportados en los siguientes criterios y puntajes.</w:t>
      </w:r>
    </w:p>
    <w:p>
      <w:pPr>
        <w:tabs>
          <w:tab w:val="left" w:pos="284"/>
        </w:tabs>
        <w:spacing w:after="0"/>
        <w:rPr>
          <w:rFonts w:eastAsia="Times New Roman" w:cs="Calibri"/>
        </w:rPr>
      </w:pPr>
    </w:p>
    <w:p>
      <w:pPr>
        <w:tabs>
          <w:tab w:val="left" w:pos="284"/>
        </w:tabs>
        <w:spacing w:after="0"/>
        <w:rPr>
          <w:rFonts w:eastAsia="Times New Roman" w:cs="Calibri"/>
        </w:rPr>
      </w:pPr>
      <w:r>
        <w:rPr>
          <w:rFonts w:eastAsia="Times New Roman" w:cs="Calibri"/>
        </w:rPr>
        <w:t>De acuerdo con el puntaje obtenido por cada una de los proponentes, se establecerá un orden de elegibilidad para la adjudicación del contrato.</w:t>
      </w:r>
    </w:p>
    <w:p>
      <w:pPr>
        <w:tabs>
          <w:tab w:val="left" w:pos="284"/>
        </w:tabs>
        <w:spacing w:after="0"/>
        <w:rPr>
          <w:rFonts w:eastAsia="Times New Roman" w:cs="Calibri"/>
        </w:rPr>
      </w:pPr>
    </w:p>
    <w:p>
      <w:pPr>
        <w:tabs>
          <w:tab w:val="left" w:pos="284"/>
        </w:tabs>
        <w:spacing w:after="0"/>
        <w:rPr>
          <w:rFonts w:eastAsia="Times New Roman" w:cs="Calibri"/>
          <w:b/>
        </w:rPr>
      </w:pPr>
      <w:r>
        <w:rPr>
          <w:rFonts w:eastAsia="Times New Roman" w:cs="Calibri"/>
          <w:b/>
          <w:lang w:val="es-CO"/>
        </w:rPr>
        <w:t xml:space="preserve">9.1 </w:t>
      </w:r>
      <w:r>
        <w:rPr>
          <w:rFonts w:eastAsia="Times New Roman" w:cs="Calibri"/>
          <w:b/>
        </w:rPr>
        <w:t>CALIDAD. (300 Puntos)</w:t>
      </w:r>
    </w:p>
    <w:p>
      <w:pPr>
        <w:tabs>
          <w:tab w:val="left" w:pos="284"/>
        </w:tabs>
        <w:spacing w:after="0"/>
        <w:ind w:left="720"/>
        <w:rPr>
          <w:rFonts w:eastAsia="Times New Roman" w:cs="Calibri"/>
          <w:b/>
        </w:rPr>
      </w:pPr>
    </w:p>
    <w:p>
      <w:pPr>
        <w:tabs>
          <w:tab w:val="left" w:pos="284"/>
        </w:tabs>
        <w:spacing w:after="0"/>
        <w:rPr>
          <w:rFonts w:eastAsia="Times New Roman" w:cs="Calibri"/>
        </w:rPr>
      </w:pPr>
      <w:r>
        <w:rPr>
          <w:rFonts w:eastAsia="Times New Roman" w:cs="Calibri"/>
        </w:rPr>
        <w:t>El Municipio otorgará un puntaje máximo de 300 puntos al o a los proponentes que realicen el siguiente ofrecimiento sin costo para la entidad, mediante oficio firmado por el representante legal del proponente.</w:t>
      </w:r>
    </w:p>
    <w:p>
      <w:pPr>
        <w:tabs>
          <w:tab w:val="left" w:pos="284"/>
        </w:tabs>
        <w:spacing w:after="0"/>
        <w:rPr>
          <w:rFonts w:eastAsia="Times New Roman" w:cs="Calibri"/>
        </w:rPr>
      </w:pPr>
    </w:p>
    <w:p>
      <w:pPr>
        <w:tabs>
          <w:tab w:val="left" w:pos="284"/>
        </w:tabs>
        <w:spacing w:after="0"/>
        <w:rPr>
          <w:rFonts w:eastAsia="Times New Roman" w:cs="Calibri"/>
        </w:rPr>
      </w:pPr>
    </w:p>
    <w:tbl>
      <w:tblPr>
        <w:tblStyle w:val="15"/>
        <w:tblW w:w="94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77"/>
        <w:gridCol w:w="1459"/>
        <w:gridCol w:w="14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1" w:hRule="atLeast"/>
        </w:trPr>
        <w:tc>
          <w:tcPr>
            <w:tcW w:w="6577" w:type="dxa"/>
            <w:tcBorders>
              <w:top w:val="single" w:color="000000" w:sz="4" w:space="0"/>
              <w:left w:val="single" w:color="000000" w:sz="4" w:space="0"/>
              <w:bottom w:val="single" w:color="000000" w:sz="4" w:space="0"/>
              <w:right w:val="single" w:color="000000" w:sz="4" w:space="0"/>
            </w:tcBorders>
            <w:shd w:val="clear" w:color="auto" w:fill="BFBFBF"/>
            <w:vAlign w:val="center"/>
          </w:tcPr>
          <w:p>
            <w:pPr>
              <w:tabs>
                <w:tab w:val="left" w:pos="284"/>
              </w:tabs>
              <w:spacing w:after="160" w:line="256" w:lineRule="auto"/>
              <w:jc w:val="center"/>
              <w:rPr>
                <w:rFonts w:ascii="Century Gothic" w:hAnsi="Century Gothic" w:eastAsia="Times New Roman" w:cs="Arial"/>
                <w:b/>
                <w:sz w:val="20"/>
                <w:szCs w:val="20"/>
                <w:lang w:eastAsia="es-ES"/>
              </w:rPr>
            </w:pPr>
            <w:r>
              <w:rPr>
                <w:rFonts w:ascii="Century Gothic" w:hAnsi="Century Gothic" w:eastAsia="Times New Roman"/>
                <w:b/>
                <w:sz w:val="20"/>
                <w:szCs w:val="20"/>
              </w:rPr>
              <w:t>OFRECIMIENTO</w:t>
            </w:r>
          </w:p>
        </w:tc>
        <w:tc>
          <w:tcPr>
            <w:tcW w:w="1459" w:type="dxa"/>
            <w:tcBorders>
              <w:top w:val="single" w:color="000000" w:sz="4" w:space="0"/>
              <w:left w:val="single" w:color="000000" w:sz="4" w:space="0"/>
              <w:bottom w:val="single" w:color="000000" w:sz="4" w:space="0"/>
              <w:right w:val="single" w:color="000000" w:sz="4" w:space="0"/>
            </w:tcBorders>
            <w:shd w:val="clear" w:color="auto" w:fill="BFBFBF"/>
            <w:vAlign w:val="center"/>
          </w:tcPr>
          <w:p>
            <w:pPr>
              <w:tabs>
                <w:tab w:val="left" w:pos="284"/>
              </w:tabs>
              <w:spacing w:after="160" w:line="256" w:lineRule="auto"/>
              <w:jc w:val="center"/>
              <w:rPr>
                <w:rFonts w:ascii="Century Gothic" w:hAnsi="Century Gothic" w:eastAsia="Times New Roman" w:cs="Arial"/>
                <w:b/>
                <w:sz w:val="20"/>
                <w:szCs w:val="20"/>
                <w:lang w:eastAsia="es-ES"/>
              </w:rPr>
            </w:pPr>
            <w:r>
              <w:rPr>
                <w:rFonts w:ascii="Century Gothic" w:hAnsi="Century Gothic" w:eastAsia="Times New Roman"/>
                <w:b/>
                <w:sz w:val="20"/>
                <w:szCs w:val="20"/>
              </w:rPr>
              <w:t>CANTIDAD</w:t>
            </w:r>
          </w:p>
        </w:tc>
        <w:tc>
          <w:tcPr>
            <w:tcW w:w="1459" w:type="dxa"/>
            <w:tcBorders>
              <w:top w:val="single" w:color="000000" w:sz="4" w:space="0"/>
              <w:left w:val="single" w:color="000000" w:sz="4" w:space="0"/>
              <w:bottom w:val="single" w:color="000000" w:sz="4" w:space="0"/>
              <w:right w:val="single" w:color="000000" w:sz="4" w:space="0"/>
            </w:tcBorders>
            <w:shd w:val="clear" w:color="auto" w:fill="BFBFBF"/>
            <w:vAlign w:val="center"/>
          </w:tcPr>
          <w:p>
            <w:pPr>
              <w:tabs>
                <w:tab w:val="left" w:pos="284"/>
              </w:tabs>
              <w:spacing w:after="160" w:line="256" w:lineRule="auto"/>
              <w:jc w:val="center"/>
              <w:rPr>
                <w:rFonts w:ascii="Century Gothic" w:hAnsi="Century Gothic" w:eastAsia="Times New Roman" w:cs="Arial"/>
                <w:b/>
                <w:sz w:val="20"/>
                <w:szCs w:val="20"/>
                <w:lang w:eastAsia="es-ES"/>
              </w:rPr>
            </w:pPr>
            <w:r>
              <w:rPr>
                <w:rFonts w:ascii="Century Gothic" w:hAnsi="Century Gothic" w:eastAsia="Times New Roman"/>
                <w:b/>
                <w:sz w:val="20"/>
                <w:szCs w:val="20"/>
              </w:rPr>
              <w:t>PUNTOS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266" w:hRule="atLeast"/>
        </w:trPr>
        <w:tc>
          <w:tcPr>
            <w:tcW w:w="6577" w:type="dxa"/>
            <w:tcBorders>
              <w:top w:val="single" w:color="000000" w:sz="4" w:space="0"/>
              <w:left w:val="single" w:color="000000" w:sz="4" w:space="0"/>
              <w:bottom w:val="single" w:color="000000" w:sz="4" w:space="0"/>
              <w:right w:val="single" w:color="000000" w:sz="4" w:space="0"/>
            </w:tcBorders>
            <w:vAlign w:val="center"/>
          </w:tcPr>
          <w:p>
            <w:pPr>
              <w:tabs>
                <w:tab w:val="left" w:pos="284"/>
              </w:tabs>
              <w:spacing w:after="0" w:line="256" w:lineRule="auto"/>
              <w:jc w:val="center"/>
              <w:rPr>
                <w:rFonts w:ascii="Century Gothic" w:hAnsi="Century Gothic" w:eastAsia="Times New Roman" w:cs="Arial"/>
                <w:sz w:val="20"/>
                <w:szCs w:val="20"/>
                <w:highlight w:val="red"/>
                <w:lang w:eastAsia="es-ES"/>
              </w:rPr>
            </w:pPr>
            <w:r>
              <w:rPr>
                <w:rFonts w:hint="default" w:ascii="Calibri" w:hAnsi="Calibri" w:eastAsia="Times New Roman" w:cs="Calibri"/>
                <w:sz w:val="22"/>
                <w:szCs w:val="22"/>
                <w:lang w:val="es-CO"/>
              </w:rPr>
              <w:t>Suministro e instalación de r</w:t>
            </w:r>
            <w:r>
              <w:rPr>
                <w:rFonts w:hint="default" w:ascii="Calibri" w:hAnsi="Calibri" w:eastAsia="Times New Roman" w:cs="Calibri"/>
                <w:sz w:val="22"/>
                <w:szCs w:val="22"/>
              </w:rPr>
              <w:t>eflector JETA LED 100 W 6500K 7500lm, protección IP 65, voltaje 85-265V y todo lo necesario para su correcto funcionamiento.</w:t>
            </w:r>
          </w:p>
        </w:tc>
        <w:tc>
          <w:tcPr>
            <w:tcW w:w="1459" w:type="dxa"/>
            <w:tcBorders>
              <w:top w:val="single" w:color="000000" w:sz="4" w:space="0"/>
              <w:left w:val="single" w:color="000000" w:sz="4" w:space="0"/>
              <w:bottom w:val="single" w:color="000000" w:sz="4" w:space="0"/>
              <w:right w:val="single" w:color="000000" w:sz="4" w:space="0"/>
            </w:tcBorders>
            <w:vAlign w:val="center"/>
          </w:tcPr>
          <w:p>
            <w:pPr>
              <w:tabs>
                <w:tab w:val="left" w:pos="284"/>
              </w:tabs>
              <w:spacing w:after="0" w:line="256" w:lineRule="auto"/>
              <w:jc w:val="center"/>
              <w:rPr>
                <w:rFonts w:ascii="Century Gothic" w:hAnsi="Century Gothic" w:eastAsia="Times New Roman" w:cs="Arial"/>
                <w:b/>
                <w:sz w:val="20"/>
                <w:szCs w:val="20"/>
                <w:lang w:val="es-CO" w:eastAsia="es-ES"/>
              </w:rPr>
            </w:pPr>
            <w:r>
              <w:rPr>
                <w:rFonts w:ascii="Century Gothic" w:hAnsi="Century Gothic" w:eastAsia="Times New Roman"/>
                <w:b/>
                <w:sz w:val="20"/>
                <w:szCs w:val="20"/>
                <w:lang w:val="es-CO"/>
              </w:rPr>
              <w:t>2</w:t>
            </w:r>
          </w:p>
        </w:tc>
        <w:tc>
          <w:tcPr>
            <w:tcW w:w="1459" w:type="dxa"/>
            <w:tcBorders>
              <w:top w:val="single" w:color="000000" w:sz="4" w:space="0"/>
              <w:left w:val="single" w:color="000000" w:sz="4" w:space="0"/>
              <w:bottom w:val="single" w:color="000000" w:sz="4" w:space="0"/>
              <w:right w:val="single" w:color="000000" w:sz="4" w:space="0"/>
            </w:tcBorders>
            <w:vAlign w:val="center"/>
          </w:tcPr>
          <w:p>
            <w:pPr>
              <w:tabs>
                <w:tab w:val="left" w:pos="284"/>
              </w:tabs>
              <w:spacing w:after="0" w:line="256" w:lineRule="auto"/>
              <w:jc w:val="center"/>
              <w:rPr>
                <w:rFonts w:ascii="Century Gothic" w:hAnsi="Century Gothic" w:eastAsia="Times New Roman" w:cs="Arial"/>
                <w:b/>
                <w:sz w:val="20"/>
                <w:szCs w:val="20"/>
                <w:lang w:eastAsia="es-ES"/>
              </w:rPr>
            </w:pPr>
            <w:r>
              <w:rPr>
                <w:rFonts w:ascii="Century Gothic" w:hAnsi="Century Gothic" w:eastAsia="Times New Roman"/>
                <w:b/>
                <w:sz w:val="20"/>
                <w:szCs w:val="20"/>
              </w:rPr>
              <w:t>300</w:t>
            </w:r>
          </w:p>
        </w:tc>
      </w:tr>
    </w:tbl>
    <w:p>
      <w:pPr>
        <w:tabs>
          <w:tab w:val="left" w:pos="284"/>
        </w:tabs>
        <w:spacing w:after="0"/>
        <w:rPr>
          <w:rFonts w:eastAsia="Times New Roman" w:cs="Calibri"/>
          <w:b/>
        </w:rPr>
      </w:pPr>
    </w:p>
    <w:p>
      <w:pPr>
        <w:tabs>
          <w:tab w:val="left" w:pos="284"/>
        </w:tabs>
        <w:spacing w:after="0"/>
        <w:rPr>
          <w:rFonts w:eastAsia="Times New Roman" w:cs="Calibri"/>
        </w:rPr>
      </w:pPr>
      <w:r>
        <w:rPr>
          <w:rFonts w:eastAsia="Times New Roman" w:cs="Calibri"/>
        </w:rPr>
        <w:t>Las condiciones a evaluar por este aspecto técnico, se entienden adicionales a los requerimientos mínimos exigidos al proponente. En este sentido, los ofrecimientos que por este aspecto de calidad formule por escrito el oferente (Anexo - Formato de certificado para acreditar factores de calidad objeto de ponderación) no tendrán ningún costo adicional para el Municipio. En Consecuencia dicho ofrecimiento no tendrá incidencia alguna ya sea de tipo técnico o económico dentro del cuestionario de Propuesta económica del SECOP II que deberá diligenciar el proponente.</w:t>
      </w:r>
    </w:p>
    <w:p>
      <w:pPr>
        <w:tabs>
          <w:tab w:val="left" w:pos="284"/>
        </w:tabs>
        <w:spacing w:after="0"/>
        <w:rPr>
          <w:rFonts w:eastAsia="Times New Roman" w:cs="Calibri"/>
        </w:rPr>
      </w:pPr>
    </w:p>
    <w:p>
      <w:pPr>
        <w:tabs>
          <w:tab w:val="left" w:pos="284"/>
        </w:tabs>
        <w:spacing w:after="0"/>
        <w:rPr>
          <w:rFonts w:eastAsia="Times New Roman" w:cs="Calibri"/>
          <w:b/>
        </w:rPr>
      </w:pPr>
      <w:r>
        <w:rPr>
          <w:rFonts w:eastAsia="Times New Roman" w:cs="Calibri"/>
          <w:b/>
          <w:lang w:val="es-CO"/>
        </w:rPr>
        <w:t>9.</w:t>
      </w:r>
      <w:r>
        <w:rPr>
          <w:rFonts w:eastAsia="Times New Roman" w:cs="Calibri"/>
          <w:b/>
        </w:rPr>
        <w:t>2</w:t>
      </w:r>
      <w:r>
        <w:rPr>
          <w:rFonts w:eastAsia="Times New Roman" w:cs="Calibri"/>
          <w:b/>
          <w:lang w:val="es-CO"/>
        </w:rPr>
        <w:t xml:space="preserve"> </w:t>
      </w:r>
      <w:r>
        <w:rPr>
          <w:rFonts w:eastAsia="Times New Roman" w:cs="Calibri"/>
          <w:b/>
        </w:rPr>
        <w:t>ESTIMULO A LA INDUSTRIA NACIONAL COLOMBIANA (hasta 100 puntos)</w:t>
      </w:r>
    </w:p>
    <w:p>
      <w:pPr>
        <w:tabs>
          <w:tab w:val="left" w:pos="284"/>
        </w:tabs>
        <w:spacing w:after="0"/>
        <w:rPr>
          <w:rFonts w:eastAsia="Times New Roman" w:cs="Calibri"/>
          <w:bCs/>
        </w:rPr>
      </w:pPr>
    </w:p>
    <w:p>
      <w:pPr>
        <w:pStyle w:val="7"/>
        <w:spacing w:after="0"/>
        <w:jc w:val="both"/>
        <w:rPr>
          <w:rFonts w:cs="Calibri"/>
          <w:b w:val="0"/>
          <w:bCs/>
          <w:szCs w:val="22"/>
        </w:rPr>
      </w:pPr>
      <w:r>
        <w:rPr>
          <w:rFonts w:cs="Calibri"/>
          <w:b w:val="0"/>
          <w:bCs/>
          <w:szCs w:val="22"/>
        </w:rPr>
        <w:t xml:space="preserve">De conformidad con lo consagrado en el artículo 2 de la Ley 816 de 2003, asignará el respectivo puntaje a los proponentes que acrediten, mediante certificación suscrita por el representante legal (Anexo - Apoyo a la Industria Nacional), que su propuesta oferta bienes y servicios de origen nacional. Para el efecto, se tendrá en cuenta lo establecido en el artículo 2.2.1.2.4.2.1 del Decreto 1082 de 2015. </w:t>
      </w:r>
    </w:p>
    <w:p>
      <w:pPr>
        <w:tabs>
          <w:tab w:val="left" w:pos="284"/>
        </w:tabs>
        <w:spacing w:after="0"/>
        <w:rPr>
          <w:rFonts w:eastAsia="Times New Roman" w:cs="Calibri"/>
        </w:rPr>
      </w:pPr>
    </w:p>
    <w:p>
      <w:pPr>
        <w:tabs>
          <w:tab w:val="left" w:pos="284"/>
        </w:tabs>
        <w:spacing w:after="0"/>
        <w:rPr>
          <w:rFonts w:eastAsia="Times New Roman" w:cs="Calibri"/>
        </w:rPr>
      </w:pPr>
      <w:r>
        <w:rPr>
          <w:rFonts w:eastAsia="Times New Roman" w:cs="Calibri"/>
        </w:rPr>
        <w:t xml:space="preserve">De igual manera, conforme con lo establecido en el parágrafo del artículo 51 del decreto – Ley 019 de 2012, se otorgará tratamiento de bien o de servicio de origen nacional a aquellos bienes o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w:t>
      </w:r>
    </w:p>
    <w:p>
      <w:pPr>
        <w:tabs>
          <w:tab w:val="left" w:pos="284"/>
        </w:tabs>
        <w:spacing w:after="0"/>
        <w:rPr>
          <w:rFonts w:eastAsia="Times New Roman" w:cs="Calibri"/>
        </w:rPr>
      </w:pPr>
    </w:p>
    <w:p>
      <w:pPr>
        <w:tabs>
          <w:tab w:val="left" w:pos="284"/>
        </w:tabs>
        <w:spacing w:after="0"/>
        <w:rPr>
          <w:rFonts w:eastAsia="Times New Roman" w:cs="Calibri"/>
        </w:rPr>
      </w:pPr>
      <w:r>
        <w:rPr>
          <w:rFonts w:eastAsia="Times New Roman" w:cs="Calibri"/>
        </w:rPr>
        <w:t>El puntaje se asignará de acuerdo con el siguiente procedimiento:</w:t>
      </w:r>
    </w:p>
    <w:p>
      <w:pPr>
        <w:tabs>
          <w:tab w:val="left" w:pos="284"/>
        </w:tabs>
        <w:spacing w:after="0"/>
        <w:rPr>
          <w:rFonts w:eastAsia="Times New Roman" w:cs="Calibri"/>
        </w:rPr>
      </w:pPr>
    </w:p>
    <w:p>
      <w:pPr>
        <w:tabs>
          <w:tab w:val="left" w:pos="284"/>
        </w:tabs>
        <w:spacing w:after="0"/>
        <w:rPr>
          <w:rFonts w:eastAsia="Times New Roman" w:cs="Calibri"/>
        </w:rPr>
      </w:pPr>
      <w:r>
        <w:rPr>
          <w:rFonts w:eastAsia="Times New Roman" w:cs="Calibri"/>
        </w:rPr>
        <w:t>1)</w:t>
      </w:r>
      <w:r>
        <w:rPr>
          <w:rFonts w:eastAsia="Times New Roman" w:cs="Calibri"/>
        </w:rPr>
        <w:tab/>
      </w:r>
      <w:r>
        <w:rPr>
          <w:rFonts w:eastAsia="Times New Roman" w:cs="Calibri"/>
        </w:rPr>
        <w:t>Cuando la propuesta válida oferte bienes o servicios nacionales, en lo referente al objeto de este proceso de selección, se le asignaran 100 puntos.</w:t>
      </w:r>
    </w:p>
    <w:p>
      <w:pPr>
        <w:tabs>
          <w:tab w:val="left" w:pos="284"/>
        </w:tabs>
        <w:spacing w:after="0"/>
        <w:rPr>
          <w:rFonts w:eastAsia="Times New Roman" w:cs="Calibri"/>
        </w:rPr>
      </w:pPr>
    </w:p>
    <w:p>
      <w:pPr>
        <w:tabs>
          <w:tab w:val="left" w:pos="284"/>
        </w:tabs>
        <w:spacing w:after="0"/>
        <w:rPr>
          <w:rFonts w:eastAsia="Times New Roman" w:cs="Calibri"/>
        </w:rPr>
      </w:pPr>
      <w:r>
        <w:rPr>
          <w:rFonts w:eastAsia="Times New Roman" w:cs="Calibri"/>
        </w:rPr>
        <w:t>2)</w:t>
      </w:r>
      <w:r>
        <w:rPr>
          <w:rFonts w:eastAsia="Times New Roman" w:cs="Calibri"/>
        </w:rPr>
        <w:tab/>
      </w:r>
      <w:r>
        <w:rPr>
          <w:rFonts w:eastAsia="Times New Roman" w:cs="Calibri"/>
        </w:rPr>
        <w:t>Cuando la propuesta válida oferte bienes o servicios extranjeros, se asignarán 50 puntos, si incorpora componente colombiano de bienes y servicios profesionales, técnicos y operativos en un porcentaje del 50% del total requerido.</w:t>
      </w:r>
    </w:p>
    <w:p>
      <w:pPr>
        <w:tabs>
          <w:tab w:val="left" w:pos="284"/>
        </w:tabs>
        <w:spacing w:after="0"/>
        <w:rPr>
          <w:rFonts w:eastAsia="Times New Roman" w:cs="Calibri"/>
        </w:rPr>
      </w:pPr>
      <w:r>
        <w:rPr>
          <w:rFonts w:eastAsia="Times New Roman" w:cs="Calibri"/>
        </w:rPr>
        <w:t>3)</w:t>
      </w:r>
      <w:r>
        <w:rPr>
          <w:rFonts w:eastAsia="Times New Roman" w:cs="Calibri"/>
        </w:rPr>
        <w:tab/>
      </w:r>
      <w:r>
        <w:rPr>
          <w:rFonts w:eastAsia="Times New Roman" w:cs="Calibri"/>
        </w:rPr>
        <w:t>Por porcentajes inferiores a los señalados en los numerales anteriores se asignará cero (0) puntos por este criterio.</w:t>
      </w:r>
    </w:p>
    <w:p>
      <w:pPr>
        <w:spacing w:after="0"/>
        <w:rPr>
          <w:rFonts w:eastAsia="Times New Roman" w:cs="Calibri"/>
          <w:b/>
        </w:rPr>
      </w:pPr>
    </w:p>
    <w:p>
      <w:pPr>
        <w:spacing w:after="0"/>
        <w:rPr>
          <w:rFonts w:eastAsia="Times New Roman" w:cs="Calibri"/>
          <w:b/>
        </w:rPr>
      </w:pPr>
      <w:r>
        <w:rPr>
          <w:rFonts w:eastAsia="Times New Roman" w:cs="Calibri"/>
          <w:b/>
          <w:lang w:val="es-CO"/>
        </w:rPr>
        <w:t>9.</w:t>
      </w:r>
      <w:r>
        <w:rPr>
          <w:rFonts w:eastAsia="Times New Roman" w:cs="Calibri"/>
          <w:b/>
        </w:rPr>
        <w:t>3 NO REGISTRO DE MULTAS, CLAUSULA PENAL, INCUMPLIMIENTOS EN EL RUP (100 puntos)</w:t>
      </w:r>
    </w:p>
    <w:p>
      <w:pPr>
        <w:spacing w:after="0"/>
        <w:rPr>
          <w:rFonts w:eastAsia="Times New Roman" w:cs="Calibri"/>
          <w:b/>
        </w:rPr>
      </w:pPr>
    </w:p>
    <w:p>
      <w:pPr>
        <w:spacing w:after="0"/>
        <w:rPr>
          <w:rFonts w:eastAsia="Times New Roman" w:cs="Calibri"/>
        </w:rPr>
      </w:pPr>
      <w:r>
        <w:rPr>
          <w:rFonts w:eastAsia="Times New Roman" w:cs="Calibri"/>
        </w:rPr>
        <w:t>Se asignarán 100 puntos al proponente que no haya obtenido multas o sanciones en el desarrollo de su actividad. Si el proponente registra multas o sanciones debidamente ejecutoriadas, que le hubieren sido impuestas no se le asignara el respectivo puntaje.</w:t>
      </w:r>
    </w:p>
    <w:p>
      <w:pPr>
        <w:spacing w:after="0"/>
        <w:rPr>
          <w:rFonts w:eastAsia="Times New Roman" w:cs="Calibri"/>
        </w:rPr>
      </w:pPr>
    </w:p>
    <w:p>
      <w:pPr>
        <w:spacing w:after="0"/>
        <w:rPr>
          <w:rFonts w:eastAsia="Times New Roman" w:cs="Calibri"/>
        </w:rPr>
      </w:pPr>
      <w:r>
        <w:rPr>
          <w:rFonts w:eastAsia="Times New Roman" w:cs="Calibri"/>
        </w:rPr>
        <w:t>En el caso de consorcios o uniones temporales, se restará el puntaje por multas o sanciones que registre cualquiera de sus integrantes.</w:t>
      </w:r>
    </w:p>
    <w:p>
      <w:pPr>
        <w:spacing w:after="0"/>
        <w:rPr>
          <w:rFonts w:eastAsia="Times New Roman" w:cs="Calibri"/>
          <w:b/>
        </w:rPr>
      </w:pPr>
    </w:p>
    <w:p>
      <w:pPr>
        <w:spacing w:after="0"/>
        <w:rPr>
          <w:rFonts w:eastAsia="Times New Roman" w:cs="Calibri"/>
        </w:rPr>
      </w:pPr>
      <w:r>
        <w:rPr>
          <w:rFonts w:eastAsia="Times New Roman" w:cs="Calibri"/>
        </w:rPr>
        <w:t>La información sobre multas o sanciones será obtenida del Registro Único de Proponentes de la CÁMARA DE COMERCIO, de conformidad con lo estipulado en la Ley 1150 del 2007, y el Decreto No. 1082 del 2015.</w:t>
      </w:r>
    </w:p>
    <w:p>
      <w:pPr>
        <w:spacing w:after="0"/>
        <w:rPr>
          <w:rFonts w:eastAsia="Times New Roman" w:cs="Calibri"/>
        </w:rPr>
      </w:pPr>
    </w:p>
    <w:p>
      <w:pPr>
        <w:spacing w:after="0"/>
        <w:rPr>
          <w:rFonts w:eastAsia="Times New Roman" w:cs="Calibri"/>
        </w:rPr>
      </w:pPr>
      <w:r>
        <w:rPr>
          <w:rFonts w:eastAsia="Times New Roman" w:cs="Calibri"/>
        </w:rPr>
        <w:t xml:space="preserve">En el caso de los proponentes extranjeros que no estén obligados a inscribirse en el RUP, deberán diligenciar el formato anexo denominado Declaración Juramentada de Multas y sanciones. </w:t>
      </w:r>
    </w:p>
    <w:p>
      <w:pPr>
        <w:spacing w:after="0"/>
        <w:rPr>
          <w:rFonts w:eastAsia="Times New Roman" w:cs="Calibri"/>
        </w:rPr>
      </w:pPr>
    </w:p>
    <w:p>
      <w:pPr>
        <w:spacing w:after="0"/>
        <w:rPr>
          <w:rFonts w:eastAsia="Times New Roman" w:cs="Calibri"/>
          <w:b/>
        </w:rPr>
      </w:pPr>
      <w:r>
        <w:rPr>
          <w:rFonts w:eastAsia="Times New Roman" w:cs="Calibri"/>
          <w:b/>
          <w:lang w:val="es-CO"/>
        </w:rPr>
        <w:t>9.</w:t>
      </w:r>
      <w:r>
        <w:rPr>
          <w:rFonts w:eastAsia="Times New Roman" w:cs="Calibri"/>
          <w:b/>
        </w:rPr>
        <w:t>4 PROPUESTA ECONÓMICA (500 puntos)</w:t>
      </w:r>
    </w:p>
    <w:p>
      <w:pPr>
        <w:spacing w:after="0"/>
        <w:rPr>
          <w:rFonts w:eastAsia="Times New Roman" w:cs="Calibri"/>
          <w:b/>
        </w:rPr>
      </w:pPr>
    </w:p>
    <w:p>
      <w:pPr>
        <w:spacing w:after="0"/>
        <w:rPr>
          <w:rFonts w:eastAsia="Times New Roman" w:cs="Calibri"/>
        </w:rPr>
      </w:pPr>
      <w:r>
        <w:rPr>
          <w:rFonts w:eastAsia="Times New Roman" w:cs="Calibri"/>
        </w:rPr>
        <w:t xml:space="preserve">Presentación del ofrecimiento económico. Consideraciones generales. </w:t>
      </w:r>
    </w:p>
    <w:p>
      <w:pPr>
        <w:spacing w:after="0"/>
        <w:rPr>
          <w:rFonts w:eastAsia="Times New Roman" w:cs="Calibri"/>
        </w:rPr>
      </w:pPr>
    </w:p>
    <w:p>
      <w:pPr>
        <w:tabs>
          <w:tab w:val="left" w:pos="284"/>
        </w:tabs>
        <w:spacing w:after="0"/>
        <w:rPr>
          <w:rFonts w:eastAsia="Times New Roman" w:cs="Calibri"/>
        </w:rPr>
      </w:pPr>
      <w:r>
        <w:rPr>
          <w:rFonts w:eastAsia="Times New Roman" w:cs="Calibri"/>
        </w:rPr>
        <w:t xml:space="preserve">El proponente deberá ofertar dentro de su propuesta como requisito habilitante y evaluable, la propuesta económica de acuerdo con lo establecido en el Cuestionario de oferta económica y procederá asignar hasta </w:t>
      </w:r>
      <w:r>
        <w:rPr>
          <w:rFonts w:eastAsia="Times New Roman" w:cs="Calibri"/>
          <w:lang w:val="es-CO"/>
        </w:rPr>
        <w:t>5</w:t>
      </w:r>
      <w:r>
        <w:rPr>
          <w:rFonts w:eastAsia="Times New Roman" w:cs="Calibri"/>
        </w:rPr>
        <w:t xml:space="preserve">00 puntos de acuerdo con las siguientes reglas: </w:t>
      </w:r>
    </w:p>
    <w:p>
      <w:pPr>
        <w:spacing w:after="0"/>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Que el valor total de la oferta económica sea igual o inferior al presupuesto oficial, establecido en el formulario de presupuesto oficial.</w:t>
      </w:r>
    </w:p>
    <w:p>
      <w:pPr>
        <w:spacing w:after="0"/>
        <w:ind w:left="567" w:hanging="567"/>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 xml:space="preserve">Que el valor de </w:t>
      </w:r>
      <w:r>
        <w:rPr>
          <w:rFonts w:eastAsia="Times New Roman" w:cs="Calibri"/>
          <w:lang w:val="es-CO"/>
        </w:rPr>
        <w:t xml:space="preserve">la </w:t>
      </w:r>
      <w:r>
        <w:rPr>
          <w:rFonts w:eastAsia="Times New Roman" w:cs="Calibri"/>
        </w:rPr>
        <w:t xml:space="preserve">oferta económica presentada por el proponente no debe ser superior al 100% del presupuesto oficial. Si el valor ofertado por el proponente supera estos límites la propuesta será RECHAZADA en esta etapa de verificación. </w:t>
      </w:r>
    </w:p>
    <w:p>
      <w:pPr>
        <w:spacing w:after="0"/>
        <w:ind w:left="567" w:hanging="567"/>
        <w:rPr>
          <w:rFonts w:eastAsia="Times New Roman" w:cs="Calibri"/>
        </w:rPr>
      </w:pPr>
      <w:r>
        <w:rPr>
          <w:rFonts w:eastAsia="Times New Roman" w:cs="Calibri"/>
        </w:rPr>
        <w:t xml:space="preserve"> </w:t>
      </w:r>
    </w:p>
    <w:p>
      <w:pPr>
        <w:spacing w:after="0"/>
        <w:rPr>
          <w:rFonts w:eastAsia="Times New Roman" w:cs="Calibri"/>
        </w:rPr>
      </w:pPr>
      <w:r>
        <w:rPr>
          <w:rFonts w:eastAsia="Times New Roman" w:cs="Calibri"/>
        </w:rPr>
        <w:t>La inobservancia de uno (1) o más de los requisitos anteriores será causal de RECHAZO.</w:t>
      </w:r>
    </w:p>
    <w:p>
      <w:pPr>
        <w:spacing w:after="0"/>
        <w:rPr>
          <w:rFonts w:eastAsia="Times New Roman" w:cs="Calibri"/>
        </w:rPr>
      </w:pPr>
    </w:p>
    <w:p>
      <w:pPr>
        <w:spacing w:after="0"/>
        <w:rPr>
          <w:rFonts w:eastAsia="Times New Roman" w:cs="Calibri"/>
        </w:rPr>
      </w:pPr>
      <w:r>
        <w:rPr>
          <w:rFonts w:eastAsia="Times New Roman" w:cs="Calibri"/>
        </w:rPr>
        <w:t>El MUNICIPIO, verificará, durante el término de evaluación de las ofertas, que la propuesta económica cumpla lo siguiente:</w:t>
      </w:r>
    </w:p>
    <w:p>
      <w:pPr>
        <w:spacing w:after="0"/>
        <w:rPr>
          <w:rFonts w:eastAsia="Times New Roman" w:cs="Calibri"/>
        </w:rPr>
      </w:pPr>
      <w:r>
        <w:rPr>
          <w:rFonts w:eastAsia="Times New Roman" w:cs="Calibri"/>
        </w:rPr>
        <w:t xml:space="preserve"> </w:t>
      </w: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Que se hayan ofrecido los valores unitarios para cada uno de los ítems de acuerdo al presupuesto oficial detallado que hace parte del presente pliego de condiciones.</w:t>
      </w:r>
    </w:p>
    <w:p>
      <w:pPr>
        <w:spacing w:after="0"/>
        <w:ind w:left="567" w:hanging="567"/>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Que el valor de cada uno de los precios unitarios sea igual o inferior al establecido en el formulario de presupuesto oficial.</w:t>
      </w:r>
    </w:p>
    <w:p>
      <w:pPr>
        <w:spacing w:after="0"/>
        <w:ind w:left="567" w:hanging="567"/>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Que el valor de los precios unitarios ofertados no sea cero (0).</w:t>
      </w:r>
    </w:p>
    <w:p>
      <w:pPr>
        <w:spacing w:after="0"/>
        <w:ind w:left="567" w:hanging="567"/>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Que NO se hayan modificado los valores estimados en los presupuestos oficiales, como NO MODIFICABLES (en el caso de que la entidad así lo haya establecido, en caso contrario se hará caso omiso de este enunciado).</w:t>
      </w:r>
    </w:p>
    <w:p>
      <w:pPr>
        <w:spacing w:after="0"/>
        <w:ind w:left="567" w:hanging="567"/>
        <w:rPr>
          <w:rFonts w:eastAsia="Times New Roman" w:cs="Calibri"/>
        </w:rPr>
      </w:pPr>
    </w:p>
    <w:p>
      <w:pPr>
        <w:spacing w:after="0"/>
        <w:rPr>
          <w:rFonts w:eastAsia="Times New Roman" w:cs="Calibri"/>
        </w:rPr>
      </w:pPr>
      <w:r>
        <w:rPr>
          <w:rFonts w:eastAsia="Times New Roman" w:cs="Calibri"/>
        </w:rPr>
        <w:t>La inobservancia de cualquiera de los requisitos anteriores será causal de RECHAZO.</w:t>
      </w:r>
    </w:p>
    <w:p>
      <w:pPr>
        <w:spacing w:after="0"/>
        <w:rPr>
          <w:rFonts w:eastAsia="Times New Roman" w:cs="Calibri"/>
        </w:rPr>
      </w:pPr>
    </w:p>
    <w:p>
      <w:pPr>
        <w:spacing w:after="0"/>
        <w:rPr>
          <w:rFonts w:eastAsia="Times New Roman" w:cs="Calibri"/>
        </w:rPr>
      </w:pPr>
      <w:r>
        <w:rPr>
          <w:rFonts w:eastAsia="Times New Roman" w:cs="Calibri"/>
        </w:rPr>
        <w:t>A partir de la fecha y hora de cierre del plazo del presente proceso los proponentes no podrán retirar, adicionar o corregir sus propuestas.</w:t>
      </w:r>
    </w:p>
    <w:p>
      <w:pPr>
        <w:spacing w:after="0"/>
        <w:rPr>
          <w:rFonts w:eastAsia="Times New Roman" w:cs="Calibri"/>
        </w:rPr>
      </w:pPr>
    </w:p>
    <w:p>
      <w:pPr>
        <w:spacing w:after="0"/>
        <w:rPr>
          <w:rFonts w:eastAsia="Times New Roman" w:cs="Calibri"/>
        </w:rPr>
      </w:pPr>
      <w:r>
        <w:rPr>
          <w:rFonts w:eastAsia="Times New Roman" w:cs="Calibri"/>
        </w:rPr>
        <w:t>La no presentación de al menos uno de los documentos aquí solicitados será causal de RECHAZO DE LA PROPUESTA, este requisito no es subsanable por tratarse de un criterio de calificación.</w:t>
      </w:r>
    </w:p>
    <w:p>
      <w:pPr>
        <w:spacing w:after="0"/>
        <w:rPr>
          <w:rFonts w:eastAsia="Times New Roman" w:cs="Calibri"/>
        </w:rPr>
      </w:pPr>
    </w:p>
    <w:p>
      <w:pPr>
        <w:spacing w:after="0"/>
        <w:rPr>
          <w:rFonts w:eastAsia="Times New Roman" w:cs="Calibri"/>
        </w:rPr>
      </w:pPr>
      <w:r>
        <w:rPr>
          <w:rFonts w:eastAsia="Times New Roman" w:cs="Calibri"/>
        </w:rPr>
        <w:t>La inobservancia de uno o más de los requisitos anteriores será causal de RECHAZO DE LA PROPUESTA.</w:t>
      </w:r>
    </w:p>
    <w:p>
      <w:pPr>
        <w:spacing w:after="0"/>
        <w:rPr>
          <w:rFonts w:eastAsia="Times New Roman" w:cs="Calibri"/>
        </w:rPr>
      </w:pPr>
    </w:p>
    <w:p>
      <w:pPr>
        <w:spacing w:after="0"/>
        <w:rPr>
          <w:rFonts w:eastAsia="Times New Roman" w:cs="Calibri"/>
          <w:b/>
        </w:rPr>
      </w:pPr>
      <w:r>
        <w:rPr>
          <w:rFonts w:eastAsia="Times New Roman" w:cs="Calibri"/>
          <w:b/>
        </w:rPr>
        <w:t>Relación de cantidades y precios:</w:t>
      </w:r>
    </w:p>
    <w:p>
      <w:pPr>
        <w:spacing w:after="0"/>
        <w:rPr>
          <w:rFonts w:eastAsia="Times New Roman" w:cs="Calibri"/>
        </w:rPr>
      </w:pPr>
    </w:p>
    <w:p>
      <w:pPr>
        <w:shd w:val="clear" w:color="auto" w:fill="FFFFFF"/>
        <w:spacing w:after="0"/>
        <w:rPr>
          <w:rFonts w:eastAsia="Times New Roman" w:cs="Calibri"/>
        </w:rPr>
      </w:pPr>
      <w:r>
        <w:rPr>
          <w:rFonts w:eastAsia="Times New Roman" w:cs="Calibri"/>
        </w:rPr>
        <w:t xml:space="preserve">Esta relación de cantidades y precios se hará con base en el CUESTIONARIO que se desarrolla en la sección de “PROPUESTA ECONÓMICA”, que para tal fin se establece en la plataforma SECOP II, el cual deberá diligenciarse en su totalidad y de acuerdo con los precios propuestos y analizados para cada una de las unidades o cantidades de obra a ejecutarse. El valor total de la propuesta será el resultado de la suma de los productos que resulten de multiplicar las cantidades de obra por el precio unitario de cada una de ellas, sumando a este resultado el A.I.U. </w:t>
      </w:r>
    </w:p>
    <w:p>
      <w:pPr>
        <w:shd w:val="clear" w:color="auto" w:fill="FFFFFF"/>
        <w:spacing w:after="0"/>
        <w:rPr>
          <w:rFonts w:eastAsia="Times New Roman" w:cs="Calibri"/>
        </w:rPr>
      </w:pPr>
    </w:p>
    <w:p>
      <w:pPr>
        <w:shd w:val="clear" w:color="auto" w:fill="FFFFFF"/>
        <w:spacing w:after="0"/>
        <w:rPr>
          <w:rFonts w:eastAsia="Times New Roman" w:cs="Calibri"/>
        </w:rPr>
      </w:pPr>
      <w:r>
        <w:rPr>
          <w:rFonts w:eastAsia="Times New Roman" w:cs="Calibri"/>
        </w:rPr>
        <w:t xml:space="preserve">El valor básico de la propuesta deberá expresarse en letras y números. El valor total de cada ítem, será el que resulte de multiplicar la cantidad de obra determinada por el precio unitario propuesto y consignado en el formulario. </w:t>
      </w:r>
    </w:p>
    <w:p>
      <w:pPr>
        <w:spacing w:after="0"/>
        <w:rPr>
          <w:rFonts w:eastAsia="Times New Roman" w:cs="Calibri"/>
          <w:b/>
        </w:rPr>
      </w:pPr>
      <w:r>
        <w:rPr>
          <w:rFonts w:eastAsia="Times New Roman" w:cs="Calibri"/>
          <w:b/>
        </w:rPr>
        <w:t>Presentación de la Oferta económica:</w:t>
      </w:r>
    </w:p>
    <w:p>
      <w:pPr>
        <w:spacing w:after="0"/>
        <w:rPr>
          <w:rFonts w:eastAsia="Times New Roman" w:cs="Calibri"/>
        </w:rPr>
      </w:pPr>
    </w:p>
    <w:p>
      <w:pPr>
        <w:spacing w:after="0"/>
        <w:rPr>
          <w:rFonts w:eastAsia="Times New Roman" w:cs="Calibri"/>
        </w:rPr>
      </w:pPr>
      <w:r>
        <w:rPr>
          <w:rFonts w:eastAsia="Times New Roman" w:cs="Calibri"/>
        </w:rPr>
        <w:t>El proponente deberá formular su propuesta económica conforme a lo estipulado en el respectivo proceso en la plataforma SECOP II.  Para incluir la oferta económica, deberá ingresar los valores correspondientes a precios unitarios, siendo el valor total de la oferta el precio unitario ofrecido por las cantidades requeridas por la Entidad.</w:t>
      </w:r>
    </w:p>
    <w:p>
      <w:pPr>
        <w:spacing w:after="0"/>
        <w:rPr>
          <w:rFonts w:eastAsia="Times New Roman" w:cs="Calibri"/>
        </w:rPr>
      </w:pPr>
    </w:p>
    <w:p>
      <w:pPr>
        <w:spacing w:after="0"/>
        <w:rPr>
          <w:rFonts w:eastAsia="Times New Roman" w:cs="Calibri"/>
        </w:rPr>
      </w:pPr>
      <w:r>
        <w:rPr>
          <w:rFonts w:eastAsia="Times New Roman" w:cs="Calibri"/>
        </w:rPr>
        <w:t xml:space="preserve">La oferta económica deberá incluir los costos Indirectos (AIU). </w:t>
      </w:r>
    </w:p>
    <w:p>
      <w:pPr>
        <w:spacing w:after="0"/>
        <w:rPr>
          <w:rFonts w:eastAsia="Times New Roman" w:cs="Calibri"/>
        </w:rPr>
      </w:pPr>
    </w:p>
    <w:p>
      <w:pPr>
        <w:spacing w:after="0"/>
        <w:rPr>
          <w:rFonts w:eastAsia="Times New Roman" w:cs="Calibri"/>
        </w:rPr>
      </w:pPr>
      <w:r>
        <w:rPr>
          <w:rFonts w:eastAsia="Times New Roman" w:cs="Calibri"/>
        </w:rPr>
        <w:t xml:space="preserve">Deberá expresar todos los valores en pesos colombianos. Deberá considerar la forma y el sistema de pago señalado en los pliegos de condiciones establecidos a través de la plataforma virtual SECOP II. </w:t>
      </w:r>
    </w:p>
    <w:p>
      <w:pPr>
        <w:spacing w:after="0"/>
        <w:rPr>
          <w:rFonts w:eastAsia="Times New Roman" w:cs="Calibri"/>
        </w:rPr>
      </w:pPr>
    </w:p>
    <w:p>
      <w:pPr>
        <w:spacing w:after="0"/>
        <w:rPr>
          <w:rFonts w:eastAsia="Times New Roman" w:cs="Calibri"/>
        </w:rPr>
      </w:pPr>
      <w:r>
        <w:rPr>
          <w:rFonts w:eastAsia="Times New Roman" w:cs="Calibri"/>
        </w:rPr>
        <w:t xml:space="preserve">Deberá considerar las variables económicas que estime pertinentes, teniendo en cuenta la totalidad de las condiciones previstas en los pliegos de condiciones. Las variables a tener en cuenta,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 </w:t>
      </w:r>
    </w:p>
    <w:p>
      <w:pPr>
        <w:spacing w:after="0"/>
        <w:rPr>
          <w:rFonts w:eastAsia="Times New Roman" w:cs="Calibri"/>
        </w:rPr>
      </w:pPr>
    </w:p>
    <w:p>
      <w:pPr>
        <w:spacing w:after="0"/>
        <w:rPr>
          <w:rFonts w:eastAsia="Times New Roman" w:cs="Calibri"/>
        </w:rPr>
      </w:pPr>
      <w:r>
        <w:rPr>
          <w:rFonts w:eastAsia="Times New Roman" w:cs="Calibri"/>
        </w:rPr>
        <w:t xml:space="preserve">Deberá considerar la distribución de riesgos contractuales previsibles, contenida en el presente pliego de condiciones. </w:t>
      </w:r>
    </w:p>
    <w:p>
      <w:pPr>
        <w:spacing w:after="0"/>
        <w:rPr>
          <w:rFonts w:eastAsia="Times New Roman" w:cs="Calibri"/>
        </w:rPr>
      </w:pPr>
    </w:p>
    <w:p>
      <w:pPr>
        <w:spacing w:after="0"/>
        <w:rPr>
          <w:rFonts w:eastAsia="Times New Roman" w:cs="Calibri"/>
        </w:rPr>
      </w:pPr>
      <w:r>
        <w:rPr>
          <w:rFonts w:eastAsia="Times New Roman" w:cs="Calibri"/>
        </w:rPr>
        <w:t xml:space="preserve">Deberá tener en cuenta las condiciones y especificaciones técnicas de la obra, así como la información técnica, hidrológica, geológica, geomorfológica y sismológica, geotécnica, topográfica y cartográfica, estudios de impacto ambiental y las leyes y normas que rigen para la región y las propias del sitio donde se desarrollará el proyecto. De igual forma, todos los costos que se requieran para la correcta ejecución del objeto del contrato derivado del presente proceso de selección, entre ellos los generados por el transporte del personal, equipo, materiales, entre otros. Del mismo modo, deberá considerar las condiciones climáticas, ambientales y de orden público. </w:t>
      </w:r>
    </w:p>
    <w:p>
      <w:pPr>
        <w:spacing w:after="0"/>
        <w:rPr>
          <w:rFonts w:eastAsia="Times New Roman" w:cs="Calibri"/>
        </w:rPr>
      </w:pPr>
    </w:p>
    <w:p>
      <w:pPr>
        <w:spacing w:after="0"/>
        <w:rPr>
          <w:rFonts w:eastAsia="Times New Roman" w:cs="Calibri"/>
        </w:rPr>
      </w:pPr>
      <w:r>
        <w:rPr>
          <w:rFonts w:eastAsia="Times New Roman" w:cs="Calibri"/>
        </w:rPr>
        <w:t>Deberá tener en cuenta que la totalidad de los tributos, independientemente de la denominación que asuman o del nivel del que provengan, que se causen o llegaren a causar por la celebración, ejecución y liquidación del contrato objeto del presente proceso de selección, serán de su cargo exclusivo.</w:t>
      </w:r>
    </w:p>
    <w:p>
      <w:pPr>
        <w:spacing w:after="0"/>
        <w:rPr>
          <w:rFonts w:eastAsia="Times New Roman" w:cs="Calibri"/>
        </w:rPr>
      </w:pPr>
    </w:p>
    <w:p>
      <w:pPr>
        <w:spacing w:after="0"/>
        <w:rPr>
          <w:rFonts w:eastAsia="Times New Roman" w:cs="Calibri"/>
        </w:rPr>
      </w:pPr>
    </w:p>
    <w:p>
      <w:pPr>
        <w:spacing w:after="0"/>
        <w:rPr>
          <w:rFonts w:eastAsia="Times New Roman" w:cs="Calibri"/>
          <w:b/>
        </w:rPr>
      </w:pPr>
      <w:r>
        <w:rPr>
          <w:rFonts w:eastAsia="Times New Roman" w:cs="Calibri"/>
          <w:b/>
        </w:rPr>
        <w:t>Análisis de precios unitarios (Únicamente para Oferente Adjudicatario):</w:t>
      </w:r>
    </w:p>
    <w:p>
      <w:pPr>
        <w:spacing w:after="0"/>
        <w:rPr>
          <w:rFonts w:eastAsia="Times New Roman" w:cs="Calibri"/>
        </w:rPr>
      </w:pPr>
    </w:p>
    <w:p>
      <w:pPr>
        <w:spacing w:after="0"/>
        <w:rPr>
          <w:rFonts w:eastAsia="Times New Roman" w:cs="Calibri"/>
        </w:rPr>
      </w:pPr>
      <w:r>
        <w:rPr>
          <w:rFonts w:eastAsia="Times New Roman" w:cs="Calibri"/>
        </w:rPr>
        <w:t xml:space="preserve">El proponente adjudicatario previo a la firma del acta de inicio deberá presentar los análisis de precios unitarios (formulario o similar en su presentación). Los precios unitarios comprenden todos los costos, por concepto de equipo, mano de obra, transporte (según el caso) y materiales solicitados, necesarios para la realización de la obra y su entrega a entera satisfacción del Municipio de Neiva, a través de la Supervisión, por lo cual en el análisis de precios unitarios los proponentes deberán tener en cuenta los siguientes costos: </w:t>
      </w:r>
    </w:p>
    <w:p>
      <w:pPr>
        <w:spacing w:after="0"/>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Los costos derivados de la utilización de equipo, maquinaria y herramientas.</w:t>
      </w:r>
    </w:p>
    <w:p>
      <w:pPr>
        <w:spacing w:after="0"/>
        <w:ind w:left="567" w:hanging="567"/>
        <w:rPr>
          <w:rFonts w:eastAsia="Times New Roman" w:cs="Calibri"/>
        </w:rPr>
      </w:pPr>
      <w:r>
        <w:rPr>
          <w:rFonts w:eastAsia="Times New Roman" w:cs="Calibri"/>
        </w:rPr>
        <w:t xml:space="preserve">  </w:t>
      </w: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 xml:space="preserve">Los precios de materiales solicitados y necesarios para adelantar la obra y el transporte respectivo. </w:t>
      </w:r>
    </w:p>
    <w:p>
      <w:pPr>
        <w:spacing w:after="0"/>
        <w:ind w:left="567" w:hanging="567"/>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 xml:space="preserve">Los costos derivados de la mano de obra, deberán cubrir los salarios y prestaciones sociales obligatorias. </w:t>
      </w:r>
    </w:p>
    <w:p>
      <w:pPr>
        <w:spacing w:after="0"/>
        <w:ind w:left="567" w:hanging="567"/>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 xml:space="preserve">Los porcentajes de las prestaciones sociales y aportes a la seguridad social sean acordes a la legislación colombiana (como mínimo). </w:t>
      </w:r>
    </w:p>
    <w:p>
      <w:pPr>
        <w:spacing w:after="0"/>
        <w:ind w:left="567" w:hanging="567"/>
        <w:rPr>
          <w:rFonts w:eastAsia="Times New Roman" w:cs="Calibri"/>
        </w:rPr>
      </w:pPr>
    </w:p>
    <w:p>
      <w:pPr>
        <w:spacing w:after="0"/>
        <w:ind w:left="567" w:hanging="567"/>
        <w:rPr>
          <w:rFonts w:eastAsia="Times New Roman" w:cs="Calibri"/>
        </w:rPr>
      </w:pPr>
      <w:r>
        <w:rPr>
          <w:rFonts w:eastAsia="Times New Roman" w:cs="Calibri"/>
        </w:rPr>
        <w:t>•</w:t>
      </w:r>
      <w:r>
        <w:rPr>
          <w:rFonts w:eastAsia="Times New Roman" w:cs="Calibri"/>
        </w:rPr>
        <w:tab/>
      </w:r>
      <w:r>
        <w:rPr>
          <w:rFonts w:eastAsia="Times New Roman" w:cs="Calibri"/>
        </w:rPr>
        <w:t xml:space="preserve">El transporte de herramientas, equipos o materiales, a menos que se encuentre este costo involucrado en cada elemento. (Puesto en obra). </w:t>
      </w:r>
    </w:p>
    <w:p>
      <w:pPr>
        <w:spacing w:after="0"/>
        <w:rPr>
          <w:rFonts w:eastAsia="Times New Roman" w:cs="Calibri"/>
        </w:rPr>
      </w:pPr>
    </w:p>
    <w:p>
      <w:pPr>
        <w:spacing w:after="0"/>
        <w:rPr>
          <w:rFonts w:eastAsia="Times New Roman" w:cs="Calibri"/>
        </w:rPr>
      </w:pPr>
      <w:r>
        <w:rPr>
          <w:rFonts w:eastAsia="Times New Roman" w:cs="Calibri"/>
        </w:rPr>
        <w:t>El Contratista será responsable por el almacenamiento, cuidado, seguridad, vigilancia y manejo de los materiales y maquinarias de construcción necesarios para el desarrollo y ejecución de las obras de construcción. Su costo deberá estar cubierto por los precios unitarios del objeto de la presente licitación o en el análisis del A.I.U.</w:t>
      </w:r>
    </w:p>
    <w:p>
      <w:pPr>
        <w:spacing w:after="0"/>
        <w:rPr>
          <w:rFonts w:eastAsia="Times New Roman" w:cs="Calibri"/>
        </w:rPr>
      </w:pPr>
    </w:p>
    <w:p>
      <w:pPr>
        <w:spacing w:after="0"/>
        <w:rPr>
          <w:rFonts w:eastAsia="Times New Roman" w:cs="Calibri"/>
        </w:rPr>
      </w:pPr>
      <w:r>
        <w:rPr>
          <w:rFonts w:eastAsia="Times New Roman" w:cs="Calibri"/>
        </w:rPr>
        <w:t>Las consideraciones técnicas consignadas en las especificaciones asociadas a cada componente de la obra, según el caso.</w:t>
      </w:r>
    </w:p>
    <w:p>
      <w:pPr>
        <w:spacing w:after="0"/>
        <w:rPr>
          <w:rFonts w:eastAsia="Times New Roman" w:cs="Calibri"/>
        </w:rPr>
      </w:pPr>
    </w:p>
    <w:p>
      <w:pPr>
        <w:spacing w:after="0"/>
        <w:rPr>
          <w:rFonts w:eastAsia="Times New Roman" w:cs="Calibri"/>
        </w:rPr>
      </w:pPr>
      <w:r>
        <w:rPr>
          <w:rFonts w:eastAsia="Times New Roman" w:cs="Calibri"/>
        </w:rPr>
        <w:t xml:space="preserve">Los rendimientos utilizados en los insumos utilizados para la elaboración de los APU deberán ser coherentes y lógicos de acuerdo a la realidad de la obra, y basándose en tablas de rendimientos de fabricantes de los materiales y/o equipos. </w:t>
      </w:r>
    </w:p>
    <w:p>
      <w:pPr>
        <w:spacing w:after="0"/>
        <w:rPr>
          <w:rFonts w:eastAsia="Times New Roman" w:cs="Calibri"/>
        </w:rPr>
      </w:pPr>
    </w:p>
    <w:p>
      <w:pPr>
        <w:spacing w:after="0"/>
        <w:rPr>
          <w:rFonts w:eastAsia="Times New Roman" w:cs="Calibri"/>
        </w:rPr>
      </w:pPr>
      <w:r>
        <w:rPr>
          <w:rFonts w:eastAsia="Times New Roman" w:cs="Calibri"/>
        </w:rPr>
        <w:t>No se podrá omitir ningún análisis de precios unitarios.</w:t>
      </w:r>
    </w:p>
    <w:p>
      <w:pPr>
        <w:spacing w:after="0"/>
        <w:rPr>
          <w:rFonts w:eastAsia="Times New Roman" w:cs="Calibri"/>
        </w:rPr>
      </w:pPr>
    </w:p>
    <w:p>
      <w:pPr>
        <w:spacing w:after="0"/>
        <w:rPr>
          <w:rFonts w:eastAsia="Times New Roman" w:cs="Calibri"/>
        </w:rPr>
      </w:pPr>
      <w:r>
        <w:rPr>
          <w:rFonts w:eastAsia="Times New Roman" w:cs="Calibri"/>
        </w:rPr>
        <w:t xml:space="preserve">Ningún precio unitario podrá ser superior al 100% del precio establecido en el listado del presupuesto oficial del presente proceso y no se establece límite inferior para los mismos, pero la entidad tendrá en cuenta aquellos precios que considera artificialmente bajos, solicitará las respectivas aclaraciones al proponente y realizará las correcciones respectivas en aquellos que la respuesta del proponente no satisfaga el requerimiento. </w:t>
      </w:r>
    </w:p>
    <w:p>
      <w:pPr>
        <w:spacing w:after="0"/>
        <w:rPr>
          <w:rFonts w:eastAsia="Times New Roman" w:cs="Calibri"/>
        </w:rPr>
      </w:pPr>
    </w:p>
    <w:p>
      <w:pPr>
        <w:spacing w:after="0"/>
        <w:rPr>
          <w:rFonts w:eastAsia="Times New Roman" w:cs="Calibri"/>
        </w:rPr>
      </w:pPr>
      <w:r>
        <w:rPr>
          <w:rFonts w:eastAsia="Times New Roman" w:cs="Calibri"/>
        </w:rPr>
        <w:t>Este análisis de precios se hará para todos y cada uno de los diferentes ítems señalados en el Cuestionario, basados en las consideraciones establecidas en el presente Pliego de Condiciones.</w:t>
      </w:r>
    </w:p>
    <w:p>
      <w:pPr>
        <w:spacing w:after="0"/>
        <w:rPr>
          <w:rFonts w:eastAsia="Times New Roman" w:cs="Calibri"/>
        </w:rPr>
      </w:pPr>
    </w:p>
    <w:p>
      <w:pPr>
        <w:spacing w:after="0"/>
        <w:rPr>
          <w:rFonts w:eastAsia="Times New Roman" w:cs="Calibri"/>
        </w:rPr>
      </w:pPr>
      <w:r>
        <w:rPr>
          <w:rFonts w:eastAsia="Times New Roman" w:cs="Calibri"/>
        </w:rPr>
        <w:t>Se considera como valor total del proceso contractual la suma de los productos que resulte de multiplicar las cantidades de obra a ejecutar señaladas en el Cuestionario de oferta económica por el precio unitario analizado y sumando los costos indirectos calculado por el Proponente.</w:t>
      </w:r>
    </w:p>
    <w:p>
      <w:pPr>
        <w:spacing w:after="0"/>
        <w:rPr>
          <w:rFonts w:eastAsia="Times New Roman" w:cs="Calibri"/>
        </w:rPr>
      </w:pPr>
    </w:p>
    <w:p>
      <w:pPr>
        <w:spacing w:after="0"/>
        <w:rPr>
          <w:rFonts w:eastAsia="Times New Roman" w:cs="Calibri"/>
        </w:rPr>
      </w:pPr>
      <w:r>
        <w:rPr>
          <w:rFonts w:eastAsia="Times New Roman" w:cs="Calibri"/>
        </w:rPr>
        <w:t>Para la elaboración del análisis de precios se utilizará el ANEXO FORMATO A.P.U (o similar en su contenido) adjunto al pliego de condiciones y se utilizará para su estudio analítico el sistema métrico y el sistema internacional de unidades, exceptuando las unidades globales y unitarias. Se entiende que no habrá lugar a reclamación alguna basada en el contenido en materiales, equipos, transporte, mano de obra y sus cantidades en los análisis de precios unitarios que se presente con la propuesta.</w:t>
      </w:r>
    </w:p>
    <w:p>
      <w:pPr>
        <w:spacing w:after="0"/>
        <w:rPr>
          <w:rFonts w:eastAsia="Times New Roman" w:cs="Calibri"/>
        </w:rPr>
      </w:pPr>
    </w:p>
    <w:p>
      <w:pPr>
        <w:spacing w:after="0"/>
        <w:rPr>
          <w:rFonts w:eastAsia="Times New Roman" w:cs="Calibri"/>
        </w:rPr>
      </w:pPr>
      <w:r>
        <w:rPr>
          <w:rFonts w:eastAsia="Times New Roman" w:cs="Calibri"/>
        </w:rPr>
        <w:t>Adicionalmente, con la presentación de los Análisis de Precios Unitarios, cuando se trate de materiales requeridos debe existir correspondencia con la descripción indicada en el Cuestionario de oferta económica, especificaciones técnicas y los Planos que se publican con estos pliegos de condiciones.</w:t>
      </w:r>
    </w:p>
    <w:p>
      <w:pPr>
        <w:spacing w:after="0"/>
        <w:rPr>
          <w:rFonts w:eastAsia="Times New Roman" w:cs="Calibri"/>
        </w:rPr>
      </w:pPr>
    </w:p>
    <w:p>
      <w:pPr>
        <w:spacing w:after="0"/>
        <w:rPr>
          <w:rFonts w:eastAsia="Times New Roman" w:cs="Calibri"/>
          <w:b/>
        </w:rPr>
      </w:pPr>
      <w:r>
        <w:rPr>
          <w:rFonts w:eastAsia="Times New Roman" w:cs="Calibri"/>
          <w:b/>
        </w:rPr>
        <w:t>Calculo del A.I.U:</w:t>
      </w:r>
    </w:p>
    <w:p>
      <w:pPr>
        <w:spacing w:after="0"/>
        <w:rPr>
          <w:rFonts w:eastAsia="Times New Roman" w:cs="Calibri"/>
        </w:rPr>
      </w:pPr>
    </w:p>
    <w:p>
      <w:pPr>
        <w:spacing w:after="0"/>
        <w:rPr>
          <w:rFonts w:eastAsia="Times New Roman" w:cs="Calibri"/>
        </w:rPr>
      </w:pPr>
      <w:r>
        <w:rPr>
          <w:rFonts w:eastAsia="Times New Roman" w:cs="Calibri"/>
        </w:rPr>
        <w:t>El proponente deberá realizar el cálculo del A.I.U. acorde con las directrices fijadas en el Presupuesto Oficial, considerando los costos de personal profesional, técnico, de administración y vigilancia; los costos para el sistema de seguridad industrial, manejo ambiental y aseguramiento de calidad; servicios públicos; ensayos de control de calidad; papelería, registro fotográfico, videos e informes; elaboración planos record; transporte y almacenamiento, gastos de legalización, gastos de estampillas, impuestos  a que haya lugar y pólizas; valla, chalecos distintivos, depósitos, adecuación de vías y accesos y todos los demás costos, gastos, impuestos y contribuciones que sean necesarios para el cabal cumplimento del objeto contractual. Así mismo deberá estimar el porcentaje correspondiente a los Imprevistos y Utilidad.</w:t>
      </w:r>
    </w:p>
    <w:p>
      <w:pPr>
        <w:spacing w:after="0"/>
        <w:rPr>
          <w:rFonts w:eastAsia="Times New Roman" w:cs="Calibri"/>
        </w:rPr>
      </w:pPr>
    </w:p>
    <w:p>
      <w:pPr>
        <w:spacing w:after="0"/>
        <w:rPr>
          <w:rFonts w:eastAsia="Times New Roman" w:cs="Calibri"/>
        </w:rPr>
      </w:pPr>
    </w:p>
    <w:p>
      <w:pPr>
        <w:spacing w:after="0"/>
        <w:rPr>
          <w:rFonts w:eastAsia="Times New Roman" w:cs="Calibri"/>
          <w:b/>
        </w:rPr>
      </w:pPr>
      <w:r>
        <w:rPr>
          <w:rFonts w:eastAsia="Times New Roman" w:cs="Calibri"/>
          <w:b/>
        </w:rPr>
        <w:t>Único proponente:</w:t>
      </w:r>
    </w:p>
    <w:p>
      <w:pPr>
        <w:spacing w:after="0"/>
        <w:rPr>
          <w:rFonts w:eastAsia="Times New Roman" w:cs="Calibri"/>
        </w:rPr>
      </w:pPr>
    </w:p>
    <w:p>
      <w:pPr>
        <w:spacing w:after="0"/>
        <w:rPr>
          <w:rFonts w:eastAsia="Times New Roman" w:cs="Calibri"/>
        </w:rPr>
      </w:pPr>
      <w:r>
        <w:rPr>
          <w:rFonts w:eastAsia="Times New Roman" w:cs="Calibri"/>
        </w:rPr>
        <w:t xml:space="preserve">La entidad podrá adjudicar el contrato cuando solo se haya presentado una oferta, esta cumpla con los requisitos habilitantes exigidos, siempre que la oferta satisfaga los requerimientos contenidos en los pliegos de condiciones. </w:t>
      </w:r>
    </w:p>
    <w:p>
      <w:pPr>
        <w:spacing w:after="0"/>
        <w:rPr>
          <w:rFonts w:eastAsia="Times New Roman" w:cs="Calibri"/>
        </w:rPr>
      </w:pPr>
    </w:p>
    <w:p>
      <w:pPr>
        <w:spacing w:after="0"/>
        <w:rPr>
          <w:rFonts w:cs="Calibri"/>
          <w:b/>
          <w:bCs/>
        </w:rPr>
      </w:pPr>
      <w:r>
        <w:rPr>
          <w:rFonts w:eastAsia="Times New Roman" w:cs="Calibri"/>
        </w:rPr>
        <w:t>Cuando un solo proponente ha cumplido con los Factores Habilitantes y presente un presupuesto que no excede del valor del Presupuesto Oficial el proceso de selección continúa, de lo contrario  la propuesta se considerará RECHAZADA y la selección queda DESIERTA</w:t>
      </w:r>
    </w:p>
    <w:p>
      <w:pPr>
        <w:spacing w:after="0"/>
        <w:rPr>
          <w:rFonts w:cs="Calibri"/>
          <w:b/>
          <w:bCs/>
        </w:rPr>
      </w:pPr>
    </w:p>
    <w:p>
      <w:pPr>
        <w:spacing w:after="0"/>
        <w:rPr>
          <w:rFonts w:eastAsia="Times New Roman" w:cs="Calibri"/>
          <w:b/>
        </w:rPr>
      </w:pPr>
      <w:r>
        <w:rPr>
          <w:rFonts w:eastAsia="Times New Roman" w:cs="Calibri"/>
          <w:b/>
        </w:rPr>
        <w:t>FÓRMULA MATEMÁTICA A EMPLEAR:</w:t>
      </w:r>
    </w:p>
    <w:p>
      <w:pPr>
        <w:spacing w:after="0"/>
        <w:rPr>
          <w:rFonts w:eastAsia="Times New Roman" w:cs="Calibri"/>
        </w:rPr>
      </w:pPr>
    </w:p>
    <w:p>
      <w:pPr>
        <w:spacing w:after="0"/>
        <w:rPr>
          <w:rFonts w:cs="Calibri"/>
        </w:rPr>
      </w:pPr>
      <w:r>
        <w:rPr>
          <w:rFonts w:cs="Calibri"/>
        </w:rPr>
        <w:t>FÓRMULA MATEMÁTICA A EMPLEAR:</w:t>
      </w:r>
    </w:p>
    <w:p>
      <w:pPr>
        <w:spacing w:after="0"/>
        <w:rPr>
          <w:rFonts w:cs="Calibri"/>
        </w:rPr>
      </w:pPr>
    </w:p>
    <w:p>
      <w:pPr>
        <w:spacing w:after="0"/>
        <w:rPr>
          <w:rFonts w:cs="Calibri"/>
        </w:rPr>
      </w:pPr>
      <w:r>
        <w:rPr>
          <w:rFonts w:cs="Calibri"/>
        </w:rPr>
        <w:t>El municipio de Neiva a partir del valor total de las Ofertas debe asignar máximo QUINIENTOS (500) puntos acumulables de acuerdo con el método escogido en forma aleatoria para la ponderación de la oferta económica:</w:t>
      </w:r>
    </w:p>
    <w:p>
      <w:pPr>
        <w:spacing w:after="0"/>
        <w:rPr>
          <w:rFonts w:cs="Calibri"/>
        </w:rPr>
      </w:pPr>
    </w:p>
    <w:tbl>
      <w:tblPr>
        <w:tblStyle w:val="15"/>
        <w:tblW w:w="658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 w:hRule="atLeast"/>
          <w:jc w:val="center"/>
        </w:trPr>
        <w:tc>
          <w:tcPr>
            <w:tcW w:w="6585" w:type="dxa"/>
            <w:shd w:val="clear" w:color="auto" w:fill="BFBFBF"/>
          </w:tcPr>
          <w:p>
            <w:pPr>
              <w:spacing w:after="0"/>
              <w:jc w:val="center"/>
              <w:rPr>
                <w:rFonts w:cs="Calibri"/>
              </w:rPr>
            </w:pPr>
            <w:r>
              <w:rPr>
                <w:rFonts w:cs="Calibri"/>
              </w:rPr>
              <w:t>Método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 w:hRule="atLeast"/>
          <w:jc w:val="center"/>
        </w:trPr>
        <w:tc>
          <w:tcPr>
            <w:tcW w:w="6585" w:type="dxa"/>
          </w:tcPr>
          <w:p>
            <w:pPr>
              <w:spacing w:after="0"/>
              <w:jc w:val="center"/>
              <w:rPr>
                <w:rFonts w:cs="Calibri"/>
              </w:rPr>
            </w:pPr>
            <w:r>
              <w:rPr>
                <w:rFonts w:cs="Calibri"/>
              </w:rPr>
              <w:t>Media aritmética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 w:hRule="atLeast"/>
          <w:jc w:val="center"/>
        </w:trPr>
        <w:tc>
          <w:tcPr>
            <w:tcW w:w="6585" w:type="dxa"/>
          </w:tcPr>
          <w:p>
            <w:pPr>
              <w:spacing w:after="0"/>
              <w:jc w:val="center"/>
              <w:rPr>
                <w:rFonts w:cs="Calibri"/>
              </w:rPr>
            </w:pPr>
            <w:r>
              <w:rPr>
                <w:rFonts w:cs="Calibri"/>
              </w:rPr>
              <w:t>Media aritmética alta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 w:hRule="atLeast"/>
          <w:jc w:val="center"/>
        </w:trPr>
        <w:tc>
          <w:tcPr>
            <w:tcW w:w="6585" w:type="dxa"/>
          </w:tcPr>
          <w:p>
            <w:pPr>
              <w:spacing w:after="0"/>
              <w:jc w:val="center"/>
              <w:rPr>
                <w:rFonts w:cs="Calibri"/>
              </w:rPr>
            </w:pPr>
            <w:r>
              <w:rPr>
                <w:rFonts w:cs="Calibri"/>
              </w:rPr>
              <w:t>Media geométrica con presupuesto oficial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6" w:hRule="atLeast"/>
          <w:jc w:val="center"/>
        </w:trPr>
        <w:tc>
          <w:tcPr>
            <w:tcW w:w="6585" w:type="dxa"/>
          </w:tcPr>
          <w:p>
            <w:pPr>
              <w:spacing w:after="0"/>
              <w:jc w:val="center"/>
              <w:rPr>
                <w:rFonts w:cs="Calibri"/>
              </w:rPr>
            </w:pPr>
            <w:r>
              <w:rPr>
                <w:rFonts w:cs="Calibri"/>
              </w:rPr>
              <w:t>Menor valor</w:t>
            </w:r>
          </w:p>
        </w:tc>
      </w:tr>
    </w:tbl>
    <w:p>
      <w:pPr>
        <w:spacing w:after="0"/>
        <w:rPr>
          <w:rFonts w:cs="Calibri"/>
        </w:rPr>
      </w:pPr>
    </w:p>
    <w:p>
      <w:pPr>
        <w:spacing w:after="0"/>
        <w:rPr>
          <w:rFonts w:cs="Calibri"/>
        </w:rPr>
      </w:pPr>
      <w:r>
        <w:rPr>
          <w:rFonts w:cs="Calibri"/>
        </w:rPr>
        <w:t>Para la determinación del método se tomarán hasta las centésimas de la (TRM) Tasa de cambio Representativa del Mercado (certificada por Superintendencia financiera) que rija en el día hábil siguiente a la fecha de Apertura de Ofertas indicado en la cronología del proceso.</w:t>
      </w:r>
    </w:p>
    <w:p>
      <w:pPr>
        <w:spacing w:after="0"/>
        <w:rPr>
          <w:rFonts w:cs="Calibri"/>
        </w:rPr>
      </w:pPr>
    </w:p>
    <w:p>
      <w:pPr>
        <w:spacing w:after="0"/>
        <w:rPr>
          <w:rFonts w:cs="Calibri"/>
        </w:rPr>
      </w:pPr>
      <w:r>
        <w:rPr>
          <w:rFonts w:cs="Calibri"/>
        </w:rPr>
        <w:t xml:space="preserve">Se determinará el método de acuerdo a los rangos establecidos en el cuadro que se presenta a continuación. Esta TRM se tomará del sitio oficial de la Superintendencia Financiera de Colombia. </w:t>
      </w:r>
    </w:p>
    <w:p>
      <w:pPr>
        <w:spacing w:after="0"/>
        <w:rPr>
          <w:rFonts w:cs="Calibri"/>
        </w:rPr>
      </w:pPr>
    </w:p>
    <w:p>
      <w:pPr>
        <w:spacing w:after="0"/>
        <w:rPr>
          <w:rFonts w:cs="Calibri"/>
        </w:rPr>
      </w:pPr>
      <w:r>
        <w:rPr>
          <w:rFonts w:cs="Calibri"/>
        </w:rPr>
        <w:t>Asignación de método de evaluación según TRM</w:t>
      </w:r>
    </w:p>
    <w:p>
      <w:pPr>
        <w:spacing w:after="0"/>
        <w:rPr>
          <w:rFonts w:cs="Calibri"/>
        </w:rPr>
      </w:pPr>
    </w:p>
    <w:p>
      <w:pPr>
        <w:spacing w:after="0"/>
        <w:rPr>
          <w:rFonts w:cs="Calibri"/>
        </w:rPr>
      </w:pPr>
      <w:r>
        <w:rPr>
          <w:rFonts w:cs="Calibri"/>
        </w:rPr>
        <w:t>Esta TRM se tomará del sitio web:</w:t>
      </w:r>
      <w:r>
        <w:fldChar w:fldCharType="begin"/>
      </w:r>
      <w:r>
        <w:instrText xml:space="preserve"> HYPERLINK "http://www.superfinanciera.gov.co/jsp/loader.jsf?lServicio=Publicaciones&amp;lTipo=publicaciones&amp;lFuncion=loadContenidoPublicacion&amp;id=60819" </w:instrText>
      </w:r>
      <w:r>
        <w:fldChar w:fldCharType="separate"/>
      </w:r>
      <w:r>
        <w:rPr>
          <w:rStyle w:val="14"/>
          <w:rFonts w:cs="Calibri"/>
          <w:color w:val="0000CC"/>
        </w:rPr>
        <w:t>www.superfinanciera.gov.co/jsp/loader.jsf?lServicio=Publicaciones&amp;lTipo=publicaciones&amp;lFuncion=loadContenidoPublicacion&amp;id=60819</w:t>
      </w:r>
      <w:r>
        <w:rPr>
          <w:rStyle w:val="14"/>
          <w:rFonts w:cs="Calibri"/>
          <w:color w:val="0000CC"/>
        </w:rPr>
        <w:fldChar w:fldCharType="end"/>
      </w:r>
    </w:p>
    <w:p>
      <w:pPr>
        <w:spacing w:after="0"/>
        <w:rPr>
          <w:rFonts w:cs="Calibri"/>
        </w:rPr>
      </w:pPr>
    </w:p>
    <w:p>
      <w:pPr>
        <w:pStyle w:val="7"/>
        <w:spacing w:after="0"/>
        <w:jc w:val="both"/>
        <w:rPr>
          <w:rFonts w:cs="Calibri"/>
          <w:szCs w:val="22"/>
        </w:rPr>
      </w:pPr>
      <w:bookmarkStart w:id="13" w:name="_Toc451941348"/>
      <w:r>
        <w:rPr>
          <w:rFonts w:cs="Calibri"/>
          <w:szCs w:val="22"/>
        </w:rPr>
        <w:t>Asignación de método de evaluación según TRM</w:t>
      </w:r>
      <w:bookmarkEnd w:id="13"/>
    </w:p>
    <w:p>
      <w:pPr>
        <w:spacing w:after="0"/>
        <w:rPr>
          <w:rFonts w:cs="Calibri"/>
        </w:rPr>
      </w:pPr>
    </w:p>
    <w:tbl>
      <w:tblPr>
        <w:tblStyle w:val="15"/>
        <w:tblW w:w="8644" w:type="dxa"/>
        <w:tblInd w:w="4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1"/>
        <w:gridCol w:w="1004"/>
        <w:gridCol w:w="4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81" w:type="dxa"/>
            <w:shd w:val="clear" w:color="auto" w:fill="DBDBDB"/>
          </w:tcPr>
          <w:p>
            <w:pPr>
              <w:spacing w:after="0"/>
              <w:rPr>
                <w:rFonts w:cs="Calibri"/>
                <w:b/>
              </w:rPr>
            </w:pPr>
            <w:r>
              <w:rPr>
                <w:rFonts w:cs="Calibri"/>
                <w:b/>
              </w:rPr>
              <w:t>Rango (inclusive)</w:t>
            </w:r>
          </w:p>
        </w:tc>
        <w:tc>
          <w:tcPr>
            <w:tcW w:w="1004" w:type="dxa"/>
            <w:shd w:val="clear" w:color="auto" w:fill="DBDBDB"/>
          </w:tcPr>
          <w:p>
            <w:pPr>
              <w:spacing w:after="0"/>
              <w:rPr>
                <w:rFonts w:cs="Calibri"/>
                <w:b/>
              </w:rPr>
            </w:pPr>
            <w:r>
              <w:rPr>
                <w:rFonts w:cs="Calibri"/>
                <w:b/>
              </w:rPr>
              <w:t>Número</w:t>
            </w:r>
          </w:p>
        </w:tc>
        <w:tc>
          <w:tcPr>
            <w:tcW w:w="4759" w:type="dxa"/>
            <w:shd w:val="clear" w:color="auto" w:fill="DBDBDB"/>
          </w:tcPr>
          <w:p>
            <w:pPr>
              <w:spacing w:after="0"/>
              <w:rPr>
                <w:rFonts w:cs="Calibri"/>
                <w:b/>
              </w:rPr>
            </w:pPr>
            <w:r>
              <w:rPr>
                <w:rFonts w:cs="Calibri"/>
                <w:b/>
              </w:rPr>
              <w:t>Método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81" w:type="dxa"/>
            <w:shd w:val="clear" w:color="auto" w:fill="auto"/>
          </w:tcPr>
          <w:p>
            <w:pPr>
              <w:spacing w:after="0"/>
              <w:rPr>
                <w:rFonts w:cs="Calibri"/>
              </w:rPr>
            </w:pPr>
            <w:r>
              <w:rPr>
                <w:rFonts w:cs="Calibri"/>
              </w:rPr>
              <w:t>De 0.00 a 0.24</w:t>
            </w:r>
          </w:p>
        </w:tc>
        <w:tc>
          <w:tcPr>
            <w:tcW w:w="1004" w:type="dxa"/>
            <w:shd w:val="clear" w:color="auto" w:fill="auto"/>
          </w:tcPr>
          <w:p>
            <w:pPr>
              <w:spacing w:after="0"/>
              <w:rPr>
                <w:rFonts w:cs="Calibri"/>
              </w:rPr>
            </w:pPr>
            <w:r>
              <w:rPr>
                <w:rFonts w:cs="Calibri"/>
              </w:rPr>
              <w:t>1</w:t>
            </w:r>
          </w:p>
        </w:tc>
        <w:tc>
          <w:tcPr>
            <w:tcW w:w="4759" w:type="dxa"/>
            <w:shd w:val="clear" w:color="auto" w:fill="auto"/>
          </w:tcPr>
          <w:p>
            <w:pPr>
              <w:spacing w:after="0"/>
              <w:rPr>
                <w:rFonts w:cs="Calibri"/>
              </w:rPr>
            </w:pPr>
            <w:r>
              <w:rPr>
                <w:rFonts w:cs="Calibri"/>
              </w:rPr>
              <w:t>Media aritmética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81" w:type="dxa"/>
            <w:shd w:val="clear" w:color="auto" w:fill="auto"/>
          </w:tcPr>
          <w:p>
            <w:pPr>
              <w:spacing w:after="0"/>
              <w:rPr>
                <w:rFonts w:cs="Calibri"/>
              </w:rPr>
            </w:pPr>
            <w:r>
              <w:rPr>
                <w:rFonts w:cs="Calibri"/>
              </w:rPr>
              <w:t>De 0.25 a 0.49</w:t>
            </w:r>
          </w:p>
        </w:tc>
        <w:tc>
          <w:tcPr>
            <w:tcW w:w="1004" w:type="dxa"/>
            <w:shd w:val="clear" w:color="auto" w:fill="auto"/>
          </w:tcPr>
          <w:p>
            <w:pPr>
              <w:spacing w:after="0"/>
              <w:rPr>
                <w:rFonts w:cs="Calibri"/>
              </w:rPr>
            </w:pPr>
            <w:r>
              <w:rPr>
                <w:rFonts w:cs="Calibri"/>
              </w:rPr>
              <w:t>2</w:t>
            </w:r>
          </w:p>
        </w:tc>
        <w:tc>
          <w:tcPr>
            <w:tcW w:w="4759" w:type="dxa"/>
            <w:shd w:val="clear" w:color="auto" w:fill="auto"/>
          </w:tcPr>
          <w:p>
            <w:pPr>
              <w:spacing w:after="0"/>
              <w:rPr>
                <w:rFonts w:cs="Calibri"/>
              </w:rPr>
            </w:pPr>
            <w:r>
              <w:rPr>
                <w:rFonts w:cs="Calibri"/>
              </w:rPr>
              <w:t>Media aritmética alta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81" w:type="dxa"/>
            <w:shd w:val="clear" w:color="auto" w:fill="auto"/>
          </w:tcPr>
          <w:p>
            <w:pPr>
              <w:spacing w:after="0"/>
              <w:rPr>
                <w:rFonts w:cs="Calibri"/>
              </w:rPr>
            </w:pPr>
            <w:r>
              <w:rPr>
                <w:rFonts w:cs="Calibri"/>
              </w:rPr>
              <w:t>De 0.50 a 0.74</w:t>
            </w:r>
          </w:p>
        </w:tc>
        <w:tc>
          <w:tcPr>
            <w:tcW w:w="1004" w:type="dxa"/>
            <w:shd w:val="clear" w:color="auto" w:fill="auto"/>
          </w:tcPr>
          <w:p>
            <w:pPr>
              <w:spacing w:after="0"/>
              <w:rPr>
                <w:rFonts w:cs="Calibri"/>
              </w:rPr>
            </w:pPr>
            <w:r>
              <w:rPr>
                <w:rFonts w:cs="Calibri"/>
              </w:rPr>
              <w:t>3</w:t>
            </w:r>
          </w:p>
        </w:tc>
        <w:tc>
          <w:tcPr>
            <w:tcW w:w="4759" w:type="dxa"/>
            <w:shd w:val="clear" w:color="auto" w:fill="auto"/>
          </w:tcPr>
          <w:p>
            <w:pPr>
              <w:spacing w:after="0"/>
              <w:rPr>
                <w:rFonts w:cs="Calibri"/>
              </w:rPr>
            </w:pPr>
            <w:r>
              <w:rPr>
                <w:rFonts w:cs="Calibri"/>
              </w:rPr>
              <w:t>Media geométrica con presupuesto oficial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81" w:type="dxa"/>
            <w:shd w:val="clear" w:color="auto" w:fill="auto"/>
          </w:tcPr>
          <w:p>
            <w:pPr>
              <w:spacing w:after="0"/>
              <w:rPr>
                <w:rFonts w:cs="Calibri"/>
              </w:rPr>
            </w:pPr>
            <w:r>
              <w:rPr>
                <w:rFonts w:cs="Calibri"/>
              </w:rPr>
              <w:t>De 0.75 a 0.99</w:t>
            </w:r>
          </w:p>
        </w:tc>
        <w:tc>
          <w:tcPr>
            <w:tcW w:w="1004" w:type="dxa"/>
            <w:shd w:val="clear" w:color="auto" w:fill="auto"/>
          </w:tcPr>
          <w:p>
            <w:pPr>
              <w:spacing w:after="0"/>
              <w:rPr>
                <w:rFonts w:cs="Calibri"/>
              </w:rPr>
            </w:pPr>
            <w:r>
              <w:rPr>
                <w:rFonts w:cs="Calibri"/>
              </w:rPr>
              <w:t>4</w:t>
            </w:r>
          </w:p>
        </w:tc>
        <w:tc>
          <w:tcPr>
            <w:tcW w:w="4759" w:type="dxa"/>
            <w:shd w:val="clear" w:color="auto" w:fill="auto"/>
          </w:tcPr>
          <w:p>
            <w:pPr>
              <w:spacing w:after="0"/>
              <w:rPr>
                <w:rFonts w:cs="Calibri"/>
              </w:rPr>
            </w:pPr>
            <w:r>
              <w:rPr>
                <w:rFonts w:cs="Calibri"/>
              </w:rPr>
              <w:t>Menor valor</w:t>
            </w:r>
          </w:p>
        </w:tc>
      </w:tr>
    </w:tbl>
    <w:p>
      <w:pPr>
        <w:spacing w:after="0"/>
        <w:rPr>
          <w:rFonts w:cs="Calibri"/>
        </w:rPr>
      </w:pPr>
    </w:p>
    <w:p>
      <w:pPr>
        <w:pStyle w:val="17"/>
        <w:numPr>
          <w:ilvl w:val="0"/>
          <w:numId w:val="11"/>
        </w:numPr>
        <w:autoSpaceDE w:val="0"/>
        <w:autoSpaceDN w:val="0"/>
        <w:adjustRightInd w:val="0"/>
        <w:spacing w:after="0"/>
        <w:rPr>
          <w:rFonts w:cs="Calibri"/>
          <w:b/>
          <w:u w:val="single"/>
          <w:lang w:eastAsia="es-CO"/>
        </w:rPr>
      </w:pPr>
      <w:r>
        <w:rPr>
          <w:rFonts w:cs="Calibri"/>
          <w:b/>
          <w:u w:val="single"/>
          <w:lang w:eastAsia="es-CO"/>
        </w:rPr>
        <w:t>MEDIA ARITMÉTICA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 xml:space="preserve">Consiste en la determinación del promedio aritmético de las Ofertas válidas y la asignación de puntos en función de la proximidad de las Ofertas a dicho promedio aritmético, como resultado de aplicar las siguientes fórmulas: </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Donde,</w:t>
      </w:r>
    </w:p>
    <w:p>
      <w:pPr>
        <w:autoSpaceDE w:val="0"/>
        <w:autoSpaceDN w:val="0"/>
        <w:adjustRightInd w:val="0"/>
        <w:spacing w:after="0"/>
        <w:rPr>
          <w:rFonts w:cs="Calibri"/>
          <w:lang w:eastAsia="es-CO"/>
        </w:rPr>
      </w:pPr>
    </w:p>
    <w:p>
      <w:pPr>
        <w:autoSpaceDE w:val="0"/>
        <w:autoSpaceDN w:val="0"/>
        <w:adjustRightInd w:val="0"/>
        <w:spacing w:after="0"/>
        <w:rPr>
          <w:rFonts w:cs="Calibri"/>
          <w:i/>
          <w:lang w:eastAsia="es-CO"/>
        </w:rPr>
      </w:pPr>
      <w:r>
        <w:rPr>
          <w:rFonts w:cs="Calibri"/>
          <w:i/>
          <w:lang w:eastAsia="es-CO"/>
        </w:rPr>
        <w:t>=</w:t>
      </w:r>
      <w:r>
        <w:rPr>
          <w:rFonts w:cs="Calibri"/>
          <w:i/>
          <w:lang w:eastAsia="es-CO"/>
        </w:rPr>
        <w:tab/>
      </w:r>
      <w:r>
        <w:rPr>
          <w:rFonts w:cs="Calibri"/>
          <w:i/>
          <w:lang w:eastAsia="es-CO"/>
        </w:rPr>
        <w:t>Media aritmética</w:t>
      </w:r>
    </w:p>
    <w:p>
      <w:pPr>
        <w:autoSpaceDE w:val="0"/>
        <w:autoSpaceDN w:val="0"/>
        <w:adjustRightInd w:val="0"/>
        <w:spacing w:after="0"/>
        <w:rPr>
          <w:rFonts w:cs="Calibri"/>
          <w:i/>
          <w:lang w:eastAsia="es-CO"/>
        </w:rPr>
      </w:pPr>
      <w:r>
        <w:rPr>
          <w:rFonts w:cs="Calibri"/>
          <w:i/>
          <w:lang w:eastAsia="es-CO"/>
        </w:rPr>
        <w:t>x</w:t>
      </w:r>
      <w:r>
        <w:rPr>
          <w:rFonts w:cs="Calibri"/>
          <w:i/>
          <w:vertAlign w:val="subscript"/>
          <w:lang w:eastAsia="es-CO"/>
        </w:rPr>
        <w:t>i</w:t>
      </w:r>
      <w:r>
        <w:rPr>
          <w:rFonts w:cs="Calibri"/>
          <w:i/>
          <w:lang w:eastAsia="es-CO"/>
        </w:rPr>
        <w:t>=</w:t>
      </w:r>
      <w:r>
        <w:rPr>
          <w:rFonts w:cs="Calibri"/>
          <w:i/>
          <w:lang w:eastAsia="es-CO"/>
        </w:rPr>
        <w:tab/>
      </w:r>
      <w:r>
        <w:rPr>
          <w:rFonts w:cs="Calibri"/>
          <w:i/>
          <w:lang w:eastAsia="es-CO"/>
        </w:rPr>
        <w:t>Valor de la oferta i sin decimales.</w:t>
      </w:r>
    </w:p>
    <w:p>
      <w:pPr>
        <w:autoSpaceDE w:val="0"/>
        <w:autoSpaceDN w:val="0"/>
        <w:adjustRightInd w:val="0"/>
        <w:spacing w:after="0"/>
        <w:rPr>
          <w:rFonts w:cs="Calibri"/>
          <w:i/>
          <w:lang w:eastAsia="es-CO"/>
        </w:rPr>
      </w:pPr>
      <w:r>
        <w:rPr>
          <w:rFonts w:cs="Calibri"/>
          <w:i/>
          <w:lang w:eastAsia="es-CO"/>
        </w:rPr>
        <w:t>n=</w:t>
      </w:r>
      <w:r>
        <w:rPr>
          <w:rFonts w:cs="Calibri"/>
          <w:i/>
          <w:lang w:eastAsia="es-CO"/>
        </w:rPr>
        <w:tab/>
      </w:r>
      <w:r>
        <w:rPr>
          <w:rFonts w:cs="Calibri"/>
          <w:i/>
          <w:lang w:eastAsia="es-CO"/>
        </w:rPr>
        <w:t>Número total de las Ofertas válidas presentadas</w:t>
      </w:r>
    </w:p>
    <w:p>
      <w:pPr>
        <w:autoSpaceDE w:val="0"/>
        <w:autoSpaceDN w:val="0"/>
        <w:adjustRightInd w:val="0"/>
        <w:spacing w:after="0"/>
        <w:rPr>
          <w:rFonts w:cs="Calibri"/>
          <w:i/>
          <w:lang w:eastAsia="es-CO"/>
        </w:rPr>
      </w:pPr>
    </w:p>
    <w:p>
      <w:pPr>
        <w:autoSpaceDE w:val="0"/>
        <w:autoSpaceDN w:val="0"/>
        <w:adjustRightInd w:val="0"/>
        <w:spacing w:after="0"/>
        <w:rPr>
          <w:rFonts w:cs="Calibri"/>
          <w:lang w:eastAsia="es-CO"/>
        </w:rPr>
      </w:pPr>
      <w:r>
        <w:rPr>
          <w:rFonts w:cs="Calibri"/>
          <w:lang w:eastAsia="es-CO"/>
        </w:rPr>
        <w:t xml:space="preserve">Se calculará la media Aritmética con el valor corregido (Incluido AIU) de las propuestas económicas válidas. A la oferta elegible que se acerque más a media aritmética se le asignará el mayor puntaje, es decir </w:t>
      </w:r>
      <w:r>
        <w:rPr>
          <w:rFonts w:cs="Calibri"/>
          <w:b/>
          <w:bCs/>
          <w:lang w:eastAsia="es-CO"/>
        </w:rPr>
        <w:t xml:space="preserve">500 </w:t>
      </w:r>
      <w:r>
        <w:rPr>
          <w:rFonts w:cs="Calibri"/>
          <w:lang w:eastAsia="es-CO"/>
        </w:rPr>
        <w:t>puntos.</w:t>
      </w:r>
    </w:p>
    <w:p>
      <w:pPr>
        <w:autoSpaceDE w:val="0"/>
        <w:autoSpaceDN w:val="0"/>
        <w:adjustRightInd w:val="0"/>
        <w:spacing w:after="0"/>
        <w:rPr>
          <w:rFonts w:cs="Calibri"/>
          <w:lang w:eastAsia="es-CO"/>
        </w:rPr>
      </w:pPr>
      <w:r>
        <w:rPr>
          <w:rFonts w:cs="Calibri"/>
          <w:lang w:eastAsia="es-CO"/>
        </w:rPr>
        <w:t xml:space="preserve"> </w:t>
      </w:r>
    </w:p>
    <w:p>
      <w:pPr>
        <w:autoSpaceDE w:val="0"/>
        <w:autoSpaceDN w:val="0"/>
        <w:adjustRightInd w:val="0"/>
        <w:spacing w:after="0"/>
        <w:rPr>
          <w:rFonts w:cs="Calibri"/>
          <w:lang w:eastAsia="es-CO"/>
        </w:rPr>
      </w:pPr>
      <w:r>
        <w:rPr>
          <w:rFonts w:cs="Calibri"/>
          <w:lang w:eastAsia="es-CO"/>
        </w:rPr>
        <w:t>Obtenida la media aritmética se procederá a ponderar las Ofertas de acuerdo con la siguiente fórmula.</w:t>
      </w:r>
    </w:p>
    <w:p>
      <w:pPr>
        <w:autoSpaceDE w:val="0"/>
        <w:autoSpaceDN w:val="0"/>
        <w:adjustRightInd w:val="0"/>
        <w:spacing w:after="0"/>
        <w:rPr>
          <w:rFonts w:cs="Calibri"/>
          <w:lang w:eastAsia="es-CO"/>
        </w:rPr>
      </w:pPr>
    </w:p>
    <w:tbl>
      <w:tblPr>
        <w:tblStyle w:val="15"/>
        <w:tblW w:w="6379" w:type="dxa"/>
        <w:jc w:val="center"/>
        <w:tblInd w:w="0" w:type="dxa"/>
        <w:tblLayout w:type="fixed"/>
        <w:tblCellMar>
          <w:top w:w="0" w:type="dxa"/>
          <w:left w:w="10" w:type="dxa"/>
          <w:bottom w:w="0" w:type="dxa"/>
          <w:right w:w="10" w:type="dxa"/>
        </w:tblCellMar>
      </w:tblPr>
      <w:tblGrid>
        <w:gridCol w:w="1129"/>
        <w:gridCol w:w="714"/>
        <w:gridCol w:w="4536"/>
      </w:tblGrid>
      <w:tr>
        <w:tblPrEx>
          <w:tblLayout w:type="fixed"/>
          <w:tblCellMar>
            <w:top w:w="0" w:type="dxa"/>
            <w:left w:w="10" w:type="dxa"/>
            <w:bottom w:w="0" w:type="dxa"/>
            <w:right w:w="10" w:type="dxa"/>
          </w:tblCellMar>
        </w:tblPrEx>
        <w:trPr>
          <w:jc w:val="center"/>
        </w:trPr>
        <w:tc>
          <w:tcPr>
            <w:tcW w:w="1129" w:type="dxa"/>
            <w:vMerge w:val="restart"/>
            <w:vAlign w:val="center"/>
          </w:tcPr>
          <w:p>
            <w:pPr>
              <w:autoSpaceDE w:val="0"/>
              <w:autoSpaceDN w:val="0"/>
              <w:adjustRightInd w:val="0"/>
              <w:spacing w:after="0"/>
              <w:rPr>
                <w:rFonts w:cs="Calibri"/>
              </w:rPr>
            </w:pPr>
            <w:r>
              <w:rPr>
                <w:rFonts w:cs="Calibri"/>
              </w:rPr>
              <w:t>Puntaje i=</w:t>
            </w:r>
          </w:p>
        </w:tc>
        <w:tc>
          <w:tcPr>
            <w:tcW w:w="714" w:type="dxa"/>
            <w:vAlign w:val="center"/>
          </w:tcPr>
          <w:p>
            <w:pPr>
              <w:autoSpaceDE w:val="0"/>
              <w:autoSpaceDN w:val="0"/>
              <w:adjustRightInd w:val="0"/>
              <w:spacing w:after="0"/>
              <w:rPr>
                <w:rFonts w:cs="Calibri"/>
              </w:rPr>
            </w:pPr>
            <w:r>
              <w:rPr>
                <w:rFonts w:cs="Calibri"/>
              </w:rPr>
              <w:t>500</w:t>
            </w:r>
          </w:p>
        </w:tc>
        <w:tc>
          <w:tcPr>
            <w:tcW w:w="4536" w:type="dxa"/>
            <w:vAlign w:val="center"/>
          </w:tcPr>
          <w:p>
            <w:pPr>
              <w:autoSpaceDE w:val="0"/>
              <w:autoSpaceDN w:val="0"/>
              <w:adjustRightInd w:val="0"/>
              <w:spacing w:after="0"/>
              <w:rPr>
                <w:rFonts w:cs="Calibri"/>
              </w:rPr>
            </w:pPr>
            <w:r>
              <w:rPr>
                <w:rFonts w:cs="Calibri"/>
                <w:lang w:eastAsia="es-CO"/>
              </w:rPr>
              <mc:AlternateContent>
                <mc:Choice Requires="wps">
                  <w:drawing>
                    <wp:anchor distT="0" distB="0" distL="114300" distR="114300" simplePos="0" relativeHeight="251665408" behindDoc="0" locked="0" layoutInCell="1" allowOverlap="1">
                      <wp:simplePos x="0" y="0"/>
                      <wp:positionH relativeFrom="column">
                        <wp:posOffset>-630555</wp:posOffset>
                      </wp:positionH>
                      <wp:positionV relativeFrom="paragraph">
                        <wp:posOffset>-23495</wp:posOffset>
                      </wp:positionV>
                      <wp:extent cx="3419475" cy="838200"/>
                      <wp:effectExtent l="38100" t="4445" r="47625" b="14605"/>
                      <wp:wrapNone/>
                      <wp:docPr id="32" name="Llaves 32"/>
                      <wp:cNvGraphicFramePr/>
                      <a:graphic xmlns:a="http://schemas.openxmlformats.org/drawingml/2006/main">
                        <a:graphicData uri="http://schemas.microsoft.com/office/word/2010/wordprocessingShape">
                          <wps:wsp>
                            <wps:cNvSpPr/>
                            <wps:spPr>
                              <a:xfrm>
                                <a:off x="0" y="0"/>
                                <a:ext cx="3419475" cy="838200"/>
                              </a:xfrm>
                              <a:prstGeom prst="bracePair">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Llaves 32" o:spid="_x0000_s1026" o:spt="186" type="#_x0000_t186" style="position:absolute;left:0pt;margin-left:-49.65pt;margin-top:-1.85pt;height:66pt;width:269.25pt;z-index:251665408;v-text-anchor:middle;mso-width-relative:page;mso-height-relative:page;" filled="f" stroked="t" coordsize="21600,21600" o:gfxdata="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K8YQaHb&#10;AAAACgEAAA8AAAAAAAAAAQAgAAAAIgAAAGRycy9kb3ducmV2LnhtbFBLAQIUABQAAAAIAIdO4kCr&#10;SiouVgIAAKUEAAAOAAAAAAAAAAEAIAAAACoBAABkcnMvZTJvRG9jLnhtbFBLBQYAAAAABgAGAFkB&#10;AADyBQAAAAA=&#10;" adj="1800">
                      <v:fill on="f" focussize="0,0"/>
                      <v:stroke weight="0.5pt" color="#000000" miterlimit="8" joinstyle="miter"/>
                      <v:imagedata o:title=""/>
                      <o:lock v:ext="edit" aspectratio="f"/>
                    </v:shape>
                  </w:pict>
                </mc:Fallback>
              </mc:AlternateContent>
            </w:r>
            <w:r>
              <w:rPr>
                <w:rFonts w:cs="Calibri"/>
                <w:lang w:eastAsia="es-CO"/>
              </w:rPr>
              <w:drawing>
                <wp:inline distT="0" distB="0" distL="0" distR="0">
                  <wp:extent cx="2846705" cy="379730"/>
                  <wp:effectExtent l="0" t="0" r="10795" b="127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noChangeArrowheads="1"/>
                          </pic:cNvPicPr>
                        </pic:nvPicPr>
                        <pic:blipFill>
                          <a:blip r:embed="rId6" cstate="print">
                            <a:extLst>
                              <a:ext uri="{28A0092B-C50C-407E-A947-70E740481C1C}">
                                <a14:useLocalDpi xmlns:a14="http://schemas.microsoft.com/office/drawing/2010/main" val="0"/>
                              </a:ext>
                            </a:extLst>
                          </a:blip>
                          <a:srcRect l="49921" t="42526" r="1656" b="46077"/>
                          <a:stretch>
                            <a:fillRect/>
                          </a:stretch>
                        </pic:blipFill>
                        <pic:spPr>
                          <a:xfrm>
                            <a:off x="0" y="0"/>
                            <a:ext cx="2846705" cy="379730"/>
                          </a:xfrm>
                          <a:prstGeom prst="rect">
                            <a:avLst/>
                          </a:prstGeom>
                          <a:noFill/>
                          <a:ln>
                            <a:noFill/>
                          </a:ln>
                        </pic:spPr>
                      </pic:pic>
                    </a:graphicData>
                  </a:graphic>
                </wp:inline>
              </w:drawing>
            </w:r>
          </w:p>
        </w:tc>
      </w:tr>
      <w:tr>
        <w:tblPrEx>
          <w:tblLayout w:type="fixed"/>
          <w:tblCellMar>
            <w:top w:w="0" w:type="dxa"/>
            <w:left w:w="10" w:type="dxa"/>
            <w:bottom w:w="0" w:type="dxa"/>
            <w:right w:w="10" w:type="dxa"/>
          </w:tblCellMar>
        </w:tblPrEx>
        <w:trPr>
          <w:jc w:val="center"/>
        </w:trPr>
        <w:tc>
          <w:tcPr>
            <w:tcW w:w="1129" w:type="dxa"/>
            <w:vMerge w:val="continue"/>
            <w:vAlign w:val="center"/>
          </w:tcPr>
          <w:p>
            <w:pPr>
              <w:autoSpaceDE w:val="0"/>
              <w:autoSpaceDN w:val="0"/>
              <w:adjustRightInd w:val="0"/>
              <w:spacing w:after="0"/>
              <w:rPr>
                <w:rFonts w:cs="Calibri"/>
              </w:rPr>
            </w:pPr>
          </w:p>
        </w:tc>
        <w:tc>
          <w:tcPr>
            <w:tcW w:w="714" w:type="dxa"/>
            <w:vAlign w:val="center"/>
          </w:tcPr>
          <w:p>
            <w:pPr>
              <w:autoSpaceDE w:val="0"/>
              <w:autoSpaceDN w:val="0"/>
              <w:adjustRightInd w:val="0"/>
              <w:spacing w:after="0"/>
              <w:rPr>
                <w:rFonts w:cs="Calibri"/>
              </w:rPr>
            </w:pPr>
            <w:r>
              <w:rPr>
                <w:rFonts w:cs="Calibri"/>
              </w:rPr>
              <w:t>500</w:t>
            </w:r>
          </w:p>
        </w:tc>
        <w:tc>
          <w:tcPr>
            <w:tcW w:w="4536" w:type="dxa"/>
            <w:vAlign w:val="center"/>
          </w:tcPr>
          <w:p>
            <w:pPr>
              <w:autoSpaceDE w:val="0"/>
              <w:autoSpaceDN w:val="0"/>
              <w:adjustRightInd w:val="0"/>
              <w:spacing w:after="0"/>
              <w:rPr>
                <w:rFonts w:cs="Calibri"/>
              </w:rPr>
            </w:pPr>
            <w:r>
              <w:rPr>
                <w:rFonts w:cs="Calibri"/>
                <w:lang w:eastAsia="es-CO"/>
              </w:rPr>
              <w:drawing>
                <wp:inline distT="0" distB="0" distL="0" distR="0">
                  <wp:extent cx="2837815" cy="344805"/>
                  <wp:effectExtent l="0" t="0" r="635" b="1714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a:picLocks noChangeAspect="1" noChangeArrowheads="1"/>
                          </pic:cNvPicPr>
                        </pic:nvPicPr>
                        <pic:blipFill>
                          <a:blip r:embed="rId6" cstate="print">
                            <a:extLst>
                              <a:ext uri="{28A0092B-C50C-407E-A947-70E740481C1C}">
                                <a14:useLocalDpi xmlns:a14="http://schemas.microsoft.com/office/drawing/2010/main" val="0"/>
                              </a:ext>
                            </a:extLst>
                          </a:blip>
                          <a:srcRect l="50121" t="53270" r="1656" b="36305"/>
                          <a:stretch>
                            <a:fillRect/>
                          </a:stretch>
                        </pic:blipFill>
                        <pic:spPr>
                          <a:xfrm>
                            <a:off x="0" y="0"/>
                            <a:ext cx="2837815" cy="344805"/>
                          </a:xfrm>
                          <a:prstGeom prst="rect">
                            <a:avLst/>
                          </a:prstGeom>
                          <a:noFill/>
                          <a:ln>
                            <a:noFill/>
                          </a:ln>
                        </pic:spPr>
                      </pic:pic>
                    </a:graphicData>
                  </a:graphic>
                </wp:inline>
              </w:drawing>
            </w:r>
          </w:p>
        </w:tc>
      </w:tr>
    </w:tbl>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 xml:space="preserve"> Donde, </w:t>
      </w:r>
    </w:p>
    <w:p>
      <w:pPr>
        <w:autoSpaceDE w:val="0"/>
        <w:autoSpaceDN w:val="0"/>
        <w:adjustRightInd w:val="0"/>
        <w:spacing w:after="0"/>
        <w:rPr>
          <w:rFonts w:cs="Calibri"/>
          <w:lang w:eastAsia="es-CO"/>
        </w:rPr>
      </w:pPr>
    </w:p>
    <w:p>
      <w:pPr>
        <w:autoSpaceDE w:val="0"/>
        <w:autoSpaceDN w:val="0"/>
        <w:adjustRightInd w:val="0"/>
        <w:spacing w:after="0"/>
        <w:rPr>
          <w:rFonts w:cs="Calibri"/>
          <w:i/>
          <w:lang w:eastAsia="es-CO"/>
        </w:rPr>
      </w:pPr>
      <w:r>
        <w:rPr>
          <w:rFonts w:cs="Calibri"/>
          <w:i/>
          <w:lang w:eastAsia="es-CO"/>
        </w:rPr>
        <w:t>=</w:t>
      </w:r>
      <w:r>
        <w:rPr>
          <w:rFonts w:cs="Calibri"/>
          <w:i/>
          <w:lang w:eastAsia="es-CO"/>
        </w:rPr>
        <w:tab/>
      </w:r>
      <w:r>
        <w:rPr>
          <w:rFonts w:cs="Calibri"/>
          <w:i/>
          <w:lang w:eastAsia="es-CO"/>
        </w:rPr>
        <w:t>Media aritmética</w:t>
      </w:r>
    </w:p>
    <w:p>
      <w:pPr>
        <w:autoSpaceDE w:val="0"/>
        <w:autoSpaceDN w:val="0"/>
        <w:adjustRightInd w:val="0"/>
        <w:spacing w:after="0"/>
        <w:rPr>
          <w:rFonts w:cs="Calibri"/>
          <w:i/>
          <w:lang w:eastAsia="es-CO"/>
        </w:rPr>
      </w:pPr>
      <w:r>
        <w:rPr>
          <w:rFonts w:cs="Calibri"/>
          <w:i/>
          <w:lang w:eastAsia="es-CO"/>
        </w:rPr>
        <w:t>V</w:t>
      </w:r>
      <w:r>
        <w:rPr>
          <w:rFonts w:cs="Calibri"/>
          <w:i/>
          <w:vertAlign w:val="subscript"/>
          <w:lang w:eastAsia="es-CO"/>
        </w:rPr>
        <w:t xml:space="preserve">i </w:t>
      </w:r>
      <w:r>
        <w:rPr>
          <w:rFonts w:cs="Calibri"/>
          <w:i/>
          <w:lang w:eastAsia="es-CO"/>
        </w:rPr>
        <w:t>=</w:t>
      </w:r>
      <w:r>
        <w:rPr>
          <w:rFonts w:cs="Calibri"/>
          <w:i/>
          <w:lang w:eastAsia="es-CO"/>
        </w:rPr>
        <w:tab/>
      </w:r>
      <w:r>
        <w:rPr>
          <w:rFonts w:cs="Calibri"/>
          <w:i/>
          <w:lang w:eastAsia="es-CO"/>
        </w:rPr>
        <w:t>Valor total de cada una de las Ofertas i, sin decimales.</w:t>
      </w:r>
    </w:p>
    <w:p>
      <w:pPr>
        <w:autoSpaceDE w:val="0"/>
        <w:autoSpaceDN w:val="0"/>
        <w:adjustRightInd w:val="0"/>
        <w:spacing w:after="0"/>
        <w:rPr>
          <w:rFonts w:cs="Calibri"/>
          <w:i/>
          <w:lang w:eastAsia="es-CO"/>
        </w:rPr>
      </w:pPr>
      <w:r>
        <w:rPr>
          <w:rFonts w:cs="Calibri"/>
          <w:i/>
          <w:lang w:eastAsia="es-CO"/>
        </w:rPr>
        <w:t>i =</w:t>
      </w:r>
      <w:r>
        <w:rPr>
          <w:rFonts w:cs="Calibri"/>
          <w:i/>
          <w:lang w:eastAsia="es-CO"/>
        </w:rPr>
        <w:tab/>
      </w:r>
      <w:r>
        <w:rPr>
          <w:rFonts w:cs="Calibri"/>
          <w:i/>
          <w:lang w:eastAsia="es-CO"/>
        </w:rPr>
        <w:t>Número de oferta.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En el caso de ofertas económicas con valores mayores a la media aritmética se tomará el valor absoluto de la diferencia entre la media aritmética y el valor de la Oferta, como se observa en la fórmula de ponderación.</w:t>
      </w:r>
    </w:p>
    <w:p>
      <w:pPr>
        <w:autoSpaceDE w:val="0"/>
        <w:autoSpaceDN w:val="0"/>
        <w:adjustRightInd w:val="0"/>
        <w:spacing w:after="0"/>
        <w:rPr>
          <w:rFonts w:cs="Calibri"/>
          <w:lang w:eastAsia="es-CO"/>
        </w:rPr>
      </w:pPr>
    </w:p>
    <w:p>
      <w:pPr>
        <w:pStyle w:val="17"/>
        <w:numPr>
          <w:ilvl w:val="0"/>
          <w:numId w:val="11"/>
        </w:numPr>
        <w:autoSpaceDE w:val="0"/>
        <w:autoSpaceDN w:val="0"/>
        <w:adjustRightInd w:val="0"/>
        <w:spacing w:after="0"/>
        <w:rPr>
          <w:rFonts w:cs="Calibri"/>
          <w:b/>
          <w:u w:val="single"/>
          <w:lang w:eastAsia="es-CO"/>
        </w:rPr>
      </w:pPr>
      <w:r>
        <w:rPr>
          <w:rFonts w:cs="Calibri"/>
          <w:b/>
          <w:u w:val="single"/>
          <w:lang w:eastAsia="es-CO"/>
        </w:rPr>
        <w:t>MEDIA ARITMÉTICA ALTA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Donde,</w:t>
      </w:r>
    </w:p>
    <w:p>
      <w:pPr>
        <w:autoSpaceDE w:val="0"/>
        <w:autoSpaceDN w:val="0"/>
        <w:adjustRightInd w:val="0"/>
        <w:spacing w:after="0"/>
        <w:rPr>
          <w:rFonts w:cs="Calibri"/>
          <w:lang w:eastAsia="es-CO"/>
        </w:rPr>
      </w:pPr>
    </w:p>
    <w:p>
      <w:pPr>
        <w:autoSpaceDE w:val="0"/>
        <w:autoSpaceDN w:val="0"/>
        <w:adjustRightInd w:val="0"/>
        <w:spacing w:after="0"/>
        <w:rPr>
          <w:rFonts w:cs="Calibri"/>
          <w:i/>
          <w:lang w:eastAsia="es-CO"/>
        </w:rPr>
      </w:pPr>
      <w:r>
        <w:rPr>
          <w:rFonts w:cs="Calibri"/>
          <w:i/>
          <w:lang w:eastAsia="es-CO"/>
        </w:rPr>
        <w:t>X</w:t>
      </w:r>
      <w:r>
        <w:rPr>
          <w:rFonts w:cs="Calibri"/>
          <w:i/>
          <w:vertAlign w:val="subscript"/>
          <w:lang w:eastAsia="es-CO"/>
        </w:rPr>
        <w:t>A</w:t>
      </w:r>
      <w:r>
        <w:rPr>
          <w:rFonts w:cs="Calibri"/>
          <w:i/>
          <w:lang w:eastAsia="es-CO"/>
        </w:rPr>
        <w:t>=</w:t>
      </w:r>
      <w:r>
        <w:rPr>
          <w:rFonts w:cs="Calibri"/>
          <w:i/>
          <w:lang w:eastAsia="es-CO"/>
        </w:rPr>
        <w:tab/>
      </w:r>
      <w:r>
        <w:rPr>
          <w:rFonts w:cs="Calibri"/>
          <w:i/>
          <w:lang w:eastAsia="es-CO"/>
        </w:rPr>
        <w:tab/>
      </w:r>
      <w:r>
        <w:rPr>
          <w:rFonts w:cs="Calibri"/>
          <w:i/>
          <w:lang w:eastAsia="es-CO"/>
        </w:rPr>
        <w:t>Media aritmética alta</w:t>
      </w:r>
    </w:p>
    <w:p>
      <w:pPr>
        <w:autoSpaceDE w:val="0"/>
        <w:autoSpaceDN w:val="0"/>
        <w:adjustRightInd w:val="0"/>
        <w:spacing w:after="0"/>
        <w:rPr>
          <w:rFonts w:cs="Calibri"/>
          <w:i/>
          <w:lang w:eastAsia="es-CO"/>
        </w:rPr>
      </w:pPr>
      <w:r>
        <w:rPr>
          <w:rFonts w:cs="Calibri"/>
          <w:i/>
          <w:lang w:eastAsia="es-CO"/>
        </w:rPr>
        <w:t>V</w:t>
      </w:r>
      <w:r>
        <w:rPr>
          <w:rFonts w:cs="Calibri"/>
          <w:i/>
          <w:vertAlign w:val="subscript"/>
          <w:lang w:eastAsia="es-CO"/>
        </w:rPr>
        <w:t>max</w:t>
      </w:r>
      <w:r>
        <w:rPr>
          <w:rFonts w:cs="Calibri"/>
          <w:i/>
          <w:lang w:eastAsia="es-CO"/>
        </w:rPr>
        <w:t>=</w:t>
      </w:r>
      <w:r>
        <w:rPr>
          <w:rFonts w:cs="Calibri"/>
          <w:i/>
          <w:lang w:eastAsia="es-CO"/>
        </w:rPr>
        <w:tab/>
      </w:r>
      <w:r>
        <w:rPr>
          <w:rFonts w:cs="Calibri"/>
          <w:i/>
          <w:lang w:eastAsia="es-CO"/>
        </w:rPr>
        <w:t>Valor total sin decimales de la oferta más alta</w:t>
      </w:r>
    </w:p>
    <w:p>
      <w:pPr>
        <w:autoSpaceDE w:val="0"/>
        <w:autoSpaceDN w:val="0"/>
        <w:adjustRightInd w:val="0"/>
        <w:spacing w:after="0"/>
        <w:rPr>
          <w:rFonts w:cs="Calibri"/>
          <w:i/>
          <w:lang w:eastAsia="es-CO"/>
        </w:rPr>
      </w:pPr>
      <w:r>
        <w:rPr>
          <w:rFonts w:cs="Calibri"/>
          <w:i/>
          <w:lang w:eastAsia="es-CO"/>
        </w:rPr>
        <w:t>=</w:t>
      </w:r>
      <w:r>
        <w:rPr>
          <w:rFonts w:cs="Calibri"/>
          <w:i/>
          <w:lang w:eastAsia="es-CO"/>
        </w:rPr>
        <w:tab/>
      </w:r>
      <w:r>
        <w:rPr>
          <w:rFonts w:cs="Calibri"/>
          <w:i/>
          <w:lang w:eastAsia="es-CO"/>
        </w:rPr>
        <w:tab/>
      </w:r>
      <w:r>
        <w:rPr>
          <w:rFonts w:cs="Calibri"/>
          <w:i/>
          <w:lang w:eastAsia="es-CO"/>
        </w:rPr>
        <w:t>Promedio aritmético de las ofertas válidas</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Obtenida la media aritmética alta se procederá a ponderar las ofertas de acuerdo con la siguiente fórmula: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p>
    <w:tbl>
      <w:tblPr>
        <w:tblStyle w:val="15"/>
        <w:tblW w:w="7939" w:type="dxa"/>
        <w:jc w:val="center"/>
        <w:tblInd w:w="0" w:type="dxa"/>
        <w:tblLayout w:type="fixed"/>
        <w:tblCellMar>
          <w:top w:w="0" w:type="dxa"/>
          <w:left w:w="108" w:type="dxa"/>
          <w:bottom w:w="0" w:type="dxa"/>
          <w:right w:w="108" w:type="dxa"/>
        </w:tblCellMar>
      </w:tblPr>
      <w:tblGrid>
        <w:gridCol w:w="1993"/>
        <w:gridCol w:w="603"/>
        <w:gridCol w:w="5343"/>
      </w:tblGrid>
      <w:tr>
        <w:tblPrEx>
          <w:tblLayout w:type="fixed"/>
          <w:tblCellMar>
            <w:top w:w="0" w:type="dxa"/>
            <w:left w:w="108" w:type="dxa"/>
            <w:bottom w:w="0" w:type="dxa"/>
            <w:right w:w="108" w:type="dxa"/>
          </w:tblCellMar>
        </w:tblPrEx>
        <w:trPr>
          <w:jc w:val="center"/>
        </w:trPr>
        <w:tc>
          <w:tcPr>
            <w:tcW w:w="1993" w:type="dxa"/>
            <w:vMerge w:val="restart"/>
            <w:shd w:val="clear" w:color="auto" w:fill="auto"/>
            <w:vAlign w:val="center"/>
          </w:tcPr>
          <w:p>
            <w:pPr>
              <w:autoSpaceDE w:val="0"/>
              <w:autoSpaceDN w:val="0"/>
              <w:adjustRightInd w:val="0"/>
              <w:spacing w:after="0"/>
              <w:rPr>
                <w:rFonts w:cs="Calibri"/>
                <w:lang w:eastAsia="es-CO"/>
              </w:rPr>
            </w:pPr>
            <w:r>
              <w:rPr>
                <w:rFonts w:cs="Calibri"/>
                <w:lang w:eastAsia="es-CO"/>
              </w:rPr>
              <w:t>a X</w:t>
            </w:r>
            <w:r>
              <w:rPr>
                <w:rFonts w:cs="Calibri"/>
                <w:vertAlign w:val="subscript"/>
                <w:lang w:eastAsia="es-CO"/>
              </w:rPr>
              <w:t>a</w:t>
            </w:r>
            <w:r>
              <w:rPr>
                <w:rFonts w:cs="Calibri"/>
                <w:lang w:eastAsia="es-CO"/>
              </w:rPr>
              <w:t xml:space="preserve">  Puntaje i=</w:t>
            </w:r>
          </w:p>
        </w:tc>
        <w:tc>
          <w:tcPr>
            <w:tcW w:w="603" w:type="dxa"/>
            <w:shd w:val="clear" w:color="auto" w:fill="auto"/>
            <w:vAlign w:val="center"/>
          </w:tcPr>
          <w:p>
            <w:pPr>
              <w:autoSpaceDE w:val="0"/>
              <w:autoSpaceDN w:val="0"/>
              <w:adjustRightInd w:val="0"/>
              <w:spacing w:after="0"/>
              <w:rPr>
                <w:rFonts w:cs="Calibri"/>
                <w:lang w:eastAsia="es-CO"/>
              </w:rPr>
            </w:pPr>
            <w:r>
              <w:rPr>
                <w:rFonts w:cs="Calibri"/>
                <w:lang w:eastAsia="es-CO"/>
              </w:rPr>
              <mc:AlternateContent>
                <mc:Choice Requires="wps">
                  <w:drawing>
                    <wp:anchor distT="0" distB="0" distL="114300" distR="114300" simplePos="0" relativeHeight="251663360" behindDoc="0" locked="0" layoutInCell="1" allowOverlap="1">
                      <wp:simplePos x="0" y="0"/>
                      <wp:positionH relativeFrom="column">
                        <wp:posOffset>-123825</wp:posOffset>
                      </wp:positionH>
                      <wp:positionV relativeFrom="paragraph">
                        <wp:posOffset>-168910</wp:posOffset>
                      </wp:positionV>
                      <wp:extent cx="3419475" cy="838200"/>
                      <wp:effectExtent l="38100" t="4445" r="47625" b="14605"/>
                      <wp:wrapNone/>
                      <wp:docPr id="1" name="Llaves 14"/>
                      <wp:cNvGraphicFramePr/>
                      <a:graphic xmlns:a="http://schemas.openxmlformats.org/drawingml/2006/main">
                        <a:graphicData uri="http://schemas.microsoft.com/office/word/2010/wordprocessingShape">
                          <wps:wsp>
                            <wps:cNvSpPr/>
                            <wps:spPr>
                              <a:xfrm>
                                <a:off x="0" y="0"/>
                                <a:ext cx="3419475" cy="838200"/>
                              </a:xfrm>
                              <a:prstGeom prst="bracePair">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Llaves 14" o:spid="_x0000_s1026" o:spt="186" type="#_x0000_t186" style="position:absolute;left:0pt;margin-left:-9.75pt;margin-top:-13.3pt;height:66pt;width:269.25pt;z-index:251663360;v-text-anchor:middle;mso-width-relative:page;mso-height-relative:page;" filled="f" stroked="t" coordsize="21600,21600" o:gfxdata="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JpOqD9sA&#10;AAALAQAADwAAAAAAAAABACAAAAAiAAAAZHJzL2Rvd25yZXYueG1sUEsBAhQAFAAAAAgAh07iQDfm&#10;46RVAgAApAQAAA4AAAAAAAAAAQAgAAAAKgEAAGRycy9lMm9Eb2MueG1sUEsFBgAAAAAGAAYAWQEA&#10;APEFAAAAAA==&#10;" adj="1800">
                      <v:fill on="f" focussize="0,0"/>
                      <v:stroke weight="0.5pt" color="#000000" miterlimit="8" joinstyle="miter"/>
                      <v:imagedata o:title=""/>
                      <o:lock v:ext="edit" aspectratio="f"/>
                    </v:shape>
                  </w:pict>
                </mc:Fallback>
              </mc:AlternateContent>
            </w:r>
            <w:r>
              <w:rPr>
                <w:rFonts w:cs="Calibri"/>
                <w:lang w:val="en-US" w:eastAsia="es-CO"/>
              </w:rPr>
              <w:t>5</w:t>
            </w:r>
            <w:r>
              <w:rPr>
                <w:rFonts w:cs="Calibri"/>
                <w:lang w:eastAsia="es-CO"/>
              </w:rPr>
              <w:t>00</w:t>
            </w:r>
          </w:p>
        </w:tc>
        <w:tc>
          <w:tcPr>
            <w:tcW w:w="5343" w:type="dxa"/>
            <w:shd w:val="clear" w:color="auto" w:fill="auto"/>
            <w:vAlign w:val="center"/>
          </w:tcPr>
          <w:p>
            <w:pPr>
              <w:autoSpaceDE w:val="0"/>
              <w:autoSpaceDN w:val="0"/>
              <w:adjustRightInd w:val="0"/>
              <w:spacing w:after="0"/>
              <w:rPr>
                <w:rFonts w:cs="Calibri"/>
                <w:lang w:eastAsia="es-CO"/>
              </w:rPr>
            </w:pPr>
            <w:r>
              <w:rPr>
                <w:rFonts w:cs="Calibri"/>
                <w:lang w:eastAsia="es-CO"/>
              </w:rPr>
              <w:drawing>
                <wp:inline distT="0" distB="0" distL="0" distR="0">
                  <wp:extent cx="2682875" cy="284480"/>
                  <wp:effectExtent l="0" t="0" r="3175" b="127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noChangeArrowheads="1"/>
                          </pic:cNvPicPr>
                        </pic:nvPicPr>
                        <pic:blipFill>
                          <a:blip r:embed="rId7" cstate="print">
                            <a:extLst>
                              <a:ext uri="{28A0092B-C50C-407E-A947-70E740481C1C}">
                                <a14:useLocalDpi xmlns:a14="http://schemas.microsoft.com/office/drawing/2010/main" val="0"/>
                              </a:ext>
                            </a:extLst>
                          </a:blip>
                          <a:srcRect l="52666" t="43671" r="2591" b="48024"/>
                          <a:stretch>
                            <a:fillRect/>
                          </a:stretch>
                        </pic:blipFill>
                        <pic:spPr>
                          <a:xfrm>
                            <a:off x="0" y="0"/>
                            <a:ext cx="2682875" cy="284480"/>
                          </a:xfrm>
                          <a:prstGeom prst="rect">
                            <a:avLst/>
                          </a:prstGeom>
                          <a:noFill/>
                          <a:ln>
                            <a:noFill/>
                          </a:ln>
                        </pic:spPr>
                      </pic:pic>
                    </a:graphicData>
                  </a:graphic>
                </wp:inline>
              </w:drawing>
            </w:r>
          </w:p>
        </w:tc>
      </w:tr>
      <w:tr>
        <w:tblPrEx>
          <w:tblLayout w:type="fixed"/>
          <w:tblCellMar>
            <w:top w:w="0" w:type="dxa"/>
            <w:left w:w="108" w:type="dxa"/>
            <w:bottom w:w="0" w:type="dxa"/>
            <w:right w:w="108" w:type="dxa"/>
          </w:tblCellMar>
        </w:tblPrEx>
        <w:trPr>
          <w:jc w:val="center"/>
        </w:trPr>
        <w:tc>
          <w:tcPr>
            <w:tcW w:w="1993" w:type="dxa"/>
            <w:vMerge w:val="continue"/>
            <w:shd w:val="clear" w:color="auto" w:fill="auto"/>
            <w:vAlign w:val="center"/>
          </w:tcPr>
          <w:p>
            <w:pPr>
              <w:autoSpaceDE w:val="0"/>
              <w:autoSpaceDN w:val="0"/>
              <w:adjustRightInd w:val="0"/>
              <w:spacing w:after="0"/>
              <w:rPr>
                <w:rFonts w:cs="Calibri"/>
                <w:lang w:eastAsia="es-CO"/>
              </w:rPr>
            </w:pPr>
          </w:p>
        </w:tc>
        <w:tc>
          <w:tcPr>
            <w:tcW w:w="603" w:type="dxa"/>
            <w:shd w:val="clear" w:color="auto" w:fill="auto"/>
            <w:vAlign w:val="center"/>
          </w:tcPr>
          <w:p>
            <w:pPr>
              <w:autoSpaceDE w:val="0"/>
              <w:autoSpaceDN w:val="0"/>
              <w:adjustRightInd w:val="0"/>
              <w:spacing w:after="0"/>
              <w:rPr>
                <w:rFonts w:cs="Calibri"/>
                <w:lang w:eastAsia="es-CO"/>
              </w:rPr>
            </w:pPr>
            <w:r>
              <w:rPr>
                <w:rFonts w:cs="Calibri"/>
                <w:lang w:val="en-US" w:eastAsia="es-CO"/>
              </w:rPr>
              <w:t>5</w:t>
            </w:r>
            <w:r>
              <w:rPr>
                <w:rFonts w:cs="Calibri"/>
                <w:lang w:eastAsia="es-CO"/>
              </w:rPr>
              <w:t>00</w:t>
            </w:r>
          </w:p>
        </w:tc>
        <w:tc>
          <w:tcPr>
            <w:tcW w:w="5343" w:type="dxa"/>
            <w:shd w:val="clear" w:color="auto" w:fill="auto"/>
            <w:vAlign w:val="center"/>
          </w:tcPr>
          <w:p>
            <w:pPr>
              <w:autoSpaceDE w:val="0"/>
              <w:autoSpaceDN w:val="0"/>
              <w:adjustRightInd w:val="0"/>
              <w:spacing w:after="0"/>
              <w:rPr>
                <w:rFonts w:cs="Calibri"/>
                <w:lang w:eastAsia="es-CO"/>
              </w:rPr>
            </w:pPr>
            <w:r>
              <w:rPr>
                <w:rFonts w:cs="Calibri"/>
                <w:lang w:eastAsia="es-CO"/>
              </w:rPr>
              <w:drawing>
                <wp:inline distT="0" distB="0" distL="0" distR="0">
                  <wp:extent cx="2726055" cy="267335"/>
                  <wp:effectExtent l="0" t="0" r="17145" b="184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noChangeArrowheads="1"/>
                          </pic:cNvPicPr>
                        </pic:nvPicPr>
                        <pic:blipFill>
                          <a:blip r:embed="rId7" cstate="print">
                            <a:extLst>
                              <a:ext uri="{28A0092B-C50C-407E-A947-70E740481C1C}">
                                <a14:useLocalDpi xmlns:a14="http://schemas.microsoft.com/office/drawing/2010/main" val="0"/>
                              </a:ext>
                            </a:extLst>
                          </a:blip>
                          <a:srcRect l="51765" t="54852" r="2592" b="37148"/>
                          <a:stretch>
                            <a:fillRect/>
                          </a:stretch>
                        </pic:blipFill>
                        <pic:spPr>
                          <a:xfrm>
                            <a:off x="0" y="0"/>
                            <a:ext cx="2726055" cy="267335"/>
                          </a:xfrm>
                          <a:prstGeom prst="rect">
                            <a:avLst/>
                          </a:prstGeom>
                          <a:noFill/>
                          <a:ln>
                            <a:noFill/>
                          </a:ln>
                        </pic:spPr>
                      </pic:pic>
                    </a:graphicData>
                  </a:graphic>
                </wp:inline>
              </w:drawing>
            </w:r>
          </w:p>
        </w:tc>
      </w:tr>
    </w:tbl>
    <w:p>
      <w:pPr>
        <w:autoSpaceDE w:val="0"/>
        <w:autoSpaceDN w:val="0"/>
        <w:adjustRightInd w:val="0"/>
        <w:spacing w:after="0"/>
        <w:rPr>
          <w:rFonts w:cs="Calibri"/>
          <w:lang w:eastAsia="es-CO"/>
        </w:rPr>
      </w:pPr>
      <w:r>
        <w:rPr>
          <w:rFonts w:cs="Calibri"/>
          <w:lang w:eastAsia="es-CO"/>
        </w:rPr>
        <w:t>Donde,</w:t>
      </w:r>
    </w:p>
    <w:p>
      <w:pPr>
        <w:autoSpaceDE w:val="0"/>
        <w:autoSpaceDN w:val="0"/>
        <w:adjustRightInd w:val="0"/>
        <w:spacing w:after="0"/>
        <w:rPr>
          <w:rFonts w:cs="Calibri"/>
          <w:i/>
          <w:lang w:eastAsia="es-CO"/>
        </w:rPr>
      </w:pPr>
    </w:p>
    <w:p>
      <w:pPr>
        <w:autoSpaceDE w:val="0"/>
        <w:autoSpaceDN w:val="0"/>
        <w:adjustRightInd w:val="0"/>
        <w:spacing w:after="0"/>
        <w:rPr>
          <w:rFonts w:cs="Calibri"/>
          <w:i/>
          <w:lang w:eastAsia="es-CO"/>
        </w:rPr>
      </w:pPr>
      <w:r>
        <w:rPr>
          <w:rFonts w:cs="Calibri"/>
          <w:i/>
          <w:lang w:eastAsia="es-CO"/>
        </w:rPr>
        <w:t>X</w:t>
      </w:r>
      <w:r>
        <w:rPr>
          <w:rFonts w:cs="Calibri"/>
          <w:i/>
          <w:vertAlign w:val="subscript"/>
          <w:lang w:eastAsia="es-CO"/>
        </w:rPr>
        <w:t>A</w:t>
      </w:r>
      <w:r>
        <w:rPr>
          <w:rFonts w:cs="Calibri"/>
          <w:i/>
          <w:lang w:eastAsia="es-CO"/>
        </w:rPr>
        <w:t>=</w:t>
      </w:r>
      <w:r>
        <w:rPr>
          <w:rFonts w:cs="Calibri"/>
          <w:i/>
          <w:lang w:eastAsia="es-CO"/>
        </w:rPr>
        <w:tab/>
      </w:r>
      <w:r>
        <w:rPr>
          <w:rFonts w:cs="Calibri"/>
          <w:i/>
          <w:lang w:eastAsia="es-CO"/>
        </w:rPr>
        <w:tab/>
      </w:r>
      <w:r>
        <w:rPr>
          <w:rFonts w:cs="Calibri"/>
          <w:i/>
          <w:lang w:eastAsia="es-CO"/>
        </w:rPr>
        <w:t>Media aritmética alta</w:t>
      </w:r>
    </w:p>
    <w:p>
      <w:pPr>
        <w:autoSpaceDE w:val="0"/>
        <w:autoSpaceDN w:val="0"/>
        <w:adjustRightInd w:val="0"/>
        <w:spacing w:after="0"/>
        <w:rPr>
          <w:rFonts w:cs="Calibri"/>
          <w:i/>
          <w:lang w:eastAsia="es-CO"/>
        </w:rPr>
      </w:pPr>
      <w:r>
        <w:rPr>
          <w:rFonts w:cs="Calibri"/>
          <w:i/>
          <w:lang w:eastAsia="es-CO"/>
        </w:rPr>
        <w:t>V</w:t>
      </w:r>
      <w:r>
        <w:rPr>
          <w:rFonts w:cs="Calibri"/>
          <w:i/>
          <w:vertAlign w:val="subscript"/>
          <w:lang w:eastAsia="es-CO"/>
        </w:rPr>
        <w:t>i</w:t>
      </w:r>
      <w:r>
        <w:rPr>
          <w:rFonts w:cs="Calibri"/>
          <w:i/>
          <w:lang w:eastAsia="es-CO"/>
        </w:rPr>
        <w:t>=</w:t>
      </w:r>
      <w:r>
        <w:rPr>
          <w:rFonts w:cs="Calibri"/>
          <w:i/>
          <w:lang w:eastAsia="es-CO"/>
        </w:rPr>
        <w:tab/>
      </w:r>
      <w:r>
        <w:rPr>
          <w:rFonts w:cs="Calibri"/>
          <w:i/>
          <w:lang w:eastAsia="es-CO"/>
        </w:rPr>
        <w:tab/>
      </w:r>
      <w:r>
        <w:rPr>
          <w:rFonts w:cs="Calibri"/>
          <w:i/>
          <w:lang w:eastAsia="es-CO"/>
        </w:rPr>
        <w:t>Valor total sin decimales de cada una de las Ofertas i</w:t>
      </w:r>
    </w:p>
    <w:p>
      <w:pPr>
        <w:autoSpaceDE w:val="0"/>
        <w:autoSpaceDN w:val="0"/>
        <w:adjustRightInd w:val="0"/>
        <w:spacing w:after="0"/>
        <w:rPr>
          <w:rFonts w:cs="Calibri"/>
          <w:i/>
          <w:lang w:eastAsia="es-CO"/>
        </w:rPr>
      </w:pPr>
      <w:r>
        <w:rPr>
          <w:rFonts w:cs="Calibri"/>
          <w:i/>
          <w:lang w:eastAsia="es-CO"/>
        </w:rPr>
        <w:t>i=</w:t>
      </w:r>
      <w:r>
        <w:rPr>
          <w:rFonts w:cs="Calibri"/>
          <w:i/>
          <w:lang w:eastAsia="es-CO"/>
        </w:rPr>
        <w:tab/>
      </w:r>
      <w:r>
        <w:rPr>
          <w:rFonts w:cs="Calibri"/>
          <w:i/>
          <w:lang w:eastAsia="es-CO"/>
        </w:rPr>
        <w:tab/>
      </w:r>
      <w:r>
        <w:rPr>
          <w:rFonts w:cs="Calibri"/>
          <w:i/>
          <w:lang w:eastAsia="es-CO"/>
        </w:rPr>
        <w:t>Número de oferta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En el caso de Ofertas económicas con valores mayores a la media aritmética alta se tomara el valor absoluto de la diferencia entre la media aritmética alta y el valor de la Oferta, como se observa en la fórmula de ponderación.</w:t>
      </w:r>
    </w:p>
    <w:p>
      <w:pPr>
        <w:autoSpaceDE w:val="0"/>
        <w:autoSpaceDN w:val="0"/>
        <w:adjustRightInd w:val="0"/>
        <w:spacing w:after="0"/>
        <w:rPr>
          <w:rFonts w:cs="Calibri"/>
          <w:lang w:eastAsia="es-CO"/>
        </w:rPr>
      </w:pPr>
    </w:p>
    <w:p>
      <w:pPr>
        <w:pStyle w:val="17"/>
        <w:numPr>
          <w:ilvl w:val="0"/>
          <w:numId w:val="11"/>
        </w:numPr>
        <w:autoSpaceDE w:val="0"/>
        <w:autoSpaceDN w:val="0"/>
        <w:adjustRightInd w:val="0"/>
        <w:spacing w:after="0"/>
        <w:rPr>
          <w:rFonts w:cs="Calibri"/>
          <w:b/>
          <w:u w:val="single"/>
          <w:lang w:eastAsia="es-CO"/>
        </w:rPr>
      </w:pPr>
      <w:r>
        <w:rPr>
          <w:rFonts w:cs="Calibri"/>
          <w:b/>
          <w:u w:val="single"/>
          <w:lang w:eastAsia="es-CO"/>
        </w:rPr>
        <w:t>MEDIA GEOMÉTRICA CON PRESUPUESTO OFICIAL</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Para el cálculo de la media geométrica con presupuesto oficial se tendrá en cuenta el número de Ofertas válidas y se incluirá el presupuesto oficial del Proceso de Contratación en el cálculo tantas veces como se indica en el siguiente cuadro:</w:t>
      </w:r>
    </w:p>
    <w:p>
      <w:pPr>
        <w:autoSpaceDE w:val="0"/>
        <w:autoSpaceDN w:val="0"/>
        <w:adjustRightInd w:val="0"/>
        <w:spacing w:after="0"/>
        <w:rPr>
          <w:rFonts w:cs="Calibri"/>
          <w:lang w:eastAsia="es-CO"/>
        </w:rPr>
      </w:pPr>
    </w:p>
    <w:p>
      <w:pPr>
        <w:autoSpaceDE w:val="0"/>
        <w:autoSpaceDN w:val="0"/>
        <w:adjustRightInd w:val="0"/>
        <w:spacing w:after="0"/>
        <w:rPr>
          <w:rFonts w:cs="Calibri"/>
          <w:iCs/>
          <w:lang w:eastAsia="es-CO"/>
        </w:rPr>
      </w:pPr>
      <w:bookmarkStart w:id="14" w:name="_Toc445995582"/>
      <w:r>
        <w:rPr>
          <w:rFonts w:cs="Calibri"/>
          <w:iCs/>
          <w:lang w:eastAsia="es-CO"/>
        </w:rPr>
        <w:t>Asignación de número de veces del presupuesto oficial</w:t>
      </w:r>
      <w:bookmarkEnd w:id="14"/>
    </w:p>
    <w:p>
      <w:pPr>
        <w:autoSpaceDE w:val="0"/>
        <w:autoSpaceDN w:val="0"/>
        <w:adjustRightInd w:val="0"/>
        <w:spacing w:after="0"/>
        <w:rPr>
          <w:rFonts w:cs="Calibri"/>
          <w:iCs/>
          <w:lang w:eastAsia="es-CO"/>
        </w:rPr>
      </w:pPr>
    </w:p>
    <w:tbl>
      <w:tblPr>
        <w:tblStyle w:val="15"/>
        <w:tblW w:w="63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17"/>
        <w:gridCol w:w="44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92" w:hRule="exact"/>
          <w:tblHeader/>
          <w:jc w:val="center"/>
        </w:trPr>
        <w:tc>
          <w:tcPr>
            <w:tcW w:w="1817" w:type="dxa"/>
            <w:shd w:val="clear" w:color="auto" w:fill="DBDBDB"/>
            <w:vAlign w:val="center"/>
          </w:tcPr>
          <w:p>
            <w:pPr>
              <w:autoSpaceDE w:val="0"/>
              <w:autoSpaceDN w:val="0"/>
              <w:adjustRightInd w:val="0"/>
              <w:spacing w:after="0"/>
              <w:jc w:val="center"/>
              <w:rPr>
                <w:rFonts w:cs="Calibri"/>
                <w:sz w:val="20"/>
                <w:szCs w:val="20"/>
                <w:lang w:eastAsia="es-CO"/>
              </w:rPr>
            </w:pPr>
            <w:r>
              <w:rPr>
                <w:rFonts w:cs="Calibri"/>
                <w:b/>
                <w:sz w:val="20"/>
                <w:szCs w:val="20"/>
                <w:lang w:eastAsia="es-CO"/>
              </w:rPr>
              <w:t>Número de Ofertas (n)</w:t>
            </w:r>
          </w:p>
        </w:tc>
        <w:tc>
          <w:tcPr>
            <w:tcW w:w="4497" w:type="dxa"/>
            <w:shd w:val="clear" w:color="auto" w:fill="DBDBDB"/>
            <w:vAlign w:val="center"/>
          </w:tcPr>
          <w:p>
            <w:pPr>
              <w:autoSpaceDE w:val="0"/>
              <w:autoSpaceDN w:val="0"/>
              <w:adjustRightInd w:val="0"/>
              <w:spacing w:after="0"/>
              <w:jc w:val="center"/>
              <w:rPr>
                <w:rFonts w:cs="Calibri"/>
                <w:sz w:val="20"/>
                <w:szCs w:val="20"/>
                <w:lang w:eastAsia="es-CO"/>
              </w:rPr>
            </w:pPr>
            <w:r>
              <w:rPr>
                <w:rFonts w:cs="Calibri"/>
                <w:b/>
                <w:sz w:val="20"/>
                <w:szCs w:val="20"/>
                <w:lang w:eastAsia="es-CO"/>
              </w:rPr>
              <w:t>Número de veces que se incluye el presupuesto oficial (nv)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4" w:hRule="exact"/>
          <w:jc w:val="center"/>
        </w:trPr>
        <w:tc>
          <w:tcPr>
            <w:tcW w:w="181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1 – 3</w:t>
            </w:r>
          </w:p>
        </w:tc>
        <w:tc>
          <w:tcPr>
            <w:tcW w:w="449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4" w:hRule="exact"/>
          <w:jc w:val="center"/>
        </w:trPr>
        <w:tc>
          <w:tcPr>
            <w:tcW w:w="181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4 – 6</w:t>
            </w:r>
          </w:p>
        </w:tc>
        <w:tc>
          <w:tcPr>
            <w:tcW w:w="449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4" w:hRule="exact"/>
          <w:jc w:val="center"/>
        </w:trPr>
        <w:tc>
          <w:tcPr>
            <w:tcW w:w="181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7 – 9</w:t>
            </w:r>
          </w:p>
        </w:tc>
        <w:tc>
          <w:tcPr>
            <w:tcW w:w="449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2" w:hRule="exact"/>
          <w:jc w:val="center"/>
        </w:trPr>
        <w:tc>
          <w:tcPr>
            <w:tcW w:w="181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10 – 12</w:t>
            </w:r>
          </w:p>
        </w:tc>
        <w:tc>
          <w:tcPr>
            <w:tcW w:w="449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249" w:hRule="exact"/>
          <w:jc w:val="center"/>
        </w:trPr>
        <w:tc>
          <w:tcPr>
            <w:tcW w:w="181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13 – 15</w:t>
            </w:r>
          </w:p>
        </w:tc>
        <w:tc>
          <w:tcPr>
            <w:tcW w:w="4497" w:type="dxa"/>
            <w:vAlign w:val="center"/>
          </w:tcPr>
          <w:p>
            <w:pPr>
              <w:autoSpaceDE w:val="0"/>
              <w:autoSpaceDN w:val="0"/>
              <w:adjustRightInd w:val="0"/>
              <w:spacing w:after="0"/>
              <w:jc w:val="center"/>
              <w:rPr>
                <w:rFonts w:cs="Calibri"/>
                <w:sz w:val="20"/>
                <w:szCs w:val="20"/>
                <w:lang w:eastAsia="es-CO"/>
              </w:rPr>
            </w:pPr>
            <w:r>
              <w:rPr>
                <w:rFonts w:cs="Calibri"/>
                <w:sz w:val="20"/>
                <w:szCs w:val="20"/>
                <w:lang w:eastAsia="es-C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94" w:hRule="exact"/>
          <w:jc w:val="center"/>
        </w:trPr>
        <w:tc>
          <w:tcPr>
            <w:tcW w:w="6314" w:type="dxa"/>
            <w:gridSpan w:val="2"/>
            <w:vAlign w:val="center"/>
          </w:tcPr>
          <w:p>
            <w:pPr>
              <w:autoSpaceDE w:val="0"/>
              <w:autoSpaceDN w:val="0"/>
              <w:adjustRightInd w:val="0"/>
              <w:spacing w:after="0"/>
              <w:rPr>
                <w:rFonts w:cs="Calibri"/>
                <w:sz w:val="20"/>
                <w:szCs w:val="20"/>
                <w:lang w:eastAsia="es-CO"/>
              </w:rPr>
            </w:pPr>
            <w:r>
              <w:rPr>
                <w:rFonts w:cs="Calibri"/>
                <w:b/>
                <w:sz w:val="20"/>
                <w:szCs w:val="20"/>
                <w:lang w:eastAsia="es-CO"/>
              </w:rPr>
              <w:t>…</w:t>
            </w:r>
          </w:p>
        </w:tc>
      </w:tr>
    </w:tbl>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Y así sucesivamente, por cada tres Ofertas válidas se incluirá una vez el presupuesto oficial del presente Proceso de Contratación.</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Posteriormente, se determinará la media geométrica con la inclusión del presupuesto oficial de acuerdo a lo establecido en el cuadro anterior, mediante la siguiente fórmula: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Donde,</w:t>
      </w:r>
    </w:p>
    <w:p>
      <w:pPr>
        <w:autoSpaceDE w:val="0"/>
        <w:autoSpaceDN w:val="0"/>
        <w:adjustRightInd w:val="0"/>
        <w:spacing w:after="0"/>
        <w:rPr>
          <w:rFonts w:cs="Calibri"/>
          <w:lang w:eastAsia="es-CO"/>
        </w:rPr>
      </w:pPr>
    </w:p>
    <w:p>
      <w:pPr>
        <w:autoSpaceDE w:val="0"/>
        <w:autoSpaceDN w:val="0"/>
        <w:adjustRightInd w:val="0"/>
        <w:spacing w:after="0"/>
        <w:rPr>
          <w:rFonts w:cs="Calibri"/>
          <w:i/>
          <w:lang w:eastAsia="es-CO"/>
        </w:rPr>
      </w:pPr>
      <w:r>
        <w:rPr>
          <w:rFonts w:cs="Calibri"/>
          <w:i/>
          <w:lang w:eastAsia="es-CO"/>
        </w:rPr>
        <w:t>G</w:t>
      </w:r>
      <w:r>
        <w:rPr>
          <w:rFonts w:cs="Calibri"/>
          <w:i/>
          <w:vertAlign w:val="subscript"/>
          <w:lang w:eastAsia="es-CO"/>
        </w:rPr>
        <w:t xml:space="preserve">PO </w:t>
      </w:r>
      <w:r>
        <w:rPr>
          <w:rFonts w:cs="Calibri"/>
          <w:i/>
          <w:lang w:eastAsia="es-CO"/>
        </w:rPr>
        <w:t>=</w:t>
      </w:r>
      <w:r>
        <w:rPr>
          <w:rFonts w:cs="Calibri"/>
          <w:i/>
          <w:lang w:eastAsia="es-CO"/>
        </w:rPr>
        <w:tab/>
      </w:r>
      <w:r>
        <w:rPr>
          <w:rFonts w:cs="Calibri"/>
          <w:i/>
          <w:lang w:eastAsia="es-CO"/>
        </w:rPr>
        <w:t>Media geométrica con presupuesto oficial.</w:t>
      </w:r>
    </w:p>
    <w:p>
      <w:pPr>
        <w:autoSpaceDE w:val="0"/>
        <w:autoSpaceDN w:val="0"/>
        <w:adjustRightInd w:val="0"/>
        <w:spacing w:after="0"/>
        <w:rPr>
          <w:rFonts w:cs="Calibri"/>
          <w:i/>
          <w:lang w:eastAsia="es-CO"/>
        </w:rPr>
      </w:pPr>
      <w:r>
        <w:rPr>
          <w:rFonts w:cs="Calibri"/>
          <w:i/>
          <w:lang w:eastAsia="es-CO"/>
        </w:rPr>
        <w:t>nv =</w:t>
      </w:r>
      <w:r>
        <w:rPr>
          <w:rFonts w:cs="Calibri"/>
          <w:i/>
          <w:lang w:eastAsia="es-CO"/>
        </w:rPr>
        <w:tab/>
      </w:r>
      <w:r>
        <w:rPr>
          <w:rFonts w:cs="Calibri"/>
          <w:i/>
          <w:lang w:eastAsia="es-CO"/>
        </w:rPr>
        <w:tab/>
      </w:r>
      <w:r>
        <w:rPr>
          <w:rFonts w:cs="Calibri"/>
          <w:i/>
          <w:lang w:eastAsia="es-CO"/>
        </w:rPr>
        <w:t>Número de veces que se incluye el presupuesto oficial (PO)</w:t>
      </w:r>
    </w:p>
    <w:p>
      <w:pPr>
        <w:autoSpaceDE w:val="0"/>
        <w:autoSpaceDN w:val="0"/>
        <w:adjustRightInd w:val="0"/>
        <w:spacing w:after="0"/>
        <w:rPr>
          <w:rFonts w:cs="Calibri"/>
          <w:i/>
          <w:lang w:eastAsia="es-CO"/>
        </w:rPr>
      </w:pPr>
      <w:r>
        <w:rPr>
          <w:rFonts w:cs="Calibri"/>
          <w:i/>
          <w:lang w:eastAsia="es-CO"/>
        </w:rPr>
        <w:t>n =</w:t>
      </w:r>
      <w:r>
        <w:rPr>
          <w:rFonts w:cs="Calibri"/>
          <w:i/>
          <w:lang w:eastAsia="es-CO"/>
        </w:rPr>
        <w:tab/>
      </w:r>
      <w:r>
        <w:rPr>
          <w:rFonts w:cs="Calibri"/>
          <w:i/>
          <w:lang w:eastAsia="es-CO"/>
        </w:rPr>
        <w:tab/>
      </w:r>
      <w:r>
        <w:rPr>
          <w:rFonts w:cs="Calibri"/>
          <w:i/>
          <w:lang w:eastAsia="es-CO"/>
        </w:rPr>
        <w:t>Número de Ofertas válidas</w:t>
      </w:r>
    </w:p>
    <w:p>
      <w:pPr>
        <w:autoSpaceDE w:val="0"/>
        <w:autoSpaceDN w:val="0"/>
        <w:adjustRightInd w:val="0"/>
        <w:spacing w:after="0"/>
        <w:rPr>
          <w:rFonts w:cs="Calibri"/>
          <w:i/>
          <w:lang w:eastAsia="es-CO"/>
        </w:rPr>
      </w:pPr>
      <w:r>
        <w:rPr>
          <w:rFonts w:cs="Calibri"/>
          <w:i/>
          <w:lang w:eastAsia="es-CO"/>
        </w:rPr>
        <w:t>PO =</w:t>
      </w:r>
      <w:r>
        <w:rPr>
          <w:rFonts w:cs="Calibri"/>
          <w:i/>
          <w:lang w:eastAsia="es-CO"/>
        </w:rPr>
        <w:tab/>
      </w:r>
      <w:r>
        <w:rPr>
          <w:rFonts w:cs="Calibri"/>
          <w:i/>
          <w:lang w:eastAsia="es-CO"/>
        </w:rPr>
        <w:tab/>
      </w:r>
      <w:r>
        <w:rPr>
          <w:rFonts w:cs="Calibri"/>
          <w:i/>
          <w:lang w:eastAsia="es-CO"/>
        </w:rPr>
        <w:t>Presupuesto oficial del Proceso de Contratación.</w:t>
      </w:r>
    </w:p>
    <w:p>
      <w:pPr>
        <w:autoSpaceDE w:val="0"/>
        <w:autoSpaceDN w:val="0"/>
        <w:adjustRightInd w:val="0"/>
        <w:spacing w:after="0"/>
        <w:rPr>
          <w:rFonts w:cs="Calibri"/>
          <w:i/>
          <w:lang w:eastAsia="es-CO"/>
        </w:rPr>
      </w:pPr>
      <w:r>
        <w:rPr>
          <w:rFonts w:cs="Calibri"/>
          <w:i/>
          <w:lang w:eastAsia="es-CO"/>
        </w:rPr>
        <w:t>P</w:t>
      </w:r>
      <w:r>
        <w:rPr>
          <w:rFonts w:cs="Calibri"/>
          <w:i/>
          <w:vertAlign w:val="subscript"/>
          <w:lang w:eastAsia="es-CO"/>
        </w:rPr>
        <w:t xml:space="preserve">i </w:t>
      </w:r>
      <w:r>
        <w:rPr>
          <w:rFonts w:cs="Calibri"/>
          <w:i/>
          <w:lang w:eastAsia="es-CO"/>
        </w:rPr>
        <w:t>=</w:t>
      </w:r>
      <w:r>
        <w:rPr>
          <w:rFonts w:cs="Calibri"/>
          <w:i/>
          <w:lang w:eastAsia="es-CO"/>
        </w:rPr>
        <w:tab/>
      </w:r>
      <w:r>
        <w:rPr>
          <w:rFonts w:cs="Calibri"/>
          <w:i/>
          <w:lang w:eastAsia="es-CO"/>
        </w:rPr>
        <w:tab/>
      </w:r>
      <w:r>
        <w:rPr>
          <w:rFonts w:cs="Calibri"/>
          <w:i/>
          <w:lang w:eastAsia="es-CO"/>
        </w:rPr>
        <w:t>Valor de la oferta económica sin decimales del Proponente i.</w:t>
      </w:r>
    </w:p>
    <w:p>
      <w:pPr>
        <w:autoSpaceDE w:val="0"/>
        <w:autoSpaceDN w:val="0"/>
        <w:adjustRightInd w:val="0"/>
        <w:spacing w:after="0"/>
        <w:rPr>
          <w:rFonts w:cs="Calibri"/>
          <w:i/>
          <w:lang w:eastAsia="es-CO"/>
        </w:rPr>
      </w:pPr>
    </w:p>
    <w:p>
      <w:pPr>
        <w:autoSpaceDE w:val="0"/>
        <w:autoSpaceDN w:val="0"/>
        <w:adjustRightInd w:val="0"/>
        <w:spacing w:after="0"/>
        <w:rPr>
          <w:rFonts w:cs="Calibri"/>
          <w:lang w:eastAsia="es-CO"/>
        </w:rPr>
      </w:pPr>
      <w:r>
        <w:rPr>
          <w:rFonts w:cs="Calibri"/>
          <w:lang w:eastAsia="es-CO"/>
        </w:rPr>
        <w:t>Establecida la media geométrica se procederá a determinar el puntaje para cada Proponente mediante el siguiente procedimiento:</w:t>
      </w:r>
    </w:p>
    <w:p>
      <w:pPr>
        <w:autoSpaceDE w:val="0"/>
        <w:autoSpaceDN w:val="0"/>
        <w:adjustRightInd w:val="0"/>
        <w:spacing w:after="0"/>
        <w:rPr>
          <w:rFonts w:cs="Calibri"/>
          <w:lang w:eastAsia="es-CO"/>
        </w:rPr>
      </w:pPr>
    </w:p>
    <w:p>
      <w:pPr>
        <w:autoSpaceDE w:val="0"/>
        <w:autoSpaceDN w:val="0"/>
        <w:adjustRightInd w:val="0"/>
        <w:spacing w:after="0"/>
        <w:rPr>
          <w:rFonts w:cs="Calibri"/>
          <w:i/>
          <w:lang w:eastAsia="es-CO"/>
        </w:rPr>
      </w:pPr>
      <w:r>
        <w:rPr>
          <w:rFonts w:cs="Calibri"/>
          <w:lang w:eastAsia="es-CO"/>
        </w:rPr>
        <mc:AlternateContent>
          <mc:Choice Requires="wps">
            <w:drawing>
              <wp:anchor distT="0" distB="0" distL="114300" distR="114300" simplePos="0" relativeHeight="251664384" behindDoc="0" locked="0" layoutInCell="1" allowOverlap="1">
                <wp:simplePos x="0" y="0"/>
                <wp:positionH relativeFrom="column">
                  <wp:posOffset>1430020</wp:posOffset>
                </wp:positionH>
                <wp:positionV relativeFrom="paragraph">
                  <wp:posOffset>10795</wp:posOffset>
                </wp:positionV>
                <wp:extent cx="3570605" cy="838200"/>
                <wp:effectExtent l="38100" t="4445" r="48895" b="14605"/>
                <wp:wrapNone/>
                <wp:docPr id="13" name="Llaves 13"/>
                <wp:cNvGraphicFramePr/>
                <a:graphic xmlns:a="http://schemas.openxmlformats.org/drawingml/2006/main">
                  <a:graphicData uri="http://schemas.microsoft.com/office/word/2010/wordprocessingShape">
                    <wps:wsp>
                      <wps:cNvSpPr/>
                      <wps:spPr>
                        <a:xfrm>
                          <a:off x="0" y="0"/>
                          <a:ext cx="3570605" cy="838200"/>
                        </a:xfrm>
                        <a:prstGeom prst="bracePair">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Llaves 13" o:spid="_x0000_s1026" o:spt="186" type="#_x0000_t186" style="position:absolute;left:0pt;margin-left:112.6pt;margin-top:0.85pt;height:66pt;width:281.15pt;z-index:251664384;v-text-anchor:middle;mso-width-relative:page;mso-height-relative:page;" filled="f" stroked="t" coordsize="21600,21600" o:gfxdata="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Dv4fOZ2QAA&#10;AAkBAAAPAAAAAAAAAAEAIAAAACIAAABkcnMvZG93bnJldi54bWxQSwECFAAUAAAACACHTuJAKAZF&#10;HFYCAAClBAAADgAAAAAAAAABACAAAAAoAQAAZHJzL2Uyb0RvYy54bWxQSwUGAAAAAAYABgBZAQAA&#10;8AUAAAAA&#10;" adj="1800">
                <v:fill on="f" focussize="0,0"/>
                <v:stroke weight="0.5pt" color="#000000" miterlimit="8" joinstyle="miter"/>
                <v:imagedata o:title=""/>
                <o:lock v:ext="edit" aspectratio="f"/>
              </v:shape>
            </w:pict>
          </mc:Fallback>
        </mc:AlternateContent>
      </w:r>
    </w:p>
    <w:tbl>
      <w:tblPr>
        <w:tblStyle w:val="15"/>
        <w:tblW w:w="7939" w:type="dxa"/>
        <w:jc w:val="center"/>
        <w:tblInd w:w="0" w:type="dxa"/>
        <w:tblLayout w:type="fixed"/>
        <w:tblCellMar>
          <w:top w:w="0" w:type="dxa"/>
          <w:left w:w="108" w:type="dxa"/>
          <w:bottom w:w="0" w:type="dxa"/>
          <w:right w:w="108" w:type="dxa"/>
        </w:tblCellMar>
      </w:tblPr>
      <w:tblGrid>
        <w:gridCol w:w="1993"/>
        <w:gridCol w:w="603"/>
        <w:gridCol w:w="5343"/>
      </w:tblGrid>
      <w:tr>
        <w:tblPrEx>
          <w:tblLayout w:type="fixed"/>
          <w:tblCellMar>
            <w:top w:w="0" w:type="dxa"/>
            <w:left w:w="108" w:type="dxa"/>
            <w:bottom w:w="0" w:type="dxa"/>
            <w:right w:w="108" w:type="dxa"/>
          </w:tblCellMar>
        </w:tblPrEx>
        <w:trPr>
          <w:jc w:val="center"/>
        </w:trPr>
        <w:tc>
          <w:tcPr>
            <w:tcW w:w="1993" w:type="dxa"/>
            <w:vMerge w:val="restart"/>
            <w:shd w:val="clear" w:color="auto" w:fill="auto"/>
            <w:vAlign w:val="center"/>
          </w:tcPr>
          <w:p>
            <w:pPr>
              <w:autoSpaceDE w:val="0"/>
              <w:autoSpaceDN w:val="0"/>
              <w:adjustRightInd w:val="0"/>
              <w:spacing w:after="0"/>
              <w:rPr>
                <w:rFonts w:cs="Calibri"/>
                <w:lang w:eastAsia="es-CO"/>
              </w:rPr>
            </w:pPr>
            <w:r>
              <w:rPr>
                <w:rFonts w:cs="Calibri"/>
                <w:lang w:eastAsia="es-CO"/>
              </w:rPr>
              <w:t>a G</w:t>
            </w:r>
            <w:r>
              <w:rPr>
                <w:rFonts w:cs="Calibri"/>
                <w:vertAlign w:val="subscript"/>
                <w:lang w:eastAsia="es-CO"/>
              </w:rPr>
              <w:t>PO</w:t>
            </w:r>
            <w:r>
              <w:rPr>
                <w:rFonts w:cs="Calibri"/>
                <w:lang w:eastAsia="es-CO"/>
              </w:rPr>
              <w:t xml:space="preserve">  Puntaje i=</w:t>
            </w:r>
          </w:p>
        </w:tc>
        <w:tc>
          <w:tcPr>
            <w:tcW w:w="603" w:type="dxa"/>
            <w:shd w:val="clear" w:color="auto" w:fill="auto"/>
            <w:vAlign w:val="center"/>
          </w:tcPr>
          <w:p>
            <w:pPr>
              <w:autoSpaceDE w:val="0"/>
              <w:autoSpaceDN w:val="0"/>
              <w:adjustRightInd w:val="0"/>
              <w:spacing w:after="0"/>
              <w:rPr>
                <w:rFonts w:cs="Calibri"/>
                <w:lang w:eastAsia="es-CO"/>
              </w:rPr>
            </w:pPr>
            <w:r>
              <w:rPr>
                <w:rFonts w:cs="Calibri"/>
                <w:lang w:val="en-US" w:eastAsia="es-CO"/>
              </w:rPr>
              <w:t>5</w:t>
            </w:r>
            <w:r>
              <w:rPr>
                <w:rFonts w:cs="Calibri"/>
                <w:lang w:eastAsia="es-CO"/>
              </w:rPr>
              <w:t>00</w:t>
            </w:r>
          </w:p>
        </w:tc>
        <w:tc>
          <w:tcPr>
            <w:tcW w:w="5343" w:type="dxa"/>
            <w:shd w:val="clear" w:color="auto" w:fill="auto"/>
            <w:vAlign w:val="center"/>
          </w:tcPr>
          <w:p>
            <w:pPr>
              <w:autoSpaceDE w:val="0"/>
              <w:autoSpaceDN w:val="0"/>
              <w:adjustRightInd w:val="0"/>
              <w:spacing w:after="0"/>
              <w:rPr>
                <w:rFonts w:cs="Calibri"/>
                <w:lang w:eastAsia="es-CO"/>
              </w:rPr>
            </w:pPr>
            <w:r>
              <w:rPr>
                <w:rFonts w:cs="Calibri"/>
                <w:lang w:eastAsia="es-CO"/>
              </w:rPr>
              <w:drawing>
                <wp:inline distT="0" distB="0" distL="0" distR="0">
                  <wp:extent cx="2700020" cy="259080"/>
                  <wp:effectExtent l="0" t="0" r="508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noChangeArrowheads="1"/>
                          </pic:cNvPicPr>
                        </pic:nvPicPr>
                        <pic:blipFill>
                          <a:blip r:embed="rId8" cstate="print">
                            <a:extLst>
                              <a:ext uri="{28A0092B-C50C-407E-A947-70E740481C1C}">
                                <a14:useLocalDpi xmlns:a14="http://schemas.microsoft.com/office/drawing/2010/main" val="0"/>
                              </a:ext>
                            </a:extLst>
                          </a:blip>
                          <a:srcRect l="51903" t="44473" r="2229" b="47717"/>
                          <a:stretch>
                            <a:fillRect/>
                          </a:stretch>
                        </pic:blipFill>
                        <pic:spPr>
                          <a:xfrm>
                            <a:off x="0" y="0"/>
                            <a:ext cx="2700020" cy="259080"/>
                          </a:xfrm>
                          <a:prstGeom prst="rect">
                            <a:avLst/>
                          </a:prstGeom>
                          <a:noFill/>
                          <a:ln>
                            <a:noFill/>
                          </a:ln>
                        </pic:spPr>
                      </pic:pic>
                    </a:graphicData>
                  </a:graphic>
                </wp:inline>
              </w:drawing>
            </w:r>
          </w:p>
        </w:tc>
      </w:tr>
      <w:tr>
        <w:tblPrEx>
          <w:tblLayout w:type="fixed"/>
          <w:tblCellMar>
            <w:top w:w="0" w:type="dxa"/>
            <w:left w:w="108" w:type="dxa"/>
            <w:bottom w:w="0" w:type="dxa"/>
            <w:right w:w="108" w:type="dxa"/>
          </w:tblCellMar>
        </w:tblPrEx>
        <w:trPr>
          <w:jc w:val="center"/>
        </w:trPr>
        <w:tc>
          <w:tcPr>
            <w:tcW w:w="1993" w:type="dxa"/>
            <w:vMerge w:val="continue"/>
            <w:shd w:val="clear" w:color="auto" w:fill="auto"/>
            <w:vAlign w:val="center"/>
          </w:tcPr>
          <w:p>
            <w:pPr>
              <w:autoSpaceDE w:val="0"/>
              <w:autoSpaceDN w:val="0"/>
              <w:adjustRightInd w:val="0"/>
              <w:spacing w:after="0"/>
              <w:rPr>
                <w:rFonts w:cs="Calibri"/>
                <w:lang w:eastAsia="es-CO"/>
              </w:rPr>
            </w:pPr>
          </w:p>
        </w:tc>
        <w:tc>
          <w:tcPr>
            <w:tcW w:w="603" w:type="dxa"/>
            <w:shd w:val="clear" w:color="auto" w:fill="auto"/>
            <w:vAlign w:val="center"/>
          </w:tcPr>
          <w:p>
            <w:pPr>
              <w:autoSpaceDE w:val="0"/>
              <w:autoSpaceDN w:val="0"/>
              <w:adjustRightInd w:val="0"/>
              <w:spacing w:after="0"/>
              <w:rPr>
                <w:rFonts w:cs="Calibri"/>
                <w:lang w:eastAsia="es-CO"/>
              </w:rPr>
            </w:pPr>
            <w:r>
              <w:rPr>
                <w:rFonts w:cs="Calibri"/>
                <w:lang w:val="en-US" w:eastAsia="es-CO"/>
              </w:rPr>
              <w:t>5</w:t>
            </w:r>
            <w:r>
              <w:rPr>
                <w:rFonts w:cs="Calibri"/>
                <w:lang w:eastAsia="es-CO"/>
              </w:rPr>
              <w:t>00</w:t>
            </w:r>
          </w:p>
        </w:tc>
        <w:tc>
          <w:tcPr>
            <w:tcW w:w="5343" w:type="dxa"/>
            <w:shd w:val="clear" w:color="auto" w:fill="auto"/>
            <w:vAlign w:val="center"/>
          </w:tcPr>
          <w:p>
            <w:pPr>
              <w:autoSpaceDE w:val="0"/>
              <w:autoSpaceDN w:val="0"/>
              <w:adjustRightInd w:val="0"/>
              <w:spacing w:after="0"/>
              <w:rPr>
                <w:rFonts w:cs="Calibri"/>
                <w:lang w:eastAsia="es-CO"/>
              </w:rPr>
            </w:pPr>
            <w:r>
              <w:rPr>
                <w:rFonts w:cs="Calibri"/>
                <w:lang w:eastAsia="es-CO"/>
              </w:rPr>
              <w:drawing>
                <wp:inline distT="0" distB="0" distL="0" distR="0">
                  <wp:extent cx="2682875" cy="293370"/>
                  <wp:effectExtent l="0" t="0" r="3175" b="1143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l="52003" t="55855" r="2229" b="35355"/>
                          <a:stretch>
                            <a:fillRect/>
                          </a:stretch>
                        </pic:blipFill>
                        <pic:spPr>
                          <a:xfrm>
                            <a:off x="0" y="0"/>
                            <a:ext cx="2682875" cy="293370"/>
                          </a:xfrm>
                          <a:prstGeom prst="rect">
                            <a:avLst/>
                          </a:prstGeom>
                          <a:noFill/>
                          <a:ln>
                            <a:noFill/>
                          </a:ln>
                        </pic:spPr>
                      </pic:pic>
                    </a:graphicData>
                  </a:graphic>
                </wp:inline>
              </w:drawing>
            </w:r>
          </w:p>
        </w:tc>
      </w:tr>
    </w:tbl>
    <w:p>
      <w:pPr>
        <w:autoSpaceDE w:val="0"/>
        <w:autoSpaceDN w:val="0"/>
        <w:adjustRightInd w:val="0"/>
        <w:spacing w:after="0"/>
        <w:rPr>
          <w:rFonts w:cs="Calibri"/>
          <w:i/>
          <w:lang w:eastAsia="es-CO"/>
        </w:rPr>
      </w:pPr>
    </w:p>
    <w:p>
      <w:pPr>
        <w:autoSpaceDE w:val="0"/>
        <w:autoSpaceDN w:val="0"/>
        <w:adjustRightInd w:val="0"/>
        <w:spacing w:after="0"/>
        <w:rPr>
          <w:rFonts w:cs="Calibri"/>
          <w:lang w:eastAsia="es-CO"/>
        </w:rPr>
      </w:pPr>
      <w:r>
        <w:rPr>
          <w:rFonts w:cs="Calibri"/>
          <w:lang w:eastAsia="es-CO"/>
        </w:rPr>
        <w:t>Donde,</w:t>
      </w:r>
    </w:p>
    <w:p>
      <w:pPr>
        <w:autoSpaceDE w:val="0"/>
        <w:autoSpaceDN w:val="0"/>
        <w:adjustRightInd w:val="0"/>
        <w:spacing w:after="0"/>
        <w:rPr>
          <w:rFonts w:cs="Calibri"/>
          <w:lang w:eastAsia="es-CO"/>
        </w:rPr>
      </w:pPr>
    </w:p>
    <w:p>
      <w:pPr>
        <w:autoSpaceDE w:val="0"/>
        <w:autoSpaceDN w:val="0"/>
        <w:adjustRightInd w:val="0"/>
        <w:spacing w:after="0"/>
        <w:rPr>
          <w:rFonts w:cs="Calibri"/>
          <w:i/>
          <w:lang w:eastAsia="es-CO"/>
        </w:rPr>
      </w:pPr>
      <w:r>
        <w:rPr>
          <w:rFonts w:cs="Calibri"/>
          <w:i/>
          <w:lang w:eastAsia="es-CO"/>
        </w:rPr>
        <w:t>G</w:t>
      </w:r>
      <w:r>
        <w:rPr>
          <w:rFonts w:cs="Calibri"/>
          <w:i/>
          <w:vertAlign w:val="subscript"/>
          <w:lang w:eastAsia="es-CO"/>
        </w:rPr>
        <w:t xml:space="preserve">PO </w:t>
      </w:r>
      <w:r>
        <w:rPr>
          <w:rFonts w:cs="Calibri"/>
          <w:i/>
          <w:lang w:eastAsia="es-CO"/>
        </w:rPr>
        <w:t>=</w:t>
      </w:r>
      <w:r>
        <w:rPr>
          <w:rFonts w:cs="Calibri"/>
          <w:i/>
          <w:lang w:eastAsia="es-CO"/>
        </w:rPr>
        <w:tab/>
      </w:r>
      <w:r>
        <w:rPr>
          <w:rFonts w:cs="Calibri"/>
          <w:i/>
          <w:lang w:eastAsia="es-CO"/>
        </w:rPr>
        <w:t>Media geométrica con presupuesto oficial.</w:t>
      </w:r>
    </w:p>
    <w:p>
      <w:pPr>
        <w:autoSpaceDE w:val="0"/>
        <w:autoSpaceDN w:val="0"/>
        <w:adjustRightInd w:val="0"/>
        <w:spacing w:after="0"/>
        <w:rPr>
          <w:rFonts w:cs="Calibri"/>
          <w:i/>
          <w:lang w:eastAsia="es-CO"/>
        </w:rPr>
      </w:pPr>
      <w:r>
        <w:rPr>
          <w:rFonts w:cs="Calibri"/>
          <w:i/>
          <w:lang w:eastAsia="es-CO"/>
        </w:rPr>
        <w:t>V</w:t>
      </w:r>
      <w:r>
        <w:rPr>
          <w:rFonts w:cs="Calibri"/>
          <w:i/>
          <w:vertAlign w:val="subscript"/>
          <w:lang w:eastAsia="es-CO"/>
        </w:rPr>
        <w:t>i</w:t>
      </w:r>
      <w:r>
        <w:rPr>
          <w:rFonts w:cs="Calibri"/>
          <w:i/>
          <w:lang w:eastAsia="es-CO"/>
        </w:rPr>
        <w:t xml:space="preserve"> =</w:t>
      </w:r>
      <w:r>
        <w:rPr>
          <w:rFonts w:cs="Calibri"/>
          <w:i/>
          <w:lang w:eastAsia="es-CO"/>
        </w:rPr>
        <w:tab/>
      </w:r>
      <w:r>
        <w:rPr>
          <w:rFonts w:cs="Calibri"/>
          <w:i/>
          <w:lang w:eastAsia="es-CO"/>
        </w:rPr>
        <w:tab/>
      </w:r>
      <w:r>
        <w:rPr>
          <w:rFonts w:cs="Calibri"/>
          <w:i/>
          <w:lang w:eastAsia="es-CO"/>
        </w:rPr>
        <w:t>Valor total sin decimales de cada una de las Ofertas i</w:t>
      </w:r>
    </w:p>
    <w:p>
      <w:pPr>
        <w:autoSpaceDE w:val="0"/>
        <w:autoSpaceDN w:val="0"/>
        <w:adjustRightInd w:val="0"/>
        <w:spacing w:after="0"/>
        <w:rPr>
          <w:rFonts w:cs="Calibri"/>
          <w:i/>
          <w:lang w:eastAsia="es-CO"/>
        </w:rPr>
      </w:pPr>
      <w:r>
        <w:rPr>
          <w:rFonts w:cs="Calibri"/>
          <w:i/>
          <w:lang w:eastAsia="es-CO"/>
        </w:rPr>
        <w:t>i =</w:t>
      </w:r>
      <w:r>
        <w:rPr>
          <w:rFonts w:cs="Calibri"/>
          <w:i/>
          <w:lang w:eastAsia="es-CO"/>
        </w:rPr>
        <w:tab/>
      </w:r>
      <w:r>
        <w:rPr>
          <w:rFonts w:cs="Calibri"/>
          <w:i/>
          <w:lang w:eastAsia="es-CO"/>
        </w:rPr>
        <w:tab/>
      </w:r>
      <w:r>
        <w:rPr>
          <w:rFonts w:cs="Calibri"/>
          <w:i/>
          <w:lang w:eastAsia="es-CO"/>
        </w:rPr>
        <w:t>Número de Oferta.</w:t>
      </w:r>
    </w:p>
    <w:p>
      <w:pPr>
        <w:autoSpaceDE w:val="0"/>
        <w:autoSpaceDN w:val="0"/>
        <w:adjustRightInd w:val="0"/>
        <w:spacing w:after="0"/>
        <w:rPr>
          <w:rFonts w:cs="Calibri"/>
          <w:lang w:eastAsia="es-CO"/>
        </w:rPr>
      </w:pPr>
      <w:r>
        <w:rPr>
          <w:rFonts w:cs="Calibri"/>
          <w:lang w:eastAsia="es-CO"/>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pPr>
        <w:autoSpaceDE w:val="0"/>
        <w:autoSpaceDN w:val="0"/>
        <w:adjustRightInd w:val="0"/>
        <w:spacing w:after="0"/>
        <w:rPr>
          <w:rFonts w:cs="Calibri"/>
          <w:lang w:eastAsia="es-CO"/>
        </w:rPr>
      </w:pPr>
    </w:p>
    <w:p>
      <w:pPr>
        <w:pStyle w:val="17"/>
        <w:numPr>
          <w:ilvl w:val="0"/>
          <w:numId w:val="11"/>
        </w:numPr>
        <w:autoSpaceDE w:val="0"/>
        <w:autoSpaceDN w:val="0"/>
        <w:adjustRightInd w:val="0"/>
        <w:spacing w:after="0"/>
        <w:rPr>
          <w:rFonts w:cs="Calibri"/>
          <w:b/>
          <w:u w:val="single"/>
          <w:lang w:eastAsia="es-CO"/>
        </w:rPr>
      </w:pPr>
      <w:r>
        <w:rPr>
          <w:rFonts w:cs="Calibri"/>
          <w:b/>
          <w:u w:val="single"/>
          <w:lang w:eastAsia="es-CO"/>
        </w:rPr>
        <w:t>Menor valor</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Consiste en establecer la Oferta de menor valor y la asignación de puntos en función de la proximidad de las Ofertas a dicha Oferta de menor valor, como resultado de aplicar las fórmulas que se indican en seguida. Para la aplicación de este método El Municipio de Neiva procederá a determinar el menor valor de las Ofertas válidas y se procederá a la ponderación, de acuerdo con la siguiente fórmula: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Donde,</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i/>
          <w:lang w:eastAsia="es-CO"/>
        </w:rPr>
        <w:t>V</w:t>
      </w:r>
      <w:r>
        <w:rPr>
          <w:rFonts w:cs="Calibri"/>
          <w:i/>
          <w:vertAlign w:val="subscript"/>
          <w:lang w:eastAsia="es-CO"/>
        </w:rPr>
        <w:t>MIN</w:t>
      </w:r>
      <w:r>
        <w:rPr>
          <w:rFonts w:cs="Calibri"/>
          <w:i/>
          <w:lang w:eastAsia="es-CO"/>
        </w:rPr>
        <w:t xml:space="preserve"> =</w:t>
      </w:r>
      <w:r>
        <w:rPr>
          <w:rFonts w:cs="Calibri"/>
          <w:i/>
          <w:lang w:eastAsia="es-CO"/>
        </w:rPr>
        <w:tab/>
      </w:r>
      <w:r>
        <w:rPr>
          <w:rFonts w:cs="Calibri"/>
          <w:i/>
          <w:lang w:eastAsia="es-CO"/>
        </w:rPr>
        <w:tab/>
      </w:r>
      <w:r>
        <w:rPr>
          <w:rFonts w:cs="Calibri"/>
          <w:lang w:eastAsia="es-CO"/>
        </w:rPr>
        <w:t>Menor valor de las Ofertas válidas.</w:t>
      </w:r>
    </w:p>
    <w:p>
      <w:pPr>
        <w:autoSpaceDE w:val="0"/>
        <w:autoSpaceDN w:val="0"/>
        <w:adjustRightInd w:val="0"/>
        <w:spacing w:after="0"/>
        <w:rPr>
          <w:rFonts w:cs="Calibri"/>
          <w:i/>
          <w:lang w:eastAsia="es-CO"/>
        </w:rPr>
      </w:pPr>
      <w:r>
        <w:rPr>
          <w:rFonts w:cs="Calibri"/>
          <w:i/>
          <w:lang w:eastAsia="es-CO"/>
        </w:rPr>
        <w:t>V</w:t>
      </w:r>
      <w:r>
        <w:rPr>
          <w:rFonts w:cs="Calibri"/>
          <w:i/>
          <w:vertAlign w:val="subscript"/>
          <w:lang w:eastAsia="es-CO"/>
        </w:rPr>
        <w:t>i</w:t>
      </w:r>
      <w:r>
        <w:rPr>
          <w:rFonts w:cs="Calibri"/>
          <w:i/>
          <w:lang w:eastAsia="es-CO"/>
        </w:rPr>
        <w:t xml:space="preserve"> =</w:t>
      </w:r>
      <w:r>
        <w:rPr>
          <w:rFonts w:cs="Calibri"/>
          <w:i/>
          <w:lang w:eastAsia="es-CO"/>
        </w:rPr>
        <w:tab/>
      </w:r>
      <w:r>
        <w:rPr>
          <w:rFonts w:cs="Calibri"/>
          <w:i/>
          <w:lang w:eastAsia="es-CO"/>
        </w:rPr>
        <w:tab/>
      </w:r>
      <w:r>
        <w:rPr>
          <w:rFonts w:cs="Calibri"/>
          <w:i/>
          <w:lang w:eastAsia="es-CO"/>
        </w:rPr>
        <w:tab/>
      </w:r>
      <w:r>
        <w:rPr>
          <w:rFonts w:cs="Calibri"/>
          <w:lang w:eastAsia="es-CO"/>
        </w:rPr>
        <w:t>Valor total sin decimales de cada una de las Ofertas i</w:t>
      </w:r>
    </w:p>
    <w:p>
      <w:pPr>
        <w:autoSpaceDE w:val="0"/>
        <w:autoSpaceDN w:val="0"/>
        <w:adjustRightInd w:val="0"/>
        <w:spacing w:after="0"/>
        <w:rPr>
          <w:rFonts w:cs="Calibri"/>
          <w:lang w:eastAsia="es-CO"/>
        </w:rPr>
      </w:pPr>
      <w:r>
        <w:rPr>
          <w:rFonts w:cs="Calibri"/>
          <w:i/>
          <w:lang w:eastAsia="es-CO"/>
        </w:rPr>
        <w:t>I =</w:t>
      </w:r>
      <w:r>
        <w:rPr>
          <w:rFonts w:cs="Calibri"/>
          <w:i/>
          <w:lang w:eastAsia="es-CO"/>
        </w:rPr>
        <w:tab/>
      </w:r>
      <w:r>
        <w:rPr>
          <w:rFonts w:cs="Calibri"/>
          <w:i/>
          <w:lang w:eastAsia="es-CO"/>
        </w:rPr>
        <w:tab/>
      </w:r>
      <w:r>
        <w:rPr>
          <w:rFonts w:cs="Calibri"/>
          <w:i/>
          <w:lang w:eastAsia="es-CO"/>
        </w:rPr>
        <w:tab/>
      </w:r>
      <w:r>
        <w:rPr>
          <w:rFonts w:cs="Calibri"/>
          <w:lang w:eastAsia="es-CO"/>
        </w:rPr>
        <w:t>Número de oferta</w:t>
      </w:r>
    </w:p>
    <w:p>
      <w:pPr>
        <w:autoSpaceDE w:val="0"/>
        <w:autoSpaceDN w:val="0"/>
        <w:adjustRightInd w:val="0"/>
        <w:spacing w:after="0"/>
        <w:rPr>
          <w:rFonts w:cs="Calibri"/>
          <w:lang w:eastAsia="es-CO"/>
        </w:rPr>
      </w:pPr>
    </w:p>
    <w:p>
      <w:pPr>
        <w:autoSpaceDE w:val="0"/>
        <w:autoSpaceDN w:val="0"/>
        <w:adjustRightInd w:val="0"/>
        <w:spacing w:after="0"/>
        <w:rPr>
          <w:rFonts w:cs="Calibri"/>
          <w:lang w:eastAsia="es-CO"/>
        </w:rPr>
      </w:pPr>
      <w:r>
        <w:rPr>
          <w:rFonts w:cs="Calibri"/>
          <w:lang w:eastAsia="es-CO"/>
        </w:rPr>
        <w:t>En este caso se tomará el valor absoluto de la diferencia entre el menor valor y el valor de la Oferta, como se observa en la fórmula de ponderación.</w:t>
      </w:r>
    </w:p>
    <w:p>
      <w:pPr>
        <w:autoSpaceDE w:val="0"/>
        <w:autoSpaceDN w:val="0"/>
        <w:adjustRightInd w:val="0"/>
        <w:spacing w:after="0"/>
        <w:rPr>
          <w:rFonts w:cs="Calibri"/>
          <w:lang w:eastAsia="es-CO"/>
        </w:rPr>
      </w:pPr>
    </w:p>
    <w:p>
      <w:pPr>
        <w:rPr>
          <w:rFonts w:cs="Calibri"/>
          <w:b/>
          <w:bCs/>
        </w:rPr>
      </w:pPr>
      <w:r>
        <w:rPr>
          <w:rFonts w:cs="Calibri"/>
          <w:lang w:eastAsia="es-CO"/>
        </w:rPr>
        <w:t>Para todos los métodos descritos se tendrá en cuenta hasta el séptimo (7°) decimal del valor obtenido como puntaje</w:t>
      </w:r>
      <w:r>
        <w:rPr>
          <w:rFonts w:eastAsia="Times New Roman" w:cs="Calibri"/>
          <w:lang w:eastAsia="es-CO"/>
        </w:rPr>
        <w:t>.</w:t>
      </w:r>
    </w:p>
    <w:sectPr>
      <w:pgSz w:w="12240" w:h="15840"/>
      <w:pgMar w:top="1134" w:right="1800" w:bottom="1134" w:left="1800" w:header="708" w:footer="709"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SimHei">
    <w:altName w:val="SimSun"/>
    <w:panose1 w:val="02010609060101010101"/>
    <w:charset w:val="86"/>
    <w:family w:val="modern"/>
    <w:pitch w:val="default"/>
    <w:sig w:usb0="00000000" w:usb1="00000000" w:usb2="00000016" w:usb3="00000000" w:csb0="00040001"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Century Gothic">
    <w:panose1 w:val="020B0502020202020204"/>
    <w:charset w:val="00"/>
    <w:family w:val="swiss"/>
    <w:pitch w:val="default"/>
    <w:sig w:usb0="00000287" w:usb1="00000000" w:usb2="00000000" w:usb3="00000000" w:csb0="2000009F" w:csb1="DFD70000"/>
  </w:font>
  <w:font w:name="Calibri Light">
    <w:panose1 w:val="020F03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Batang">
    <w:altName w:val="Malgun Gothic"/>
    <w:panose1 w:val="02030600000101010101"/>
    <w:charset w:val="81"/>
    <w:family w:val="roman"/>
    <w:pitch w:val="default"/>
    <w:sig w:usb0="00000000" w:usb1="00000000" w:usb2="00000030" w:usb3="00000000" w:csb0="4008009F" w:csb1="DFD70000"/>
  </w:font>
  <w:font w:name="Comic Sans MS">
    <w:panose1 w:val="030F0702030302020204"/>
    <w:charset w:val="00"/>
    <w:family w:val="script"/>
    <w:pitch w:val="default"/>
    <w:sig w:usb0="00000287" w:usb1="00000013" w:usb2="00000000" w:usb3="00000000" w:csb0="2000009F" w:csb1="00000000"/>
  </w:font>
  <w:font w:name="MS Mincho">
    <w:altName w:val="Yu Gothic UI"/>
    <w:panose1 w:val="02020609040205080304"/>
    <w:charset w:val="80"/>
    <w:family w:val="modern"/>
    <w:pitch w:val="default"/>
    <w:sig w:usb0="00000000" w:usb1="00000000" w:usb2="00000012" w:usb3="00000000" w:csb0="4002009F" w:csb1="DFD70000"/>
  </w:font>
  <w:font w:name="Helvetica">
    <w:altName w:val="Arial"/>
    <w:panose1 w:val="020B0604020202020204"/>
    <w:charset w:val="00"/>
    <w:family w:val="swiss"/>
    <w:pitch w:val="default"/>
    <w:sig w:usb0="00000000" w:usb1="00000000" w:usb2="00000009" w:usb3="00000000" w:csb0="000001FF" w:csb1="00000000"/>
  </w:font>
  <w:font w:name="LinePrinter">
    <w:altName w:val="Segoe Print"/>
    <w:panose1 w:val="00000000000000000000"/>
    <w:charset w:val="00"/>
    <w:family w:val="moder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Sans Serif 12cpi">
    <w:altName w:val="Segoe Print"/>
    <w:panose1 w:val="00000000000000000000"/>
    <w:charset w:val="00"/>
    <w:family w:val="modern"/>
    <w:pitch w:val="default"/>
    <w:sig w:usb0="00000000" w:usb1="00000000" w:usb2="00000000" w:usb3="00000000" w:csb0="00000001" w:csb1="00000000"/>
  </w:font>
  <w:font w:name="Courier">
    <w:altName w:val="Courier New"/>
    <w:panose1 w:val="02070409020205020404"/>
    <w:charset w:val="00"/>
    <w:family w:val="moder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Univers (WN)">
    <w:altName w:val="Segoe Print"/>
    <w:panose1 w:val="00000000000000000000"/>
    <w:charset w:val="00"/>
    <w:family w:val="swiss"/>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TT E 22 E 53 B 8t 00">
    <w:altName w:val="Calibri"/>
    <w:panose1 w:val="00000000000000000000"/>
    <w:charset w:val="00"/>
    <w:family w:val="auto"/>
    <w:pitch w:val="default"/>
    <w:sig w:usb0="00000000" w:usb1="00000000" w:usb2="00000000" w:usb3="00000000" w:csb0="00000001" w:csb1="00000000"/>
  </w:font>
  <w:font w:name="Arial Unicode MS">
    <w:panose1 w:val="020B0604020202020204"/>
    <w:charset w:val="80"/>
    <w:family w:val="swiss"/>
    <w:pitch w:val="default"/>
    <w:sig w:usb0="FFFFFFFF" w:usb1="E9FFFFFF" w:usb2="0000003F" w:usb3="00000000" w:csb0="603F01FF" w:csb1="FFFF0000"/>
  </w:font>
  <w:font w:name="Bookman Old Style">
    <w:panose1 w:val="02050604050505020204"/>
    <w:charset w:val="00"/>
    <w:family w:val="roman"/>
    <w:pitch w:val="default"/>
    <w:sig w:usb0="00000287" w:usb1="00000000" w:usb2="00000000" w:usb3="00000000" w:csb0="2000009F" w:csb1="DFD70000"/>
  </w:font>
  <w:font w:name="Franklin Gothic Heavy">
    <w:altName w:val="Arial Black"/>
    <w:panose1 w:val="020B0903020102020204"/>
    <w:charset w:val="00"/>
    <w:family w:val="swiss"/>
    <w:pitch w:val="default"/>
    <w:sig w:usb0="00000000" w:usb1="00000000" w:usb2="00000000" w:usb3="00000000" w:csb0="2000009F" w:csb1="DFD70000"/>
  </w:font>
  <w:font w:name="Cambria Math">
    <w:panose1 w:val="02040503050406030204"/>
    <w:charset w:val="00"/>
    <w:family w:val="roman"/>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 w:name="Flareserif821 XBd SWC">
    <w:altName w:val="Calibri"/>
    <w:panose1 w:val="00000000000000000000"/>
    <w:charset w:val="00"/>
    <w:family w:val="swiss"/>
    <w:pitch w:val="default"/>
    <w:sig w:usb0="00000000" w:usb1="00000000" w:usb2="00000000" w:usb3="00000000" w:csb0="00000001" w:csb1="00000000"/>
  </w:font>
  <w:font w:name="ArialNarrow">
    <w:altName w:val="Segoe Print"/>
    <w:panose1 w:val="00000000000000000000"/>
    <w:charset w:val="00"/>
    <w:family w:val="auto"/>
    <w:pitch w:val="default"/>
    <w:sig w:usb0="00000000" w:usb1="00000000" w:usb2="00000000" w:usb3="00000000" w:csb0="00000001" w:csb1="00000000"/>
  </w:font>
  <w:font w:name="HelveticaNeue-Light">
    <w:altName w:val="Segoe Print"/>
    <w:panose1 w:val="00000000000000000000"/>
    <w:charset w:val="00"/>
    <w:family w:val="auto"/>
    <w:pitch w:val="default"/>
    <w:sig w:usb0="00000000" w:usb1="00000000" w:usb2="00000000" w:usb3="00000000" w:csb0="00000001" w:csb1="00000000"/>
  </w:font>
  <w:font w:name="Wingdings">
    <w:panose1 w:val="05000000000000000000"/>
    <w:charset w:val="00"/>
    <w:family w:val="auto"/>
    <w:pitch w:val="default"/>
    <w:sig w:usb0="00000000" w:usb1="00000000" w:usb2="00000000" w:usb3="00000000" w:csb0="80000000" w:csb1="00000000"/>
  </w:font>
  <w:font w:name="PMingLiU">
    <w:altName w:val="PMingLiU-ExtB"/>
    <w:panose1 w:val="02020500000000000000"/>
    <w:charset w:val="88"/>
    <w:family w:val="auto"/>
    <w:pitch w:val="default"/>
    <w:sig w:usb0="00000000" w:usb1="00000000" w:usb2="00000016" w:usb3="00000000" w:csb0="00100001" w:csb1="00000000"/>
  </w:font>
  <w:font w:name="Brush Script MT">
    <w:altName w:val="Mongolian Baiti"/>
    <w:panose1 w:val="03060802040406070304"/>
    <w:charset w:val="00"/>
    <w:family w:val="script"/>
    <w:pitch w:val="default"/>
    <w:sig w:usb0="00000000" w:usb1="00000000" w:usb2="00000000" w:usb3="00000000" w:csb0="20000001" w:csb1="00000000"/>
  </w:font>
  <w:font w:name="Arial Unicode MS">
    <w:panose1 w:val="020B0604020202020204"/>
    <w:charset w:val="86"/>
    <w:family w:val="auto"/>
    <w:pitch w:val="default"/>
    <w:sig w:usb0="FFFFFFFF" w:usb1="E9FFFFFF" w:usb2="0000003F" w:usb3="00000000" w:csb0="603F01FF" w:csb1="FFFF0000"/>
  </w:font>
  <w:font w:name="BatangChe">
    <w:altName w:val="Malgun Gothic"/>
    <w:panose1 w:val="02030609000101010101"/>
    <w:charset w:val="81"/>
    <w:family w:val="auto"/>
    <w:pitch w:val="default"/>
    <w:sig w:usb0="00000000" w:usb1="00000000" w:usb2="00000030" w:usb3="00000000" w:csb0="4008009F" w:csb1="DFD70000"/>
  </w:font>
  <w:font w:name="DFKai-SB">
    <w:altName w:val="Microsoft JhengHei Light"/>
    <w:panose1 w:val="03000509000000000000"/>
    <w:charset w:val="88"/>
    <w:family w:val="auto"/>
    <w:pitch w:val="default"/>
    <w:sig w:usb0="00000000" w:usb1="00000000" w:usb2="00000016" w:usb3="00000000" w:csb0="00100001" w:csb1="00000000"/>
  </w:font>
  <w:font w:name="Dotum">
    <w:altName w:val="Malgun Gothic"/>
    <w:panose1 w:val="020B0600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FangSong">
    <w:altName w:val="SimSun"/>
    <w:panose1 w:val="02010609060101010101"/>
    <w:charset w:val="86"/>
    <w:family w:val="auto"/>
    <w:pitch w:val="default"/>
    <w:sig w:usb0="00000000" w:usb1="00000000"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GulimChe">
    <w:altName w:val="Malgun Gothic"/>
    <w:panose1 w:val="020B0609000101010101"/>
    <w:charset w:val="81"/>
    <w:family w:val="auto"/>
    <w:pitch w:val="default"/>
    <w:sig w:usb0="00000000" w:usb1="00000000" w:usb2="00000030" w:usb3="00000000" w:csb0="4008009F" w:csb1="DFD70000"/>
  </w:font>
  <w:font w:name="Gungsuh">
    <w:altName w:val="Malgun Gothic"/>
    <w:panose1 w:val="02030600000101010101"/>
    <w:charset w:val="81"/>
    <w:family w:val="auto"/>
    <w:pitch w:val="default"/>
    <w:sig w:usb0="00000000" w:usb1="00000000" w:usb2="00000030" w:usb3="00000000" w:csb0="4008009F" w:csb1="DFD70000"/>
  </w:font>
  <w:font w:name="GungsuhChe">
    <w:altName w:val="Malgun Gothic"/>
    <w:panose1 w:val="02030609000101010101"/>
    <w:charset w:val="81"/>
    <w:family w:val="auto"/>
    <w:pitch w:val="default"/>
    <w:sig w:usb0="00000000" w:usb1="00000000" w:usb2="00000030" w:usb3="00000000" w:csb0="4008009F" w:csb1="DFD70000"/>
  </w:font>
  <w:font w:name="KaiTi">
    <w:altName w:val="SimSun"/>
    <w:panose1 w:val="02010609060101010101"/>
    <w:charset w:val="86"/>
    <w:family w:val="auto"/>
    <w:pitch w:val="default"/>
    <w:sig w:usb0="00000000" w:usb1="00000000" w:usb2="00000016" w:usb3="00000000" w:csb0="00040001" w:csb1="00000000"/>
  </w:font>
  <w:font w:name="Arial Black">
    <w:panose1 w:val="020B0A04020102020204"/>
    <w:charset w:val="00"/>
    <w:family w:val="auto"/>
    <w:pitch w:val="default"/>
    <w:sig w:usb0="A00002AF" w:usb1="400078FB" w:usb2="00000000" w:usb3="00000000" w:csb0="6000009F" w:csb1="DFD70000"/>
  </w:font>
  <w:font w:name="Mongolian Baiti">
    <w:panose1 w:val="03000500000000000000"/>
    <w:charset w:val="00"/>
    <w:family w:val="auto"/>
    <w:pitch w:val="default"/>
    <w:sig w:usb0="80000023" w:usb1="00000000" w:usb2="00020000" w:usb3="00000000" w:csb0="00000001" w:csb1="00000000"/>
  </w:font>
  <w:font w:name="FranklinGothicBook">
    <w:altName w:val="Segoe Print"/>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AR DARLING">
    <w:altName w:val="Verdana"/>
    <w:panose1 w:val="02000000000000000000"/>
    <w:charset w:val="00"/>
    <w:family w:val="auto"/>
    <w:pitch w:val="default"/>
    <w:sig w:usb0="00000000" w:usb1="00000000" w:usb2="00000000" w:usb3="00000000" w:csb0="00000001" w:csb1="00000000"/>
  </w:font>
  <w:font w:name="AR DECODE">
    <w:altName w:val="Verdana"/>
    <w:panose1 w:val="02000000000000000000"/>
    <w:charset w:val="00"/>
    <w:family w:val="auto"/>
    <w:pitch w:val="default"/>
    <w:sig w:usb0="00000000" w:usb1="00000000" w:usb2="00000000" w:usb3="00000000" w:csb0="00000001" w:csb1="00000000"/>
  </w:font>
  <w:font w:name="AR DELANEY">
    <w:altName w:val="Verdana"/>
    <w:panose1 w:val="02000000000000000000"/>
    <w:charset w:val="00"/>
    <w:family w:val="auto"/>
    <w:pitch w:val="default"/>
    <w:sig w:usb0="00000000" w:usb1="00000000" w:usb2="00000000" w:usb3="00000000" w:csb0="00000001" w:csb1="00000000"/>
  </w:font>
  <w:font w:name="AR DESTINE">
    <w:altName w:val="Verdana"/>
    <w:panose1 w:val="02000000000000000000"/>
    <w:charset w:val="00"/>
    <w:family w:val="auto"/>
    <w:pitch w:val="default"/>
    <w:sig w:usb0="00000000" w:usb1="00000000" w:usb2="00000000" w:usb3="00000000" w:csb0="00000001" w:csb1="00000000"/>
  </w:font>
  <w:font w:name="AR ESSENCE">
    <w:altName w:val="Verdana"/>
    <w:panose1 w:val="02000000000000000000"/>
    <w:charset w:val="00"/>
    <w:family w:val="auto"/>
    <w:pitch w:val="default"/>
    <w:sig w:usb0="00000000" w:usb1="00000000" w:usb2="00000000" w:usb3="00000000" w:csb0="00000001" w:csb1="00000000"/>
  </w:font>
  <w:font w:name="AR HERMANN">
    <w:altName w:val="Verdana"/>
    <w:panose1 w:val="02000000000000000000"/>
    <w:charset w:val="00"/>
    <w:family w:val="auto"/>
    <w:pitch w:val="default"/>
    <w:sig w:usb0="00000000" w:usb1="00000000" w:usb2="00000000" w:usb3="00000000" w:csb0="00000001" w:csb1="00000000"/>
  </w:font>
  <w:font w:name="AR JULIAN">
    <w:altName w:val="Verdana"/>
    <w:panose1 w:val="02000000000000000000"/>
    <w:charset w:val="00"/>
    <w:family w:val="auto"/>
    <w:pitch w:val="default"/>
    <w:sig w:usb0="00000000" w:usb1="00000000" w:usb2="00000000" w:usb3="00000000" w:csb0="00000001" w:csb1="00000000"/>
  </w:font>
  <w:font w:name="Arabic Typesetting">
    <w:altName w:val="French Script MT"/>
    <w:panose1 w:val="03020402040406030203"/>
    <w:charset w:val="00"/>
    <w:family w:val="auto"/>
    <w:pitch w:val="default"/>
    <w:sig w:usb0="00000000" w:usb1="00000000" w:usb2="00000008" w:usb3="00000000" w:csb0="200000D3" w:csb1="00000000"/>
  </w:font>
  <w:font w:name="Arial Rounded MT Bold">
    <w:altName w:val="Arial"/>
    <w:panose1 w:val="020F0704030504030204"/>
    <w:charset w:val="00"/>
    <w:family w:val="auto"/>
    <w:pitch w:val="default"/>
    <w:sig w:usb0="00000000" w:usb1="00000000" w:usb2="00000000" w:usb3="00000000" w:csb0="20000001" w:csb1="00000000"/>
  </w:font>
  <w:font w:name="Baskerville Old Face">
    <w:altName w:val="Segoe Print"/>
    <w:panose1 w:val="02020602080505020303"/>
    <w:charset w:val="00"/>
    <w:family w:val="auto"/>
    <w:pitch w:val="default"/>
    <w:sig w:usb0="00000000" w:usb1="00000000" w:usb2="00000000" w:usb3="00000000" w:csb0="20000001" w:csb1="00000000"/>
  </w:font>
  <w:font w:name="Bauhaus 93">
    <w:altName w:val="Gabriola"/>
    <w:panose1 w:val="04030905020B02020C02"/>
    <w:charset w:val="00"/>
    <w:family w:val="auto"/>
    <w:pitch w:val="default"/>
    <w:sig w:usb0="00000000" w:usb1="00000000" w:usb2="00000000" w:usb3="00000000" w:csb0="20000001" w:csb1="00000000"/>
  </w:font>
  <w:font w:name="Bell MT">
    <w:altName w:val="PMingLiU-ExtB"/>
    <w:panose1 w:val="02020503060305020303"/>
    <w:charset w:val="00"/>
    <w:family w:val="auto"/>
    <w:pitch w:val="default"/>
    <w:sig w:usb0="00000000" w:usb1="00000000" w:usb2="00000000" w:usb3="00000000" w:csb0="20000001" w:csb1="00000000"/>
  </w:font>
  <w:font w:name="Berlin Sans FB">
    <w:altName w:val="Segoe Print"/>
    <w:panose1 w:val="020E0602020502020306"/>
    <w:charset w:val="00"/>
    <w:family w:val="auto"/>
    <w:pitch w:val="default"/>
    <w:sig w:usb0="00000000" w:usb1="00000000" w:usb2="00000000" w:usb3="00000000" w:csb0="20000001" w:csb1="00000000"/>
  </w:font>
  <w:font w:name="Berlin Sans FB Demi">
    <w:altName w:val="Segoe Print"/>
    <w:panose1 w:val="020E0802020502020306"/>
    <w:charset w:val="00"/>
    <w:family w:val="auto"/>
    <w:pitch w:val="default"/>
    <w:sig w:usb0="00000000" w:usb1="00000000" w:usb2="00000000" w:usb3="00000000" w:csb0="20000001" w:csb1="00000000"/>
  </w:font>
  <w:font w:name="Bernard MT Condensed">
    <w:altName w:val="Segoe Print"/>
    <w:panose1 w:val="02050806060905020404"/>
    <w:charset w:val="00"/>
    <w:family w:val="auto"/>
    <w:pitch w:val="default"/>
    <w:sig w:usb0="00000000" w:usb1="00000000" w:usb2="00000000" w:usb3="00000000" w:csb0="20000001" w:csb1="00000000"/>
  </w:font>
  <w:font w:name="Blackadder ITC">
    <w:altName w:val="Tempus Sans ITC"/>
    <w:panose1 w:val="04020505051007020D02"/>
    <w:charset w:val="00"/>
    <w:family w:val="auto"/>
    <w:pitch w:val="default"/>
    <w:sig w:usb0="00000000" w:usb1="00000000" w:usb2="00000000" w:usb3="00000000" w:csb0="20000001" w:csb1="00000000"/>
  </w:font>
  <w:font w:name="Malgun Gothic">
    <w:panose1 w:val="020B0503020000020004"/>
    <w:charset w:val="81"/>
    <w:family w:val="auto"/>
    <w:pitch w:val="default"/>
    <w:sig w:usb0="9000002F" w:usb1="29D77CFB" w:usb2="00000012" w:usb3="00000000" w:csb0="00080001" w:csb1="00000000"/>
  </w:font>
  <w:font w:name="MS UI Gothic">
    <w:panose1 w:val="020B0600070205080204"/>
    <w:charset w:val="80"/>
    <w:family w:val="auto"/>
    <w:pitch w:val="default"/>
    <w:sig w:usb0="E00002FF" w:usb1="6AC7FDFB" w:usb2="08000012" w:usb3="00000000" w:csb0="4002009F" w:csb1="DFD70000"/>
  </w:font>
  <w:font w:name="Yu Gothic UI Semibold">
    <w:panose1 w:val="020B0700000000000000"/>
    <w:charset w:val="80"/>
    <w:family w:val="auto"/>
    <w:pitch w:val="default"/>
    <w:sig w:usb0="E00002FF" w:usb1="2AC7FDFF" w:usb2="00000016" w:usb3="00000000" w:csb0="2002009F" w:csb1="00000000"/>
  </w:font>
  <w:font w:name="French Script MT">
    <w:panose1 w:val="03020402040607040605"/>
    <w:charset w:val="00"/>
    <w:family w:val="auto"/>
    <w:pitch w:val="default"/>
    <w:sig w:usb0="00000003"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Linux Libertine G">
    <w:altName w:val="Corbel"/>
    <w:panose1 w:val="02000503000000000000"/>
    <w:charset w:val="00"/>
    <w:family w:val="auto"/>
    <w:pitch w:val="default"/>
    <w:sig w:usb0="00000000" w:usb1="00000000" w:usb2="02000020" w:usb3="00000000" w:csb0="600001BF" w:csb1="00000000"/>
  </w:font>
  <w:font w:name="Tempus Sans ITC">
    <w:panose1 w:val="04020404030D07020202"/>
    <w:charset w:val="00"/>
    <w:family w:val="auto"/>
    <w:pitch w:val="default"/>
    <w:sig w:usb0="00000003" w:usb1="00000000" w:usb2="00000000" w:usb3="00000000" w:csb0="20000001" w:csb1="00000000"/>
  </w:font>
  <w:font w:name="PMingLiU-ExtB">
    <w:panose1 w:val="02020500000000000000"/>
    <w:charset w:val="88"/>
    <w:family w:val="auto"/>
    <w:pitch w:val="default"/>
    <w:sig w:usb0="8000002F" w:usb1="02000008" w:usb2="00000000" w:usb3="00000000" w:csb0="00100001" w:csb1="00000000"/>
  </w:font>
  <w:font w:name="MingLiU-ExtB">
    <w:panose1 w:val="02020500000000000000"/>
    <w:charset w:val="88"/>
    <w:family w:val="auto"/>
    <w:pitch w:val="default"/>
    <w:sig w:usb0="8000002F" w:usb1="02000008" w:usb2="00000000" w:usb3="00000000" w:csb0="00100001" w:csb1="00000000"/>
  </w:font>
  <w:font w:name="Meiryo UI">
    <w:altName w:val="Yu Gothic UI"/>
    <w:panose1 w:val="020B0604030504040204"/>
    <w:charset w:val="80"/>
    <w:family w:val="auto"/>
    <w:pitch w:val="default"/>
    <w:sig w:usb0="00000000" w:usb1="00000000" w:usb2="00010012" w:usb3="00000000" w:csb0="6002009F" w:csb1="DFD70000"/>
  </w:font>
  <w:font w:name="Mangal">
    <w:altName w:val="Segoe Print"/>
    <w:panose1 w:val="02040503050203030202"/>
    <w:charset w:val="00"/>
    <w:family w:val="auto"/>
    <w:pitch w:val="default"/>
    <w:sig w:usb0="00000000" w:usb1="00000000" w:usb2="00000000" w:usb3="00000000" w:csb0="00000001" w:csb1="00000000"/>
  </w:font>
  <w:font w:name="Formata LightCondensed">
    <w:altName w:val="Segoe Print"/>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Vrinda">
    <w:altName w:val="Segoe UI Symbol"/>
    <w:panose1 w:val="020B0502040204020203"/>
    <w:charset w:val="00"/>
    <w:family w:val="auto"/>
    <w:pitch w:val="default"/>
    <w:sig w:usb0="00000000" w:usb1="00000000" w:usb2="00000000" w:usb3="00000000" w:csb0="00000001" w:csb1="00000000"/>
  </w:font>
  <w:font w:name="MS Sans Serif">
    <w:altName w:val="Segoe Print"/>
    <w:panose1 w:val="00000000000000000000"/>
    <w:charset w:val="00"/>
    <w:family w:val="auto"/>
    <w:pitch w:val="default"/>
    <w:sig w:usb0="00000000" w:usb1="00000000" w:usb2="00000000" w:usb3="00000000" w:csb0="00000000" w:csb1="00000000"/>
  </w:font>
  <w:font w:name="Aharoni">
    <w:altName w:val="Yu Gothic UI Semibold"/>
    <w:panose1 w:val="02010803020104030203"/>
    <w:charset w:val="00"/>
    <w:family w:val="auto"/>
    <w:pitch w:val="default"/>
    <w:sig w:usb0="00000000" w:usb1="00000000" w:usb2="00000000" w:usb3="00000000" w:csb0="00000020" w:csb1="00200000"/>
  </w:font>
  <w:font w:name="Andalus">
    <w:altName w:val="Times New Roman"/>
    <w:panose1 w:val="02020603050405020304"/>
    <w:charset w:val="00"/>
    <w:family w:val="auto"/>
    <w:pitch w:val="default"/>
    <w:sig w:usb0="00000000" w:usb1="00000000" w:usb2="00000008" w:usb3="00000000" w:csb0="00000041" w:csb1="20080000"/>
  </w:font>
  <w:font w:name="Angsana New">
    <w:altName w:val="Times New Roman"/>
    <w:panose1 w:val="02020603050405020304"/>
    <w:charset w:val="00"/>
    <w:family w:val="auto"/>
    <w:pitch w:val="default"/>
    <w:sig w:usb0="00000000" w:usb1="00000000" w:usb2="00000000" w:usb3="00000000" w:csb0="00010001" w:csb1="0000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Book Antiqua">
    <w:panose1 w:val="02040602050305030304"/>
    <w:charset w:val="00"/>
    <w:family w:val="auto"/>
    <w:pitch w:val="default"/>
    <w:sig w:usb0="00000287" w:usb1="00000000" w:usb2="00000000" w:usb3="00000000" w:csb0="2000009F" w:csb1="DFD70000"/>
  </w:font>
  <w:font w:name="Bookshelf Symbol 7">
    <w:panose1 w:val="05010101010101010101"/>
    <w:charset w:val="00"/>
    <w:family w:val="auto"/>
    <w:pitch w:val="default"/>
    <w:sig w:usb0="00000000" w:usb1="00000000" w:usb2="00000000" w:usb3="00000000" w:csb0="80000000" w:csb1="00000000"/>
  </w:font>
  <w:font w:name="Bradley Hand ITC">
    <w:panose1 w:val="03070402050302030203"/>
    <w:charset w:val="00"/>
    <w:family w:val="auto"/>
    <w:pitch w:val="default"/>
    <w:sig w:usb0="00000003" w:usb1="00000000" w:usb2="00000000" w:usb3="00000000" w:csb0="20000001" w:csb1="00000000"/>
  </w:font>
  <w:font w:name="Browallia New">
    <w:altName w:val="Segoe Print"/>
    <w:panose1 w:val="020B0604020202020204"/>
    <w:charset w:val="00"/>
    <w:family w:val="auto"/>
    <w:pitch w:val="default"/>
    <w:sig w:usb0="00000000" w:usb1="00000000" w:usb2="00000000" w:usb3="00000000" w:csb0="00010001" w:csb1="00000000"/>
  </w:font>
  <w:font w:name="BrowalliaUPC">
    <w:altName w:val="Segoe Print"/>
    <w:panose1 w:val="020B0604020202020204"/>
    <w:charset w:val="00"/>
    <w:family w:val="auto"/>
    <w:pitch w:val="default"/>
    <w:sig w:usb0="00000000" w:usb1="00000000" w:usb2="00000000" w:usb3="00000000" w:csb0="00010001" w:csb1="00000000"/>
  </w:font>
  <w:font w:name="Wide Latin">
    <w:altName w:val="Segoe Print"/>
    <w:panose1 w:val="020A0A07050505020404"/>
    <w:charset w:val="00"/>
    <w:family w:val="auto"/>
    <w:pitch w:val="default"/>
    <w:sig w:usb0="00000000" w:usb1="00000000" w:usb2="00000000" w:usb3="00000000" w:csb0="20000001" w:csb1="00000000"/>
  </w:font>
  <w:font w:name="AR BERKLEY">
    <w:altName w:val="Verdana"/>
    <w:panose1 w:val="02000000000000000000"/>
    <w:charset w:val="00"/>
    <w:family w:val="auto"/>
    <w:pitch w:val="default"/>
    <w:sig w:usb0="00000000"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Candara">
    <w:panose1 w:val="020E0502030303020204"/>
    <w:charset w:val="00"/>
    <w:family w:val="auto"/>
    <w:pitch w:val="default"/>
    <w:sig w:usb0="A00002EF" w:usb1="4000A44B" w:usb2="00000000" w:usb3="00000000" w:csb0="2000019F" w:csb1="00000000"/>
  </w:font>
  <w:font w:name="Century">
    <w:panose1 w:val="02040604050505020304"/>
    <w:charset w:val="00"/>
    <w:family w:val="auto"/>
    <w:pitch w:val="default"/>
    <w:sig w:usb0="00000287" w:usb1="00000000" w:usb2="00000000" w:usb3="00000000" w:csb0="2000009F" w:csb1="DFD70000"/>
  </w:font>
  <w:font w:name="Microsoft JhengHei Light">
    <w:panose1 w:val="020B0304030504040204"/>
    <w:charset w:val="88"/>
    <w:family w:val="auto"/>
    <w:pitch w:val="default"/>
    <w:sig w:usb0="800002A7" w:usb1="28CF4400" w:usb2="00000016" w:usb3="00000000" w:csb0="00100009" w:csb1="00000000"/>
  </w:font>
  <w:font w:name="Corbel">
    <w:panose1 w:val="020B0503020204020204"/>
    <w:charset w:val="00"/>
    <w:family w:val="auto"/>
    <w:pitch w:val="default"/>
    <w:sig w:usb0="A00002EF" w:usb1="4000A44B" w:usb2="00000000" w:usb3="00000000" w:csb0="2000019F" w:csb1="00000000"/>
  </w:font>
  <w:font w:name="Segoe UI Symbol">
    <w:panose1 w:val="020B0502040204020203"/>
    <w:charset w:val="00"/>
    <w:family w:val="auto"/>
    <w:pitch w:val="default"/>
    <w:sig w:usb0="800001E3" w:usb1="1200FFEF" w:usb2="00040000" w:usb3="04000000" w:csb0="00000001" w:csb1="40000000"/>
  </w:font>
  <w:font w:name="Microsoft JhengHei">
    <w:panose1 w:val="020B0604030504040204"/>
    <w:charset w:val="88"/>
    <w:family w:val="auto"/>
    <w:pitch w:val="default"/>
    <w:sig w:usb0="000002A7" w:usb1="28CF4400" w:usb2="00000016" w:usb3="00000000" w:csb0="00100009" w:csb1="00000000"/>
  </w:font>
  <w:font w:name="Symbol">
    <w:panose1 w:val="05050102010706020507"/>
    <w:charset w:val="00"/>
    <w:family w:val="auto"/>
    <w:pitch w:val="default"/>
    <w:sig w:usb0="00000000" w:usb1="00000000" w:usb2="00000000" w:usb3="00000000" w:csb0="80000000" w:csb1="00000000"/>
  </w:font>
  <w:font w:name="Microsoft Sans Serif">
    <w:panose1 w:val="020B0604020202020204"/>
    <w:charset w:val="00"/>
    <w:family w:val="swiss"/>
    <w:pitch w:val="default"/>
    <w:sig w:usb0="E5002EFF" w:usb1="C000605B" w:usb2="00000029" w:usb3="00000000" w:csb0="200101FF" w:csb1="20280000"/>
  </w:font>
  <w:font w:name="Yu Gothic UI Light">
    <w:panose1 w:val="020B0300000000000000"/>
    <w:charset w:val="80"/>
    <w:family w:val="auto"/>
    <w:pitch w:val="default"/>
    <w:sig w:usb0="E00002FF" w:usb1="2AC7FDFF" w:usb2="00000016" w:usb3="00000000" w:csb0="2002009F" w:csb1="00000000"/>
  </w:font>
  <w:font w:name="Yu Gothic UI Semilight">
    <w:panose1 w:val="020B0400000000000000"/>
    <w:charset w:val="80"/>
    <w:family w:val="auto"/>
    <w:pitch w:val="default"/>
    <w:sig w:usb0="E00002FF" w:usb1="2AC7FDFF" w:usb2="00000016" w:usb3="00000000" w:csb0="2002009F" w:csb1="00000000"/>
  </w:font>
  <w:font w:name="Agency FB">
    <w:altName w:val="Malgun Gothic"/>
    <w:panose1 w:val="020B0503020202020204"/>
    <w:charset w:val="00"/>
    <w:family w:val="auto"/>
    <w:pitch w:val="default"/>
    <w:sig w:usb0="00000000" w:usb1="00000000" w:usb2="00000000" w:usb3="00000000" w:csb0="20000001" w:csb1="00000000"/>
  </w:font>
  <w:font w:name="Algerian">
    <w:altName w:val="Juice ITC"/>
    <w:panose1 w:val="04020705040A02060702"/>
    <w:charset w:val="00"/>
    <w:family w:val="auto"/>
    <w:pitch w:val="default"/>
    <w:sig w:usb0="00000000" w:usb1="00000000" w:usb2="00000000" w:usb3="00000000" w:csb0="20000001" w:csb1="00000000"/>
  </w:font>
  <w:font w:name="Vivaldi">
    <w:altName w:val="Mongolian Baiti"/>
    <w:panose1 w:val="03020602050506090804"/>
    <w:charset w:val="00"/>
    <w:family w:val="auto"/>
    <w:pitch w:val="default"/>
    <w:sig w:usb0="00000000" w:usb1="00000000" w:usb2="00000000" w:usb3="00000000" w:csb0="20000001" w:csb1="00000000"/>
  </w:font>
  <w:font w:name="Vladimir Script">
    <w:altName w:val="Mongolian Baiti"/>
    <w:panose1 w:val="03050402040407070305"/>
    <w:charset w:val="00"/>
    <w:family w:val="auto"/>
    <w:pitch w:val="default"/>
    <w:sig w:usb0="00000000" w:usb1="00000000" w:usb2="00000000" w:usb3="00000000" w:csb0="20000001" w:csb1="00000000"/>
  </w:font>
  <w:font w:name="wf_segoe-ui_normal">
    <w:altName w:val="Segoe Print"/>
    <w:panose1 w:val="00000000000000000000"/>
    <w:charset w:val="00"/>
    <w:family w:val="auto"/>
    <w:pitch w:val="default"/>
    <w:sig w:usb0="00000000" w:usb1="00000000" w:usb2="00000000" w:usb3="00000000" w:csb0="00000000" w:csb1="00000000"/>
  </w:font>
  <w:font w:name="HiddenHorzOCl">
    <w:altName w:val="Segoe Print"/>
    <w:panose1 w:val="00000000000000000000"/>
    <w:charset w:val="00"/>
    <w:family w:val="swiss"/>
    <w:pitch w:val="default"/>
    <w:sig w:usb0="00000000" w:usb1="00000000" w:usb2="00000000" w:usb3="00000000" w:csb0="00000001" w:csb1="00000000"/>
  </w:font>
  <w:font w:name="Gisha">
    <w:altName w:val="Segoe UI Symbol"/>
    <w:panose1 w:val="020B0502040204020203"/>
    <w:charset w:val="00"/>
    <w:family w:val="auto"/>
    <w:pitch w:val="default"/>
    <w:sig w:usb0="00000000" w:usb1="00000000" w:usb2="00000000" w:usb3="00000000" w:csb0="00000021" w:csb1="00000000"/>
  </w:font>
  <w:font w:name="Noto Sans">
    <w:altName w:val="Segoe Print"/>
    <w:panose1 w:val="00000000000000000000"/>
    <w:charset w:val="00"/>
    <w:family w:val="auto"/>
    <w:pitch w:val="default"/>
    <w:sig w:usb0="00000000" w:usb1="00000000" w:usb2="00000000" w:usb3="00000000" w:csb0="00000000" w:csb1="00000000"/>
  </w:font>
  <w:font w:name="Juice ITC">
    <w:panose1 w:val="04040403040A02020202"/>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6"/>
      <w:tblW w:w="883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944"/>
      <w:gridCol w:w="2947"/>
      <w:gridCol w:w="29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rPr>
        <w:jc w:val="center"/>
      </w:trPr>
      <w:tc>
        <w:tcPr>
          <w:tcW w:w="2944" w:type="dxa"/>
        </w:tcPr>
        <w:p>
          <w:pPr>
            <w:tabs>
              <w:tab w:val="center" w:pos="4252"/>
              <w:tab w:val="right" w:pos="8504"/>
            </w:tabs>
            <w:jc w:val="right"/>
            <w:rPr>
              <w:rFonts w:cs="Arial"/>
              <w:sz w:val="16"/>
              <w:szCs w:val="16"/>
            </w:rPr>
          </w:pPr>
        </w:p>
      </w:tc>
      <w:tc>
        <w:tcPr>
          <w:tcW w:w="2947" w:type="dxa"/>
          <w:vAlign w:val="bottom"/>
        </w:tcPr>
        <w:p>
          <w:pPr>
            <w:tabs>
              <w:tab w:val="center" w:pos="4252"/>
              <w:tab w:val="right" w:pos="8504"/>
            </w:tabs>
            <w:jc w:val="center"/>
            <w:rPr>
              <w:rFonts w:cs="Arial"/>
              <w:sz w:val="16"/>
              <w:szCs w:val="16"/>
            </w:rPr>
          </w:pPr>
        </w:p>
      </w:tc>
      <w:tc>
        <w:tcPr>
          <w:tcW w:w="2947" w:type="dxa"/>
        </w:tcPr>
        <w:p>
          <w:pPr>
            <w:tabs>
              <w:tab w:val="center" w:pos="4252"/>
              <w:tab w:val="right" w:pos="8504"/>
            </w:tabs>
            <w:jc w:val="right"/>
            <w:rPr>
              <w:rFonts w:cs="Arial"/>
              <w:sz w:val="16"/>
              <w:szCs w:val="16"/>
            </w:rPr>
          </w:pPr>
          <w:r>
            <w:rPr>
              <w:rFonts w:cs="Arial"/>
              <w:b/>
              <w:sz w:val="16"/>
              <w:szCs w:val="16"/>
            </w:rPr>
            <w:t>ALCALDÍA DE NEIVA</w:t>
          </w:r>
        </w:p>
        <w:p>
          <w:pPr>
            <w:tabs>
              <w:tab w:val="center" w:pos="4252"/>
              <w:tab w:val="right" w:pos="8504"/>
            </w:tabs>
            <w:jc w:val="right"/>
            <w:rPr>
              <w:rFonts w:cs="Arial"/>
              <w:sz w:val="16"/>
              <w:szCs w:val="16"/>
            </w:rPr>
          </w:pPr>
          <w:r>
            <w:rPr>
              <w:rFonts w:cs="Arial"/>
              <w:sz w:val="16"/>
              <w:szCs w:val="16"/>
            </w:rPr>
            <w:t>Carrera 5 No. 9 -74. Piso 3</w:t>
          </w:r>
        </w:p>
        <w:p>
          <w:pPr>
            <w:tabs>
              <w:tab w:val="center" w:pos="4252"/>
              <w:tab w:val="right" w:pos="8504"/>
            </w:tabs>
            <w:jc w:val="right"/>
            <w:rPr>
              <w:rFonts w:cs="Arial"/>
              <w:sz w:val="16"/>
              <w:szCs w:val="16"/>
            </w:rPr>
          </w:pPr>
          <w:r>
            <w:rPr>
              <w:rFonts w:cs="Arial"/>
              <w:sz w:val="16"/>
              <w:szCs w:val="16"/>
            </w:rPr>
            <w:t>Teléfono 8718936 Neiva – Huila</w:t>
          </w:r>
        </w:p>
        <w:p>
          <w:pPr>
            <w:tabs>
              <w:tab w:val="center" w:pos="4252"/>
              <w:tab w:val="right" w:pos="8504"/>
            </w:tabs>
            <w:jc w:val="right"/>
            <w:rPr>
              <w:sz w:val="16"/>
              <w:szCs w:val="16"/>
            </w:rPr>
          </w:pPr>
          <w:r>
            <w:rPr>
              <w:rFonts w:cs="Arial"/>
              <w:sz w:val="16"/>
              <w:szCs w:val="16"/>
            </w:rPr>
            <w:t xml:space="preserve">e-mail: asesor@alcaldianeiva.gov.co </w:t>
          </w:r>
          <w:r>
            <w:rPr>
              <w:rFonts w:cs="Arial"/>
              <w:sz w:val="16"/>
              <w:szCs w:val="16"/>
            </w:rPr>
            <w:br w:type="textWrapping"/>
          </w:r>
          <w:r>
            <w:rPr>
              <w:rFonts w:cs="Arial"/>
              <w:sz w:val="16"/>
              <w:szCs w:val="16"/>
            </w:rPr>
            <w:t>www.alcaldianeiva.gov.co</w:t>
          </w:r>
        </w:p>
      </w:tc>
    </w:tr>
  </w:tbl>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6"/>
      <w:tblW w:w="8838" w:type="dxa"/>
      <w:jc w:val="center"/>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734"/>
      <w:gridCol w:w="4550"/>
      <w:gridCol w:w="1554"/>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PrEx>
      <w:trPr>
        <w:trHeight w:val="980" w:hRule="atLeast"/>
        <w:jc w:val="center"/>
      </w:trPr>
      <w:tc>
        <w:tcPr>
          <w:tcW w:w="2734" w:type="dxa"/>
        </w:tcPr>
        <w:p>
          <w:pPr>
            <w:rPr>
              <w:b/>
              <w:sz w:val="18"/>
              <w:szCs w:val="18"/>
            </w:rPr>
          </w:pPr>
          <w:r>
            <w:rPr>
              <w:sz w:val="18"/>
              <w:szCs w:val="18"/>
              <w:lang w:eastAsia="es-CO"/>
            </w:rPr>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1633855" cy="526415"/>
                <wp:effectExtent l="0" t="0" r="4445" b="6985"/>
                <wp:wrapNone/>
                <wp:docPr id="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2"/>
                        <pic:cNvPicPr>
                          <a:picLocks noChangeAspect="1" noChangeArrowheads="1"/>
                        </pic:cNvPicPr>
                      </pic:nvPicPr>
                      <pic:blipFill>
                        <a:blip r:embed="rId1"/>
                        <a:srcRect l="5795" t="23280" r="54305" b="50000"/>
                        <a:stretch>
                          <a:fillRect/>
                        </a:stretch>
                      </pic:blipFill>
                      <pic:spPr>
                        <a:xfrm>
                          <a:off x="0" y="0"/>
                          <a:ext cx="1633855" cy="526415"/>
                        </a:xfrm>
                        <a:prstGeom prst="rect">
                          <a:avLst/>
                        </a:prstGeom>
                        <a:noFill/>
                        <a:ln w="9525">
                          <a:noFill/>
                          <a:miter lim="800000"/>
                          <a:headEnd/>
                          <a:tailEnd/>
                        </a:ln>
                      </pic:spPr>
                    </pic:pic>
                  </a:graphicData>
                </a:graphic>
              </wp:anchor>
            </w:drawing>
          </w:r>
        </w:p>
      </w:tc>
      <w:tc>
        <w:tcPr>
          <w:tcW w:w="4550" w:type="dxa"/>
          <w:vAlign w:val="center"/>
        </w:tcPr>
        <w:p>
          <w:pPr>
            <w:jc w:val="center"/>
            <w:rPr>
              <w:b/>
              <w:bCs/>
              <w:sz w:val="18"/>
              <w:szCs w:val="18"/>
            </w:rPr>
          </w:pPr>
          <w:r>
            <w:rPr>
              <w:b/>
              <w:bCs/>
              <w:sz w:val="18"/>
              <w:szCs w:val="18"/>
            </w:rPr>
            <w:t>Proceso contractual</w:t>
          </w:r>
        </w:p>
        <w:p>
          <w:pPr>
            <w:jc w:val="center"/>
            <w:rPr>
              <w:b/>
              <w:bCs/>
              <w:sz w:val="18"/>
              <w:szCs w:val="18"/>
            </w:rPr>
          </w:pPr>
          <w:r>
            <w:rPr>
              <w:b/>
              <w:bCs/>
              <w:sz w:val="18"/>
              <w:szCs w:val="18"/>
            </w:rPr>
            <w:t xml:space="preserve">Selección Abreviada de Menor Cuantía </w:t>
          </w:r>
        </w:p>
        <w:p>
          <w:pPr>
            <w:jc w:val="center"/>
            <w:rPr>
              <w:sz w:val="18"/>
              <w:szCs w:val="18"/>
            </w:rPr>
          </w:pPr>
          <w:r>
            <w:rPr>
              <w:b/>
              <w:bCs/>
              <w:sz w:val="16"/>
              <w:szCs w:val="16"/>
            </w:rPr>
            <w:t>CONDICIONES GENERALES DE PARTICIPACIÓN</w:t>
          </w:r>
        </w:p>
      </w:tc>
      <w:tc>
        <w:tcPr>
          <w:tcW w:w="1554" w:type="dxa"/>
          <w:vAlign w:val="center"/>
        </w:tcPr>
        <w:p>
          <w:pPr>
            <w:jc w:val="center"/>
            <w:rPr>
              <w:sz w:val="18"/>
              <w:szCs w:val="18"/>
            </w:rPr>
          </w:pPr>
          <w:r>
            <w:rPr>
              <w:sz w:val="18"/>
              <w:szCs w:val="18"/>
              <w:lang w:val="es-ES"/>
            </w:rPr>
            <w:t xml:space="preserve">Página </w:t>
          </w:r>
          <w:r>
            <w:rPr>
              <w:b/>
              <w:bCs/>
              <w:sz w:val="18"/>
              <w:szCs w:val="18"/>
            </w:rPr>
            <w:fldChar w:fldCharType="begin"/>
          </w:r>
          <w:r>
            <w:rPr>
              <w:b/>
              <w:bCs/>
              <w:sz w:val="18"/>
              <w:szCs w:val="18"/>
            </w:rPr>
            <w:instrText xml:space="preserve">PAGE  \* Arabic  \* MERGEFORMAT</w:instrText>
          </w:r>
          <w:r>
            <w:rPr>
              <w:b/>
              <w:bCs/>
              <w:sz w:val="18"/>
              <w:szCs w:val="18"/>
            </w:rPr>
            <w:fldChar w:fldCharType="separate"/>
          </w:r>
          <w:r>
            <w:rPr>
              <w:b/>
              <w:bCs/>
              <w:sz w:val="18"/>
              <w:szCs w:val="18"/>
              <w:lang w:val="es-ES"/>
            </w:rPr>
            <w:t>65</w:t>
          </w:r>
          <w:r>
            <w:rPr>
              <w:b/>
              <w:bCs/>
              <w:sz w:val="18"/>
              <w:szCs w:val="18"/>
            </w:rPr>
            <w:fldChar w:fldCharType="end"/>
          </w:r>
          <w:r>
            <w:rPr>
              <w:sz w:val="18"/>
              <w:szCs w:val="18"/>
              <w:lang w:val="es-ES"/>
            </w:rPr>
            <w:t xml:space="preserve"> de </w:t>
          </w:r>
          <w:r>
            <w:rPr>
              <w:b/>
              <w:bCs/>
              <w:sz w:val="18"/>
              <w:szCs w:val="18"/>
            </w:rPr>
            <w:fldChar w:fldCharType="begin"/>
          </w:r>
          <w:r>
            <w:rPr>
              <w:b/>
              <w:bCs/>
              <w:sz w:val="18"/>
              <w:szCs w:val="18"/>
            </w:rPr>
            <w:instrText xml:space="preserve">NUMPAGES  \* Arabic  \* MERGEFORMAT</w:instrText>
          </w:r>
          <w:r>
            <w:rPr>
              <w:b/>
              <w:bCs/>
              <w:sz w:val="18"/>
              <w:szCs w:val="18"/>
            </w:rPr>
            <w:fldChar w:fldCharType="separate"/>
          </w:r>
          <w:r>
            <w:rPr>
              <w:b/>
              <w:bCs/>
              <w:sz w:val="18"/>
              <w:szCs w:val="18"/>
              <w:lang w:val="es-ES"/>
            </w:rPr>
            <w:t>65</w:t>
          </w:r>
          <w:r>
            <w:rPr>
              <w:b/>
              <w:bCs/>
              <w:sz w:val="18"/>
              <w:szCs w:val="18"/>
            </w:rPr>
            <w:fldChar w:fldCharType="end"/>
          </w:r>
        </w:p>
      </w:tc>
    </w:tr>
  </w:tbl>
  <w:p>
    <w:pPr>
      <w:pStyle w:val="9"/>
    </w:pPr>
    <w:r>
      <w:rPr>
        <w:rFonts w:ascii="Times New Roman" w:hAnsi="Times New Roman"/>
        <w:sz w:val="16"/>
        <w:szCs w:val="16"/>
        <w:lang w:eastAsia="es-CO"/>
      </w:rPr>
      <w:drawing>
        <wp:anchor distT="0" distB="0" distL="114300" distR="114300" simplePos="0" relativeHeight="251653120" behindDoc="1" locked="0" layoutInCell="1" allowOverlap="1">
          <wp:simplePos x="0" y="0"/>
          <wp:positionH relativeFrom="column">
            <wp:posOffset>-448945</wp:posOffset>
          </wp:positionH>
          <wp:positionV relativeFrom="page">
            <wp:posOffset>4206875</wp:posOffset>
          </wp:positionV>
          <wp:extent cx="3724275" cy="4507865"/>
          <wp:effectExtent l="0" t="0" r="9525" b="6985"/>
          <wp:wrapNone/>
          <wp:docPr id="19"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Esquela Alcaldía - Provisional gri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3724275" cy="450786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225DEF"/>
    <w:multiLevelType w:val="multilevel"/>
    <w:tmpl w:val="3A225DE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9147E10"/>
    <w:multiLevelType w:val="multilevel"/>
    <w:tmpl w:val="59147E10"/>
    <w:lvl w:ilvl="0" w:tentative="0">
      <w:start w:val="1"/>
      <w:numFmt w:val="decimal"/>
      <w:pStyle w:val="2"/>
      <w:lvlText w:val="%1."/>
      <w:lvlJc w:val="left"/>
      <w:pPr>
        <w:ind w:left="4111" w:hanging="425"/>
      </w:pPr>
      <w:rPr>
        <w:rFonts w:hint="default" w:ascii="Calibri" w:hAnsi="Calibri" w:eastAsia="SimSun" w:cs="SimSun"/>
        <w:sz w:val="22"/>
      </w:rPr>
    </w:lvl>
    <w:lvl w:ilvl="1" w:tentative="0">
      <w:start w:val="1"/>
      <w:numFmt w:val="decimal"/>
      <w:pStyle w:val="3"/>
      <w:lvlText w:val="%1.%2."/>
      <w:lvlJc w:val="left"/>
      <w:pPr>
        <w:ind w:left="4820" w:hanging="567"/>
      </w:pPr>
      <w:rPr>
        <w:rFonts w:hint="default" w:ascii="Calibri" w:hAnsi="Calibri" w:eastAsia="SimSun" w:cs="SimSun"/>
        <w:b/>
        <w:sz w:val="22"/>
      </w:rPr>
    </w:lvl>
    <w:lvl w:ilvl="2" w:tentative="0">
      <w:start w:val="1"/>
      <w:numFmt w:val="decimal"/>
      <w:pStyle w:val="4"/>
      <w:lvlText w:val="%1.%2.%3."/>
      <w:lvlJc w:val="left"/>
      <w:pPr>
        <w:ind w:left="5104" w:hanging="709"/>
      </w:pPr>
      <w:rPr>
        <w:rFonts w:hint="default" w:ascii="Calibri" w:hAnsi="Calibri" w:eastAsia="SimSun" w:cs="SimSun"/>
        <w:b/>
        <w:sz w:val="22"/>
      </w:rPr>
    </w:lvl>
    <w:lvl w:ilvl="3" w:tentative="0">
      <w:start w:val="1"/>
      <w:numFmt w:val="decimal"/>
      <w:pStyle w:val="5"/>
      <w:lvlText w:val="%1.%2.%3.%4."/>
      <w:lvlJc w:val="left"/>
      <w:pPr>
        <w:tabs>
          <w:tab w:val="left" w:pos="420"/>
        </w:tabs>
        <w:ind w:left="850" w:hanging="850"/>
      </w:pPr>
      <w:rPr>
        <w:rFonts w:hint="default" w:ascii="SimSun" w:hAnsi="SimSun" w:eastAsia="SimSun" w:cs="SimSun"/>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5914806A"/>
    <w:multiLevelType w:val="singleLevel"/>
    <w:tmpl w:val="5914806A"/>
    <w:lvl w:ilvl="0" w:tentative="0">
      <w:start w:val="1"/>
      <w:numFmt w:val="bullet"/>
      <w:lvlText w:val=""/>
      <w:lvlJc w:val="left"/>
      <w:pPr>
        <w:ind w:left="420" w:hanging="420"/>
      </w:pPr>
      <w:rPr>
        <w:rFonts w:hint="default" w:ascii="Wingdings" w:hAnsi="Wingdings"/>
        <w:sz w:val="13"/>
      </w:rPr>
    </w:lvl>
  </w:abstractNum>
  <w:abstractNum w:abstractNumId="3">
    <w:nsid w:val="591480E8"/>
    <w:multiLevelType w:val="singleLevel"/>
    <w:tmpl w:val="591480E8"/>
    <w:lvl w:ilvl="0" w:tentative="0">
      <w:start w:val="1"/>
      <w:numFmt w:val="lowerLetter"/>
      <w:lvlText w:val="%1)"/>
      <w:lvlJc w:val="left"/>
      <w:pPr>
        <w:ind w:left="425" w:hanging="425"/>
      </w:pPr>
      <w:rPr>
        <w:rFonts w:hint="default"/>
      </w:rPr>
    </w:lvl>
  </w:abstractNum>
  <w:abstractNum w:abstractNumId="4">
    <w:nsid w:val="59148249"/>
    <w:multiLevelType w:val="singleLevel"/>
    <w:tmpl w:val="59148249"/>
    <w:lvl w:ilvl="0" w:tentative="0">
      <w:start w:val="1"/>
      <w:numFmt w:val="lowerLetter"/>
      <w:lvlText w:val="%1)"/>
      <w:lvlJc w:val="left"/>
      <w:pPr>
        <w:ind w:left="425" w:hanging="425"/>
      </w:pPr>
      <w:rPr>
        <w:rFonts w:hint="default"/>
      </w:rPr>
    </w:lvl>
  </w:abstractNum>
  <w:abstractNum w:abstractNumId="5">
    <w:nsid w:val="59148435"/>
    <w:multiLevelType w:val="singleLevel"/>
    <w:tmpl w:val="59148435"/>
    <w:lvl w:ilvl="0" w:tentative="0">
      <w:start w:val="1"/>
      <w:numFmt w:val="decimal"/>
      <w:lvlText w:val="%1)"/>
      <w:lvlJc w:val="left"/>
      <w:pPr>
        <w:ind w:left="425" w:hanging="425"/>
      </w:pPr>
      <w:rPr>
        <w:rFonts w:hint="default"/>
      </w:rPr>
    </w:lvl>
  </w:abstractNum>
  <w:abstractNum w:abstractNumId="6">
    <w:nsid w:val="5914C639"/>
    <w:multiLevelType w:val="singleLevel"/>
    <w:tmpl w:val="5914C639"/>
    <w:lvl w:ilvl="0" w:tentative="0">
      <w:start w:val="1"/>
      <w:numFmt w:val="decimal"/>
      <w:lvlText w:val="%1)"/>
      <w:lvlJc w:val="left"/>
      <w:pPr>
        <w:ind w:left="425" w:hanging="425"/>
      </w:pPr>
      <w:rPr>
        <w:rFonts w:hint="default"/>
      </w:rPr>
    </w:lvl>
  </w:abstractNum>
  <w:abstractNum w:abstractNumId="7">
    <w:nsid w:val="5914C66C"/>
    <w:multiLevelType w:val="singleLevel"/>
    <w:tmpl w:val="5914C66C"/>
    <w:lvl w:ilvl="0" w:tentative="0">
      <w:start w:val="1"/>
      <w:numFmt w:val="decimal"/>
      <w:lvlText w:val="%1)"/>
      <w:lvlJc w:val="left"/>
      <w:pPr>
        <w:ind w:left="425" w:hanging="425"/>
      </w:pPr>
      <w:rPr>
        <w:rFonts w:hint="default"/>
      </w:rPr>
    </w:lvl>
  </w:abstractNum>
  <w:abstractNum w:abstractNumId="8">
    <w:nsid w:val="5914C6F2"/>
    <w:multiLevelType w:val="singleLevel"/>
    <w:tmpl w:val="5914C6F2"/>
    <w:lvl w:ilvl="0" w:tentative="0">
      <w:start w:val="1"/>
      <w:numFmt w:val="decimal"/>
      <w:lvlText w:val="%1)"/>
      <w:lvlJc w:val="left"/>
      <w:pPr>
        <w:ind w:left="425" w:hanging="425"/>
      </w:pPr>
      <w:rPr>
        <w:rFonts w:hint="default"/>
      </w:rPr>
    </w:lvl>
  </w:abstractNum>
  <w:abstractNum w:abstractNumId="9">
    <w:nsid w:val="5ACCDF9A"/>
    <w:multiLevelType w:val="singleLevel"/>
    <w:tmpl w:val="5ACCDF9A"/>
    <w:lvl w:ilvl="0" w:tentative="0">
      <w:start w:val="1"/>
      <w:numFmt w:val="decimal"/>
      <w:lvlText w:val="%1."/>
      <w:lvlJc w:val="left"/>
      <w:pPr>
        <w:ind w:left="425" w:leftChars="0" w:hanging="425" w:firstLineChars="0"/>
      </w:pPr>
      <w:rPr>
        <w:rFonts w:hint="default"/>
      </w:rPr>
    </w:lvl>
  </w:abstractNum>
  <w:abstractNum w:abstractNumId="10">
    <w:nsid w:val="78C61B70"/>
    <w:multiLevelType w:val="multilevel"/>
    <w:tmpl w:val="78C61B70"/>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1"/>
  </w:num>
  <w:num w:numId="2">
    <w:abstractNumId w:val="9"/>
  </w:num>
  <w:num w:numId="3">
    <w:abstractNumId w:val="8"/>
  </w:num>
  <w:num w:numId="4">
    <w:abstractNumId w:val="2"/>
  </w:num>
  <w:num w:numId="5">
    <w:abstractNumId w:val="3"/>
  </w:num>
  <w:num w:numId="6">
    <w:abstractNumId w:val="4"/>
  </w:num>
  <w:num w:numId="7">
    <w:abstractNumId w:val="5"/>
  </w:num>
  <w:num w:numId="8">
    <w:abstractNumId w:val="0"/>
  </w:num>
  <w:num w:numId="9">
    <w:abstractNumId w:val="6"/>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420"/>
  <w:hyphenationZone w:val="425"/>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7078"/>
    <w:rsid w:val="00172A27"/>
    <w:rsid w:val="001E2941"/>
    <w:rsid w:val="00366E63"/>
    <w:rsid w:val="00473EAB"/>
    <w:rsid w:val="005437D0"/>
    <w:rsid w:val="005651DC"/>
    <w:rsid w:val="006B272E"/>
    <w:rsid w:val="007B70D6"/>
    <w:rsid w:val="008F2CCF"/>
    <w:rsid w:val="00AB4FA0"/>
    <w:rsid w:val="00AD2E32"/>
    <w:rsid w:val="00BC46A1"/>
    <w:rsid w:val="00C0691C"/>
    <w:rsid w:val="00C52A6B"/>
    <w:rsid w:val="00C91BCA"/>
    <w:rsid w:val="00C94458"/>
    <w:rsid w:val="00D13EE5"/>
    <w:rsid w:val="01895336"/>
    <w:rsid w:val="03135B98"/>
    <w:rsid w:val="055A5C02"/>
    <w:rsid w:val="056853A4"/>
    <w:rsid w:val="056A78A8"/>
    <w:rsid w:val="069D3F21"/>
    <w:rsid w:val="089E0BBB"/>
    <w:rsid w:val="09FE4DCA"/>
    <w:rsid w:val="0A437EFA"/>
    <w:rsid w:val="0A6072CA"/>
    <w:rsid w:val="0B626C87"/>
    <w:rsid w:val="0C38565A"/>
    <w:rsid w:val="0D594E9D"/>
    <w:rsid w:val="0DC53504"/>
    <w:rsid w:val="0F766014"/>
    <w:rsid w:val="100957F8"/>
    <w:rsid w:val="10674C4B"/>
    <w:rsid w:val="10B2589E"/>
    <w:rsid w:val="11D51EA1"/>
    <w:rsid w:val="127E188D"/>
    <w:rsid w:val="13E671DB"/>
    <w:rsid w:val="146C73EC"/>
    <w:rsid w:val="14892A12"/>
    <w:rsid w:val="149045BD"/>
    <w:rsid w:val="14E50E38"/>
    <w:rsid w:val="151533F1"/>
    <w:rsid w:val="153F51AA"/>
    <w:rsid w:val="164E7ABF"/>
    <w:rsid w:val="17291315"/>
    <w:rsid w:val="17E40CFF"/>
    <w:rsid w:val="1839327D"/>
    <w:rsid w:val="19AE28F5"/>
    <w:rsid w:val="19FF6CE2"/>
    <w:rsid w:val="1A4F056C"/>
    <w:rsid w:val="1AB67421"/>
    <w:rsid w:val="1BD44816"/>
    <w:rsid w:val="1C0225FD"/>
    <w:rsid w:val="1C593B91"/>
    <w:rsid w:val="1C7238FA"/>
    <w:rsid w:val="1C836091"/>
    <w:rsid w:val="1D0F4AD7"/>
    <w:rsid w:val="1EED164E"/>
    <w:rsid w:val="1F490C3A"/>
    <w:rsid w:val="1F8E1D8D"/>
    <w:rsid w:val="1FA777FA"/>
    <w:rsid w:val="1FB87681"/>
    <w:rsid w:val="1FFD0866"/>
    <w:rsid w:val="208151A1"/>
    <w:rsid w:val="20C8474D"/>
    <w:rsid w:val="20F2447C"/>
    <w:rsid w:val="214014D4"/>
    <w:rsid w:val="214E18AA"/>
    <w:rsid w:val="21BA7991"/>
    <w:rsid w:val="22A70F86"/>
    <w:rsid w:val="236574B2"/>
    <w:rsid w:val="23955E9B"/>
    <w:rsid w:val="23B40F44"/>
    <w:rsid w:val="26CB013C"/>
    <w:rsid w:val="27F537D1"/>
    <w:rsid w:val="2803499D"/>
    <w:rsid w:val="283D2737"/>
    <w:rsid w:val="28AF4092"/>
    <w:rsid w:val="2A7F4491"/>
    <w:rsid w:val="2AA83D3F"/>
    <w:rsid w:val="2AFE1FBA"/>
    <w:rsid w:val="2B613204"/>
    <w:rsid w:val="2BFB4778"/>
    <w:rsid w:val="2C8151E2"/>
    <w:rsid w:val="2C8F7F79"/>
    <w:rsid w:val="2DC52A4C"/>
    <w:rsid w:val="2ED5178A"/>
    <w:rsid w:val="2EEB125F"/>
    <w:rsid w:val="30617D39"/>
    <w:rsid w:val="3072244C"/>
    <w:rsid w:val="30DB7B4A"/>
    <w:rsid w:val="312B5C32"/>
    <w:rsid w:val="314A6A40"/>
    <w:rsid w:val="325B39E1"/>
    <w:rsid w:val="32AE1DB1"/>
    <w:rsid w:val="32F155B3"/>
    <w:rsid w:val="331E3EBF"/>
    <w:rsid w:val="33ED0F39"/>
    <w:rsid w:val="3556075C"/>
    <w:rsid w:val="37D5038D"/>
    <w:rsid w:val="39455878"/>
    <w:rsid w:val="3946725C"/>
    <w:rsid w:val="3AAC6C8B"/>
    <w:rsid w:val="3BC62566"/>
    <w:rsid w:val="3D680053"/>
    <w:rsid w:val="3D897B78"/>
    <w:rsid w:val="3EE04024"/>
    <w:rsid w:val="3F1F2A3B"/>
    <w:rsid w:val="3FFF532C"/>
    <w:rsid w:val="404F643F"/>
    <w:rsid w:val="40984475"/>
    <w:rsid w:val="421C2BB0"/>
    <w:rsid w:val="43430EF7"/>
    <w:rsid w:val="43892C05"/>
    <w:rsid w:val="44B76C10"/>
    <w:rsid w:val="466937E8"/>
    <w:rsid w:val="490D59E7"/>
    <w:rsid w:val="49E30DB5"/>
    <w:rsid w:val="4A01218C"/>
    <w:rsid w:val="4A27000E"/>
    <w:rsid w:val="4A2B27D3"/>
    <w:rsid w:val="4A5E0C6C"/>
    <w:rsid w:val="4A647A18"/>
    <w:rsid w:val="4CE11BEF"/>
    <w:rsid w:val="4D372734"/>
    <w:rsid w:val="4D71276E"/>
    <w:rsid w:val="4DE80619"/>
    <w:rsid w:val="4EF43323"/>
    <w:rsid w:val="50653FD2"/>
    <w:rsid w:val="51205559"/>
    <w:rsid w:val="53347C2E"/>
    <w:rsid w:val="53533D71"/>
    <w:rsid w:val="53C8492D"/>
    <w:rsid w:val="54494827"/>
    <w:rsid w:val="54D0473E"/>
    <w:rsid w:val="551379C3"/>
    <w:rsid w:val="55B32CCD"/>
    <w:rsid w:val="55D22577"/>
    <w:rsid w:val="575F5EE0"/>
    <w:rsid w:val="57C84B3C"/>
    <w:rsid w:val="57F125EF"/>
    <w:rsid w:val="58085F14"/>
    <w:rsid w:val="585547AB"/>
    <w:rsid w:val="58B01143"/>
    <w:rsid w:val="58D62475"/>
    <w:rsid w:val="5A0C00CF"/>
    <w:rsid w:val="5A4103DB"/>
    <w:rsid w:val="5A5937BE"/>
    <w:rsid w:val="5C316FDB"/>
    <w:rsid w:val="5C5D79A7"/>
    <w:rsid w:val="5D186ABE"/>
    <w:rsid w:val="5D1A17BE"/>
    <w:rsid w:val="5D3B5D28"/>
    <w:rsid w:val="5D420A93"/>
    <w:rsid w:val="5D5F73E1"/>
    <w:rsid w:val="5DB91CCF"/>
    <w:rsid w:val="5E2C513D"/>
    <w:rsid w:val="5E350118"/>
    <w:rsid w:val="5EBB051D"/>
    <w:rsid w:val="5F3529DA"/>
    <w:rsid w:val="5F9A5C58"/>
    <w:rsid w:val="5FD803BA"/>
    <w:rsid w:val="60FD4BF2"/>
    <w:rsid w:val="611F2166"/>
    <w:rsid w:val="638C62EA"/>
    <w:rsid w:val="63DD017E"/>
    <w:rsid w:val="64EB0A40"/>
    <w:rsid w:val="65293F07"/>
    <w:rsid w:val="65D67A10"/>
    <w:rsid w:val="65F158FD"/>
    <w:rsid w:val="66AD7311"/>
    <w:rsid w:val="67E5539B"/>
    <w:rsid w:val="6820070F"/>
    <w:rsid w:val="68412A15"/>
    <w:rsid w:val="68BC643F"/>
    <w:rsid w:val="69EF13D5"/>
    <w:rsid w:val="6A611320"/>
    <w:rsid w:val="6A9F7F72"/>
    <w:rsid w:val="6AC714B0"/>
    <w:rsid w:val="6BA13262"/>
    <w:rsid w:val="6C22623D"/>
    <w:rsid w:val="6CA03BFE"/>
    <w:rsid w:val="6D4F55B4"/>
    <w:rsid w:val="6E3121F9"/>
    <w:rsid w:val="71FD432B"/>
    <w:rsid w:val="723530EC"/>
    <w:rsid w:val="72607081"/>
    <w:rsid w:val="739B4445"/>
    <w:rsid w:val="75100B4E"/>
    <w:rsid w:val="76B270AB"/>
    <w:rsid w:val="780D5A4D"/>
    <w:rsid w:val="7880132C"/>
    <w:rsid w:val="78F67599"/>
    <w:rsid w:val="79A9319A"/>
    <w:rsid w:val="7A431F85"/>
    <w:rsid w:val="7A5C3405"/>
    <w:rsid w:val="7A9444B9"/>
    <w:rsid w:val="7AA94D9F"/>
    <w:rsid w:val="7AB71A0D"/>
    <w:rsid w:val="7AC740A8"/>
    <w:rsid w:val="7BCC075E"/>
    <w:rsid w:val="7E9B3717"/>
    <w:rsid w:val="7EAA2F78"/>
    <w:rsid w:val="7FEB11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pPr>
      <w:spacing w:after="200" w:line="240" w:lineRule="auto"/>
      <w:jc w:val="both"/>
    </w:pPr>
    <w:rPr>
      <w:rFonts w:ascii="Calibri" w:hAnsi="Calibri" w:eastAsia="Calibri" w:cs="Times New Roman"/>
      <w:sz w:val="22"/>
      <w:szCs w:val="22"/>
      <w:lang w:val="es-CO" w:eastAsia="en-US" w:bidi="ar-SA"/>
    </w:rPr>
  </w:style>
  <w:style w:type="paragraph" w:styleId="2">
    <w:name w:val="heading 1"/>
    <w:basedOn w:val="1"/>
    <w:next w:val="1"/>
    <w:qFormat/>
    <w:uiPriority w:val="0"/>
    <w:pPr>
      <w:keepNext/>
      <w:numPr>
        <w:ilvl w:val="0"/>
        <w:numId w:val="1"/>
      </w:numPr>
      <w:ind w:left="425"/>
      <w:outlineLvl w:val="0"/>
    </w:pPr>
    <w:rPr>
      <w:rFonts w:cs="Arial"/>
      <w:b/>
      <w:bCs/>
      <w:kern w:val="32"/>
      <w:szCs w:val="32"/>
      <w:lang w:val="es-ES"/>
    </w:rPr>
  </w:style>
  <w:style w:type="paragraph" w:styleId="3">
    <w:name w:val="heading 2"/>
    <w:basedOn w:val="1"/>
    <w:next w:val="1"/>
    <w:unhideWhenUsed/>
    <w:qFormat/>
    <w:uiPriority w:val="0"/>
    <w:pPr>
      <w:keepNext/>
      <w:keepLines/>
      <w:numPr>
        <w:ilvl w:val="1"/>
        <w:numId w:val="1"/>
      </w:numPr>
      <w:ind w:left="567"/>
      <w:outlineLvl w:val="1"/>
    </w:pPr>
    <w:rPr>
      <w:rFonts w:cs="Calibri"/>
      <w:b/>
      <w:bCs/>
      <w:lang w:val="es-ES"/>
    </w:rPr>
  </w:style>
  <w:style w:type="paragraph" w:styleId="4">
    <w:name w:val="heading 3"/>
    <w:basedOn w:val="1"/>
    <w:next w:val="1"/>
    <w:unhideWhenUsed/>
    <w:qFormat/>
    <w:uiPriority w:val="0"/>
    <w:pPr>
      <w:keepNext/>
      <w:numPr>
        <w:ilvl w:val="2"/>
        <w:numId w:val="1"/>
      </w:numPr>
      <w:spacing w:before="240" w:after="60"/>
      <w:ind w:left="709"/>
      <w:outlineLvl w:val="2"/>
    </w:pPr>
    <w:rPr>
      <w:rFonts w:cs="Arial"/>
      <w:b/>
      <w:bCs/>
      <w:szCs w:val="26"/>
      <w:lang w:val="es-ES"/>
    </w:rPr>
  </w:style>
  <w:style w:type="paragraph" w:styleId="5">
    <w:name w:val="heading 4"/>
    <w:basedOn w:val="1"/>
    <w:next w:val="1"/>
    <w:unhideWhenUsed/>
    <w:qFormat/>
    <w:uiPriority w:val="0"/>
    <w:pPr>
      <w:keepNext/>
      <w:numPr>
        <w:ilvl w:val="3"/>
        <w:numId w:val="1"/>
      </w:numPr>
      <w:spacing w:before="240" w:after="60"/>
      <w:jc w:val="left"/>
      <w:outlineLvl w:val="3"/>
    </w:pPr>
    <w:rPr>
      <w:b/>
      <w:bCs/>
      <w:sz w:val="28"/>
      <w:szCs w:val="28"/>
      <w:lang w:val="es-ES"/>
    </w:rPr>
  </w:style>
  <w:style w:type="paragraph" w:styleId="6">
    <w:name w:val="heading 5"/>
    <w:basedOn w:val="1"/>
    <w:next w:val="1"/>
    <w:unhideWhenUsed/>
    <w:qFormat/>
    <w:uiPriority w:val="0"/>
    <w:pPr>
      <w:keepNext/>
      <w:outlineLvl w:val="4"/>
    </w:pPr>
    <w:rPr>
      <w:rFonts w:eastAsia="Times New Roman"/>
      <w:szCs w:val="20"/>
    </w:rPr>
  </w:style>
  <w:style w:type="character" w:default="1" w:styleId="12">
    <w:name w:val="Default Paragraph Font"/>
    <w:unhideWhenUsed/>
    <w:qFormat/>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7">
    <w:name w:val="caption"/>
    <w:basedOn w:val="1"/>
    <w:next w:val="1"/>
    <w:unhideWhenUsed/>
    <w:qFormat/>
    <w:uiPriority w:val="0"/>
    <w:pPr>
      <w:spacing w:after="120"/>
      <w:jc w:val="left"/>
    </w:pPr>
    <w:rPr>
      <w:b/>
      <w:iCs/>
      <w:szCs w:val="18"/>
    </w:rPr>
  </w:style>
  <w:style w:type="paragraph" w:styleId="8">
    <w:name w:val="Balloon Text"/>
    <w:basedOn w:val="1"/>
    <w:link w:val="21"/>
    <w:uiPriority w:val="0"/>
    <w:pPr>
      <w:spacing w:after="0"/>
    </w:pPr>
    <w:rPr>
      <w:rFonts w:ascii="Tahoma" w:hAnsi="Tahoma" w:cs="Tahoma"/>
      <w:sz w:val="16"/>
      <w:szCs w:val="16"/>
    </w:rPr>
  </w:style>
  <w:style w:type="paragraph" w:styleId="9">
    <w:name w:val="header"/>
    <w:basedOn w:val="1"/>
    <w:qFormat/>
    <w:uiPriority w:val="0"/>
    <w:pPr>
      <w:tabs>
        <w:tab w:val="center" w:pos="4153"/>
        <w:tab w:val="right" w:pos="8306"/>
      </w:tabs>
    </w:pPr>
  </w:style>
  <w:style w:type="paragraph" w:styleId="10">
    <w:name w:val="footer"/>
    <w:basedOn w:val="1"/>
    <w:qFormat/>
    <w:uiPriority w:val="0"/>
    <w:pPr>
      <w:tabs>
        <w:tab w:val="center" w:pos="4153"/>
        <w:tab w:val="right" w:pos="8306"/>
      </w:tabs>
    </w:pPr>
  </w:style>
  <w:style w:type="paragraph" w:styleId="11">
    <w:name w:val="Body Text"/>
    <w:basedOn w:val="1"/>
    <w:qFormat/>
    <w:uiPriority w:val="0"/>
    <w:pPr>
      <w:spacing w:after="120"/>
    </w:pPr>
    <w:rPr>
      <w:rFonts w:eastAsia="Times New Roman"/>
    </w:rPr>
  </w:style>
  <w:style w:type="character" w:styleId="13">
    <w:name w:val="annotation reference"/>
    <w:basedOn w:val="12"/>
    <w:qFormat/>
    <w:uiPriority w:val="0"/>
    <w:rPr>
      <w:sz w:val="16"/>
      <w:szCs w:val="16"/>
    </w:rPr>
  </w:style>
  <w:style w:type="character" w:styleId="14">
    <w:name w:val="Hyperlink"/>
    <w:basedOn w:val="12"/>
    <w:qFormat/>
    <w:uiPriority w:val="0"/>
    <w:rPr>
      <w:color w:val="0000FF"/>
      <w:u w:val="single"/>
    </w:rPr>
  </w:style>
  <w:style w:type="table" w:styleId="16">
    <w:name w:val="Table Grid"/>
    <w:basedOn w:val="1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7">
    <w:name w:val="Párrafo de lista1"/>
    <w:basedOn w:val="1"/>
    <w:qFormat/>
    <w:uiPriority w:val="34"/>
    <w:pPr>
      <w:ind w:left="720"/>
      <w:contextualSpacing/>
    </w:pPr>
  </w:style>
  <w:style w:type="paragraph" w:customStyle="1" w:styleId="18">
    <w:name w:val="Default"/>
    <w:qFormat/>
    <w:uiPriority w:val="0"/>
    <w:pPr>
      <w:autoSpaceDE w:val="0"/>
      <w:autoSpaceDN w:val="0"/>
      <w:adjustRightInd w:val="0"/>
      <w:spacing w:after="0" w:line="240" w:lineRule="auto"/>
    </w:pPr>
    <w:rPr>
      <w:rFonts w:ascii="Calibri" w:hAnsi="Calibri" w:eastAsia="Times New Roman" w:cs="Calibri"/>
      <w:color w:val="000000"/>
      <w:sz w:val="24"/>
      <w:szCs w:val="24"/>
      <w:lang w:val="es-ES" w:eastAsia="es-ES" w:bidi="ar-SA"/>
    </w:rPr>
  </w:style>
  <w:style w:type="paragraph" w:customStyle="1" w:styleId="19">
    <w:name w:val="western"/>
    <w:basedOn w:val="1"/>
    <w:qFormat/>
    <w:uiPriority w:val="0"/>
    <w:pPr>
      <w:spacing w:before="100" w:beforeAutospacing="1" w:after="100" w:afterAutospacing="1"/>
    </w:pPr>
    <w:rPr>
      <w:rFonts w:eastAsia="Times New Roman"/>
      <w:lang w:eastAsia="es-CO"/>
    </w:rPr>
  </w:style>
  <w:style w:type="character" w:customStyle="1" w:styleId="20">
    <w:name w:val="apple-converted-space"/>
    <w:qFormat/>
    <w:uiPriority w:val="0"/>
  </w:style>
  <w:style w:type="character" w:customStyle="1" w:styleId="21">
    <w:name w:val="Texto de globo Car"/>
    <w:basedOn w:val="12"/>
    <w:link w:val="8"/>
    <w:qFormat/>
    <w:uiPriority w:val="0"/>
    <w:rPr>
      <w:rFonts w:ascii="Tahoma" w:hAnsi="Tahoma" w:eastAsia="Calibri" w:cs="Tahoma"/>
      <w:sz w:val="16"/>
      <w:szCs w:val="16"/>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65</Pages>
  <Words>19056</Words>
  <Characters>104811</Characters>
  <Lines>873</Lines>
  <Paragraphs>247</Paragraphs>
  <ScaleCrop>false</ScaleCrop>
  <LinksUpToDate>false</LinksUpToDate>
  <CharactersWithSpaces>123620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2018-03-29T15:40:00Z</dcterms:created>
  <dc:creator>Carolina</dc:creator>
  <cp:lastModifiedBy>Municipio de Neiva</cp:lastModifiedBy>
  <dcterms:modified xsi:type="dcterms:W3CDTF">2018-04-11T21:56:50Z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3082-10.2.0.5965</vt:lpwstr>
  </property>
</Properties>
</file>