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9360.0" w:type="dxa"/>
        <w:jc w:val="left"/>
        <w:tblInd w:w="130.0" w:type="dxa"/>
        <w:tblBorders>
          <w:top w:color="000000" w:space="0" w:sz="12" w:val="single"/>
          <w:left w:color="000000" w:space="0" w:sz="12" w:val="single"/>
          <w:bottom w:color="000000" w:space="0" w:sz="12" w:val="single"/>
          <w:right w:color="000000" w:space="0" w:sz="12" w:val="single"/>
          <w:insideH w:color="000000" w:space="0" w:sz="12" w:val="single"/>
          <w:insideV w:color="000000" w:space="0" w:sz="12" w:val="single"/>
        </w:tblBorders>
        <w:tblLayout w:type="fixed"/>
        <w:tblLook w:val="0000"/>
      </w:tblPr>
      <w:tblGrid>
        <w:gridCol w:w="1840"/>
        <w:gridCol w:w="5680"/>
        <w:gridCol w:w="1840"/>
        <w:tblGridChange w:id="0">
          <w:tblGrid>
            <w:gridCol w:w="1840"/>
            <w:gridCol w:w="5680"/>
            <w:gridCol w:w="1840"/>
          </w:tblGrid>
        </w:tblGridChange>
      </w:tblGrid>
      <w:tr>
        <w:trPr>
          <w:cantSplit w:val="0"/>
          <w:trHeight w:val="330" w:hRule="atLeast"/>
          <w:tblHeader w:val="0"/>
        </w:trPr>
        <w:tc>
          <w:tcPr>
            <w:vMerge w:val="restart"/>
          </w:tcPr>
          <w:p w:rsidR="00000000" w:rsidDel="00000000" w:rsidP="00000000" w:rsidRDefault="00000000" w:rsidRPr="00000000" w14:paraId="00000002">
            <w:pPr>
              <w:keepNext w:val="0"/>
              <w:keepLines w:val="0"/>
              <w:widowControl w:val="0"/>
              <w:pBdr>
                <w:top w:space="0" w:sz="0" w:val="nil"/>
                <w:left w:space="0" w:sz="0" w:val="nil"/>
                <w:bottom w:space="0" w:sz="0" w:val="nil"/>
                <w:right w:space="0" w:sz="0" w:val="nil"/>
                <w:between w:space="0" w:sz="0" w:val="nil"/>
              </w:pBdr>
              <w:shd w:fill="auto" w:val="clear"/>
              <w:spacing w:after="1" w:before="0" w:line="240" w:lineRule="auto"/>
              <w:ind w:left="0" w:right="0" w:firstLine="0"/>
              <w:jc w:val="left"/>
              <w:rPr>
                <w:rFonts w:ascii="Times New Roman" w:cs="Times New Roman" w:eastAsia="Times New Roman" w:hAnsi="Times New Roman"/>
                <w:b w:val="0"/>
                <w:i w:val="0"/>
                <w:smallCaps w:val="0"/>
                <w:strike w:val="0"/>
                <w:color w:val="000000"/>
                <w:sz w:val="13"/>
                <w:szCs w:val="13"/>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236"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drawing>
                <wp:inline distB="0" distT="0" distL="0" distR="0">
                  <wp:extent cx="869312" cy="783335"/>
                  <wp:effectExtent b="0" l="0" r="0" t="0"/>
                  <wp:docPr id="14" name="image1.jpg"/>
                  <a:graphic>
                    <a:graphicData uri="http://schemas.openxmlformats.org/drawingml/2006/picture">
                      <pic:pic>
                        <pic:nvPicPr>
                          <pic:cNvPr id="0" name="image1.jpg"/>
                          <pic:cNvPicPr preferRelativeResize="0"/>
                        </pic:nvPicPr>
                        <pic:blipFill>
                          <a:blip r:embed="rId7"/>
                          <a:srcRect b="0" l="0" r="0" t="0"/>
                          <a:stretch>
                            <a:fillRect/>
                          </a:stretch>
                        </pic:blipFill>
                        <pic:spPr>
                          <a:xfrm>
                            <a:off x="0" y="0"/>
                            <a:ext cx="869312" cy="783335"/>
                          </a:xfrm>
                          <a:prstGeom prst="rect"/>
                          <a:ln/>
                        </pic:spPr>
                      </pic:pic>
                    </a:graphicData>
                  </a:graphic>
                </wp:inline>
              </w:drawing>
            </w:r>
            <w:r w:rsidDel="00000000" w:rsidR="00000000" w:rsidRPr="00000000">
              <w:rPr>
                <w:rtl w:val="0"/>
              </w:rPr>
            </w:r>
          </w:p>
        </w:tc>
        <w:tc>
          <w:tcPr>
            <w:vMerge w:val="restart"/>
          </w:tcPr>
          <w:p w:rsidR="00000000" w:rsidDel="00000000" w:rsidP="00000000" w:rsidRDefault="00000000" w:rsidRPr="00000000" w14:paraId="00000004">
            <w:pPr>
              <w:keepNext w:val="0"/>
              <w:keepLines w:val="0"/>
              <w:widowControl w:val="0"/>
              <w:pBdr>
                <w:top w:space="0" w:sz="0" w:val="nil"/>
                <w:left w:space="0" w:sz="0" w:val="nil"/>
                <w:bottom w:space="0" w:sz="0" w:val="nil"/>
                <w:right w:space="0" w:sz="0" w:val="nil"/>
                <w:between w:space="0" w:sz="0" w:val="nil"/>
              </w:pBdr>
              <w:shd w:fill="auto" w:val="clear"/>
              <w:spacing w:after="0" w:before="6" w:line="240" w:lineRule="auto"/>
              <w:ind w:left="0" w:right="0" w:firstLine="0"/>
              <w:jc w:val="left"/>
              <w:rPr>
                <w:rFonts w:ascii="Times New Roman" w:cs="Times New Roman" w:eastAsia="Times New Roman" w:hAnsi="Times New Roman"/>
                <w:b w:val="0"/>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99" w:right="77"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GESTION JURÍDICA</w:t>
            </w:r>
          </w:p>
        </w:tc>
        <w:tc>
          <w:tcPr/>
          <w:p w:rsidR="00000000" w:rsidDel="00000000" w:rsidP="00000000" w:rsidRDefault="00000000" w:rsidRPr="00000000" w14:paraId="00000006">
            <w:pPr>
              <w:keepNext w:val="0"/>
              <w:keepLines w:val="0"/>
              <w:widowControl w:val="0"/>
              <w:pBdr>
                <w:top w:space="0" w:sz="0" w:val="nil"/>
                <w:left w:space="0" w:sz="0" w:val="nil"/>
                <w:bottom w:space="0" w:sz="0" w:val="nil"/>
                <w:right w:space="0" w:sz="0" w:val="nil"/>
                <w:between w:space="0" w:sz="0" w:val="nil"/>
              </w:pBdr>
              <w:shd w:fill="auto" w:val="clear"/>
              <w:spacing w:after="0" w:before="45" w:line="265" w:lineRule="auto"/>
              <w:ind w:left="66"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Código: GJU-F-84</w:t>
            </w:r>
          </w:p>
        </w:tc>
      </w:tr>
      <w:tr>
        <w:trPr>
          <w:cantSplit w:val="0"/>
          <w:trHeight w:val="330" w:hRule="atLeast"/>
          <w:tblHeader w:val="0"/>
        </w:trPr>
        <w:tc>
          <w:tcPr>
            <w:vMerge w:val="continue"/>
          </w:tcPr>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09">
            <w:pPr>
              <w:keepNext w:val="0"/>
              <w:keepLines w:val="0"/>
              <w:widowControl w:val="0"/>
              <w:pBdr>
                <w:top w:space="0" w:sz="0" w:val="nil"/>
                <w:left w:space="0" w:sz="0" w:val="nil"/>
                <w:bottom w:space="0" w:sz="0" w:val="nil"/>
                <w:right w:space="0" w:sz="0" w:val="nil"/>
                <w:between w:space="0" w:sz="0" w:val="nil"/>
              </w:pBdr>
              <w:shd w:fill="auto" w:val="clear"/>
              <w:spacing w:after="0" w:before="45" w:line="265" w:lineRule="auto"/>
              <w:ind w:left="66"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Fecha: 04/11/22</w:t>
            </w:r>
          </w:p>
        </w:tc>
      </w:tr>
      <w:tr>
        <w:trPr>
          <w:cantSplit w:val="0"/>
          <w:trHeight w:val="290" w:hRule="atLeast"/>
          <w:tblHeader w:val="0"/>
        </w:trPr>
        <w:tc>
          <w:tcPr>
            <w:vMerge w:val="continue"/>
          </w:tcPr>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vMerge w:val="restart"/>
          </w:tcPr>
          <w:p w:rsidR="00000000" w:rsidDel="00000000" w:rsidP="00000000" w:rsidRDefault="00000000" w:rsidRPr="00000000" w14:paraId="0000000B">
            <w:pPr>
              <w:keepNext w:val="0"/>
              <w:keepLines w:val="0"/>
              <w:widowControl w:val="0"/>
              <w:pBdr>
                <w:top w:space="0" w:sz="0" w:val="nil"/>
                <w:left w:space="0" w:sz="0" w:val="nil"/>
                <w:bottom w:space="0" w:sz="0" w:val="nil"/>
                <w:right w:space="0" w:sz="0" w:val="nil"/>
                <w:between w:space="0" w:sz="0" w:val="nil"/>
              </w:pBdr>
              <w:shd w:fill="auto" w:val="clear"/>
              <w:spacing w:after="0" w:before="6" w:line="240" w:lineRule="auto"/>
              <w:ind w:left="99" w:right="77"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FORMATO</w:t>
            </w:r>
          </w:p>
          <w:p w:rsidR="00000000" w:rsidDel="00000000" w:rsidP="00000000" w:rsidRDefault="00000000" w:rsidRPr="00000000" w14:paraId="0000000C">
            <w:pPr>
              <w:keepNext w:val="0"/>
              <w:keepLines w:val="0"/>
              <w:widowControl w:val="0"/>
              <w:pBdr>
                <w:top w:space="0" w:sz="0" w:val="nil"/>
                <w:left w:space="0" w:sz="0" w:val="nil"/>
                <w:bottom w:space="0" w:sz="0" w:val="nil"/>
                <w:right w:space="0" w:sz="0" w:val="nil"/>
                <w:between w:space="0" w:sz="0" w:val="nil"/>
              </w:pBdr>
              <w:shd w:fill="auto" w:val="clear"/>
              <w:spacing w:after="0" w:before="0" w:line="240" w:lineRule="auto"/>
              <w:ind w:left="101" w:right="77" w:firstLine="0"/>
              <w:jc w:val="center"/>
              <w:rPr>
                <w:rFonts w:ascii="Calibri" w:cs="Calibri" w:eastAsia="Calibri" w:hAnsi="Calibri"/>
                <w:b w:val="1"/>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1"/>
                <w:i w:val="0"/>
                <w:smallCaps w:val="0"/>
                <w:strike w:val="0"/>
                <w:color w:val="000000"/>
                <w:sz w:val="22"/>
                <w:szCs w:val="22"/>
                <w:u w:val="none"/>
                <w:shd w:fill="auto" w:val="clear"/>
                <w:vertAlign w:val="baseline"/>
                <w:rtl w:val="0"/>
              </w:rPr>
              <w:t xml:space="preserve">AUTORIZACIÓN VERIFICACIÓN INHABILIDADES POR DELITOS SEXUALES (ley 1918 de 2018)</w:t>
            </w:r>
          </w:p>
        </w:tc>
        <w:tc>
          <w:tcPr/>
          <w:p w:rsidR="00000000" w:rsidDel="00000000" w:rsidP="00000000" w:rsidRDefault="00000000" w:rsidRPr="00000000" w14:paraId="0000000D">
            <w:pPr>
              <w:keepNext w:val="0"/>
              <w:keepLines w:val="0"/>
              <w:widowControl w:val="0"/>
              <w:pBdr>
                <w:top w:space="0" w:sz="0" w:val="nil"/>
                <w:left w:space="0" w:sz="0" w:val="nil"/>
                <w:bottom w:space="0" w:sz="0" w:val="nil"/>
                <w:right w:space="0" w:sz="0" w:val="nil"/>
                <w:between w:space="0" w:sz="0" w:val="nil"/>
              </w:pBdr>
              <w:shd w:fill="auto" w:val="clear"/>
              <w:spacing w:after="0" w:before="22" w:line="248.00000000000006" w:lineRule="auto"/>
              <w:ind w:left="66"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Versión: 1</w:t>
            </w:r>
          </w:p>
        </w:tc>
      </w:tr>
      <w:tr>
        <w:trPr>
          <w:cantSplit w:val="0"/>
          <w:trHeight w:val="469" w:hRule="atLeast"/>
          <w:tblHeader w:val="0"/>
        </w:trPr>
        <w:tc>
          <w:tcPr>
            <w:vMerge w:val="continue"/>
          </w:tcPr>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vMerge w:val="continue"/>
          </w:tcPr>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10">
            <w:pPr>
              <w:keepNext w:val="0"/>
              <w:keepLines w:val="0"/>
              <w:widowControl w:val="0"/>
              <w:pBdr>
                <w:top w:space="0" w:sz="0" w:val="nil"/>
                <w:left w:space="0" w:sz="0" w:val="nil"/>
                <w:bottom w:space="0" w:sz="0" w:val="nil"/>
                <w:right w:space="0" w:sz="0" w:val="nil"/>
                <w:between w:space="0" w:sz="0" w:val="nil"/>
              </w:pBdr>
              <w:shd w:fill="auto" w:val="clear"/>
              <w:spacing w:after="0" w:before="112" w:line="240" w:lineRule="auto"/>
              <w:ind w:left="66"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Calibri" w:cs="Calibri" w:eastAsia="Calibri" w:hAnsi="Calibri"/>
                <w:b w:val="0"/>
                <w:i w:val="0"/>
                <w:smallCaps w:val="0"/>
                <w:strike w:val="0"/>
                <w:color w:val="000000"/>
                <w:sz w:val="22"/>
                <w:szCs w:val="22"/>
                <w:u w:val="none"/>
                <w:shd w:fill="auto" w:val="clear"/>
                <w:vertAlign w:val="baseline"/>
                <w:rtl w:val="0"/>
              </w:rPr>
              <w:t xml:space="preserve">Página: 1 de 1</w:t>
            </w:r>
          </w:p>
        </w:tc>
      </w:tr>
    </w:tbl>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 w:line="240" w:lineRule="auto"/>
        <w:ind w:left="0" w:right="0" w:firstLine="0"/>
        <w:jc w:val="left"/>
        <w:rPr>
          <w:rFonts w:ascii="Times New Roman" w:cs="Times New Roman" w:eastAsia="Times New Roman" w:hAnsi="Times New Roman"/>
          <w:b w:val="0"/>
          <w:i w:val="0"/>
          <w:smallCaps w:val="0"/>
          <w:strike w:val="0"/>
          <w:color w:val="000000"/>
          <w:sz w:val="19"/>
          <w:szCs w:val="19"/>
          <w:u w:val="none"/>
          <w:shd w:fill="auto" w:val="clear"/>
          <w:vertAlign w:val="baseline"/>
        </w:rPr>
      </w:pPr>
      <w:r w:rsidDel="00000000" w:rsidR="00000000" w:rsidRPr="00000000">
        <w:rPr>
          <w:rtl w:val="0"/>
        </w:rPr>
      </w:r>
    </w:p>
    <w:p w:rsidR="00000000" w:rsidDel="00000000" w:rsidP="00000000" w:rsidRDefault="00000000" w:rsidRPr="00000000" w14:paraId="00000012">
      <w:pPr>
        <w:spacing w:before="51" w:line="259" w:lineRule="auto"/>
        <w:ind w:left="381" w:right="382"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El (la) suscrito XXXXXXX, identificado (a) con cédula de ciudadanía N° XXXXX expedida en Bogotá D.C. por medio del presente autorizo al INSTITUTO DISTRITAL DE LAS ARTES – IDARTES- con NIT 900413030-9, para que en cumplimiento del artículo 4 de la ley 1918 de 2018, verifique que el (la) suscrito (a) no se encuentra inscrito</w:t>
      </w:r>
    </w:p>
    <w:p w:rsidR="00000000" w:rsidDel="00000000" w:rsidP="00000000" w:rsidRDefault="00000000" w:rsidRPr="00000000" w14:paraId="00000013">
      <w:pPr>
        <w:keepNext w:val="0"/>
        <w:keepLines w:val="0"/>
        <w:pageBreakBefore w:val="0"/>
        <w:widowControl w:val="0"/>
        <w:numPr>
          <w:ilvl w:val="0"/>
          <w:numId w:val="1"/>
        </w:numPr>
        <w:pBdr>
          <w:top w:space="0" w:sz="0" w:val="nil"/>
          <w:left w:space="0" w:sz="0" w:val="nil"/>
          <w:bottom w:space="0" w:sz="0" w:val="nil"/>
          <w:right w:space="0" w:sz="0" w:val="nil"/>
          <w:between w:space="0" w:sz="0" w:val="nil"/>
        </w:pBdr>
        <w:shd w:fill="auto" w:val="clear"/>
        <w:tabs>
          <w:tab w:val="left" w:leader="none" w:pos="711"/>
        </w:tabs>
        <w:spacing w:after="0" w:before="0" w:line="259" w:lineRule="auto"/>
        <w:ind w:left="381" w:right="393" w:firstLine="0"/>
        <w:jc w:val="both"/>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en el registro de inhabilidades por delitos sexuales cometidos contra personas menores edad, el cual es administrado por la Policía Nacional.</w:t>
      </w:r>
      <w:r w:rsidDel="00000000" w:rsidR="00000000" w:rsidRPr="00000000">
        <w:rPr>
          <w:rFonts w:ascii="Calibri" w:cs="Calibri" w:eastAsia="Calibri" w:hAnsi="Calibri"/>
          <w:b w:val="0"/>
          <w:i w:val="0"/>
          <w:smallCaps w:val="0"/>
          <w:strike w:val="0"/>
          <w:color w:val="000000"/>
          <w:sz w:val="24"/>
          <w:szCs w:val="24"/>
          <w:u w:val="none"/>
          <w:shd w:fill="auto" w:val="clear"/>
          <w:vertAlign w:val="superscript"/>
          <w:rtl w:val="0"/>
        </w:rPr>
        <w:t xml:space="preserve">1</w:t>
      </w:r>
      <w:r w:rsidDel="00000000" w:rsidR="00000000" w:rsidRPr="00000000">
        <w:rPr>
          <w:rtl w:val="0"/>
        </w:rPr>
      </w:r>
    </w:p>
    <w:p w:rsidR="00000000" w:rsidDel="00000000" w:rsidP="00000000" w:rsidRDefault="00000000" w:rsidRPr="00000000" w14:paraId="00000014">
      <w:pPr>
        <w:spacing w:before="159" w:line="259" w:lineRule="auto"/>
        <w:ind w:left="381" w:right="379" w:firstLine="0"/>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Igualmente autorizo al Instituto, para que dicha verificación sea actualizada cada cuatro (4) meses después de iniciada la relación:</w:t>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Calibri" w:cs="Calibri" w:eastAsia="Calibri" w:hAnsi="Calibri"/>
          <w:b w:val="0"/>
          <w:i w:val="0"/>
          <w:smallCaps w:val="0"/>
          <w:strike w:val="0"/>
          <w:color w:val="000000"/>
          <w:sz w:val="28"/>
          <w:szCs w:val="28"/>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1100"/>
          <w:tab w:val="left" w:leader="none" w:pos="1101"/>
          <w:tab w:val="left" w:leader="none" w:pos="2973"/>
          <w:tab w:val="left" w:leader="none" w:pos="3871"/>
        </w:tabs>
        <w:spacing w:after="0" w:before="0" w:line="240" w:lineRule="auto"/>
        <w:ind w:left="1101"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contractual: *</w:t>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ab/>
      </w: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X</w:t>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 </w:t>
        <w:tab/>
      </w:r>
      <w:r w:rsidDel="00000000" w:rsidR="00000000" w:rsidRPr="00000000">
        <w:rPr>
          <w:rtl w:val="0"/>
        </w:rPr>
      </w:r>
    </w:p>
    <w:p w:rsidR="00000000" w:rsidDel="00000000" w:rsidP="00000000" w:rsidRDefault="00000000" w:rsidRPr="00000000" w14:paraId="00000018">
      <w:pPr>
        <w:keepNext w:val="0"/>
        <w:keepLines w:val="0"/>
        <w:pageBreakBefore w:val="0"/>
        <w:widowControl w:val="0"/>
        <w:numPr>
          <w:ilvl w:val="1"/>
          <w:numId w:val="1"/>
        </w:numPr>
        <w:pBdr>
          <w:top w:space="0" w:sz="0" w:val="nil"/>
          <w:left w:space="0" w:sz="0" w:val="nil"/>
          <w:bottom w:space="0" w:sz="0" w:val="nil"/>
          <w:right w:space="0" w:sz="0" w:val="nil"/>
          <w:between w:space="0" w:sz="0" w:val="nil"/>
        </w:pBdr>
        <w:shd w:fill="auto" w:val="clear"/>
        <w:tabs>
          <w:tab w:val="left" w:leader="none" w:pos="1100"/>
          <w:tab w:val="left" w:leader="none" w:pos="1101"/>
          <w:tab w:val="left" w:leader="none" w:pos="5513"/>
        </w:tabs>
        <w:spacing w:after="0" w:before="23" w:line="240" w:lineRule="auto"/>
        <w:ind w:left="1101" w:right="0" w:hanging="36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Calibri" w:cs="Calibri" w:eastAsia="Calibri" w:hAnsi="Calibri"/>
          <w:b w:val="0"/>
          <w:i w:val="0"/>
          <w:smallCaps w:val="0"/>
          <w:strike w:val="0"/>
          <w:color w:val="000000"/>
          <w:sz w:val="24"/>
          <w:szCs w:val="24"/>
          <w:u w:val="none"/>
          <w:shd w:fill="auto" w:val="clear"/>
          <w:vertAlign w:val="baseline"/>
          <w:rtl w:val="0"/>
        </w:rPr>
        <w:t xml:space="preserve">laboral o reglamentaria: * </w:t>
      </w:r>
      <w:r w:rsidDel="00000000" w:rsidR="00000000" w:rsidRPr="00000000">
        <w:rPr>
          <w:rFonts w:ascii="Times New Roman" w:cs="Times New Roman" w:eastAsia="Times New Roman" w:hAnsi="Times New Roman"/>
          <w:b w:val="0"/>
          <w:i w:val="0"/>
          <w:smallCaps w:val="0"/>
          <w:strike w:val="0"/>
          <w:color w:val="000000"/>
          <w:sz w:val="24"/>
          <w:szCs w:val="24"/>
          <w:u w:val="single"/>
          <w:shd w:fill="auto" w:val="clear"/>
          <w:vertAlign w:val="baseline"/>
          <w:rtl w:val="0"/>
        </w:rPr>
        <w:t xml:space="preserve"> </w:t>
        <w:tab/>
      </w:r>
      <w:r w:rsidDel="00000000" w:rsidR="00000000" w:rsidRPr="00000000">
        <w:rPr>
          <w:rtl w:val="0"/>
        </w:rPr>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B">
      <w:pPr>
        <w:spacing w:before="200" w:line="259" w:lineRule="auto"/>
        <w:ind w:left="381" w:right="384" w:firstLine="0"/>
        <w:jc w:val="left"/>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En constancia de la autorización suscribo la presente a los XXXXX (XXX) del mes de oXXXXXXe de 20XX.</w:t>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14"/>
          <w:szCs w:val="14"/>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6"/>
          <w:szCs w:val="26"/>
          <w:u w:val="none"/>
          <w:shd w:fill="auto" w:val="clear"/>
          <w:vertAlign w:val="baseline"/>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1422400</wp:posOffset>
                </wp:positionH>
                <wp:positionV relativeFrom="paragraph">
                  <wp:posOffset>215900</wp:posOffset>
                </wp:positionV>
                <wp:extent cx="1270" cy="12700"/>
                <wp:effectExtent b="0" l="0" r="0" t="0"/>
                <wp:wrapTopAndBottom distB="0" distT="0"/>
                <wp:docPr id="13" name=""/>
                <a:graphic>
                  <a:graphicData uri="http://schemas.microsoft.com/office/word/2010/wordprocessingShape">
                    <wps:wsp>
                      <wps:cNvSpPr/>
                      <wps:cNvPr id="3" name="Shape 3"/>
                      <wps:spPr>
                        <a:xfrm>
                          <a:off x="3638168" y="3779365"/>
                          <a:ext cx="3415665" cy="1270"/>
                        </a:xfrm>
                        <a:custGeom>
                          <a:rect b="b" l="l" r="r" t="t"/>
                          <a:pathLst>
                            <a:path extrusionOk="0" h="1270" w="3415665">
                              <a:moveTo>
                                <a:pt x="0" y="0"/>
                              </a:moveTo>
                              <a:lnTo>
                                <a:pt x="3415030" y="0"/>
                              </a:lnTo>
                            </a:path>
                          </a:pathLst>
                        </a:custGeom>
                        <a:solidFill>
                          <a:srgbClr val="FFFFFF"/>
                        </a:solidFill>
                        <a:ln cap="flat" cmpd="sng" w="9900">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1422400</wp:posOffset>
                </wp:positionH>
                <wp:positionV relativeFrom="paragraph">
                  <wp:posOffset>215900</wp:posOffset>
                </wp:positionV>
                <wp:extent cx="1270" cy="12700"/>
                <wp:effectExtent b="0" l="0" r="0" t="0"/>
                <wp:wrapTopAndBottom distB="0" distT="0"/>
                <wp:docPr id="13" name="image3.png"/>
                <a:graphic>
                  <a:graphicData uri="http://schemas.openxmlformats.org/drawingml/2006/picture">
                    <pic:pic>
                      <pic:nvPicPr>
                        <pic:cNvPr id="0" name="image3.png"/>
                        <pic:cNvPicPr preferRelativeResize="0"/>
                      </pic:nvPicPr>
                      <pic:blipFill>
                        <a:blip r:embed="rId8"/>
                        <a:srcRect/>
                        <a:stretch>
                          <a:fillRect/>
                        </a:stretch>
                      </pic:blipFill>
                      <pic:spPr>
                        <a:xfrm>
                          <a:off x="0" y="0"/>
                          <a:ext cx="1270" cy="12700"/>
                        </a:xfrm>
                        <a:prstGeom prst="rect"/>
                        <a:ln/>
                      </pic:spPr>
                    </pic:pic>
                  </a:graphicData>
                </a:graphic>
              </wp:anchor>
            </w:drawing>
          </mc:Fallback>
        </mc:AlternateContent>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Calibri" w:cs="Calibri" w:eastAsia="Calibri" w:hAnsi="Calibri"/>
          <w:b w:val="0"/>
          <w:i w:val="0"/>
          <w:smallCaps w:val="0"/>
          <w:strike w:val="0"/>
          <w:color w:val="000000"/>
          <w:sz w:val="9"/>
          <w:szCs w:val="9"/>
          <w:u w:val="none"/>
          <w:shd w:fill="auto" w:val="clear"/>
          <w:vertAlign w:val="baseline"/>
        </w:rPr>
      </w:pPr>
      <w:r w:rsidDel="00000000" w:rsidR="00000000" w:rsidRPr="00000000">
        <w:rPr>
          <w:rtl w:val="0"/>
        </w:rPr>
      </w:r>
    </w:p>
    <w:p w:rsidR="00000000" w:rsidDel="00000000" w:rsidP="00000000" w:rsidRDefault="00000000" w:rsidRPr="00000000" w14:paraId="00000022">
      <w:pPr>
        <w:spacing w:before="56" w:line="400" w:lineRule="auto"/>
        <w:ind w:left="2070" w:right="2872" w:hanging="100"/>
        <w:jc w:val="left"/>
        <w:rPr>
          <w:rFonts w:ascii="Calibri" w:cs="Calibri" w:eastAsia="Calibri" w:hAnsi="Calibri"/>
          <w:b w:val="1"/>
        </w:rPr>
      </w:pPr>
      <w:r w:rsidDel="00000000" w:rsidR="00000000" w:rsidRPr="00000000">
        <w:rPr>
          <w:rFonts w:ascii="Calibri" w:cs="Calibri" w:eastAsia="Calibri" w:hAnsi="Calibri"/>
          <w:b w:val="1"/>
          <w:sz w:val="22"/>
          <w:szCs w:val="22"/>
          <w:rtl w:val="0"/>
        </w:rPr>
        <w:t xml:space="preserve">NOMBRE: </w:t>
      </w:r>
      <w:r w:rsidDel="00000000" w:rsidR="00000000" w:rsidRPr="00000000">
        <w:rPr>
          <w:rFonts w:ascii="Calibri" w:cs="Calibri" w:eastAsia="Calibri" w:hAnsi="Calibri"/>
          <w:b w:val="1"/>
          <w:rtl w:val="0"/>
        </w:rPr>
        <w:t xml:space="preserve">XXXXX</w:t>
      </w:r>
    </w:p>
    <w:p w:rsidR="00000000" w:rsidDel="00000000" w:rsidP="00000000" w:rsidRDefault="00000000" w:rsidRPr="00000000" w14:paraId="00000023">
      <w:pPr>
        <w:spacing w:before="56" w:line="400" w:lineRule="auto"/>
        <w:ind w:left="2070" w:right="2872" w:hanging="100"/>
        <w:jc w:val="left"/>
        <w:rPr>
          <w:rFonts w:ascii="Calibri" w:cs="Calibri" w:eastAsia="Calibri" w:hAnsi="Calibri"/>
          <w:sz w:val="20"/>
          <w:szCs w:val="20"/>
        </w:rPr>
      </w:pPr>
      <w:r w:rsidDel="00000000" w:rsidR="00000000" w:rsidRPr="00000000">
        <w:rPr>
          <w:rFonts w:ascii="Calibri" w:cs="Calibri" w:eastAsia="Calibri" w:hAnsi="Calibri"/>
          <w:b w:val="1"/>
          <w:sz w:val="22"/>
          <w:szCs w:val="22"/>
          <w:rtl w:val="0"/>
        </w:rPr>
        <w:t xml:space="preserve">CÉDULA DE CIUD</w:t>
      </w:r>
      <w:r w:rsidDel="00000000" w:rsidR="00000000" w:rsidRPr="00000000">
        <w:rPr>
          <w:rFonts w:ascii="Calibri" w:cs="Calibri" w:eastAsia="Calibri" w:hAnsi="Calibri"/>
          <w:b w:val="1"/>
          <w:sz w:val="20"/>
          <w:szCs w:val="20"/>
          <w:rtl w:val="0"/>
        </w:rPr>
        <w:t xml:space="preserve">ADANÍA: </w:t>
      </w:r>
      <w:r w:rsidDel="00000000" w:rsidR="00000000" w:rsidRPr="00000000">
        <w:rPr>
          <w:rFonts w:ascii="Calibri" w:cs="Calibri" w:eastAsia="Calibri" w:hAnsi="Calibri"/>
          <w:sz w:val="20"/>
          <w:szCs w:val="20"/>
          <w:rtl w:val="0"/>
        </w:rPr>
        <w:t xml:space="preserve">XXXXXX</w:t>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Calibri" w:cs="Calibri" w:eastAsia="Calibri" w:hAnsi="Calibri"/>
          <w:b w:val="0"/>
          <w:i w:val="0"/>
          <w:smallCaps w:val="0"/>
          <w:strike w:val="0"/>
          <w:color w:val="000000"/>
          <w:sz w:val="17"/>
          <w:szCs w:val="17"/>
          <w:u w:val="none"/>
          <w:shd w:fill="auto" w:val="clear"/>
          <w:vertAlign w:val="baseline"/>
        </w:rPr>
      </w:pPr>
      <w:r w:rsidDel="00000000" w:rsidR="00000000" w:rsidRPr="00000000">
        <w:rPr>
          <w:rtl w:val="0"/>
        </w:rPr>
      </w:r>
      <w:r w:rsidDel="00000000" w:rsidR="00000000" w:rsidRPr="00000000">
        <mc:AlternateContent>
          <mc:Choice Requires="wps">
            <w:drawing>
              <wp:anchor allowOverlap="1" behindDoc="0" distB="0" distT="0" distL="114300" distR="114300" hidden="0" layoutInCell="1" locked="0" relativeHeight="0" simplePos="0">
                <wp:simplePos x="0" y="0"/>
                <wp:positionH relativeFrom="column">
                  <wp:posOffset>317500</wp:posOffset>
                </wp:positionH>
                <wp:positionV relativeFrom="paragraph">
                  <wp:posOffset>152400</wp:posOffset>
                </wp:positionV>
                <wp:extent cx="1270" cy="12700"/>
                <wp:effectExtent b="0" l="0" r="0" t="0"/>
                <wp:wrapTopAndBottom distB="0" distT="0"/>
                <wp:docPr id="12" name=""/>
                <a:graphic>
                  <a:graphicData uri="http://schemas.microsoft.com/office/word/2010/wordprocessingShape">
                    <wps:wsp>
                      <wps:cNvSpPr/>
                      <wps:cNvPr id="2" name="Shape 2"/>
                      <wps:spPr>
                        <a:xfrm>
                          <a:off x="4431600" y="3779365"/>
                          <a:ext cx="1828800" cy="1270"/>
                        </a:xfrm>
                        <a:custGeom>
                          <a:rect b="b" l="l" r="r" t="t"/>
                          <a:pathLst>
                            <a:path extrusionOk="0" h="1270" w="1828800">
                              <a:moveTo>
                                <a:pt x="0" y="0"/>
                              </a:moveTo>
                              <a:lnTo>
                                <a:pt x="1828800" y="0"/>
                              </a:lnTo>
                            </a:path>
                          </a:pathLst>
                        </a:custGeom>
                        <a:solidFill>
                          <a:srgbClr val="FFFFFF"/>
                        </a:solid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317500</wp:posOffset>
                </wp:positionH>
                <wp:positionV relativeFrom="paragraph">
                  <wp:posOffset>152400</wp:posOffset>
                </wp:positionV>
                <wp:extent cx="1270" cy="12700"/>
                <wp:effectExtent b="0" l="0" r="0" t="0"/>
                <wp:wrapTopAndBottom distB="0" distT="0"/>
                <wp:docPr id="12" name="image2.png"/>
                <a:graphic>
                  <a:graphicData uri="http://schemas.openxmlformats.org/drawingml/2006/picture">
                    <pic:pic>
                      <pic:nvPicPr>
                        <pic:cNvPr id="0" name="image2.png"/>
                        <pic:cNvPicPr preferRelativeResize="0"/>
                      </pic:nvPicPr>
                      <pic:blipFill>
                        <a:blip r:embed="rId9"/>
                        <a:srcRect/>
                        <a:stretch>
                          <a:fillRect/>
                        </a:stretch>
                      </pic:blipFill>
                      <pic:spPr>
                        <a:xfrm>
                          <a:off x="0" y="0"/>
                          <a:ext cx="1270" cy="12700"/>
                        </a:xfrm>
                        <a:prstGeom prst="rect"/>
                        <a:ln/>
                      </pic:spPr>
                    </pic:pic>
                  </a:graphicData>
                </a:graphic>
              </wp:anchor>
            </w:drawing>
          </mc:Fallback>
        </mc:AlternateContent>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 w:line="240" w:lineRule="auto"/>
        <w:ind w:left="381" w:right="0" w:firstLine="0"/>
        <w:jc w:val="left"/>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superscript"/>
          <w:rtl w:val="0"/>
        </w:rPr>
        <w:t xml:space="preserve">1</w:t>
      </w: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https://</w:t>
      </w:r>
      <w:hyperlink r:id="rId10">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www.funcionpublica.gov.co/eva/gestornormativo/norma.php?i=87420#:~:text=POR%20MEDIO%20DE%20LA%20CUAL%20S</w:t>
        </w:r>
      </w:hyperlink>
      <w:r w:rsidDel="00000000" w:rsidR="00000000" w:rsidRPr="00000000">
        <w:rPr>
          <w:rtl w:val="0"/>
        </w:rPr>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81" w:right="0" w:firstLine="0"/>
        <w:jc w:val="left"/>
        <w:rPr>
          <w:rFonts w:ascii="Times New Roman" w:cs="Times New Roman" w:eastAsia="Times New Roman" w:hAnsi="Times New Roman"/>
          <w:b w:val="0"/>
          <w:i w:val="0"/>
          <w:smallCaps w:val="0"/>
          <w:strike w:val="0"/>
          <w:color w:val="000000"/>
          <w:sz w:val="16"/>
          <w:szCs w:val="16"/>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16"/>
          <w:szCs w:val="16"/>
          <w:u w:val="none"/>
          <w:shd w:fill="auto" w:val="clear"/>
          <w:vertAlign w:val="baseline"/>
          <w:rtl w:val="0"/>
        </w:rPr>
        <w:t xml:space="preserve">E%20ESTABLECE%20EL%20R%C3%89GIMEN%20DE,Y%20SE%20DICTAN%20OTRAS%20DISPOSICIONES.</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81" w:right="379"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ARTÍCULO 4. </w:t>
      </w:r>
      <w:r w:rsidDel="00000000" w:rsidR="00000000" w:rsidRPr="00000000">
        <w:rPr>
          <w:rFonts w:ascii="Arial" w:cs="Arial" w:eastAsia="Arial" w:hAnsi="Arial"/>
          <w:b w:val="1"/>
          <w:i w:val="1"/>
          <w:smallCaps w:val="0"/>
          <w:strike w:val="0"/>
          <w:color w:val="000000"/>
          <w:sz w:val="16"/>
          <w:szCs w:val="16"/>
          <w:u w:val="none"/>
          <w:shd w:fill="auto" w:val="clear"/>
          <w:vertAlign w:val="baseline"/>
          <w:rtl w:val="0"/>
        </w:rPr>
        <w:t xml:space="preserve">Deber de verificación. </w:t>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Es deber de las entidades públicas o privadas, de acuerdo a lo reglamentado por el Gobierno Nacional, verificar, previa autorización del aspirante, que este no se encuentra inscrito en el registro de inhabilidades por delitos sexuales cometidos contra personas menores edad, en el desarrollo de los procesos de selección de personal para el desempeño de cargos, oficios, profesiones que involucren una relación directa y habitual con menores previamente definidos por el Instituto Colombiano de Bienestar Familiar.</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81" w:right="391"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Dicha verificación, deberá actualizarse cada cuatro meses después del inicio de la relación contractual, laboral o reglamentaria.</w: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81" w:right="383" w:firstLine="0"/>
        <w:jc w:val="both"/>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PARÁGRAFO 1 </w:t>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El servidor público que omita el deber de verificación en los términos de la presente ley y contrate a las personas que hayan sido condenados por delitos sexuales cometidos contra menores de edad será sancionado por falta disciplinaria gravísima.</w:t>
      </w:r>
    </w:p>
    <w:sectPr>
      <w:pgSz w:h="15840" w:w="12240" w:orient="portrait"/>
      <w:pgMar w:bottom="280" w:top="920" w:left="1320" w:right="1320" w:header="360" w:footer="36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lowerLetter"/>
      <w:lvlText w:val="(%1)"/>
      <w:lvlJc w:val="left"/>
      <w:pPr>
        <w:ind w:left="381" w:hanging="330"/>
      </w:pPr>
      <w:rPr>
        <w:rFonts w:ascii="Calibri" w:cs="Calibri" w:eastAsia="Calibri" w:hAnsi="Calibri"/>
        <w:sz w:val="24"/>
        <w:szCs w:val="24"/>
      </w:rPr>
    </w:lvl>
    <w:lvl w:ilvl="1">
      <w:start w:val="0"/>
      <w:numFmt w:val="bullet"/>
      <w:lvlText w:val="●"/>
      <w:lvlJc w:val="left"/>
      <w:pPr>
        <w:ind w:left="1101" w:hanging="360"/>
      </w:pPr>
      <w:rPr>
        <w:rFonts w:ascii="Arial" w:cs="Arial" w:eastAsia="Arial" w:hAnsi="Arial"/>
        <w:sz w:val="24"/>
        <w:szCs w:val="24"/>
      </w:rPr>
    </w:lvl>
    <w:lvl w:ilvl="2">
      <w:start w:val="0"/>
      <w:numFmt w:val="bullet"/>
      <w:lvlText w:val="•"/>
      <w:lvlJc w:val="left"/>
      <w:pPr>
        <w:ind w:left="2044" w:hanging="360"/>
      </w:pPr>
      <w:rPr/>
    </w:lvl>
    <w:lvl w:ilvl="3">
      <w:start w:val="0"/>
      <w:numFmt w:val="bullet"/>
      <w:lvlText w:val="•"/>
      <w:lvlJc w:val="left"/>
      <w:pPr>
        <w:ind w:left="2988" w:hanging="360"/>
      </w:pPr>
      <w:rPr/>
    </w:lvl>
    <w:lvl w:ilvl="4">
      <w:start w:val="0"/>
      <w:numFmt w:val="bullet"/>
      <w:lvlText w:val="•"/>
      <w:lvlJc w:val="left"/>
      <w:pPr>
        <w:ind w:left="3933" w:hanging="360"/>
      </w:pPr>
      <w:rPr/>
    </w:lvl>
    <w:lvl w:ilvl="5">
      <w:start w:val="0"/>
      <w:numFmt w:val="bullet"/>
      <w:lvlText w:val="•"/>
      <w:lvlJc w:val="left"/>
      <w:pPr>
        <w:ind w:left="4877" w:hanging="360"/>
      </w:pPr>
      <w:rPr/>
    </w:lvl>
    <w:lvl w:ilvl="6">
      <w:start w:val="0"/>
      <w:numFmt w:val="bullet"/>
      <w:lvlText w:val="•"/>
      <w:lvlJc w:val="left"/>
      <w:pPr>
        <w:ind w:left="5822" w:hanging="360"/>
      </w:pPr>
      <w:rPr/>
    </w:lvl>
    <w:lvl w:ilvl="7">
      <w:start w:val="0"/>
      <w:numFmt w:val="bullet"/>
      <w:lvlText w:val="•"/>
      <w:lvlJc w:val="left"/>
      <w:pPr>
        <w:ind w:left="6766" w:hanging="360"/>
      </w:pPr>
      <w:rPr/>
    </w:lvl>
    <w:lvl w:ilvl="8">
      <w:start w:val="0"/>
      <w:numFmt w:val="bullet"/>
      <w:lvlText w:val="•"/>
      <w:lvlJc w:val="left"/>
      <w:pPr>
        <w:ind w:left="7711" w:hanging="36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ES"/>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character" w:styleId="DefaultParagraphFont" w:default="1">
    <w:name w:val="Default Paragraph Font"/>
    <w:uiPriority w:val="1"/>
    <w:semiHidden w:val="1"/>
    <w:unhideWhenUsed w:val="1"/>
  </w:style>
  <w:style w:type="table" w:styleId="TableNormal" w:default="1">
    <w:name w:val="Table Normal"/>
    <w:uiPriority w:val="2"/>
    <w:semiHidden w:val="1"/>
    <w:unhideWhenUsed w:val="1"/>
    <w:qFormat w:val="1"/>
    <w:tblPr>
      <w:tblInd w:w="0.0" w:type="dxa"/>
      <w:tblCellMar>
        <w:top w:w="0.0" w:type="dxa"/>
        <w:left w:w="0.0" w:type="dxa"/>
        <w:bottom w:w="0.0" w:type="dxa"/>
        <w:right w:w="0.0" w:type="dxa"/>
      </w:tblCellMar>
    </w:tblPr>
  </w:style>
  <w:style w:type="numbering" w:styleId="NoList" w:default="1">
    <w:name w:val="No List"/>
    <w:uiPriority w:val="99"/>
    <w:semiHidden w:val="1"/>
    <w:unhideWhenUsed w:val="1"/>
  </w:style>
  <w:style w:type="paragraph" w:styleId="Normal" w:default="1">
    <w:name w:val="Normal"/>
    <w:uiPriority w:val="1"/>
    <w:qFormat w:val="1"/>
    <w:pPr/>
    <w:rPr>
      <w:rFonts w:ascii="Arial MT" w:cs="Arial MT" w:eastAsia="Arial MT" w:hAnsi="Arial MT"/>
      <w:lang w:bidi="ar-SA" w:eastAsia="en-US" w:val="es-ES"/>
    </w:rPr>
  </w:style>
  <w:style w:type="paragraph" w:styleId="BodyText">
    <w:name w:val="Body Text"/>
    <w:basedOn w:val="Normal"/>
    <w:uiPriority w:val="1"/>
    <w:qFormat w:val="1"/>
    <w:pPr/>
    <w:rPr>
      <w:rFonts w:ascii="Arial MT" w:cs="Arial MT" w:eastAsia="Arial MT" w:hAnsi="Arial MT"/>
      <w:sz w:val="16"/>
      <w:szCs w:val="16"/>
      <w:lang w:bidi="ar-SA" w:eastAsia="en-US" w:val="es-ES"/>
    </w:rPr>
  </w:style>
  <w:style w:type="paragraph" w:styleId="ListParagraph">
    <w:name w:val="List Paragraph"/>
    <w:basedOn w:val="Normal"/>
    <w:uiPriority w:val="1"/>
    <w:qFormat w:val="1"/>
    <w:pPr>
      <w:ind w:left="1101" w:hanging="360"/>
    </w:pPr>
    <w:rPr>
      <w:rFonts w:ascii="Calibri" w:cs="Calibri" w:eastAsia="Calibri" w:hAnsi="Calibri"/>
      <w:lang w:bidi="ar-SA" w:eastAsia="en-US" w:val="es-ES"/>
    </w:rPr>
  </w:style>
  <w:style w:type="paragraph" w:styleId="TableParagraph">
    <w:name w:val="Table Paragraph"/>
    <w:basedOn w:val="Normal"/>
    <w:uiPriority w:val="1"/>
    <w:qFormat w:val="1"/>
    <w:pPr>
      <w:ind w:left="66"/>
    </w:pPr>
    <w:rPr>
      <w:rFonts w:ascii="Calibri" w:cs="Calibri" w:eastAsia="Calibri" w:hAnsi="Calibri"/>
      <w:lang w:bidi="ar-SA" w:eastAsia="en-US" w:val="es-E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yperlink" Target="http://www.funcionpublica.gov.co/eva/gestornormativo/norma.php?i=87420&amp;%3A~%3Atext=POR%20MEDIO%20DE%20LA%20CUAL%20S" TargetMode="External"/><Relationship Id="rId9" Type="http://schemas.openxmlformats.org/officeDocument/2006/relationships/image" Target="media/image2.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jpg"/><Relationship Id="rId8"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4CEsetsqS+X1+7jHthu1jtIkWEQ==">CgMxLjA4AHIhMTN1Z21kdDFZQ3ZDSVZOeFVYaW5lb3ptRnZFSUI2T2hI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2024-03-22T17:23:36Z</dcterms:created>
</cp:coreProperties>
</file>