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2FA4098F" w:rsidR="009A67BC" w:rsidRPr="009D3123" w:rsidRDefault="00AB4200" w:rsidP="00823299">
      <w:pPr>
        <w:pStyle w:val="Prrafodelista"/>
        <w:ind w:left="0"/>
        <w:jc w:val="center"/>
        <w:rPr>
          <w:rFonts w:cstheme="minorHAnsi"/>
          <w:bCs/>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00823299">
      <w:pPr>
        <w:jc w:val="both"/>
        <w:rPr>
          <w:rFonts w:eastAsia="Arial" w:cstheme="minorHAnsi"/>
          <w:sz w:val="20"/>
          <w:szCs w:val="20"/>
          <w:lang w:val="es-CO"/>
        </w:rPr>
      </w:pPr>
    </w:p>
    <w:p w14:paraId="5ECB9C11" w14:textId="7EF29861" w:rsidR="2BFC450E" w:rsidRPr="00547D84" w:rsidRDefault="2BFC450E" w:rsidP="00823299">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interpretación de</w:t>
      </w:r>
      <w:r w:rsidR="00C20BA8">
        <w:rPr>
          <w:rFonts w:eastAsia="Arial" w:cstheme="minorHAnsi"/>
          <w:sz w:val="20"/>
          <w:szCs w:val="20"/>
          <w:lang w:val="es-CO"/>
        </w:rPr>
        <w:t xml:space="preserve"> la Invitación Pública:</w:t>
      </w:r>
    </w:p>
    <w:p w14:paraId="442F29EB" w14:textId="77777777" w:rsidR="00541F7D" w:rsidRPr="00547D84" w:rsidRDefault="00541F7D" w:rsidP="00823299">
      <w:pPr>
        <w:jc w:val="both"/>
        <w:rPr>
          <w:rFonts w:eastAsia="Arial" w:cstheme="minorHAnsi"/>
          <w:sz w:val="20"/>
          <w:szCs w:val="20"/>
          <w:lang w:val="es-CO"/>
        </w:rPr>
      </w:pPr>
    </w:p>
    <w:p w14:paraId="6067EBDE" w14:textId="77777777" w:rsidR="00541F7D" w:rsidRPr="00547D84" w:rsidRDefault="00541F7D" w:rsidP="00823299">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823299">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823299">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823299">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011245BC" w:rsidR="00F70C8B"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w:t>
      </w:r>
      <w:r w:rsidR="00912444" w:rsidRPr="00547D84">
        <w:rPr>
          <w:rFonts w:asciiTheme="minorHAnsi" w:hAnsiTheme="minorHAnsi" w:cstheme="minorHAnsi"/>
          <w:sz w:val="20"/>
          <w:szCs w:val="20"/>
          <w:lang w:val="es-CO"/>
        </w:rPr>
        <w:lastRenderedPageBreak/>
        <w:t>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82329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823299">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823299">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Bus Rapid Transit</w:t>
      </w:r>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En el cual se establecen las nociones sobre los diferentes cuerpos de agua, vías fluviales, canales navegables, entre otros que sean considerados como una integración de la infraestructura de transporte desde el aspecto marítimo o fluvial.</w:t>
      </w:r>
    </w:p>
    <w:p w14:paraId="067A6B6E" w14:textId="42E89F55" w:rsidR="0033687F"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 xml:space="preserve">presentan una misma propuesta para la adjudicación, celebración y ejecución de un contrato, </w:t>
      </w:r>
      <w:r w:rsidRPr="00547D84">
        <w:rPr>
          <w:rFonts w:asciiTheme="minorHAnsi" w:hAnsiTheme="minorHAnsi" w:cstheme="minorHAnsi"/>
          <w:sz w:val="20"/>
          <w:szCs w:val="20"/>
          <w:lang w:val="es-CO"/>
        </w:rPr>
        <w:lastRenderedPageBreak/>
        <w:t>respondiendo solidariamente de todas las obligaciones derivadas de la propuesta y del contrato.</w:t>
      </w:r>
    </w:p>
    <w:p w14:paraId="600DBD78" w14:textId="77777777" w:rsidR="000E2636" w:rsidRPr="00F46BBD" w:rsidRDefault="000E2636"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49F85C7A" w14:textId="3DEC048C" w:rsidR="0005004C" w:rsidRDefault="00337E4B" w:rsidP="00823299">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2277493A" w14:textId="1603D2D9" w:rsidR="00060C23" w:rsidRPr="00060C23" w:rsidRDefault="00060C23" w:rsidP="00060C23">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060C23">
        <w:rPr>
          <w:rFonts w:asciiTheme="minorHAnsi" w:hAnsiTheme="minorHAnsi" w:cstheme="minorHAnsi"/>
          <w:b/>
          <w:bCs/>
          <w:sz w:val="20"/>
          <w:szCs w:val="20"/>
          <w:lang w:val="es-CO"/>
        </w:rPr>
        <w:t xml:space="preserve">Contrato de Interventoría: </w:t>
      </w:r>
      <w:r w:rsidRPr="00060C23">
        <w:rPr>
          <w:rFonts w:asciiTheme="minorHAnsi" w:hAnsiTheme="minorHAnsi" w:cstheme="minorHAnsi"/>
          <w:bCs/>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08036A8" w14:textId="5990EF9F"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823299">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0082329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823299">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23299">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5569956C"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primarias y secundarias</w:t>
      </w:r>
    </w:p>
    <w:p w14:paraId="0A0D7711" w14:textId="440DF081"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terciarias</w:t>
      </w:r>
    </w:p>
    <w:p w14:paraId="419D6DD7" w14:textId="65D05D80"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Infraestructuras marítimas y fluviales</w:t>
      </w:r>
    </w:p>
    <w:p w14:paraId="4F8BA074" w14:textId="059FF323"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Vías primarias, secundarias o terciarias para atención a emergencias diferentes a contratación directa.</w:t>
      </w:r>
    </w:p>
    <w:p w14:paraId="3A9769B1" w14:textId="643F2DF3"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 férrea</w:t>
      </w:r>
    </w:p>
    <w:p w14:paraId="5DBE8630" w14:textId="66D2B1DF"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Infraestructura vial urbana</w:t>
      </w:r>
    </w:p>
    <w:p w14:paraId="712EC5F0" w14:textId="3BFE95BF" w:rsidR="00D455BF" w:rsidRPr="00547D84" w:rsidRDefault="00D455BF" w:rsidP="00C255A7">
      <w:pPr>
        <w:pStyle w:val="Invias-VietaNumerada"/>
        <w:numPr>
          <w:ilvl w:val="3"/>
          <w:numId w:val="35"/>
        </w:numPr>
        <w:autoSpaceDE w:val="0"/>
        <w:autoSpaceDN w:val="0"/>
        <w:adjustRightInd w:val="0"/>
        <w:spacing w:before="120" w:after="240"/>
        <w:ind w:left="1418"/>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Puentes</w:t>
      </w:r>
    </w:p>
    <w:p w14:paraId="2E2174EF" w14:textId="30C3A325" w:rsidR="00AA12FA" w:rsidRPr="00547D84" w:rsidRDefault="00D455BF" w:rsidP="00C255A7">
      <w:pPr>
        <w:pStyle w:val="Invias-VietaNumerada"/>
        <w:numPr>
          <w:ilvl w:val="3"/>
          <w:numId w:val="35"/>
        </w:numPr>
        <w:autoSpaceDE w:val="0"/>
        <w:autoSpaceDN w:val="0"/>
        <w:adjustRightInd w:val="0"/>
        <w:spacing w:before="0" w:after="240"/>
        <w:ind w:left="1418"/>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823299">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82329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823299">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01E78FD7" w14:textId="39118FD8" w:rsidR="00060C23" w:rsidRDefault="00541F7D" w:rsidP="00060C23">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71C82B9B" w14:textId="6D2A34A7" w:rsidR="00060C23" w:rsidRDefault="00060C23" w:rsidP="00060C23">
      <w:pPr>
        <w:rPr>
          <w:rFonts w:cstheme="minorHAnsi"/>
          <w:b/>
          <w:sz w:val="20"/>
          <w:szCs w:val="20"/>
          <w:lang w:val="es-CO"/>
        </w:rPr>
      </w:pPr>
    </w:p>
    <w:p w14:paraId="1CDA2E2A" w14:textId="77777777" w:rsidR="00060C23" w:rsidRDefault="00060C23" w:rsidP="00060C23">
      <w:pPr>
        <w:jc w:val="both"/>
        <w:rPr>
          <w:rFonts w:eastAsia="Arial" w:cstheme="minorHAnsi"/>
          <w:sz w:val="20"/>
          <w:szCs w:val="20"/>
          <w:highlight w:val="lightGray"/>
          <w:lang w:val="es-ES"/>
        </w:rPr>
      </w:pPr>
      <w:r>
        <w:rPr>
          <w:rFonts w:eastAsia="Arial" w:cstheme="minorHAnsi"/>
          <w:sz w:val="20"/>
          <w:szCs w:val="20"/>
          <w:highlight w:val="lightGray"/>
          <w:lang w:val="es-ES"/>
        </w:rPr>
        <w:t xml:space="preserve">[La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 </w:t>
      </w:r>
    </w:p>
    <w:p w14:paraId="7929B69B" w14:textId="77777777" w:rsidR="00060C23" w:rsidRDefault="00060C23" w:rsidP="00060C23">
      <w:pPr>
        <w:rPr>
          <w:rFonts w:eastAsia="Arial" w:cstheme="minorHAnsi"/>
          <w:sz w:val="20"/>
          <w:szCs w:val="20"/>
          <w:lang w:val="es-CO"/>
        </w:rPr>
      </w:pPr>
    </w:p>
    <w:p w14:paraId="504F3EBC" w14:textId="77777777" w:rsidR="00060C23" w:rsidRDefault="00060C23" w:rsidP="00060C23">
      <w:pPr>
        <w:jc w:val="both"/>
        <w:rPr>
          <w:rFonts w:cstheme="minorHAnsi"/>
          <w:b/>
          <w:sz w:val="20"/>
          <w:szCs w:val="20"/>
          <w:lang w:val="es-CO"/>
        </w:rPr>
      </w:pPr>
      <w:r>
        <w:rPr>
          <w:rFonts w:eastAsia="Arial" w:cstheme="minorHAnsi"/>
          <w:sz w:val="20"/>
          <w:szCs w:val="20"/>
          <w:highlight w:val="lightGray"/>
          <w:lang w:val="es-CO"/>
        </w:rPr>
        <w:t xml:space="preserve">[Respecto a la categorización de las vías, se maneja en los Documentos Tipo la definición de Vías primarias, secundarias o terciaras, hasta que se cumpla el plazo establecido en la Resolución 411 de 2020 del Ministerio de Transporte, o aquellas que las modifiquen, adición o deroguen; en la cual se detallan los lineamientos de categorización de vías de primer, segundo y tercer orden de acuerdo con la </w:t>
      </w:r>
      <w:r>
        <w:rPr>
          <w:rFonts w:eastAsia="Arial" w:cstheme="minorHAnsi"/>
          <w:i/>
          <w:iCs/>
          <w:sz w:val="20"/>
          <w:szCs w:val="20"/>
          <w:highlight w:val="lightGray"/>
          <w:lang w:val="es-CO"/>
        </w:rPr>
        <w:t>matriz y guía para realizar la categorización de la red vial nacional</w:t>
      </w:r>
      <w:r>
        <w:rPr>
          <w:rFonts w:eastAsia="Arial" w:cstheme="minorHAnsi"/>
          <w:sz w:val="20"/>
          <w:szCs w:val="20"/>
          <w:highlight w:val="lightGray"/>
          <w:lang w:val="es-CO"/>
        </w:rPr>
        <w:t>.</w:t>
      </w:r>
      <w:r>
        <w:rPr>
          <w:rFonts w:eastAsia="Arial" w:cstheme="minorHAnsi"/>
          <w:sz w:val="20"/>
          <w:szCs w:val="20"/>
          <w:lang w:val="es-CO"/>
        </w:rPr>
        <w:t>]</w:t>
      </w:r>
    </w:p>
    <w:p w14:paraId="3E1A2342" w14:textId="77777777" w:rsidR="00071442" w:rsidRPr="00547D84" w:rsidRDefault="00071442" w:rsidP="00823299">
      <w:pPr>
        <w:rPr>
          <w:rFonts w:cstheme="minorHAnsi"/>
          <w:b/>
          <w:bCs/>
          <w:sz w:val="20"/>
          <w:szCs w:val="20"/>
          <w:lang w:val="es-CO"/>
        </w:rPr>
      </w:pPr>
    </w:p>
    <w:p w14:paraId="1A0DB9F5" w14:textId="6F69D0CF" w:rsidR="00AD04E7" w:rsidRPr="00547D84" w:rsidRDefault="00AD04E7" w:rsidP="00823299">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823299">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04FE4246" w:rsidR="007072E4" w:rsidRPr="00060C23" w:rsidRDefault="007072E4" w:rsidP="00823299">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Normas Colombianas de </w:t>
      </w:r>
      <w:r w:rsidR="00891B7B" w:rsidRPr="00547D84">
        <w:rPr>
          <w:rFonts w:cstheme="minorHAnsi"/>
          <w:sz w:val="20"/>
          <w:szCs w:val="20"/>
          <w:lang w:val="es-CO"/>
        </w:rPr>
        <w:t>D</w:t>
      </w:r>
      <w:r w:rsidRPr="00547D84">
        <w:rPr>
          <w:rFonts w:cstheme="minorHAnsi"/>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9412DFB" w14:textId="034DE0A7" w:rsidR="00060C23" w:rsidRPr="00060C23" w:rsidRDefault="00060C23" w:rsidP="00060C23">
      <w:pPr>
        <w:pStyle w:val="Prrafodelista"/>
        <w:numPr>
          <w:ilvl w:val="1"/>
          <w:numId w:val="22"/>
        </w:numPr>
        <w:spacing w:after="240"/>
        <w:ind w:left="720" w:hanging="436"/>
        <w:contextualSpacing w:val="0"/>
        <w:jc w:val="both"/>
        <w:rPr>
          <w:rFonts w:cstheme="minorHAnsi"/>
          <w:b/>
          <w:sz w:val="20"/>
          <w:szCs w:val="20"/>
          <w:lang w:val="es-CO"/>
        </w:rPr>
      </w:pPr>
      <w:r w:rsidRPr="006A2F19">
        <w:rPr>
          <w:rFonts w:cstheme="minorHAnsi"/>
          <w:b/>
          <w:sz w:val="20"/>
          <w:szCs w:val="20"/>
          <w:lang w:val="es-CO"/>
        </w:rPr>
        <w:t xml:space="preserve">Adaptación: </w:t>
      </w:r>
      <w:r w:rsidRPr="006A2F19">
        <w:rPr>
          <w:rFonts w:cstheme="minorHAnsi"/>
          <w:bCs/>
          <w:sz w:val="20"/>
          <w:szCs w:val="20"/>
          <w:lang w:val="es-CO"/>
        </w:rPr>
        <w:t>Comprende el ajuste de los sistemas naturales o humanos a los estímulos climáticos actuales o esperados o a sus efectos, con el fin de moderar perjuicios o explotar oportunidades beneficiosas, En el caso de los eventos hidrometeorológicos la Adaptación al Cambio Climático corresponde a la gestión del riesgo de desastres en la medida en que está encaminada a la reducción de la vulnerabilidad o al mejoramiento de la resiliencia en respuesta a los cambios observados o esperados del clima y su variabilidad. (Ley 1523 de 2012</w:t>
      </w:r>
      <w:r w:rsidRPr="006A2F19">
        <w:rPr>
          <w:rFonts w:cstheme="minorHAnsi"/>
          <w:b/>
          <w:sz w:val="20"/>
          <w:szCs w:val="20"/>
          <w:lang w:val="es-CO"/>
        </w:rPr>
        <w:t>).</w:t>
      </w:r>
    </w:p>
    <w:p w14:paraId="204C5DBA" w14:textId="24E02B08" w:rsidR="006A2B34" w:rsidRPr="00547D84" w:rsidRDefault="006A2B34" w:rsidP="00823299">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 xml:space="preserve">stico continuos del estado de las vías, </w:t>
      </w:r>
      <w:r w:rsidRPr="00547D84">
        <w:rPr>
          <w:rFonts w:cstheme="minorHAnsi"/>
          <w:sz w:val="20"/>
          <w:szCs w:val="20"/>
          <w:lang w:val="es-CO"/>
        </w:rPr>
        <w:lastRenderedPageBreak/>
        <w:t>para garantizar la transitabilidad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823299">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823299">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823299">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823299">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823299">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823299">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3A78949A" w14:textId="27E89752" w:rsidR="00060C23" w:rsidRPr="00060C23" w:rsidRDefault="00060C23" w:rsidP="00060C23">
      <w:pPr>
        <w:pStyle w:val="Prrafodelista"/>
        <w:numPr>
          <w:ilvl w:val="1"/>
          <w:numId w:val="22"/>
        </w:numPr>
        <w:spacing w:after="240"/>
        <w:ind w:left="709" w:hanging="425"/>
        <w:contextualSpacing w:val="0"/>
        <w:jc w:val="both"/>
        <w:rPr>
          <w:rFonts w:cstheme="minorHAnsi"/>
          <w:sz w:val="20"/>
          <w:szCs w:val="20"/>
          <w:lang w:val="es-CO"/>
        </w:rPr>
      </w:pPr>
      <w:r w:rsidRPr="006A2F19">
        <w:rPr>
          <w:rFonts w:cstheme="minorHAnsi"/>
          <w:b/>
          <w:bCs/>
          <w:sz w:val="20"/>
          <w:szCs w:val="20"/>
          <w:lang w:val="es-CO"/>
        </w:rPr>
        <w:t xml:space="preserve">Aeropuerto: </w:t>
      </w:r>
      <w:r w:rsidRPr="006A2F19">
        <w:rPr>
          <w:rFonts w:cstheme="minorHAnsi"/>
          <w:sz w:val="20"/>
          <w:szCs w:val="20"/>
          <w:lang w:val="es-CO"/>
        </w:rPr>
        <w:t>Todo aeródromo especialmente equipado y usado regularmente para pasajeros y/o carga y que, a juicio de la UAEAC, posee instalaciones y servicios de infraestructura aeronáutica suficientes para ser operado en la aviación civil. (Resolución N°. 02724 de septiembre 03 de 2019-Aerocivil).</w:t>
      </w:r>
    </w:p>
    <w:p w14:paraId="0BC779EA" w14:textId="1BBA4A90" w:rsidR="001E2692" w:rsidRPr="00060C23" w:rsidRDefault="001E2692" w:rsidP="00823299">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81C150C" w14:textId="77777777" w:rsidR="00060C23" w:rsidRPr="006A2F19"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t xml:space="preserve">Alerta: </w:t>
      </w:r>
      <w:r w:rsidRPr="006A2F19">
        <w:rPr>
          <w:rFonts w:cstheme="minorHAnsi"/>
          <w:sz w:val="20"/>
          <w:szCs w:val="20"/>
          <w:lang w:val="es-CO"/>
        </w:rPr>
        <w:t>Estado que se declara con anterioridad a la manifestación de un evento peligroso, con base en el monitoreo del comportamiento del respectivo fenómeno, con el fin de que las entidades y la población involucrada activen procedimientos de acción previamente establecidos. (Ley 1523 de 2012).</w:t>
      </w:r>
    </w:p>
    <w:p w14:paraId="48605DFA" w14:textId="77777777" w:rsidR="00060C23" w:rsidRPr="006A2F19"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t xml:space="preserve">Amenaza: </w:t>
      </w:r>
      <w:r w:rsidRPr="006A2F19">
        <w:rPr>
          <w:rFonts w:cstheme="minorHAnsi"/>
          <w:sz w:val="20"/>
          <w:szCs w:val="20"/>
          <w:lang w:val="es-CO"/>
        </w:rPr>
        <w:t>Peligro latente de que un evento físico de origen natural, o causado, o inducido por la acción humana de manera accidental, se presente con una severidad suficiente para causar pérdida de vidas, lesiones u otros impactos en la salud, así como también daños y pérdidas en los bienes, la infraestructura, los medios de sustento, la prestación de servicios y los recursos ambientales. (Ley 1523 de 2012).</w:t>
      </w:r>
    </w:p>
    <w:p w14:paraId="54CB49C8" w14:textId="491D0ED1" w:rsidR="00060C23" w:rsidRPr="00060C23" w:rsidRDefault="00060C23" w:rsidP="00060C23">
      <w:pPr>
        <w:pStyle w:val="Prrafodelista"/>
        <w:numPr>
          <w:ilvl w:val="1"/>
          <w:numId w:val="22"/>
        </w:numPr>
        <w:spacing w:after="240"/>
        <w:ind w:left="709" w:hanging="425"/>
        <w:contextualSpacing w:val="0"/>
        <w:jc w:val="both"/>
        <w:rPr>
          <w:rFonts w:cstheme="minorHAnsi"/>
          <w:b/>
          <w:bCs/>
          <w:sz w:val="20"/>
          <w:szCs w:val="20"/>
          <w:lang w:val="es-CO"/>
        </w:rPr>
      </w:pPr>
      <w:r w:rsidRPr="006A2F19">
        <w:rPr>
          <w:rFonts w:cstheme="minorHAnsi"/>
          <w:b/>
          <w:bCs/>
          <w:sz w:val="20"/>
          <w:szCs w:val="20"/>
          <w:lang w:val="es-CO"/>
        </w:rPr>
        <w:t xml:space="preserve">Análisis y evaluación del riesgo: </w:t>
      </w:r>
      <w:r w:rsidRPr="006A2F19">
        <w:rPr>
          <w:rFonts w:cstheme="minorHAnsi"/>
          <w:sz w:val="20"/>
          <w:szCs w:val="20"/>
          <w:lang w:val="es-CO"/>
        </w:rPr>
        <w:t xml:space="preserve">Implica la consideración de las causas y fuentes del riesgo, sus consecuencias y la probabilidad de que dichas consecuencias puedan ocurrir. Es el modelo mediante el cual se relaciona la amenaza y la vulnerabilidad de los elementos expuestos, con el fin de determinar los posibles efectos sociales, económicos y ambientales y sus probabilidades. Se estima el valor de los daños y las pérdidas potenciales, y se compara con criterios de seguridad establecidos, con el propósito de definir tipos de </w:t>
      </w:r>
      <w:r w:rsidRPr="006A2F19">
        <w:rPr>
          <w:rFonts w:cstheme="minorHAnsi"/>
          <w:sz w:val="20"/>
          <w:szCs w:val="20"/>
          <w:lang w:val="es-CO"/>
        </w:rPr>
        <w:lastRenderedPageBreak/>
        <w:t>intervención y alcance de la reducción del riesgo y preparación para la respuesta y recuperación. (Ley 1523 de 2012).</w:t>
      </w:r>
    </w:p>
    <w:p w14:paraId="501D8FBA" w14:textId="69EBFF96" w:rsidR="00B907B0" w:rsidRPr="00547D84"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229B05EA" w:rsidR="00B907B0" w:rsidRPr="00295752"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ciclousarios</w:t>
      </w:r>
      <w:r w:rsidRPr="00547D84">
        <w:rPr>
          <w:rFonts w:cstheme="minorHAnsi"/>
          <w:sz w:val="20"/>
          <w:szCs w:val="20"/>
          <w:lang w:val="es-CO"/>
        </w:rPr>
        <w:t>.</w:t>
      </w:r>
    </w:p>
    <w:p w14:paraId="2F636E3E"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Área de Influencia Directa (Gestión ambiental): </w:t>
      </w:r>
      <w:r w:rsidRPr="006A2F19">
        <w:rPr>
          <w:rFonts w:cstheme="minorHAnsi"/>
          <w:sz w:val="20"/>
          <w:szCs w:val="20"/>
          <w:lang w:val="es-CO"/>
        </w:rPr>
        <w:t>Área en la cual se manifiestan de manera objetiva y en lo posible cuantificable, los impactos ambientales significativos ocasionados por la ejecución de un proyecto, obra o actividad, sobre los medios abiótico, biótico y socioeconómico, en cada uno de los componentes de dichos medios. Debido a que las áreas de los impactos pueden variar dependiendo del componente que se analice, el área de influencia podrá corresponder a varios polígonos distintos que se entrecrucen entre sí. (Decreto 1076 de 2015 articulo 2.2.2.3.1.1.) ; (Manual de interventoría – Res –INV-319-2022).</w:t>
      </w:r>
    </w:p>
    <w:p w14:paraId="14890D54"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Balance Ambiental: </w:t>
      </w:r>
      <w:r w:rsidRPr="006A2F19">
        <w:rPr>
          <w:rFonts w:cstheme="minorHAnsi"/>
          <w:sz w:val="20"/>
          <w:szCs w:val="20"/>
          <w:lang w:val="es-CO"/>
        </w:rPr>
        <w:t>Análisis periódico que da cuenta del estado de cumplimiento de las obligaciones ambientales durante la ejecución del proyecto. (Manual de interventoría – Res –INV-319-2022).</w:t>
      </w:r>
    </w:p>
    <w:p w14:paraId="68D109F5" w14:textId="77777777" w:rsidR="00295752" w:rsidRPr="006A2F19" w:rsidRDefault="00295752" w:rsidP="00295752">
      <w:pPr>
        <w:pStyle w:val="Prrafodelista"/>
        <w:numPr>
          <w:ilvl w:val="1"/>
          <w:numId w:val="22"/>
        </w:numPr>
        <w:spacing w:after="240"/>
        <w:ind w:left="720" w:hanging="436"/>
        <w:contextualSpacing w:val="0"/>
        <w:jc w:val="both"/>
        <w:rPr>
          <w:rFonts w:cstheme="minorHAnsi"/>
          <w:sz w:val="20"/>
          <w:szCs w:val="20"/>
          <w:lang w:val="es-CO"/>
        </w:rPr>
      </w:pPr>
      <w:r w:rsidRPr="006A2F19">
        <w:rPr>
          <w:rFonts w:cstheme="minorHAnsi"/>
          <w:b/>
          <w:bCs/>
          <w:sz w:val="20"/>
          <w:szCs w:val="20"/>
          <w:lang w:val="es-CO"/>
        </w:rPr>
        <w:t xml:space="preserve">Buenas Prácticas Ambientales: </w:t>
      </w:r>
      <w:r w:rsidRPr="006A2F19">
        <w:rPr>
          <w:rFonts w:cstheme="minorHAnsi"/>
          <w:sz w:val="20"/>
          <w:szCs w:val="20"/>
          <w:lang w:val="es-CO"/>
        </w:rPr>
        <w:t>Acciones que procuran reducir el impacto ambiental negativo que causan las actividades y los procesos, a través de cambios y mejoras en la organización y desarrollo de las acciones. (Manual de interventoría – Res –INV-319-2022).</w:t>
      </w:r>
    </w:p>
    <w:p w14:paraId="3677EFEB" w14:textId="77777777" w:rsidR="00295752" w:rsidRPr="006A2F1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Cabecera Municipal: </w:t>
      </w:r>
      <w:r w:rsidRPr="006A2F19">
        <w:rPr>
          <w:rFonts w:cstheme="minorHAnsi"/>
          <w:sz w:val="20"/>
          <w:szCs w:val="20"/>
          <w:lang w:val="es-CO"/>
        </w:rPr>
        <w:t>Es el área geográfica que está delimitada por un perímetro urbano, la cual está definida como un polo de atracción en el cual se genera el mayor número de viajes en períodos determinados. (Res 0411 de 2020 – MT)</w:t>
      </w:r>
    </w:p>
    <w:p w14:paraId="303EB029" w14:textId="323BE423" w:rsidR="00295752" w:rsidRPr="00823299"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Calamidad pública: </w:t>
      </w:r>
      <w:r w:rsidRPr="006A2F19">
        <w:rPr>
          <w:rFonts w:cstheme="minorHAnsi"/>
          <w:sz w:val="20"/>
          <w:szCs w:val="20"/>
          <w:lang w:val="es-CO"/>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población, en el respectivo territorio, que exige al municipio, distrito o departamento ejecutar acciones de respuesta a la emergencia, rehabilitación y reconstrucción. (Ley 1523 de 2012).</w:t>
      </w:r>
    </w:p>
    <w:p w14:paraId="30F2ED1E" w14:textId="408D52C4" w:rsidR="00823299" w:rsidRPr="00547D84" w:rsidRDefault="00823299" w:rsidP="00823299">
      <w:pPr>
        <w:pStyle w:val="Prrafodelista"/>
        <w:numPr>
          <w:ilvl w:val="1"/>
          <w:numId w:val="22"/>
        </w:numPr>
        <w:spacing w:after="240"/>
        <w:ind w:left="720" w:hanging="436"/>
        <w:contextualSpacing w:val="0"/>
        <w:jc w:val="both"/>
        <w:rPr>
          <w:rFonts w:cstheme="minorHAnsi"/>
          <w:b/>
          <w:bCs/>
          <w:sz w:val="20"/>
          <w:szCs w:val="20"/>
          <w:lang w:val="es-CO"/>
        </w:rPr>
      </w:pPr>
      <w:r w:rsidRPr="00823299">
        <w:rPr>
          <w:rFonts w:cstheme="minorHAnsi"/>
          <w:b/>
          <w:bCs/>
          <w:sz w:val="20"/>
          <w:szCs w:val="20"/>
          <w:lang w:val="es-CO"/>
        </w:rPr>
        <w:t xml:space="preserve">Buenas prácticas ambientales: </w:t>
      </w:r>
      <w:r w:rsidRPr="00823299">
        <w:rPr>
          <w:rFonts w:cstheme="minorHAnsi"/>
          <w:sz w:val="20"/>
          <w:szCs w:val="20"/>
          <w:lang w:val="es-CO"/>
        </w:rPr>
        <w:t>Las buenas prácticas ambientales son definidas como aquellas acciones que procuran reducir el impacto ambiental negativo que causan las actividades y los procesos, a través de cambios y mejoras en la organización y desarrollo de las acciones. (ECOSOC, 2017)</w:t>
      </w:r>
      <w:r>
        <w:rPr>
          <w:rFonts w:cstheme="minorHAnsi"/>
          <w:sz w:val="20"/>
          <w:szCs w:val="20"/>
          <w:lang w:val="es-CO"/>
        </w:rPr>
        <w:t>.</w:t>
      </w:r>
    </w:p>
    <w:p w14:paraId="179968FA" w14:textId="77777777" w:rsidR="00890107" w:rsidRPr="00547D84" w:rsidRDefault="00890107" w:rsidP="00823299">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 xml:space="preserve">nstruidas fuera </w:t>
      </w:r>
      <w:r w:rsidR="00681A73" w:rsidRPr="00F46BBD">
        <w:rPr>
          <w:rFonts w:eastAsia="Times New Roman" w:cstheme="minorHAnsi"/>
          <w:sz w:val="20"/>
          <w:szCs w:val="20"/>
          <w:lang w:eastAsia="es-ES"/>
        </w:rPr>
        <w:lastRenderedPageBreak/>
        <w:t>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4179AC6E" w:rsidR="00B907B0" w:rsidRPr="00295752" w:rsidRDefault="00B907B0"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73D8C2D0" w14:textId="7E26844D" w:rsidR="00295752" w:rsidRPr="00295752" w:rsidRDefault="00295752" w:rsidP="00295752">
      <w:pPr>
        <w:pStyle w:val="Prrafodelista"/>
        <w:numPr>
          <w:ilvl w:val="1"/>
          <w:numId w:val="22"/>
        </w:numPr>
        <w:spacing w:after="240"/>
        <w:ind w:left="720" w:hanging="436"/>
        <w:contextualSpacing w:val="0"/>
        <w:jc w:val="both"/>
        <w:rPr>
          <w:rFonts w:cstheme="minorHAnsi"/>
          <w:b/>
          <w:bCs/>
          <w:sz w:val="20"/>
          <w:szCs w:val="20"/>
          <w:lang w:val="es-CO"/>
        </w:rPr>
      </w:pPr>
      <w:r w:rsidRPr="006A2F19">
        <w:rPr>
          <w:rFonts w:cstheme="minorHAnsi"/>
          <w:b/>
          <w:bCs/>
          <w:sz w:val="20"/>
          <w:szCs w:val="20"/>
          <w:lang w:val="es-CO"/>
        </w:rPr>
        <w:t xml:space="preserve">Cambio climático: </w:t>
      </w:r>
      <w:r w:rsidRPr="006A2F19">
        <w:rPr>
          <w:rFonts w:cstheme="minorHAnsi"/>
          <w:sz w:val="20"/>
          <w:szCs w:val="20"/>
          <w:lang w:val="es-CO"/>
        </w:rPr>
        <w:t>Importante variación estadística en el estado medio del clima o en su variabilidad, que persiste durante un período prolongado (normalmente decenios o incluso más). El cambio climático se puede deber a procesos naturales internos o a cambios del forzamiento externo, o bien a cambios persistentes antropogénicos en la composición de la atmósfera o en el uso de las tierras. (Ley 1523 de 2012).</w:t>
      </w:r>
    </w:p>
    <w:p w14:paraId="2275200F" w14:textId="17B49F28" w:rsidR="00890107" w:rsidRPr="00F46BBD" w:rsidRDefault="00890107"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823299">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823299">
      <w:pPr>
        <w:pStyle w:val="Prrafodelista"/>
        <w:numPr>
          <w:ilvl w:val="1"/>
          <w:numId w:val="22"/>
        </w:numPr>
        <w:spacing w:after="240"/>
        <w:ind w:left="851" w:hanging="644"/>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823299">
      <w:pPr>
        <w:pStyle w:val="Prrafodelista"/>
        <w:spacing w:after="240"/>
        <w:ind w:left="851"/>
        <w:contextualSpacing w:val="0"/>
        <w:jc w:val="both"/>
        <w:rPr>
          <w:rFonts w:cstheme="minorHAnsi"/>
          <w:b/>
          <w:sz w:val="20"/>
          <w:szCs w:val="20"/>
          <w:lang w:val="es-CO"/>
        </w:rPr>
      </w:pPr>
      <w:r w:rsidRPr="00547D84">
        <w:rPr>
          <w:rFonts w:cstheme="minorHAnsi"/>
          <w:b/>
          <w:sz w:val="20"/>
          <w:szCs w:val="20"/>
          <w:lang w:val="es-CO"/>
        </w:rPr>
        <w:t xml:space="preserve">Nota: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de la experiencia, donde se indique que el ancho de 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Carreteras</w:t>
      </w:r>
      <w:r w:rsidR="00DB0B82" w:rsidRPr="00547D84">
        <w:rPr>
          <w:rFonts w:asciiTheme="minorHAnsi" w:hAnsiTheme="minorHAnsi" w:cstheme="minorHAnsi"/>
          <w:b/>
          <w:bCs/>
          <w:sz w:val="20"/>
          <w:szCs w:val="20"/>
          <w:lang w:val="es-CO"/>
        </w:rPr>
        <w:t xml:space="preserve"> o Vías</w:t>
      </w:r>
      <w:r w:rsidRPr="00547D84">
        <w:rPr>
          <w:rFonts w:asciiTheme="minorHAnsi" w:hAnsiTheme="minorHAnsi" w:cstheme="minorHAnsi"/>
          <w:b/>
          <w:bCs/>
          <w:sz w:val="20"/>
          <w:szCs w:val="20"/>
          <w:lang w:val="es-CO"/>
        </w:rPr>
        <w:t xml:space="preserve"> Secundarias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Segundo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00D12349" w:rsidRPr="00547D84">
        <w:rPr>
          <w:rFonts w:asciiTheme="minorHAnsi" w:hAnsiTheme="minorHAnsi" w:cstheme="minorHAnsi"/>
          <w:sz w:val="20"/>
          <w:szCs w:val="20"/>
          <w:lang w:val="es-CO"/>
        </w:rPr>
        <w:t xml:space="preserve">ías que unen las cabeceras municipales entre sí y/o que provienen de una cabecera municipal y conectan con una </w:t>
      </w:r>
      <w:r w:rsidR="003272C5" w:rsidRPr="00547D84">
        <w:rPr>
          <w:rFonts w:asciiTheme="minorHAnsi" w:hAnsiTheme="minorHAnsi" w:cstheme="minorHAnsi"/>
          <w:sz w:val="20"/>
          <w:szCs w:val="20"/>
          <w:lang w:val="es-CO"/>
        </w:rPr>
        <w:t>C</w:t>
      </w:r>
      <w:r w:rsidR="00D12349" w:rsidRPr="00547D84">
        <w:rPr>
          <w:rFonts w:asciiTheme="minorHAnsi" w:hAnsiTheme="minorHAnsi" w:cstheme="minorHAnsi"/>
          <w:sz w:val="20"/>
          <w:szCs w:val="20"/>
          <w:lang w:val="es-CO"/>
        </w:rPr>
        <w:t xml:space="preserve">arretera Primaria. Las carreteras consideradas como </w:t>
      </w:r>
      <w:r w:rsidR="003272C5" w:rsidRPr="00547D84">
        <w:rPr>
          <w:rFonts w:asciiTheme="minorHAnsi" w:hAnsiTheme="minorHAnsi" w:cstheme="minorHAnsi"/>
          <w:sz w:val="20"/>
          <w:szCs w:val="20"/>
          <w:lang w:val="es-CO"/>
        </w:rPr>
        <w:t>s</w:t>
      </w:r>
      <w:r w:rsidR="00D12349" w:rsidRPr="00547D84">
        <w:rPr>
          <w:rFonts w:asciiTheme="minorHAnsi" w:hAnsiTheme="minorHAnsi" w:cstheme="minorHAnsi"/>
          <w:sz w:val="20"/>
          <w:szCs w:val="20"/>
          <w:lang w:val="es-CO"/>
        </w:rPr>
        <w:t>ecundarias pueden funcionar pavimentadas o en afirmado.</w:t>
      </w:r>
    </w:p>
    <w:p w14:paraId="2587BCE9" w14:textId="664F6810" w:rsidR="00461BA5" w:rsidRPr="00547D84" w:rsidRDefault="00461BA5" w:rsidP="00823299">
      <w:pPr>
        <w:spacing w:after="240"/>
        <w:ind w:left="851"/>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Carreteras </w:t>
      </w:r>
      <w:r w:rsidR="00DB0B82" w:rsidRPr="00547D84">
        <w:rPr>
          <w:rFonts w:asciiTheme="minorHAnsi" w:hAnsiTheme="minorHAnsi" w:cstheme="minorHAnsi"/>
          <w:b/>
          <w:bCs/>
          <w:sz w:val="20"/>
          <w:szCs w:val="20"/>
          <w:lang w:val="es-CO"/>
        </w:rPr>
        <w:t xml:space="preserve">o Vías </w:t>
      </w:r>
      <w:r w:rsidRPr="00547D84">
        <w:rPr>
          <w:rFonts w:asciiTheme="minorHAnsi" w:hAnsiTheme="minorHAnsi" w:cstheme="minorHAnsi"/>
          <w:b/>
          <w:bCs/>
          <w:sz w:val="20"/>
          <w:szCs w:val="20"/>
          <w:lang w:val="es-CO"/>
        </w:rPr>
        <w:t>Terciarias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Tercer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Pr="00547D84">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38739B"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erciarias</w:t>
      </w:r>
      <w:r w:rsidR="0054340B" w:rsidRPr="00547D84">
        <w:rPr>
          <w:rFonts w:asciiTheme="minorHAnsi" w:hAnsiTheme="minorHAnsi" w:cstheme="minorHAnsi"/>
          <w:sz w:val="20"/>
          <w:szCs w:val="20"/>
          <w:lang w:val="es-CO"/>
        </w:rPr>
        <w:t xml:space="preserve"> funcionan en general en afirmado</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7D1FE8E6" w14:textId="013D413F" w:rsidR="001E2692"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Carril: </w:t>
      </w:r>
      <w:r w:rsidR="003272C5" w:rsidRPr="00547D84">
        <w:rPr>
          <w:rFonts w:asciiTheme="minorHAnsi" w:hAnsiTheme="minorHAnsi" w:cstheme="minorHAnsi"/>
          <w:sz w:val="20"/>
          <w:szCs w:val="20"/>
          <w:lang w:val="es-CO"/>
        </w:rPr>
        <w:t>F</w:t>
      </w:r>
      <w:r w:rsidR="00B907B0" w:rsidRPr="00547D84">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47D84">
        <w:rPr>
          <w:rFonts w:asciiTheme="minorHAnsi" w:hAnsiTheme="minorHAnsi" w:cstheme="minorHAnsi"/>
          <w:sz w:val="20"/>
          <w:szCs w:val="20"/>
          <w:lang w:val="es-CO"/>
        </w:rPr>
        <w:t>.</w:t>
      </w:r>
    </w:p>
    <w:p w14:paraId="63DD7A09" w14:textId="73F9CBDC" w:rsidR="00823299" w:rsidRPr="00823299" w:rsidRDefault="00823299" w:rsidP="001D7AB9">
      <w:pPr>
        <w:pStyle w:val="Prrafodelista"/>
        <w:numPr>
          <w:ilvl w:val="1"/>
          <w:numId w:val="22"/>
        </w:numPr>
        <w:ind w:left="851" w:hanging="567"/>
        <w:jc w:val="both"/>
        <w:rPr>
          <w:rFonts w:eastAsia="Times New Roman" w:cstheme="minorHAnsi"/>
          <w:sz w:val="20"/>
          <w:szCs w:val="20"/>
          <w:lang w:val="es-CO" w:eastAsia="es-ES"/>
        </w:rPr>
      </w:pPr>
      <w:r w:rsidRPr="00823299">
        <w:rPr>
          <w:rFonts w:eastAsia="Times New Roman" w:cstheme="minorHAnsi"/>
          <w:b/>
          <w:bCs/>
          <w:sz w:val="20"/>
          <w:szCs w:val="20"/>
          <w:lang w:val="es-CO" w:eastAsia="es-ES"/>
        </w:rPr>
        <w:lastRenderedPageBreak/>
        <w:t>Ciclo de vida de proyectos:</w:t>
      </w:r>
      <w:r w:rsidRPr="00823299">
        <w:rPr>
          <w:rFonts w:eastAsia="Times New Roman" w:cstheme="minorHAnsi"/>
          <w:sz w:val="20"/>
          <w:szCs w:val="20"/>
          <w:lang w:val="es-CO" w:eastAsia="es-ES"/>
        </w:rPr>
        <w:t xml:space="preserve"> Es el conjunto de fases en las que se realiza un proyecto desde su planeación hasta su desmantelamiento. Una fase es un conjunto de actividades del proyecto relacionadas entre sí y que en general, finaliza con la entrega de un producto parcial o completo. (ITM, 2016).</w:t>
      </w:r>
    </w:p>
    <w:p w14:paraId="4C36A7EE" w14:textId="6794767A" w:rsidR="001E2692" w:rsidRPr="00547D84" w:rsidRDefault="001E269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Ciclorruta: </w:t>
      </w:r>
      <w:r w:rsidR="003272C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31F697C4" w:rsidR="007D0DBE" w:rsidRDefault="007D0DBE"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547D84">
        <w:rPr>
          <w:rFonts w:asciiTheme="minorHAnsi" w:hAnsiTheme="minorHAnsi" w:cstheme="minorHAnsi"/>
          <w:b/>
          <w:sz w:val="20"/>
          <w:szCs w:val="20"/>
          <w:lang w:val="es-ES"/>
        </w:rPr>
        <w:t xml:space="preserve">Ciclovía: </w:t>
      </w:r>
      <w:r w:rsidRPr="00547D84">
        <w:rPr>
          <w:rFonts w:asciiTheme="minorHAnsi" w:hAnsiTheme="minorHAnsi" w:cstheme="minorHAnsi"/>
          <w:sz w:val="20"/>
          <w:szCs w:val="20"/>
          <w:lang w:val="es-ES"/>
        </w:rPr>
        <w:t>Vía o sección de calzada destinada ocasionalmente para el tránsito de bicicletas, triciclos y peatones.</w:t>
      </w:r>
    </w:p>
    <w:p w14:paraId="74F7D5A0"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w:t>
      </w:r>
      <w:r w:rsidRPr="006A2F19">
        <w:rPr>
          <w:rFonts w:asciiTheme="minorHAnsi" w:hAnsiTheme="minorHAnsi" w:cstheme="minorHAnsi"/>
          <w:bCs/>
          <w:sz w:val="20"/>
          <w:szCs w:val="20"/>
          <w:lang w:val="es-ES"/>
        </w:rPr>
        <w:t>Elemento de apoyo que deriva su resistencia de transferir su carga al suelo o roca que soporta el puente. (CCP-2014)</w:t>
      </w:r>
    </w:p>
    <w:p w14:paraId="62CB491E"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profunda: </w:t>
      </w:r>
      <w:r w:rsidRPr="006A2F19">
        <w:rPr>
          <w:rFonts w:asciiTheme="minorHAnsi" w:hAnsiTheme="minorHAnsi" w:cstheme="minorHAnsi"/>
          <w:bCs/>
          <w:sz w:val="20"/>
          <w:szCs w:val="20"/>
          <w:lang w:val="es-ES"/>
        </w:rPr>
        <w:t>Cimentación que deriva su capacidad de carga de la transferencia de cargas al suelo o roca a cierta profundidad por debajo de la estructura mediante apoyo por punta o por contacto del fuste (adherencia o fricción), o ambas. (CCP-2014)</w:t>
      </w:r>
    </w:p>
    <w:p w14:paraId="2BC0F69D"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6A2F19">
        <w:rPr>
          <w:rFonts w:asciiTheme="minorHAnsi" w:hAnsiTheme="minorHAnsi" w:cstheme="minorHAnsi"/>
          <w:b/>
          <w:sz w:val="20"/>
          <w:szCs w:val="20"/>
          <w:lang w:val="es-ES"/>
        </w:rPr>
        <w:t xml:space="preserve">Cimentación superficial: </w:t>
      </w:r>
      <w:r w:rsidRPr="006A2F19">
        <w:rPr>
          <w:rFonts w:asciiTheme="minorHAnsi" w:hAnsiTheme="minorHAnsi" w:cstheme="minorHAnsi"/>
          <w:bCs/>
          <w:sz w:val="20"/>
          <w:szCs w:val="20"/>
          <w:lang w:val="es-ES"/>
        </w:rPr>
        <w:t>Cimentación que deriva su capacidad de carga de la transferencia de cargas directamente al suelo o roca a poca profundidad. (CCP-2014)</w:t>
      </w:r>
    </w:p>
    <w:p w14:paraId="24C1C266" w14:textId="77777777" w:rsidR="00295752" w:rsidRPr="006A2F19" w:rsidRDefault="00295752" w:rsidP="00295752">
      <w:pPr>
        <w:pStyle w:val="Prrafodelista"/>
        <w:numPr>
          <w:ilvl w:val="1"/>
          <w:numId w:val="22"/>
        </w:numPr>
        <w:spacing w:after="240"/>
        <w:ind w:left="851" w:hanging="567"/>
        <w:contextualSpacing w:val="0"/>
        <w:jc w:val="both"/>
        <w:rPr>
          <w:rFonts w:cstheme="minorHAnsi"/>
          <w:b/>
          <w:bCs/>
          <w:sz w:val="20"/>
          <w:szCs w:val="20"/>
          <w:lang w:val="es-CO"/>
        </w:rPr>
      </w:pPr>
      <w:r w:rsidRPr="006A2F19">
        <w:rPr>
          <w:rFonts w:cstheme="minorHAnsi"/>
          <w:b/>
          <w:bCs/>
          <w:sz w:val="20"/>
          <w:szCs w:val="20"/>
          <w:lang w:val="es-CO"/>
        </w:rPr>
        <w:t xml:space="preserve">Conocimiento del riesgo: </w:t>
      </w:r>
      <w:r w:rsidRPr="006A2F19">
        <w:rPr>
          <w:rFonts w:cstheme="minorHAnsi"/>
          <w:sz w:val="20"/>
          <w:szCs w:val="20"/>
          <w:lang w:val="es-CO"/>
        </w:rPr>
        <w:t>Es el proceso de la gestión del riesgo compuesto por la identificación de escenarios de riesgo, el análisis y evaluación del riesgo, el monitoreo y seguimiento del riesgo y sus componentes y la comunicación para promover una mayor conciencia del mismo que alimenta los procesos de reducción del riesgo y de manejo de desastre. (Ley 1523 de 2012).</w:t>
      </w:r>
    </w:p>
    <w:p w14:paraId="5C291012" w14:textId="384B82F8" w:rsidR="00295752" w:rsidRPr="00295752" w:rsidRDefault="00295752" w:rsidP="00295752">
      <w:pPr>
        <w:pStyle w:val="Prrafodelista"/>
        <w:numPr>
          <w:ilvl w:val="1"/>
          <w:numId w:val="22"/>
        </w:numPr>
        <w:spacing w:after="240"/>
        <w:ind w:left="851" w:hanging="567"/>
        <w:contextualSpacing w:val="0"/>
        <w:jc w:val="both"/>
        <w:rPr>
          <w:rFonts w:cstheme="minorHAnsi"/>
          <w:bCs/>
          <w:sz w:val="20"/>
          <w:szCs w:val="20"/>
          <w:lang w:val="es-CO"/>
        </w:rPr>
      </w:pPr>
      <w:r w:rsidRPr="006A2F19">
        <w:rPr>
          <w:rFonts w:cstheme="minorHAnsi"/>
          <w:b/>
          <w:bCs/>
          <w:sz w:val="20"/>
          <w:szCs w:val="20"/>
          <w:lang w:val="es-CO"/>
        </w:rPr>
        <w:t xml:space="preserve">Colapso de un puente: </w:t>
      </w:r>
      <w:r w:rsidRPr="00295752">
        <w:rPr>
          <w:rFonts w:cstheme="minorHAnsi"/>
          <w:bCs/>
          <w:sz w:val="20"/>
          <w:szCs w:val="20"/>
          <w:lang w:val="es-CO"/>
        </w:rPr>
        <w:t>Cambio considerable en la geometría de un puente que inhabilita su uso. (CCP-2014).</w:t>
      </w:r>
    </w:p>
    <w:p w14:paraId="67D53059" w14:textId="199ED96E" w:rsidR="007163E7"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Concreto Asfáltico: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asf</w:t>
      </w:r>
      <w:r w:rsidR="351DEA25"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ltico </w:t>
      </w:r>
      <w:r w:rsidR="00B907B0" w:rsidRPr="00547D84">
        <w:rPr>
          <w:rFonts w:asciiTheme="minorHAnsi" w:hAnsiTheme="minorHAnsi" w:cstheme="minorHAnsi"/>
          <w:sz w:val="20"/>
          <w:szCs w:val="20"/>
          <w:lang w:val="es-CO"/>
        </w:rPr>
        <w:t xml:space="preserve">convencional y/o modificado </w:t>
      </w:r>
      <w:r w:rsidRPr="00547D84">
        <w:rPr>
          <w:rFonts w:asciiTheme="minorHAnsi" w:hAnsiTheme="minorHAnsi" w:cstheme="minorHAnsi"/>
          <w:sz w:val="20"/>
          <w:szCs w:val="20"/>
          <w:lang w:val="es-CO"/>
        </w:rPr>
        <w:t>y agregados pétreos.</w:t>
      </w:r>
    </w:p>
    <w:p w14:paraId="5E21B91E"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Concreto estructural: </w:t>
      </w:r>
      <w:r w:rsidRPr="006A2F19">
        <w:rPr>
          <w:rFonts w:asciiTheme="minorHAnsi" w:hAnsiTheme="minorHAnsi" w:cstheme="minorHAnsi"/>
          <w:sz w:val="20"/>
          <w:szCs w:val="20"/>
          <w:lang w:val="es-CO"/>
        </w:rPr>
        <w:t>Todo concreto usado con fines estructurales. (CCP-2014)</w:t>
      </w:r>
    </w:p>
    <w:p w14:paraId="78ACACD5" w14:textId="3CC66B11" w:rsidR="00367884" w:rsidRPr="00547D84" w:rsidRDefault="007163E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y agregados pétreos.</w:t>
      </w:r>
    </w:p>
    <w:p w14:paraId="56303079" w14:textId="23065161" w:rsidR="00C32C2D" w:rsidRPr="00547D84"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Reforzado: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agregados pétreos y/o aditivos y acero de refuerzo.</w:t>
      </w:r>
      <w:r w:rsidRPr="00547D84">
        <w:rPr>
          <w:rFonts w:asciiTheme="minorHAnsi" w:hAnsiTheme="minorHAnsi" w:cstheme="minorHAnsi"/>
          <w:b/>
          <w:bCs/>
          <w:sz w:val="20"/>
          <w:szCs w:val="20"/>
          <w:lang w:val="es-CO"/>
        </w:rPr>
        <w:t xml:space="preserve"> </w:t>
      </w:r>
    </w:p>
    <w:p w14:paraId="6D37B057" w14:textId="59E4AD2C" w:rsidR="00D60869" w:rsidRPr="00547D84" w:rsidRDefault="00D6086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Conservación: </w:t>
      </w:r>
      <w:r w:rsidRPr="00547D84">
        <w:rPr>
          <w:rFonts w:asciiTheme="minorHAnsi" w:hAnsiTheme="minorHAnsi" w:cstheme="minorHAnsi"/>
          <w:sz w:val="20"/>
          <w:szCs w:val="20"/>
          <w:lang w:val="es-CO"/>
        </w:rPr>
        <w:t xml:space="preserve">Conjunto de actividades que se ejecutan sobre una infraestructura vial y/o del espacio público asociado a la infraestructura de transporte </w:t>
      </w:r>
      <w:r w:rsidR="008A5172" w:rsidRPr="00547D84">
        <w:rPr>
          <w:rFonts w:asciiTheme="minorHAnsi" w:hAnsiTheme="minorHAnsi" w:cstheme="minorHAnsi"/>
          <w:sz w:val="20"/>
          <w:szCs w:val="20"/>
          <w:lang w:val="es-CO"/>
        </w:rPr>
        <w:t xml:space="preserve">y/o edificación no residencial </w:t>
      </w:r>
      <w:r w:rsidRPr="00547D84">
        <w:rPr>
          <w:rFonts w:asciiTheme="minorHAnsi" w:hAnsiTheme="minorHAnsi" w:cstheme="minorHAnsi"/>
          <w:sz w:val="20"/>
          <w:szCs w:val="20"/>
          <w:lang w:val="es-CO"/>
        </w:rPr>
        <w:t xml:space="preserve">orientadas a preservar las estructuras para que ofrezcan condiciones de uso aceptable ya sea que se cumpla en </w:t>
      </w:r>
      <w:r w:rsidR="00CF0E29" w:rsidRPr="00547D84">
        <w:rPr>
          <w:rFonts w:asciiTheme="minorHAnsi" w:hAnsiTheme="minorHAnsi" w:cstheme="minorHAnsi"/>
          <w:sz w:val="20"/>
          <w:szCs w:val="20"/>
          <w:lang w:val="es-CO"/>
        </w:rPr>
        <w:t xml:space="preserve">el </w:t>
      </w:r>
      <w:r w:rsidRPr="00547D84">
        <w:rPr>
          <w:rFonts w:asciiTheme="minorHAnsi" w:hAnsiTheme="minorHAnsi"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547D84">
        <w:rPr>
          <w:rFonts w:asciiTheme="minorHAnsi" w:hAnsiTheme="minorHAnsi" w:cstheme="minorHAnsi"/>
          <w:sz w:val="20"/>
          <w:szCs w:val="20"/>
          <w:lang w:val="es-CO"/>
        </w:rPr>
        <w:t xml:space="preserve">preventivo, correctivo, </w:t>
      </w:r>
      <w:r w:rsidRPr="00547D84">
        <w:rPr>
          <w:rFonts w:asciiTheme="minorHAnsi" w:hAnsiTheme="minorHAnsi" w:cstheme="minorHAnsi"/>
          <w:sz w:val="20"/>
          <w:szCs w:val="20"/>
          <w:lang w:val="es-CO"/>
        </w:rPr>
        <w:t>rehabilitación o reconstrucción.</w:t>
      </w:r>
    </w:p>
    <w:p w14:paraId="68F640DA" w14:textId="467E2E20" w:rsidR="008A5172" w:rsidRDefault="008A517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C585D">
        <w:rPr>
          <w:rFonts w:asciiTheme="minorHAnsi" w:hAnsiTheme="minorHAnsi" w:cstheme="minorHAnsi"/>
          <w:b/>
          <w:bCs/>
          <w:sz w:val="20"/>
          <w:szCs w:val="20"/>
          <w:lang w:val="es-CO"/>
        </w:rPr>
        <w:t>Construcción:</w:t>
      </w:r>
      <w:r w:rsidRPr="003C585D">
        <w:rPr>
          <w:rFonts w:asciiTheme="minorHAnsi" w:hAnsiTheme="minorHAnsi" w:cstheme="minorHAnsi"/>
          <w:sz w:val="20"/>
          <w:szCs w:val="20"/>
          <w:lang w:val="es-CO"/>
        </w:rPr>
        <w:t xml:space="preserve"> Son aquellas obras nuevas que incluyen el levantamiento o armado de algún tipo de infraestructura de transporte.</w:t>
      </w:r>
    </w:p>
    <w:p w14:paraId="478F03E4" w14:textId="201AA783" w:rsidR="00295752"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A2F19">
        <w:rPr>
          <w:rFonts w:asciiTheme="minorHAnsi" w:hAnsiTheme="minorHAnsi" w:cstheme="minorHAnsi"/>
          <w:b/>
          <w:sz w:val="20"/>
          <w:szCs w:val="20"/>
          <w:lang w:val="es-CO"/>
        </w:rPr>
        <w:t xml:space="preserve">Cuenca: </w:t>
      </w:r>
      <w:r w:rsidRPr="006A2F19">
        <w:rPr>
          <w:rFonts w:asciiTheme="minorHAnsi" w:hAnsiTheme="minorHAnsi" w:cstheme="minorHAnsi"/>
          <w:bCs/>
          <w:sz w:val="20"/>
          <w:szCs w:val="20"/>
          <w:lang w:val="es-CO"/>
        </w:rPr>
        <w:t>Área confinada por divisorias de drenaje, y que tiene frecuentemente solamente una salida de descarga. El área total de drenaje que aporta escorrentía a un solo punto. (CCP-2014)</w:t>
      </w:r>
    </w:p>
    <w:p w14:paraId="3148D7A7"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lastRenderedPageBreak/>
        <w:t xml:space="preserve">Degradación: </w:t>
      </w:r>
      <w:r w:rsidRPr="006A2F19">
        <w:rPr>
          <w:rFonts w:asciiTheme="minorHAnsi" w:hAnsiTheme="minorHAnsi" w:cstheme="minorHAnsi"/>
          <w:bCs/>
          <w:sz w:val="20"/>
          <w:szCs w:val="20"/>
          <w:lang w:val="es-CO"/>
        </w:rPr>
        <w:t>Disminución general y progresiva del perfil longitudinal del cauce como resultado de erosión a largo plazo. (CCP-2014)</w:t>
      </w:r>
    </w:p>
    <w:p w14:paraId="112DCF64" w14:textId="30DDC223" w:rsidR="00923706" w:rsidRDefault="0092370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C585D">
        <w:rPr>
          <w:rFonts w:asciiTheme="minorHAnsi" w:hAnsiTheme="minorHAnsi" w:cstheme="minorHAnsi"/>
          <w:b/>
          <w:bCs/>
          <w:sz w:val="20"/>
          <w:szCs w:val="20"/>
          <w:lang w:val="es-CO"/>
        </w:rPr>
        <w:t>Deprimido:</w:t>
      </w:r>
      <w:r w:rsidRPr="003C585D">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3D4358"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Desastre: </w:t>
      </w:r>
      <w:r w:rsidRPr="006A2F19">
        <w:rPr>
          <w:rFonts w:asciiTheme="minorHAnsi" w:hAnsiTheme="minorHAnsi" w:cstheme="minorHAnsi"/>
          <w:bCs/>
          <w:sz w:val="20"/>
          <w:szCs w:val="20"/>
          <w:lang w:val="es-CO"/>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(Ley 1523 de 2012).</w:t>
      </w:r>
    </w:p>
    <w:p w14:paraId="084D5340"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Desarrollo Sostenible: </w:t>
      </w:r>
      <w:r w:rsidRPr="006A2F19">
        <w:rPr>
          <w:rFonts w:asciiTheme="minorHAnsi" w:hAnsiTheme="minorHAnsi" w:cstheme="minorHAnsi"/>
          <w:bCs/>
          <w:sz w:val="20"/>
          <w:szCs w:val="20"/>
          <w:lang w:val="es-CO"/>
        </w:rPr>
        <w:t>El que conduzca al crecimiento económico, a la elevación de la calidad de vida y al bienestar social, sin agotar la base de recursos naturales renovables en que se sustenta, ni deteriorar el medio ambiente o el derecho de las generaciones futuras a utilizarlo para la satisfacción de sus propias necesidades. (Artículo 3 de la ley 99 de 1993).</w:t>
      </w:r>
    </w:p>
    <w:p w14:paraId="197F6E48" w14:textId="77777777" w:rsidR="00295752" w:rsidRPr="006A2F19" w:rsidRDefault="00295752" w:rsidP="0029575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sz w:val="20"/>
          <w:szCs w:val="20"/>
          <w:lang w:val="es-CO"/>
        </w:rPr>
        <w:t xml:space="preserve">Diagnóstico Ambiental de Alternativas (DAA): </w:t>
      </w:r>
      <w:r w:rsidRPr="006A2F19">
        <w:rPr>
          <w:rFonts w:asciiTheme="minorHAnsi" w:hAnsiTheme="minorHAnsi" w:cstheme="minorHAnsi"/>
          <w:bCs/>
          <w:sz w:val="20"/>
          <w:szCs w:val="20"/>
          <w:lang w:val="es-CO"/>
        </w:rPr>
        <w:t>Documento que tiene como objeto suministrar la información para evaluar y comparar las diferentes opciones que presente el peticionario, bajo las cuales sea posible desarrollar un proyecto, obra o actividad. Las diferentes opciones deben tener en cuenta el entorno geográfico, las características bióticas, abióticas y socioeconómicas, el análisis comparativo de los efectos y riesgos inherentes a la obra o actividad; así como las posibles soluciones y medidas de control y mitigación para cada una de las alternativas. Lo anterior con el fin de aportar los elementos requeridos para seleccionar la alternativa o alternativas que permitan optimizar y racionalizar el uso de recursos y evitar o minimizar los riesgos, efectos e impactos negativos que puedan generarse. (Decreto 1076 de 2015 artículo 2.2.2.3.4.1)</w:t>
      </w:r>
    </w:p>
    <w:p w14:paraId="7652DA40" w14:textId="1B2EA896" w:rsidR="00966527" w:rsidRPr="00547D84" w:rsidRDefault="0096652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Director de </w:t>
      </w:r>
      <w:r w:rsidR="00D74331" w:rsidRPr="00547D84">
        <w:rPr>
          <w:rFonts w:asciiTheme="minorHAnsi" w:hAnsiTheme="minorHAnsi" w:cstheme="minorHAnsi"/>
          <w:b/>
          <w:bCs/>
          <w:sz w:val="20"/>
          <w:szCs w:val="20"/>
          <w:lang w:val="es-CO"/>
        </w:rPr>
        <w:t>Consultoría</w:t>
      </w:r>
      <w:r w:rsidR="007B5BD8" w:rsidRPr="00547D84">
        <w:rPr>
          <w:rFonts w:asciiTheme="minorHAnsi" w:hAnsiTheme="minorHAnsi" w:cstheme="minorHAnsi"/>
          <w:b/>
          <w:bCs/>
          <w:sz w:val="20"/>
          <w:szCs w:val="20"/>
          <w:lang w:val="es-CO"/>
        </w:rPr>
        <w:t xml:space="preserve">: </w:t>
      </w:r>
      <w:r w:rsidR="00295752" w:rsidRPr="006A2F19">
        <w:rPr>
          <w:rFonts w:asciiTheme="minorHAnsi" w:hAnsiTheme="minorHAnsi" w:cstheme="minorHAnsi"/>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3A555D9A" w14:textId="77777777" w:rsidR="00531F16" w:rsidRPr="00547D84" w:rsidRDefault="00531F1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 de Corte de Succión (Cutter Suction Dredger - CSD</w:t>
      </w:r>
      <w:r w:rsidRPr="00547D84">
        <w:rPr>
          <w:rFonts w:asciiTheme="minorHAnsi" w:hAnsiTheme="minorHAnsi" w:cstheme="minorHAnsi"/>
          <w:sz w:val="20"/>
          <w:szCs w:val="20"/>
          <w:lang w:val="es-CO"/>
        </w:rPr>
        <w:t xml:space="preserve">):  Embarcación o artefacto naval que draga mediante la acción de una cabeza de corte que rompe o disgrega el suelo </w:t>
      </w:r>
      <w:r w:rsidRPr="00547D84">
        <w:rPr>
          <w:rFonts w:asciiTheme="minorHAnsi" w:hAnsiTheme="minorHAnsi" w:cstheme="minorHAnsi"/>
          <w:sz w:val="20"/>
          <w:szCs w:val="20"/>
          <w:lang w:val="es-CO"/>
        </w:rPr>
        <w:lastRenderedPageBreak/>
        <w:t>o lecho, que succiona los sedimentos o el suelo mediante la acción de una bomba y lo transporta a la zona de disposición por tubería.</w:t>
      </w:r>
    </w:p>
    <w:p w14:paraId="54EFF3A6" w14:textId="77777777" w:rsidR="004F6F00" w:rsidRPr="00547D84" w:rsidRDefault="004F6F0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eastAsia="es-CO"/>
        </w:rPr>
        <w:t>Draga de Arrastre de Succión con Tolva (TSHD – Trailing Suction Hopper dredger):</w:t>
      </w:r>
      <w:r w:rsidRPr="00547D84">
        <w:rPr>
          <w:rFonts w:asciiTheme="minorHAnsi" w:hAnsiTheme="minorHAnsi" w:cstheme="minorHAnsi"/>
          <w:sz w:val="20"/>
          <w:szCs w:val="20"/>
          <w:lang w:val="es-CO" w:eastAsia="es-CO"/>
        </w:rPr>
        <w:t xml:space="preserve"> Embarcación autopropulsada capaz de transportar cierta cantidad de sólidos en una tolva, los cuales son aspirados del fondo por un tubo dotado con un cabezal de succión.</w:t>
      </w:r>
    </w:p>
    <w:p w14:paraId="36C10F38" w14:textId="77777777" w:rsidR="00DD5DF6" w:rsidRPr="00547D84" w:rsidRDefault="00DD5DF6"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Draga Mecánica: </w:t>
      </w:r>
      <w:r w:rsidRPr="00547D84">
        <w:rPr>
          <w:rFonts w:asciiTheme="minorHAnsi" w:hAnsiTheme="minorHAnsi" w:cstheme="minorHAnsi"/>
          <w:sz w:val="20"/>
          <w:szCs w:val="20"/>
          <w:lang w:val="es-CO" w:eastAsia="es-CO"/>
        </w:rPr>
        <w:t>Embarcación o artefacto naval</w:t>
      </w:r>
      <w:r w:rsidRPr="00547D84">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7C1948D8" w14:textId="3937018D" w:rsidR="00181199" w:rsidRPr="00547D84" w:rsidRDefault="0018119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Dragado: </w:t>
      </w:r>
      <w:r w:rsidR="00116650" w:rsidRPr="00547D84">
        <w:rPr>
          <w:rFonts w:asciiTheme="minorHAnsi" w:hAnsiTheme="minorHAnsi" w:cstheme="minorHAnsi"/>
          <w:sz w:val="20"/>
          <w:szCs w:val="20"/>
          <w:lang w:val="es-ES"/>
        </w:rPr>
        <w:t>Acción de remover sedimentos o roca, bajo agua, de un lecho marino o fluvial. Procedimiento mecánico mediante el cual se re</w:t>
      </w:r>
      <w:r w:rsidR="00773D45" w:rsidRPr="00547D84">
        <w:rPr>
          <w:rFonts w:asciiTheme="minorHAnsi" w:hAnsiTheme="minorHAnsi" w:cstheme="minorHAnsi"/>
          <w:sz w:val="20"/>
          <w:szCs w:val="20"/>
          <w:lang w:val="es-ES"/>
        </w:rPr>
        <w:t>tira</w:t>
      </w:r>
      <w:r w:rsidR="00116650" w:rsidRPr="00547D84">
        <w:rPr>
          <w:rFonts w:asciiTheme="minorHAnsi" w:hAnsiTheme="minorHAnsi"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asciiTheme="minorHAnsi" w:hAnsiTheme="minorHAnsi" w:cstheme="minorHAnsi"/>
          <w:sz w:val="20"/>
          <w:szCs w:val="20"/>
          <w:lang w:val="es-CO"/>
        </w:rPr>
        <w:t>.</w:t>
      </w:r>
    </w:p>
    <w:p w14:paraId="1248EE15" w14:textId="1A70D4EC" w:rsidR="003F3B4E" w:rsidRPr="00547D84" w:rsidRDefault="00FB1B3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Dragado Marítimo y/o Fluvial</w:t>
      </w:r>
      <w:r w:rsidR="00181199" w:rsidRPr="00547D84">
        <w:rPr>
          <w:rFonts w:asciiTheme="minorHAnsi" w:hAnsiTheme="minorHAnsi" w:cstheme="minorHAnsi"/>
          <w:b/>
          <w:bCs/>
          <w:sz w:val="20"/>
          <w:szCs w:val="20"/>
          <w:lang w:val="es-CO"/>
        </w:rPr>
        <w:t>:</w:t>
      </w:r>
      <w:r w:rsidR="00181199" w:rsidRPr="00547D84">
        <w:rPr>
          <w:rFonts w:asciiTheme="minorHAnsi" w:hAnsiTheme="minorHAnsi" w:cstheme="minorHAnsi"/>
          <w:sz w:val="20"/>
          <w:szCs w:val="20"/>
          <w:lang w:val="es-CO"/>
        </w:rPr>
        <w:t xml:space="preserve"> Acción de remover sedimentos o roca, bajo agua, de un lecho marino o fluvial.</w:t>
      </w:r>
    </w:p>
    <w:p w14:paraId="14FBF86C" w14:textId="541AFF90" w:rsidR="0033589A" w:rsidRDefault="0033589A"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Drenaje (infraestructura aeroportuaria):</w:t>
      </w:r>
      <w:r w:rsidRPr="00547D84">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asciiTheme="minorHAnsi" w:hAnsiTheme="minorHAnsi" w:cstheme="minorHAnsi"/>
          <w:sz w:val="20"/>
          <w:szCs w:val="20"/>
          <w:lang w:val="es-CO"/>
        </w:rPr>
        <w:t>.</w:t>
      </w:r>
    </w:p>
    <w:p w14:paraId="2ACB2994" w14:textId="73146632" w:rsidR="00BB070B" w:rsidRDefault="00BB070B" w:rsidP="00BB070B">
      <w:pPr>
        <w:pStyle w:val="Prrafodelista"/>
        <w:numPr>
          <w:ilvl w:val="1"/>
          <w:numId w:val="22"/>
        </w:numPr>
        <w:ind w:left="851" w:hanging="567"/>
        <w:jc w:val="both"/>
        <w:rPr>
          <w:rFonts w:eastAsia="Times New Roman" w:cstheme="minorHAnsi"/>
          <w:sz w:val="20"/>
          <w:szCs w:val="20"/>
          <w:lang w:val="es-CO" w:eastAsia="es-ES"/>
        </w:rPr>
      </w:pPr>
      <w:r w:rsidRPr="00BB070B">
        <w:rPr>
          <w:rFonts w:eastAsia="Times New Roman" w:cstheme="minorHAnsi"/>
          <w:b/>
          <w:bCs/>
          <w:sz w:val="20"/>
          <w:szCs w:val="20"/>
          <w:lang w:val="es-CO" w:eastAsia="es-ES"/>
        </w:rPr>
        <w:t>Ecodiseños:</w:t>
      </w:r>
      <w:r w:rsidRPr="00BB070B">
        <w:rPr>
          <w:rFonts w:eastAsia="Times New Roman" w:cstheme="minorHAnsi"/>
          <w:sz w:val="20"/>
          <w:szCs w:val="20"/>
          <w:lang w:val="es-CO" w:eastAsia="es-ES"/>
        </w:rPr>
        <w:t xml:space="preserve"> El ecodiseño, conocido también como diseño ecológico o diseño para el medio ambiente, se define como «la integración de aspectos ambientales en el diseño y desarrollo del producto con el objetivo de reducir los impactos ambientales adversos a lo largo del ciclo de vida de un producto». El ecodiseño no pretende por lo tanto modificar el proceso de diseño industrial de los productos y/o servicios, sino complementarlo introduciendo el medio ambiente como otro factor a tener en cuenta, a la hora de la toma de decisiones durante el proceso de desarrollo de los productos. (ISO 14006, 2011)</w:t>
      </w:r>
    </w:p>
    <w:p w14:paraId="70A17AC1" w14:textId="77777777" w:rsidR="00EF555C" w:rsidRPr="00EF555C" w:rsidRDefault="00EF555C" w:rsidP="00EF555C">
      <w:pPr>
        <w:ind w:left="284"/>
        <w:jc w:val="both"/>
        <w:rPr>
          <w:rFonts w:eastAsia="Times New Roman" w:cstheme="minorHAnsi"/>
          <w:sz w:val="20"/>
          <w:szCs w:val="20"/>
          <w:lang w:val="es-CO" w:eastAsia="es-ES"/>
        </w:rPr>
      </w:pPr>
    </w:p>
    <w:p w14:paraId="2F24BA26" w14:textId="4FDB36F4" w:rsidR="00EF555C" w:rsidRPr="00BB070B" w:rsidRDefault="00EF555C" w:rsidP="00BB070B">
      <w:pPr>
        <w:pStyle w:val="Prrafodelista"/>
        <w:numPr>
          <w:ilvl w:val="1"/>
          <w:numId w:val="22"/>
        </w:numPr>
        <w:ind w:left="851" w:hanging="567"/>
        <w:jc w:val="both"/>
        <w:rPr>
          <w:rFonts w:eastAsia="Times New Roman" w:cstheme="minorHAnsi"/>
          <w:sz w:val="20"/>
          <w:szCs w:val="20"/>
          <w:lang w:val="es-CO" w:eastAsia="es-ES"/>
        </w:rPr>
      </w:pPr>
      <w:r w:rsidRPr="00EF555C">
        <w:rPr>
          <w:rFonts w:eastAsia="Times New Roman" w:cstheme="minorHAnsi"/>
          <w:b/>
          <w:bCs/>
          <w:sz w:val="20"/>
          <w:szCs w:val="20"/>
          <w:lang w:val="es-CO" w:eastAsia="es-ES"/>
        </w:rPr>
        <w:t>Economía Circular:</w:t>
      </w:r>
      <w:r w:rsidRPr="00EF555C">
        <w:rPr>
          <w:rFonts w:eastAsia="Times New Roman" w:cstheme="minorHAnsi"/>
          <w:sz w:val="20"/>
          <w:szCs w:val="20"/>
          <w:lang w:val="es-CO" w:eastAsia="es-ES"/>
        </w:rPr>
        <w:t xml:space="preserve"> es un modelo de producción y consumo que implica compartir, alquilar, reutilizar, reparar, renovar y reciclar materiales y productos existentes todas las veces que sea posible para crear un valor añadido, de esta forma, el ciclo de vida de los productos se extiende.</w:t>
      </w:r>
    </w:p>
    <w:p w14:paraId="70D57CCF" w14:textId="025DDF09" w:rsidR="00460CC6" w:rsidRPr="00547D84" w:rsidRDefault="00460CC6" w:rsidP="00295752">
      <w:pPr>
        <w:pStyle w:val="Invias-VietaNumerada"/>
        <w:numPr>
          <w:ilvl w:val="1"/>
          <w:numId w:val="22"/>
        </w:numPr>
        <w:tabs>
          <w:tab w:val="left" w:pos="851"/>
        </w:tabs>
        <w:autoSpaceDE w:val="0"/>
        <w:autoSpaceDN w:val="0"/>
        <w:adjustRightInd w:val="0"/>
        <w:spacing w:before="120" w:after="240"/>
        <w:ind w:left="851"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Edificio Comercial: </w:t>
      </w:r>
      <w:r w:rsidRPr="00547D84">
        <w:rPr>
          <w:rFonts w:asciiTheme="minorHAnsi" w:hAnsiTheme="minorHAnsi" w:cstheme="minorHAnsi"/>
          <w:sz w:val="20"/>
          <w:szCs w:val="20"/>
          <w:lang w:val="es-CO" w:eastAsia="es-CO"/>
        </w:rPr>
        <w:t>Inmueble cuya actividad principal es la venta de productos directamente al público o la prestación de servicios relacionados con los mismos, incluyendo, tanto las tiendas como a los grandes almacenes, los cuales suelen constituir un solo establecimiento con un único titular, como, por ejemplo, los centros comerciales, los mercados, las galerías comerciales, etc.</w:t>
      </w:r>
    </w:p>
    <w:p w14:paraId="052EC4C4" w14:textId="69F34057" w:rsidR="00460CC6" w:rsidRPr="00B910DB" w:rsidDel="00531F16" w:rsidRDefault="00460CC6" w:rsidP="00295752">
      <w:pPr>
        <w:pStyle w:val="Invias-VietaNumerada"/>
        <w:autoSpaceDE w:val="0"/>
        <w:autoSpaceDN w:val="0"/>
        <w:adjustRightInd w:val="0"/>
        <w:spacing w:before="120" w:after="240"/>
        <w:ind w:left="851"/>
        <w:rPr>
          <w:lang w:val="es-CO"/>
        </w:rPr>
      </w:pPr>
      <w:r w:rsidRPr="00547D84">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w:t>
      </w:r>
      <w:r w:rsidR="00BB070B">
        <w:rPr>
          <w:rFonts w:asciiTheme="minorHAnsi" w:hAnsiTheme="minorHAnsi" w:cstheme="minorHAnsi"/>
          <w:sz w:val="20"/>
          <w:szCs w:val="20"/>
          <w:lang w:val="es-CO" w:eastAsia="es-CO"/>
        </w:rPr>
        <w:t xml:space="preserve"> </w:t>
      </w:r>
      <w:r w:rsidRPr="00547D84">
        <w:rPr>
          <w:rFonts w:asciiTheme="minorHAnsi" w:hAnsiTheme="minorHAnsi" w:cstheme="minorHAnsi"/>
          <w:sz w:val="20"/>
          <w:szCs w:val="20"/>
          <w:lang w:val="es-CO" w:eastAsia="es-CO"/>
        </w:rPr>
        <w:t>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w:t>
      </w:r>
      <w:r w:rsidR="00E10E08" w:rsidRPr="00547D84">
        <w:rPr>
          <w:rFonts w:asciiTheme="minorHAnsi" w:hAnsiTheme="minorHAnsi" w:cstheme="minorHAnsi"/>
          <w:b/>
          <w:bCs/>
          <w:sz w:val="20"/>
          <w:szCs w:val="20"/>
          <w:lang w:val="es-CO"/>
        </w:rPr>
        <w:t xml:space="preserve">dificaciones Gubernamentales: </w:t>
      </w:r>
      <w:r w:rsidR="00E10E08" w:rsidRPr="00547D84">
        <w:rPr>
          <w:rFonts w:asciiTheme="minorHAnsi" w:hAnsiTheme="minorHAnsi" w:cstheme="minorHAnsi"/>
          <w:sz w:val="20"/>
          <w:szCs w:val="20"/>
          <w:lang w:val="es-CO"/>
        </w:rPr>
        <w:t xml:space="preserve">Son edificaciones no residenciales administradas por Entidades </w:t>
      </w:r>
      <w:r w:rsidR="00960E7D" w:rsidRPr="00547D84">
        <w:rPr>
          <w:rFonts w:asciiTheme="minorHAnsi" w:hAnsiTheme="minorHAnsi" w:cstheme="minorHAnsi"/>
          <w:sz w:val="20"/>
          <w:szCs w:val="20"/>
          <w:lang w:val="es-CO"/>
        </w:rPr>
        <w:t>Públicas</w:t>
      </w:r>
      <w:r w:rsidR="00E10E08" w:rsidRPr="00547D84">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3C75C247" w14:textId="7FC2C19D" w:rsidR="00E10E08" w:rsidRDefault="00460CC6" w:rsidP="00823299">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460CC6">
        <w:rPr>
          <w:rFonts w:asciiTheme="minorHAnsi" w:hAnsiTheme="minorHAnsi" w:cstheme="minorHAnsi"/>
          <w:b/>
          <w:bCs/>
          <w:sz w:val="20"/>
          <w:szCs w:val="20"/>
          <w:lang w:val="es-CO"/>
        </w:rPr>
        <w:lastRenderedPageBreak/>
        <w:t xml:space="preserve">Edificio Institucional: </w:t>
      </w:r>
      <w:r w:rsidRPr="00460CC6">
        <w:rPr>
          <w:rFonts w:asciiTheme="minorHAnsi" w:hAnsiTheme="minorHAnsi" w:cstheme="minorHAnsi"/>
          <w:sz w:val="20"/>
          <w:szCs w:val="20"/>
          <w:lang w:val="es-CO"/>
        </w:rPr>
        <w:t>Infraestructura que ha sido construida</w:t>
      </w:r>
      <w:r w:rsidRPr="00460CC6">
        <w:rPr>
          <w:rFonts w:asciiTheme="minorHAnsi" w:hAnsiTheme="minorHAnsi" w:cstheme="minorHAnsi"/>
          <w:b/>
          <w:bCs/>
          <w:sz w:val="20"/>
          <w:szCs w:val="20"/>
          <w:lang w:val="es-CO"/>
        </w:rPr>
        <w:t xml:space="preserve"> </w:t>
      </w:r>
      <w:r w:rsidRPr="00460CC6">
        <w:rPr>
          <w:rFonts w:asciiTheme="minorHAnsi" w:hAnsiTheme="minorHAnsi"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asciiTheme="minorHAnsi" w:hAnsiTheme="minorHAnsi" w:cstheme="minorHAnsi"/>
          <w:sz w:val="20"/>
          <w:szCs w:val="20"/>
          <w:lang w:val="es-CO"/>
        </w:rPr>
        <w:t>.</w:t>
      </w:r>
    </w:p>
    <w:p w14:paraId="3E66C187" w14:textId="77777777" w:rsidR="00460CC6" w:rsidRPr="00F46BBD" w:rsidRDefault="00460CC6" w:rsidP="00823299">
      <w:pPr>
        <w:rPr>
          <w:lang w:val="es-CO" w:eastAsia="es-CO"/>
        </w:rPr>
      </w:pPr>
    </w:p>
    <w:p w14:paraId="0D751416" w14:textId="5F36ABDE" w:rsidR="00E76E1A" w:rsidRDefault="00E76E1A" w:rsidP="00EF555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Edificio Multifamiliar</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547D84">
        <w:rPr>
          <w:rFonts w:asciiTheme="minorHAnsi" w:hAnsiTheme="minorHAnsi" w:cstheme="minorHAnsi"/>
          <w:sz w:val="20"/>
          <w:szCs w:val="20"/>
          <w:lang w:val="es-CO" w:eastAsia="es-CO"/>
        </w:rPr>
        <w:t>común y</w:t>
      </w:r>
      <w:r w:rsidR="00B654D0" w:rsidRPr="00547D84">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4F6C4BF3" w14:textId="77777777" w:rsidR="00B54C9C" w:rsidRPr="00B54C9C" w:rsidRDefault="00B54C9C" w:rsidP="00B54C9C">
      <w:pPr>
        <w:rPr>
          <w:lang w:val="es-CO" w:eastAsia="es-CO"/>
        </w:rPr>
      </w:pPr>
    </w:p>
    <w:p w14:paraId="01BBCD46" w14:textId="77777777" w:rsidR="00B54C9C" w:rsidRPr="006A2F19" w:rsidRDefault="00B54C9C" w:rsidP="00B54C9C">
      <w:pPr>
        <w:pStyle w:val="Invias-VietaNumerada"/>
        <w:numPr>
          <w:ilvl w:val="1"/>
          <w:numId w:val="22"/>
        </w:numPr>
        <w:autoSpaceDE w:val="0"/>
        <w:autoSpaceDN w:val="0"/>
        <w:adjustRightInd w:val="0"/>
        <w:spacing w:before="0" w:after="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Emergencia: </w:t>
      </w:r>
      <w:r w:rsidRPr="006A2F19">
        <w:rPr>
          <w:rFonts w:asciiTheme="minorHAnsi" w:hAnsiTheme="minorHAnsi" w:cstheme="minorHAnsi"/>
          <w:sz w:val="20"/>
          <w:szCs w:val="20"/>
          <w:lang w:val="es-CO"/>
        </w:rPr>
        <w:t>Situación caracterizada por la alteración o interrupción intensa y grave de las condiciones normales de funcionamiento u operación de una comunidad, causada por un evento adverso o por la inminencia del mismo, que obliga a una reacción inmediata y que requiere la respuesta de las instituciones del Estado, los medios de comunicación y de la comunidad en general. (Ley 1523 de 2012).</w:t>
      </w:r>
    </w:p>
    <w:p w14:paraId="4434AF54" w14:textId="77777777" w:rsidR="00EF555C" w:rsidRPr="00EF555C" w:rsidRDefault="00EF555C" w:rsidP="00EF555C">
      <w:pPr>
        <w:rPr>
          <w:rFonts w:eastAsia="Times New Roman" w:cstheme="minorHAnsi"/>
          <w:sz w:val="20"/>
          <w:szCs w:val="20"/>
          <w:lang w:val="es-CO" w:eastAsia="es-CO"/>
        </w:rPr>
      </w:pPr>
    </w:p>
    <w:p w14:paraId="153BD602" w14:textId="64410E9D" w:rsidR="00EF555C" w:rsidRDefault="00EF555C" w:rsidP="00EF555C">
      <w:pPr>
        <w:pStyle w:val="Prrafodelista"/>
        <w:numPr>
          <w:ilvl w:val="1"/>
          <w:numId w:val="22"/>
        </w:numPr>
        <w:ind w:left="851" w:hanging="567"/>
        <w:jc w:val="both"/>
        <w:rPr>
          <w:rFonts w:eastAsia="Times New Roman" w:cstheme="minorHAnsi"/>
          <w:sz w:val="20"/>
          <w:szCs w:val="20"/>
          <w:lang w:val="es-CO" w:eastAsia="es-CO"/>
        </w:rPr>
      </w:pPr>
      <w:r w:rsidRPr="00EF555C">
        <w:rPr>
          <w:rFonts w:eastAsia="Times New Roman" w:cstheme="minorHAnsi"/>
          <w:b/>
          <w:bCs/>
          <w:sz w:val="20"/>
          <w:szCs w:val="20"/>
          <w:lang w:val="es-CO" w:eastAsia="es-CO"/>
        </w:rPr>
        <w:t>Empleo inclusivo:</w:t>
      </w:r>
      <w:r w:rsidRPr="00EF555C">
        <w:rPr>
          <w:rFonts w:eastAsia="Times New Roman" w:cstheme="minorHAnsi"/>
          <w:sz w:val="20"/>
          <w:szCs w:val="20"/>
          <w:lang w:val="es-CO" w:eastAsia="es-CO"/>
        </w:rPr>
        <w:t xml:space="preserve"> Entendido como la vinculación de población vulnerable al mercado laboral a través de empleos formales y estables; es uno de los mecanismos que permiten que las personas con más dificultades para emplearse alcancen niveles significativos de movilidad social. (Fundación Corona, 2018)</w:t>
      </w:r>
    </w:p>
    <w:p w14:paraId="12E34971" w14:textId="77777777" w:rsidR="000C2C93" w:rsidRPr="000C2C93" w:rsidRDefault="000C2C93" w:rsidP="000C2C93">
      <w:pPr>
        <w:pStyle w:val="Prrafodelista"/>
        <w:rPr>
          <w:rFonts w:eastAsia="Times New Roman" w:cstheme="minorHAnsi"/>
          <w:sz w:val="20"/>
          <w:szCs w:val="20"/>
          <w:lang w:val="es-CO" w:eastAsia="es-CO"/>
        </w:rPr>
      </w:pPr>
    </w:p>
    <w:p w14:paraId="2EDA9718" w14:textId="5262A939" w:rsidR="000C2C93" w:rsidRPr="00EF555C" w:rsidRDefault="000C2C93" w:rsidP="00EF555C">
      <w:pPr>
        <w:pStyle w:val="Prrafodelista"/>
        <w:numPr>
          <w:ilvl w:val="1"/>
          <w:numId w:val="22"/>
        </w:numPr>
        <w:ind w:left="851" w:hanging="567"/>
        <w:jc w:val="both"/>
        <w:rPr>
          <w:rFonts w:eastAsia="Times New Roman" w:cstheme="minorHAnsi"/>
          <w:sz w:val="20"/>
          <w:szCs w:val="20"/>
          <w:lang w:val="es-CO" w:eastAsia="es-CO"/>
        </w:rPr>
      </w:pPr>
      <w:r w:rsidRPr="000C2C93">
        <w:rPr>
          <w:rFonts w:eastAsia="Times New Roman" w:cstheme="minorHAnsi"/>
          <w:b/>
          <w:bCs/>
          <w:sz w:val="20"/>
          <w:szCs w:val="20"/>
          <w:lang w:val="es-CO" w:eastAsia="es-CO"/>
        </w:rPr>
        <w:t>Enfoque diferencial:</w:t>
      </w:r>
      <w:r w:rsidRPr="000C2C93">
        <w:rPr>
          <w:rFonts w:eastAsia="Times New Roman" w:cstheme="minorHAnsi"/>
          <w:sz w:val="20"/>
          <w:szCs w:val="20"/>
          <w:lang w:val="es-CO" w:eastAsia="es-CO"/>
        </w:rPr>
        <w:t xml:space="preserve"> Conjunto de acciones que, al dar un trato diferenciado a algunos grupos poblacionales, contribuye a reducir la brecha existente entre los diferentes segmentos de la población y garantiza la superación de la exclusión social, la marginalidad política, la desigualdad económica, la condición especial de vulnerabilidad y el riesgo de estas poblaciones ante el conflicto armado, lo que genera igualdad en el acceso a las oportunidades sociales. (Ministerio del Interior, 2017)</w:t>
      </w:r>
    </w:p>
    <w:p w14:paraId="3E4B7C79" w14:textId="7CA3E7BF" w:rsidR="00B34329" w:rsidRPr="00547D84" w:rsidRDefault="00C9758A"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Enrocados o Escolleras</w:t>
      </w:r>
      <w:r w:rsidR="00551919" w:rsidRPr="00547D84">
        <w:rPr>
          <w:rFonts w:asciiTheme="minorHAnsi" w:hAnsiTheme="minorHAnsi" w:cstheme="minorHAnsi"/>
          <w:b/>
          <w:bCs/>
          <w:sz w:val="20"/>
          <w:szCs w:val="20"/>
          <w:lang w:val="es-CO"/>
        </w:rPr>
        <w:t xml:space="preserve"> </w:t>
      </w:r>
      <w:r w:rsidR="28BE81D5" w:rsidRPr="00547D84">
        <w:rPr>
          <w:rFonts w:asciiTheme="minorHAnsi" w:hAnsiTheme="minorHAnsi" w:cstheme="minorHAnsi"/>
          <w:b/>
          <w:bCs/>
          <w:sz w:val="20"/>
          <w:szCs w:val="20"/>
          <w:lang w:val="es-CO"/>
        </w:rPr>
        <w:t>M</w:t>
      </w:r>
      <w:r w:rsidRPr="00547D84">
        <w:rPr>
          <w:rFonts w:asciiTheme="minorHAnsi" w:hAnsiTheme="minorHAnsi" w:cstheme="minorHAnsi"/>
          <w:b/>
          <w:bCs/>
          <w:sz w:val="20"/>
          <w:szCs w:val="20"/>
          <w:lang w:val="es-CO"/>
        </w:rPr>
        <w:t xml:space="preserve">arítimos: </w:t>
      </w:r>
      <w:r w:rsidR="00837203" w:rsidRPr="00547D84">
        <w:rPr>
          <w:rFonts w:asciiTheme="minorHAnsi" w:hAnsiTheme="minorHAnsi" w:cstheme="minorHAnsi"/>
          <w:sz w:val="20"/>
          <w:szCs w:val="20"/>
          <w:lang w:val="es-CO"/>
        </w:rPr>
        <w:t>O</w:t>
      </w:r>
      <w:r w:rsidRPr="00547D84">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Escollera:</w:t>
      </w:r>
      <w:r w:rsidR="000B20BC" w:rsidRPr="00547D84">
        <w:rPr>
          <w:rFonts w:asciiTheme="minorHAnsi" w:hAnsiTheme="minorHAnsi" w:cstheme="minorHAnsi"/>
          <w:b/>
          <w:bCs/>
          <w:sz w:val="20"/>
          <w:szCs w:val="20"/>
          <w:lang w:val="es-CO"/>
        </w:rPr>
        <w:t xml:space="preserve"> </w:t>
      </w:r>
      <w:r w:rsidR="00CB39CC" w:rsidRPr="00547D84">
        <w:rPr>
          <w:rFonts w:asciiTheme="minorHAnsi" w:hAnsiTheme="minorHAnsi" w:cstheme="minorHAnsi"/>
          <w:sz w:val="20"/>
          <w:szCs w:val="20"/>
          <w:lang w:val="es-CO" w:eastAsia="es-CO"/>
        </w:rPr>
        <w:t>Dique de defensa que se construye con piedras o elementos prefabricados dispuestos en ríos (</w:t>
      </w:r>
      <w:r w:rsidR="2FCD5F6B" w:rsidRPr="00547D84">
        <w:rPr>
          <w:rFonts w:asciiTheme="minorHAnsi" w:hAnsiTheme="minorHAnsi" w:cstheme="minorHAnsi"/>
          <w:sz w:val="20"/>
          <w:szCs w:val="20"/>
          <w:lang w:val="es-CO" w:eastAsia="es-CO"/>
        </w:rPr>
        <w:t>f</w:t>
      </w:r>
      <w:r w:rsidR="00CB39CC" w:rsidRPr="00547D84">
        <w:rPr>
          <w:rFonts w:asciiTheme="minorHAnsi" w:hAnsiTheme="minorHAnsi" w:cstheme="minorHAnsi"/>
          <w:sz w:val="20"/>
          <w:szCs w:val="20"/>
          <w:lang w:val="es-CO" w:eastAsia="es-CO"/>
        </w:rPr>
        <w:t>luvial) o costa marítima (</w:t>
      </w:r>
      <w:r w:rsidR="562A2D26" w:rsidRPr="00547D84">
        <w:rPr>
          <w:rFonts w:asciiTheme="minorHAnsi" w:hAnsiTheme="minorHAnsi" w:cstheme="minorHAnsi"/>
          <w:sz w:val="20"/>
          <w:szCs w:val="20"/>
          <w:lang w:val="es-CO" w:eastAsia="es-CO"/>
        </w:rPr>
        <w:t>m</w:t>
      </w:r>
      <w:r w:rsidR="0050192B" w:rsidRPr="00547D84">
        <w:rPr>
          <w:rFonts w:asciiTheme="minorHAnsi" w:hAnsiTheme="minorHAnsi" w:cstheme="minorHAnsi"/>
          <w:sz w:val="20"/>
          <w:szCs w:val="20"/>
          <w:lang w:val="es-CO" w:eastAsia="es-CO"/>
        </w:rPr>
        <w:t>arítima</w:t>
      </w:r>
      <w:r w:rsidR="00CB39CC" w:rsidRPr="00547D84">
        <w:rPr>
          <w:rFonts w:asciiTheme="minorHAnsi" w:hAnsiTheme="minorHAnsi" w:cstheme="minorHAnsi"/>
          <w:sz w:val="20"/>
          <w:szCs w:val="20"/>
          <w:lang w:val="es-CO" w:eastAsia="es-CO"/>
        </w:rPr>
        <w:t>) para resguardo contra marejada y las corrientes</w:t>
      </w:r>
      <w:r w:rsidR="0050192B" w:rsidRPr="00547D84">
        <w:rPr>
          <w:rFonts w:asciiTheme="minorHAnsi" w:hAnsiTheme="minorHAnsi" w:cstheme="minorHAnsi"/>
          <w:sz w:val="20"/>
          <w:szCs w:val="20"/>
          <w:lang w:val="es-CO" w:eastAsia="es-CO"/>
        </w:rPr>
        <w:t>.</w:t>
      </w:r>
    </w:p>
    <w:p w14:paraId="1D77266A" w14:textId="77777777" w:rsidR="0023048D" w:rsidRPr="00547D84" w:rsidRDefault="0023048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Espacio Público</w:t>
      </w:r>
      <w:r w:rsidRPr="00547D84">
        <w:rPr>
          <w:rFonts w:asciiTheme="minorHAnsi" w:hAnsiTheme="minorHAnsi" w:cstheme="minorHAnsi"/>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823299">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49D5654" w:rsidR="00391F10" w:rsidRPr="00547D84" w:rsidRDefault="0023048D" w:rsidP="00823299">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a. Los bienes de uso público, es decir</w:t>
      </w:r>
      <w:r w:rsidR="00852BA6" w:rsidRPr="00547D84">
        <w:rPr>
          <w:rFonts w:eastAsia="Times New Roman" w:cstheme="minorHAnsi"/>
          <w:bCs/>
          <w:sz w:val="20"/>
          <w:szCs w:val="20"/>
          <w:lang w:val="es-CO" w:eastAsia="es-ES"/>
        </w:rPr>
        <w:t>,</w:t>
      </w:r>
      <w:r w:rsidRPr="00547D84">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4305A6DD" w:rsidR="0041591B" w:rsidRPr="00547D84" w:rsidRDefault="00391F10" w:rsidP="00823299">
      <w:pPr>
        <w:spacing w:after="240"/>
        <w:ind w:left="851"/>
        <w:jc w:val="both"/>
        <w:rPr>
          <w:rFonts w:eastAsia="Times New Roman" w:cstheme="minorHAnsi"/>
          <w:sz w:val="20"/>
          <w:szCs w:val="20"/>
          <w:lang w:val="es-CO" w:eastAsia="es-ES"/>
        </w:rPr>
      </w:pPr>
      <w:r w:rsidRPr="00547D84">
        <w:rPr>
          <w:rFonts w:eastAsia="Times New Roman" w:cstheme="minorHAnsi"/>
          <w:bCs/>
          <w:sz w:val="20"/>
          <w:szCs w:val="20"/>
          <w:lang w:val="es-CO" w:eastAsia="es-ES"/>
        </w:rPr>
        <w:t xml:space="preserve">b. </w:t>
      </w:r>
      <w:r w:rsidR="0023048D"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ADF37AA" w:rsidR="0023048D" w:rsidRPr="00F46BBD" w:rsidRDefault="0023048D" w:rsidP="00823299">
      <w:pPr>
        <w:spacing w:after="240"/>
        <w:ind w:left="851"/>
        <w:jc w:val="both"/>
        <w:rPr>
          <w:rFonts w:cstheme="minorHAnsi"/>
          <w:sz w:val="20"/>
          <w:szCs w:val="20"/>
          <w:lang w:val="es-CO"/>
        </w:rPr>
      </w:pPr>
      <w:r w:rsidRPr="00547D84">
        <w:rPr>
          <w:rFonts w:eastAsia="Times New Roman" w:cstheme="minorHAnsi"/>
          <w:sz w:val="20"/>
          <w:szCs w:val="20"/>
          <w:lang w:val="es-CO" w:eastAsia="es-ES"/>
        </w:rPr>
        <w:t xml:space="preserve">c. Las áreas requeridas para la conformación del sistema de espacio público en los términos establecidos en el Decreto 1504 de 1998 compilado en el Decreto 1077 de 2015 </w:t>
      </w:r>
      <w:r w:rsidRPr="00F46BBD">
        <w:rPr>
          <w:rFonts w:eastAsia="Arial" w:cstheme="minorHAnsi"/>
          <w:sz w:val="20"/>
          <w:szCs w:val="20"/>
          <w:lang w:val="es-ES"/>
        </w:rPr>
        <w:t>o la norma que la reemplace, complemente o modifique</w:t>
      </w:r>
      <w:r w:rsidRPr="00547D84">
        <w:rPr>
          <w:rFonts w:eastAsia="Times New Roman" w:cstheme="minorHAnsi"/>
          <w:sz w:val="20"/>
          <w:szCs w:val="20"/>
          <w:lang w:val="es-CO" w:eastAsia="es-ES"/>
        </w:rPr>
        <w:t>.</w:t>
      </w:r>
    </w:p>
    <w:p w14:paraId="142BF581" w14:textId="77777777" w:rsidR="004B72BE" w:rsidRPr="00547D84" w:rsidRDefault="004B72BE" w:rsidP="00823299">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r w:rsidRPr="00547D84">
        <w:rPr>
          <w:rFonts w:eastAsia="Times New Roman" w:cstheme="minorHAnsi"/>
          <w:b/>
          <w:bCs/>
          <w:sz w:val="20"/>
          <w:szCs w:val="20"/>
          <w:lang w:val="es-CO" w:eastAsia="es-ES"/>
        </w:rPr>
        <w:lastRenderedPageBreak/>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4"/>
      </w:r>
      <w:r w:rsidRPr="00547D84">
        <w:rPr>
          <w:rFonts w:eastAsia="Times New Roman" w:cstheme="minorHAnsi"/>
          <w:sz w:val="20"/>
          <w:szCs w:val="20"/>
          <w:lang w:val="es-CO" w:eastAsia="es-ES"/>
        </w:rPr>
        <w:t>, tales como:</w:t>
      </w:r>
    </w:p>
    <w:p w14:paraId="75761F5D" w14:textId="77777777" w:rsidR="004B72BE" w:rsidRPr="00F46BBD" w:rsidRDefault="004B72BE" w:rsidP="00823299">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823299">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823299">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823299">
      <w:pPr>
        <w:spacing w:after="240"/>
        <w:ind w:left="851"/>
        <w:jc w:val="both"/>
        <w:rPr>
          <w:rFonts w:cstheme="minorHAnsi"/>
          <w:sz w:val="20"/>
          <w:szCs w:val="20"/>
          <w:lang w:val="es-CO"/>
        </w:rPr>
      </w:pPr>
      <w:r w:rsidRPr="00F46BBD">
        <w:rPr>
          <w:rFonts w:cstheme="minorHAnsi"/>
          <w:sz w:val="20"/>
          <w:szCs w:val="20"/>
          <w:lang w:val="es-CO" w:eastAsia="es-ES"/>
        </w:rPr>
        <w:t xml:space="preserve">Para los fines de los Documentos Tipo se entiende que estos elementos del Espacio Público deberán estar asociados o vinculados a una infraestructura de transporte. </w:t>
      </w:r>
    </w:p>
    <w:p w14:paraId="2FD57AE7" w14:textId="7007E15F" w:rsidR="003A2F9B" w:rsidRPr="00F46BBD" w:rsidRDefault="003A2F9B"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Especialista principal</w:t>
      </w:r>
      <w:r w:rsidRPr="00547D84">
        <w:rPr>
          <w:rFonts w:asciiTheme="minorHAnsi" w:hAnsiTheme="minorHAnsi" w:cstheme="minorHAnsi"/>
          <w:sz w:val="20"/>
          <w:szCs w:val="20"/>
          <w:lang w:val="es-CO"/>
        </w:rPr>
        <w:t xml:space="preserve">: </w:t>
      </w:r>
      <w:r w:rsidR="00B54C9C" w:rsidRPr="006A2F19">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r w:rsidR="00B54C9C">
        <w:rPr>
          <w:rFonts w:asciiTheme="minorHAnsi" w:hAnsiTheme="minorHAnsi" w:cstheme="minorHAnsi"/>
          <w:sz w:val="20"/>
          <w:szCs w:val="20"/>
          <w:lang w:val="es-CO"/>
        </w:rPr>
        <w:t>.</w:t>
      </w:r>
    </w:p>
    <w:p w14:paraId="3EE04897" w14:textId="19320A4A" w:rsidR="00603B92" w:rsidRDefault="0000314E"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1E3CA06B"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Estudio de Impacto Ambiental (EIA): </w:t>
      </w:r>
      <w:r w:rsidRPr="006A2F19">
        <w:rPr>
          <w:rFonts w:asciiTheme="minorHAnsi" w:hAnsiTheme="minorHAnsi" w:cstheme="minorHAnsi"/>
          <w:sz w:val="20"/>
          <w:szCs w:val="20"/>
          <w:lang w:val="es-CO"/>
        </w:rPr>
        <w:t>“Instrumento básico para la toma de decisiones sobre los proyectos, obras o actividades que requieren licencia ambiental y se exigirá en todos los casos en que de acuerdo con la ley y el reglamento se requiera. Este estudio debe ser elaborado de conformidad con la Metodología General para la Presentación de Estudios Ambientales y los términos de referencia expedidos para el efecto…”, el cual debe incluir como mínimo la información contenida en el Decreto 1076 de 2015 artículo 2.2.2.3.5.1.</w:t>
      </w:r>
    </w:p>
    <w:p w14:paraId="3D4DA2B2" w14:textId="6BFBA696" w:rsidR="00010486" w:rsidRDefault="00010486" w:rsidP="000C2C9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6751C817"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Estribo: </w:t>
      </w:r>
      <w:r w:rsidRPr="006A2F19">
        <w:rPr>
          <w:rFonts w:asciiTheme="minorHAnsi" w:hAnsiTheme="minorHAnsi" w:cstheme="minorHAnsi"/>
          <w:sz w:val="20"/>
          <w:szCs w:val="20"/>
          <w:lang w:val="es-CO"/>
        </w:rPr>
        <w:t xml:space="preserve">Un soporte del extremo de la superestructura para un puente. (CCP-2014). Estructura que soporta el extremo de un puente y, además, da soporte lateral al material de relleno en el que descansa la carretera que conecta con el puente (relleno de </w:t>
      </w:r>
      <w:r w:rsidRPr="006A2F19">
        <w:rPr>
          <w:rFonts w:asciiTheme="minorHAnsi" w:hAnsiTheme="minorHAnsi" w:cstheme="minorHAnsi"/>
          <w:sz w:val="20"/>
          <w:szCs w:val="20"/>
          <w:lang w:val="es-CO"/>
        </w:rPr>
        <w:lastRenderedPageBreak/>
        <w:t>acercamiento). En la práctica convencional, diferentes tipos de estribos pueden ser usados. (CCP-2014)</w:t>
      </w:r>
    </w:p>
    <w:p w14:paraId="2A17E0DF" w14:textId="6EC29E58" w:rsidR="000C2C93" w:rsidRPr="000C2C93" w:rsidRDefault="000C2C93" w:rsidP="000C2C93">
      <w:pPr>
        <w:pStyle w:val="Prrafodelista"/>
        <w:numPr>
          <w:ilvl w:val="1"/>
          <w:numId w:val="22"/>
        </w:numPr>
        <w:ind w:left="851" w:hanging="567"/>
        <w:jc w:val="both"/>
        <w:rPr>
          <w:rFonts w:eastAsia="Times New Roman" w:cstheme="minorHAnsi"/>
          <w:sz w:val="20"/>
          <w:szCs w:val="20"/>
          <w:lang w:val="es-CO" w:eastAsia="es-CO"/>
        </w:rPr>
      </w:pPr>
      <w:r w:rsidRPr="000C2C93">
        <w:rPr>
          <w:rFonts w:eastAsia="Times New Roman" w:cstheme="minorHAnsi"/>
          <w:b/>
          <w:bCs/>
          <w:sz w:val="20"/>
          <w:szCs w:val="20"/>
          <w:lang w:val="es-CO" w:eastAsia="es-CO"/>
        </w:rPr>
        <w:t>Entorno natural:</w:t>
      </w:r>
      <w:r w:rsidRPr="000C2C93">
        <w:rPr>
          <w:rFonts w:eastAsia="Times New Roman" w:cstheme="minorHAnsi"/>
          <w:sz w:val="20"/>
          <w:szCs w:val="20"/>
          <w:lang w:val="es-CO" w:eastAsia="es-CO"/>
        </w:rPr>
        <w:t xml:space="preserve"> El entorno natural es el medio ambiente o la naturaleza, constituida por seres vivos y no vivos, agua, luz, viento, montañas, suelos, entre otros. (Lifeder, 2017)</w:t>
      </w:r>
    </w:p>
    <w:p w14:paraId="4108DDE0" w14:textId="65531B22" w:rsidR="00A77E75" w:rsidRPr="00F46BBD" w:rsidRDefault="00A77E7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823299">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5"/>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6"/>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823299">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21736E3" w:rsidR="001A19E1" w:rsidRDefault="00C64E08" w:rsidP="00823299">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4FA9623E"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lastRenderedPageBreak/>
        <w:t xml:space="preserve">Evaluación de puentes: </w:t>
      </w:r>
      <w:r w:rsidRPr="006A2F19">
        <w:rPr>
          <w:rFonts w:asciiTheme="minorHAnsi" w:hAnsiTheme="minorHAnsi" w:cstheme="minorHAnsi"/>
          <w:sz w:val="20"/>
          <w:szCs w:val="20"/>
          <w:lang w:val="es-CO"/>
        </w:rPr>
        <w:t>Determinación de la capacidad de carga de un puente existente. (CCP-2014)</w:t>
      </w:r>
    </w:p>
    <w:p w14:paraId="302AB8D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Exposición (elementos expuestos): </w:t>
      </w:r>
      <w:r w:rsidRPr="006A2F19">
        <w:rPr>
          <w:rFonts w:asciiTheme="minorHAnsi" w:hAnsiTheme="minorHAnsi" w:cstheme="minorHAnsi"/>
          <w:sz w:val="20"/>
          <w:szCs w:val="20"/>
          <w:lang w:val="es-CO"/>
        </w:rPr>
        <w:t>Se refiere a la presencia de personas, medios de subsistencia, servicios ambientales y recursos económicos y sociales, bienes culturales e infraestructura que por su localización pueden ser afectados por la manifestación de una amenaza. (Ley 1523 de 2012).</w:t>
      </w:r>
    </w:p>
    <w:p w14:paraId="72011106"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Fajas de retiro obligatorio, áreas de reserva o de exclusión para carreteras: </w:t>
      </w:r>
      <w:r w:rsidRPr="006A2F19">
        <w:rPr>
          <w:rFonts w:asciiTheme="minorHAnsi" w:hAnsiTheme="minorHAnsi" w:cstheme="minorHAnsi"/>
          <w:sz w:val="20"/>
          <w:szCs w:val="20"/>
          <w:lang w:val="es-CO"/>
        </w:rPr>
        <w:t>Son secciones de terreno comprendidas por el área referida en el artículo segundo de la Ley 1228 de 2008, medidas a partir de la mitad del eje de la vía cuando se trata de calzada sencilla; cuando se trate de calzada doble la sección del terreno se medirá a partir del eje de la calzada exterior. (Res 0411 de 2020 – MT)</w:t>
      </w:r>
    </w:p>
    <w:p w14:paraId="394FD847" w14:textId="35388039" w:rsidR="00BB647E" w:rsidRPr="00547D84" w:rsidRDefault="00BB647E" w:rsidP="00823299">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823299">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7"/>
      </w:r>
      <w:r w:rsidRPr="00547D84">
        <w:rPr>
          <w:rFonts w:asciiTheme="minorHAnsi" w:hAnsiTheme="minorHAnsi" w:cstheme="minorHAnsi"/>
          <w:sz w:val="20"/>
          <w:szCs w:val="20"/>
          <w:lang w:val="es-ES"/>
        </w:rPr>
        <w:t>.</w:t>
      </w:r>
    </w:p>
    <w:p w14:paraId="0D2130F8" w14:textId="29B8C56E" w:rsidR="00D040F8" w:rsidRDefault="00D040F8" w:rsidP="0086509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307AD99D" w14:textId="22B1EA45" w:rsidR="0086509D" w:rsidRPr="0086509D" w:rsidRDefault="0086509D" w:rsidP="0086509D">
      <w:pPr>
        <w:pStyle w:val="Prrafodelista"/>
        <w:numPr>
          <w:ilvl w:val="1"/>
          <w:numId w:val="22"/>
        </w:numPr>
        <w:ind w:left="851" w:hanging="567"/>
        <w:jc w:val="both"/>
        <w:rPr>
          <w:rFonts w:eastAsia="Times New Roman" w:cstheme="minorHAnsi"/>
          <w:sz w:val="20"/>
          <w:szCs w:val="20"/>
          <w:lang w:val="es-CO" w:eastAsia="es-ES"/>
        </w:rPr>
      </w:pPr>
      <w:r w:rsidRPr="0086509D">
        <w:rPr>
          <w:rFonts w:eastAsia="Times New Roman" w:cstheme="minorHAnsi"/>
          <w:b/>
          <w:bCs/>
          <w:sz w:val="20"/>
          <w:szCs w:val="20"/>
          <w:lang w:val="es-CO" w:eastAsia="es-ES"/>
        </w:rPr>
        <w:t>Gestión del riesgo:</w:t>
      </w:r>
      <w:r w:rsidRPr="0086509D">
        <w:rPr>
          <w:rFonts w:eastAsia="Times New Roman" w:cstheme="minorHAnsi"/>
          <w:sz w:val="20"/>
          <w:szCs w:val="20"/>
          <w:lang w:val="es-CO" w:eastAsia="es-ES"/>
        </w:rPr>
        <w:t xml:space="preserve"> Es el proceso social de planeación, ejecución, seguimiento y evaluación de políticas y acciones permanentes para el conocimiento del riesgo y promoción de una mayor conciencia de este, impedir o evitar que se genere, reducirlo o controlarlo cuando ya existe y para prepararse y manejar las situaciones de desastre, así como para la posterior recuperación, entiéndase: rehabilitación y reconstrucción. Estas acciones tienen el propósito explícito de contribuir a la seguridad, el bienestar y calidad de vida de las personas y al desarrollo sostenible.</w:t>
      </w:r>
    </w:p>
    <w:p w14:paraId="4A03F2FE" w14:textId="3B64F848" w:rsidR="00392E0F" w:rsidRPr="00547D84" w:rsidRDefault="00565C5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48593C96" w:rsidR="00565C5D" w:rsidRDefault="001A1C0A" w:rsidP="00823299">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5448A759"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lastRenderedPageBreak/>
        <w:t xml:space="preserve">Impacto Ambiental: </w:t>
      </w:r>
      <w:r w:rsidRPr="006A2F19">
        <w:rPr>
          <w:rFonts w:asciiTheme="minorHAnsi" w:hAnsiTheme="minorHAnsi" w:cstheme="minorHAnsi"/>
          <w:sz w:val="20"/>
          <w:szCs w:val="20"/>
          <w:lang w:val="es-CO"/>
        </w:rPr>
        <w:t>Cualquier alteración en el medio ambiental biótico, abiótico y socioeconómico, que sea adverso o beneficioso, total o parcial, que pueda ser atribuido al desarrollo de un proyecto, obra o actividad. (Decreto 1076 de 2015 artículo 2.2.2.3.1.1.)</w:t>
      </w:r>
    </w:p>
    <w:p w14:paraId="69A35F57" w14:textId="3B608D9A" w:rsidR="00740616" w:rsidRPr="00E003EA" w:rsidRDefault="00740616" w:rsidP="00E003EA">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 xml:space="preserve">Infraestructura de transporte sostenible: </w:t>
      </w:r>
      <w:r w:rsidRPr="00E003EA">
        <w:rPr>
          <w:rFonts w:eastAsia="Times New Roman" w:cstheme="minorHAnsi"/>
          <w:bCs/>
          <w:sz w:val="20"/>
          <w:szCs w:val="20"/>
          <w:lang w:val="es-CO" w:eastAsia="es-ES"/>
        </w:rPr>
        <w:t>Se refiere al desarrollo de los modos de transporte carretero, férreo, fluvial y marítimo que son planificados, diseñados, construidos, operados y desmantelados, en equilibrio con las dimensiones técnica, social, ambiental, económica y financiera, con el fin de elevar el bienestar social y el crecimiento económico, sin agotar la base de los recursos naturales renovables. (Grupo de sostenibilidad- INVIAS).</w:t>
      </w:r>
    </w:p>
    <w:p w14:paraId="3B8D6A0B" w14:textId="77777777" w:rsidR="00740616" w:rsidRPr="00740616" w:rsidRDefault="00740616" w:rsidP="00E003EA">
      <w:pPr>
        <w:ind w:left="851" w:hanging="567"/>
        <w:jc w:val="both"/>
        <w:rPr>
          <w:rFonts w:eastAsia="Times New Roman" w:cstheme="minorHAnsi"/>
          <w:bCs/>
          <w:sz w:val="20"/>
          <w:szCs w:val="20"/>
          <w:lang w:val="es-CO" w:eastAsia="es-ES"/>
        </w:rPr>
      </w:pPr>
    </w:p>
    <w:p w14:paraId="4D604541" w14:textId="59C555E0" w:rsidR="00D040F8" w:rsidRPr="00547D84" w:rsidRDefault="00D040F8" w:rsidP="00E003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6503A2D5" w:rsidR="00AF3CEA" w:rsidRDefault="00D040F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78416B7E" w14:textId="0CD4BBF0" w:rsidR="00B54C9C" w:rsidRPr="00E003EA" w:rsidRDefault="00B54C9C" w:rsidP="00B54C9C">
      <w:pPr>
        <w:pStyle w:val="Prrafodelista"/>
        <w:numPr>
          <w:ilvl w:val="1"/>
          <w:numId w:val="22"/>
        </w:numPr>
        <w:ind w:left="851" w:hanging="567"/>
        <w:jc w:val="both"/>
        <w:rPr>
          <w:rFonts w:eastAsia="Times New Roman" w:cstheme="minorHAnsi"/>
          <w:b/>
          <w:sz w:val="20"/>
          <w:szCs w:val="20"/>
          <w:lang w:val="es-CO" w:eastAsia="es-ES"/>
        </w:rPr>
      </w:pPr>
      <w:r w:rsidRPr="00E003EA">
        <w:rPr>
          <w:rFonts w:eastAsia="Times New Roman" w:cstheme="minorHAnsi"/>
          <w:b/>
          <w:sz w:val="20"/>
          <w:szCs w:val="20"/>
          <w:lang w:val="es-CO" w:eastAsia="es-ES"/>
        </w:rPr>
        <w:t>Infraestructura verde vial:</w:t>
      </w:r>
      <w:r w:rsidRPr="00E003EA">
        <w:rPr>
          <w:rFonts w:eastAsia="Times New Roman" w:cstheme="minorHAnsi"/>
          <w:bCs/>
          <w:sz w:val="20"/>
          <w:szCs w:val="20"/>
          <w:lang w:val="es-CO" w:eastAsia="es-ES"/>
        </w:rPr>
        <w:t xml:space="preserve"> </w:t>
      </w:r>
      <w:r>
        <w:rPr>
          <w:rFonts w:eastAsia="Times New Roman" w:cstheme="minorHAnsi"/>
          <w:bCs/>
          <w:sz w:val="20"/>
          <w:szCs w:val="20"/>
          <w:lang w:val="es-CO" w:eastAsia="es-ES"/>
        </w:rPr>
        <w:t>A</w:t>
      </w:r>
      <w:r w:rsidRPr="00E003EA">
        <w:rPr>
          <w:rFonts w:eastAsia="Times New Roman" w:cstheme="minorHAnsi"/>
          <w:bCs/>
          <w:sz w:val="20"/>
          <w:szCs w:val="20"/>
          <w:lang w:val="es-CO" w:eastAsia="es-ES"/>
        </w:rPr>
        <w:t>quella infraestructura vial que a lo largo de todas sus etapas de desarrollo, desde la planeación estratégica sectorial, y durante su planeación, construcción, operación, intervención y desmantelamiento, integra consideraciones ambientales, sociales, tecnológicas y de Ingeniería, con el propósito de evitar, mitigar y corregir los potenciales impactos ambientales negativos que generan este tipo de proyectos, sean directos, indirectos, sinérgicos y/o acumulativos, ocasionando un balance ambiental neto positivo. (Documento de Lineamientos de Infraestructura Verde Vial para Colombia, 2020)</w:t>
      </w:r>
    </w:p>
    <w:p w14:paraId="00C5AB07" w14:textId="77777777" w:rsidR="00B54C9C" w:rsidRPr="00740616" w:rsidRDefault="00B54C9C" w:rsidP="00B54C9C">
      <w:pPr>
        <w:ind w:left="851" w:hanging="567"/>
        <w:jc w:val="both"/>
        <w:rPr>
          <w:rFonts w:eastAsia="Times New Roman" w:cstheme="minorHAnsi"/>
          <w:bCs/>
          <w:sz w:val="20"/>
          <w:szCs w:val="20"/>
          <w:lang w:val="es-CO" w:eastAsia="es-ES"/>
        </w:rPr>
      </w:pPr>
    </w:p>
    <w:p w14:paraId="3A3ECE89" w14:textId="77777777" w:rsidR="00B54C9C" w:rsidRPr="00E003EA" w:rsidRDefault="00B54C9C" w:rsidP="00B54C9C">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Infraestructura verde:</w:t>
      </w:r>
      <w:r w:rsidRPr="00E003EA">
        <w:rPr>
          <w:rFonts w:eastAsia="Times New Roman" w:cstheme="minorHAnsi"/>
          <w:bCs/>
          <w:sz w:val="20"/>
          <w:szCs w:val="20"/>
          <w:lang w:val="es-CO" w:eastAsia="es-ES"/>
        </w:rPr>
        <w:t xml:space="preserve"> Red de zonas naturales y seminaturales y de otros elementos ambientales, que presta una extensa gama de servicios ecosistémicos. Incorpora espacios verdes (o azules en el caso de los ecosistemas acuáticos) y otros elementos físicos de espacios terrestres (incluidas las zonas costeras) y marinos. En los espacios terrestres, la infraestructura verde está presente en los entornos rurales y urbanos. La infraestructura verde consiste en la utilización de vegetación, suelos y procesos naturales para funciones tales como la gestión del agua de lluvia y la creación de ambientes más saludables. (IDEAM, 2016)</w:t>
      </w:r>
    </w:p>
    <w:p w14:paraId="15E0C639" w14:textId="0C6FEA83" w:rsidR="00381B4B" w:rsidRDefault="00381B4B"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accent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07FC1E89"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Intervención (En el marco de política nacional de gestión del riesgo de desastres): </w:t>
      </w:r>
      <w:r w:rsidRPr="006A2F19">
        <w:rPr>
          <w:rFonts w:asciiTheme="minorHAnsi" w:hAnsiTheme="minorHAnsi" w:cstheme="minorHAnsi"/>
          <w:sz w:val="20"/>
          <w:szCs w:val="20"/>
          <w:lang w:val="es-CO"/>
        </w:rPr>
        <w:t>Corresponde al tratamiento del riesgo mediante la modificación intencional de las características de un fenómeno con el fin de reducir la amenaza que representa o de modificar las características intrínsecas de un elemento expuesto con el fin de reducir su vulnerabilidad. (Ley 1523 de 2012).</w:t>
      </w:r>
    </w:p>
    <w:p w14:paraId="6E2C1EC6"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Intervención correctiva (En el marco de política nacional de gestión del riesgo de desastres): </w:t>
      </w:r>
      <w:r w:rsidRPr="006A2F19">
        <w:rPr>
          <w:rFonts w:asciiTheme="minorHAnsi" w:hAnsiTheme="minorHAnsi" w:cstheme="minorHAnsi"/>
          <w:sz w:val="20"/>
          <w:szCs w:val="20"/>
          <w:lang w:val="es-CO"/>
        </w:rPr>
        <w:t xml:space="preserve">Proceso cuyo objetivo es reducir el nivel de riesgo existente en la sociedad a </w:t>
      </w:r>
      <w:r w:rsidRPr="006A2F19">
        <w:rPr>
          <w:rFonts w:asciiTheme="minorHAnsi" w:hAnsiTheme="minorHAnsi" w:cstheme="minorHAnsi"/>
          <w:sz w:val="20"/>
          <w:szCs w:val="20"/>
          <w:lang w:val="es-CO"/>
        </w:rPr>
        <w:lastRenderedPageBreak/>
        <w:t>través de acciones de mitigación, en el sentido de disminuir o reducir las condiciones de amenaza, cuando sea posible, y la vulnerabilidad de los elementos expuestos. (Ley 1523 de 2012).</w:t>
      </w:r>
    </w:p>
    <w:p w14:paraId="2DA57AD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Intervención prospectiva (En el marco de política nacional de gestión del riesgo de desastres): </w:t>
      </w:r>
      <w:r w:rsidRPr="006A2F19">
        <w:rPr>
          <w:rFonts w:asciiTheme="minorHAnsi" w:hAnsiTheme="minorHAnsi" w:cstheme="minorHAnsi"/>
          <w:sz w:val="20"/>
          <w:szCs w:val="20"/>
          <w:lang w:val="es-CO"/>
        </w:rPr>
        <w:t>Proceso cuyo objetivo es garantizar que no surjan nuevas situaciones de riesgo a través de acciones de prevención, impidiendo que los elementos expuestos sean vulnerables o que lleguen a estar expuestos ante posibles eventos peligrosos. Su objetivo último es evitar nuevo riesgo y la necesidad de intervenciones correctivas en el futuro. La intervención prospectiva se realiza primordialmente a través de la planificación ambiental sostenible, el ordenamiento territorial, la planificación sectorial, la regulación y las especificaciones técnicas, los estudios de prefactibilidad y diseño adecuados, el control y seguimiento y en general todos aquellos mecanismos que contribuyan de manera anticipada a la localización, construcción y funcionamiento seguro de la infraestructura, los bienes y la población. (Ley 1523 de 2012).</w:t>
      </w:r>
    </w:p>
    <w:p w14:paraId="4065A062"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Licencia Ambiental: </w:t>
      </w:r>
      <w:r w:rsidRPr="006A2F19">
        <w:rPr>
          <w:rFonts w:asciiTheme="minorHAnsi" w:hAnsiTheme="minorHAnsi" w:cstheme="minorHAnsi"/>
          <w:sz w:val="20"/>
          <w:szCs w:val="20"/>
          <w:lang w:val="es-CO"/>
        </w:rPr>
        <w:t>Autorización que otorga la Entidad ambiental competente para la ejecución de un proyecto, obra o actividad, que de acuerdo con la ley y los reglamentos pueda producir deterioro grave a los recursos naturales renovables o al medio ambiente o introducir modificaciones considerables o notorias al paisaje; la cual está sujeta al cumplimiento por parte del beneficiario de está de los requisitos, términos, condiciones y obligaciones en relación con la prevención, mitigación, corrección, compensación y manejo de los efectos ambientales del proyecto, obra o actividad autorizada. La licencia ambiental llevará implícitos todos los permisos, autorizaciones y/o concesiones para el uso, aprovechamiento y/o afectación de los recursos naturales renovables, que sean necesarios por el tiempo de vida útil del proyecto, obra o actividad.</w:t>
      </w:r>
    </w:p>
    <w:p w14:paraId="15C69E21" w14:textId="77777777" w:rsidR="00B54C9C" w:rsidRPr="006A2F19" w:rsidRDefault="00B54C9C" w:rsidP="00B54C9C">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6A2F19">
        <w:rPr>
          <w:rFonts w:asciiTheme="minorHAnsi" w:hAnsiTheme="minorHAnsi" w:cstheme="minorHAnsi"/>
          <w:sz w:val="20"/>
          <w:szCs w:val="20"/>
          <w:lang w:val="es-CO"/>
        </w:rPr>
        <w:t>El uso aprovechamiento y/o afectación de los recursos naturales renovables, deben ser claramente identificados en el respectivo estudio de impacto ambiental. La licencia ambiental debe obtenerse previamente al inicio del proyecto, obra o actividad. Ningún proyecto, obra o actividad requerirá más de una licencia ambiental. (Decreto 1076 de 2015 artículo 2.2.2.3.1.3.)</w:t>
      </w:r>
    </w:p>
    <w:p w14:paraId="56DDC14A" w14:textId="2D590199" w:rsidR="00A10128" w:rsidRDefault="00A1012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40D7BABE" w14:textId="77777777" w:rsidR="00B54C9C" w:rsidRPr="006A2F19" w:rsidRDefault="00B54C9C" w:rsidP="00B54C9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Losa de tablero</w:t>
      </w:r>
      <w:r w:rsidRPr="006A2F19">
        <w:rPr>
          <w:rFonts w:asciiTheme="minorHAnsi" w:hAnsiTheme="minorHAnsi" w:cstheme="minorHAnsi"/>
          <w:sz w:val="20"/>
          <w:szCs w:val="20"/>
          <w:lang w:val="es-CO"/>
        </w:rPr>
        <w:t>: Losa de concreto que resiste y distribuye las cargas de rueda a los componentes de apoyo. (CCP-2014)</w:t>
      </w:r>
    </w:p>
    <w:p w14:paraId="20827914" w14:textId="3E9686FC" w:rsidR="00603B92" w:rsidRPr="00547D84"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75F4FA90" w:rsidR="00C32C2D" w:rsidRDefault="00C32C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2EBB2B95"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Manejo de desastres:</w:t>
      </w:r>
      <w:r w:rsidRPr="006A2F19">
        <w:rPr>
          <w:rFonts w:asciiTheme="minorHAnsi" w:hAnsiTheme="minorHAnsi" w:cstheme="minorHAnsi"/>
          <w:sz w:val="20"/>
          <w:szCs w:val="20"/>
          <w:lang w:val="es-CO"/>
        </w:rPr>
        <w:t xml:space="preserve"> Es el proceso de la gestión del riesgo compuesto por la preparación para la respuesta a emergencias, la preparación para la recuperación posdesastre, la ejecución de dicha respuesta y la ejecución de la respectiva recuperación, entiéndase: rehabilitación y recuperación. (Ley 1523 de 2012).</w:t>
      </w:r>
    </w:p>
    <w:p w14:paraId="6152EDEF" w14:textId="7B9C28AC" w:rsidR="00032D10" w:rsidRPr="00547D84" w:rsidRDefault="00032D10"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r w:rsidRPr="00547D84">
        <w:rPr>
          <w:rFonts w:asciiTheme="minorHAnsi" w:hAnsiTheme="minorHAnsi" w:cstheme="minorHAnsi"/>
          <w:sz w:val="20"/>
          <w:szCs w:val="20"/>
          <w:lang w:val="es-419"/>
        </w:rPr>
        <w:t>ctividades de conservación a intervalos variables, destinados primordialmente a recuperar los deterioros ocasionados por el uso o por fenómenos naturales o agentes externos.</w:t>
      </w:r>
    </w:p>
    <w:p w14:paraId="7792905A" w14:textId="2526A9A2" w:rsidR="006E5117" w:rsidRDefault="00A00888"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3052DD29"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Compensación: </w:t>
      </w:r>
      <w:r w:rsidRPr="006A2F19">
        <w:rPr>
          <w:rFonts w:asciiTheme="minorHAnsi" w:hAnsiTheme="minorHAnsi" w:cstheme="minorHAnsi"/>
          <w:sz w:val="20"/>
          <w:szCs w:val="20"/>
          <w:lang w:val="es-CO"/>
        </w:rPr>
        <w:t>Acciones dirigidas a resarcir y retribuir a las comunidades, las regiones, localidades y al entorno natural por los impactos o efectos negativos generados por un proyecto, obra o actividad, que no puedan ser evitados, corregidos, mitigados o sustituidos. (Manual de interventoría – Res 319-2022)</w:t>
      </w:r>
    </w:p>
    <w:p w14:paraId="75FB403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Corrección: </w:t>
      </w:r>
      <w:r w:rsidRPr="006A2F19">
        <w:rPr>
          <w:rFonts w:asciiTheme="minorHAnsi" w:hAnsiTheme="minorHAnsi" w:cstheme="minorHAnsi"/>
          <w:sz w:val="20"/>
          <w:szCs w:val="20"/>
          <w:lang w:val="es-CO"/>
        </w:rPr>
        <w:t>Acciones dirigidas a recuperar, restaurar o reparar las condiciones del medio ambiente afectado por el proyecto, obra o actividad. (Manual de interventoría – Res 319-2022)</w:t>
      </w:r>
    </w:p>
    <w:p w14:paraId="42DC55E7"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Mitigación: </w:t>
      </w:r>
      <w:r w:rsidRPr="006A2F19">
        <w:rPr>
          <w:rFonts w:asciiTheme="minorHAnsi" w:hAnsiTheme="minorHAnsi" w:cstheme="minorHAnsi"/>
          <w:sz w:val="20"/>
          <w:szCs w:val="20"/>
          <w:lang w:val="es-CO"/>
        </w:rPr>
        <w:t>Acciones dirigidas a minimizar los impactos y efectos negativos de un proyecto, obra o actividad sobre el medio ambiente. (Manual de interventoría – Res 319-2022)</w:t>
      </w:r>
    </w:p>
    <w:p w14:paraId="19D84E92"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Medidas de Prevención: </w:t>
      </w:r>
      <w:r w:rsidRPr="006A2F19">
        <w:rPr>
          <w:rFonts w:asciiTheme="minorHAnsi" w:hAnsiTheme="minorHAnsi" w:cstheme="minorHAnsi"/>
          <w:sz w:val="20"/>
          <w:szCs w:val="20"/>
          <w:lang w:val="es-CO"/>
        </w:rPr>
        <w:t>Acciones encaminadas a evitar los impactos y efectos negativos que pueda generar un proyecto, obra o actividad sobre el medio ambiente. (Manual de interventoría – Res 319-2022)</w:t>
      </w:r>
    </w:p>
    <w:p w14:paraId="1A4AEDB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6A2F19">
        <w:rPr>
          <w:rFonts w:asciiTheme="minorHAnsi" w:hAnsiTheme="minorHAnsi" w:cstheme="minorHAnsi"/>
          <w:b/>
          <w:bCs/>
          <w:sz w:val="20"/>
          <w:szCs w:val="20"/>
          <w:lang w:val="es-CO"/>
        </w:rPr>
        <w:t xml:space="preserve">Medioambiente: </w:t>
      </w:r>
      <w:r w:rsidRPr="006A2F19">
        <w:rPr>
          <w:rFonts w:asciiTheme="minorHAnsi" w:hAnsiTheme="minorHAnsi" w:cstheme="minorHAnsi"/>
          <w:sz w:val="20"/>
          <w:szCs w:val="20"/>
          <w:lang w:val="es-CO"/>
        </w:rPr>
        <w:t>Sistema compuesto por los elementos naturales, sociales y culturales que existen en la tierra, sus permanentes interacciones y los resultados que de ellas se derivan. (Manual de interventoría – Res 319-2022)</w:t>
      </w:r>
    </w:p>
    <w:p w14:paraId="1BD3EEA8" w14:textId="07AF6605" w:rsidR="00DD622D" w:rsidRDefault="00DD622D"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8"/>
      </w:r>
      <w:r w:rsidRPr="00547D84">
        <w:rPr>
          <w:rFonts w:asciiTheme="minorHAnsi" w:hAnsiTheme="minorHAnsi" w:cstheme="minorHAnsi"/>
          <w:bCs/>
          <w:sz w:val="20"/>
          <w:szCs w:val="20"/>
          <w:lang w:val="es-CO"/>
        </w:rPr>
        <w:t>.</w:t>
      </w:r>
    </w:p>
    <w:p w14:paraId="5B7621DA"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Mezcla asfáltica Natural: </w:t>
      </w:r>
      <w:r w:rsidRPr="006A2F19">
        <w:rPr>
          <w:rFonts w:asciiTheme="minorHAnsi" w:hAnsiTheme="minorHAnsi" w:cstheme="minorHAnsi"/>
          <w:sz w:val="20"/>
          <w:szCs w:val="20"/>
          <w:lang w:val="es-CO"/>
        </w:rPr>
        <w:t>La Mezcla Asfáltica Natural es un material compuesto esencialmente de arenas finas y conglomerado que están impregnadas de asfalto, siendo este parámetro común para la mayoría de los depósitos que se encuentran en el territorio colombiano. El contenido de asfalto residual puede variar según la fuente de explotación. El material pétreo presente en el asfalto natural deberá estar exento de materia orgánica o cualquier otra sustancia perjudicial. (Artículo 321P-17 Res 10099/2017)</w:t>
      </w:r>
    </w:p>
    <w:p w14:paraId="24EEA068" w14:textId="34B5ACA2" w:rsidR="00E003EA" w:rsidRDefault="00E003EA" w:rsidP="00F37341">
      <w:pPr>
        <w:pStyle w:val="Prrafodelista"/>
        <w:numPr>
          <w:ilvl w:val="1"/>
          <w:numId w:val="22"/>
        </w:numPr>
        <w:ind w:left="851" w:hanging="567"/>
        <w:jc w:val="both"/>
        <w:rPr>
          <w:rFonts w:eastAsia="Times New Roman" w:cstheme="minorHAnsi"/>
          <w:bCs/>
          <w:sz w:val="20"/>
          <w:szCs w:val="20"/>
          <w:lang w:val="es-CO" w:eastAsia="es-ES"/>
        </w:rPr>
      </w:pPr>
      <w:r w:rsidRPr="00E003EA">
        <w:rPr>
          <w:rFonts w:eastAsia="Times New Roman" w:cstheme="minorHAnsi"/>
          <w:b/>
          <w:sz w:val="20"/>
          <w:szCs w:val="20"/>
          <w:lang w:val="es-CO" w:eastAsia="es-ES"/>
        </w:rPr>
        <w:t>Mitigación de Gases de Efecto Invernadero -GEI:</w:t>
      </w:r>
      <w:r w:rsidRPr="00E003EA">
        <w:rPr>
          <w:rFonts w:eastAsia="Times New Roman" w:cstheme="minorHAnsi"/>
          <w:bCs/>
          <w:sz w:val="20"/>
          <w:szCs w:val="20"/>
          <w:lang w:val="es-CO" w:eastAsia="es-ES"/>
        </w:rPr>
        <w:t xml:space="preserve"> Es la gestión que busca reducir los niveles de emisiones de gases de efecto invernadero en la atmósfera, a través de la limitación o disminución de las fuentes de emisiones de gases de efecto invernadero y el aumento o mejora de los sumideros y reservas de GEI. (IDEAM, 2016)</w:t>
      </w:r>
    </w:p>
    <w:p w14:paraId="38AC9726" w14:textId="77777777" w:rsidR="00C173F0" w:rsidRPr="00C173F0" w:rsidRDefault="00C173F0" w:rsidP="00C173F0">
      <w:pPr>
        <w:ind w:left="284"/>
        <w:jc w:val="both"/>
        <w:rPr>
          <w:rFonts w:eastAsia="Times New Roman" w:cstheme="minorHAnsi"/>
          <w:bCs/>
          <w:sz w:val="20"/>
          <w:szCs w:val="20"/>
          <w:lang w:val="es-CO" w:eastAsia="es-ES"/>
        </w:rPr>
      </w:pPr>
    </w:p>
    <w:p w14:paraId="47321734" w14:textId="43FABB5F" w:rsidR="00A33986" w:rsidRPr="00C173F0"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Mitigación del riesgo (En el marco de política nacional de gestión del riesgo de desastres): </w:t>
      </w:r>
      <w:r w:rsidRPr="006A2F19">
        <w:rPr>
          <w:rFonts w:asciiTheme="minorHAnsi" w:hAnsiTheme="minorHAnsi" w:cstheme="minorHAnsi"/>
          <w:sz w:val="20"/>
          <w:szCs w:val="20"/>
          <w:lang w:val="es-CO"/>
        </w:rPr>
        <w:t xml:space="preserve">Medidas de intervención prescriptiva o correctiva dirigidas a reducir o disminuir </w:t>
      </w:r>
      <w:r w:rsidRPr="006A2F19">
        <w:rPr>
          <w:rFonts w:asciiTheme="minorHAnsi" w:hAnsiTheme="minorHAnsi" w:cstheme="minorHAnsi"/>
          <w:sz w:val="20"/>
          <w:szCs w:val="20"/>
          <w:lang w:val="es-CO"/>
        </w:rPr>
        <w:lastRenderedPageBreak/>
        <w:t>los daños y pérdidas que se puedan presentar a través de reglamentos de seguridad y proyectos de inversión pública o privada cuyo objetivo es reducir las condiciones de amenaza, cuando sea posible, y la vulnerabilidad existente. (Ley 1523 de 2012).</w:t>
      </w:r>
    </w:p>
    <w:p w14:paraId="16155AB7"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activa</w:t>
      </w:r>
      <w:r w:rsidRPr="00A33986">
        <w:rPr>
          <w:rFonts w:eastAsia="Times New Roman" w:cstheme="minorHAnsi"/>
          <w:bCs/>
          <w:sz w:val="20"/>
          <w:szCs w:val="20"/>
          <w:lang w:val="es-CO" w:eastAsia="es-ES"/>
        </w:rPr>
        <w:t>: En el marco del CONPES 3991 de 2020 se precisa la necesaria construcción de la Estrategia Nacional de Movilidad activa, la cual integra el transporte en medios no motorizados, el transporte público y el estado de la cicloinfraestructura. (MinTransporte,2020)</w:t>
      </w:r>
    </w:p>
    <w:p w14:paraId="4C45E91C" w14:textId="77777777" w:rsidR="00A33986" w:rsidRPr="00A33986" w:rsidRDefault="00A33986" w:rsidP="00A33986">
      <w:pPr>
        <w:ind w:left="851" w:hanging="567"/>
        <w:jc w:val="both"/>
        <w:rPr>
          <w:rFonts w:eastAsia="Times New Roman" w:cstheme="minorHAnsi"/>
          <w:bCs/>
          <w:sz w:val="20"/>
          <w:szCs w:val="20"/>
          <w:lang w:val="es-CO" w:eastAsia="es-ES"/>
        </w:rPr>
      </w:pPr>
    </w:p>
    <w:p w14:paraId="310CADB7"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eléctrica:</w:t>
      </w:r>
      <w:r w:rsidRPr="00A33986">
        <w:rPr>
          <w:rFonts w:eastAsia="Times New Roman" w:cstheme="minorHAnsi"/>
          <w:bCs/>
          <w:sz w:val="20"/>
          <w:szCs w:val="20"/>
          <w:lang w:val="es-CO" w:eastAsia="es-ES"/>
        </w:rPr>
        <w:t xml:space="preserve"> La movilidad eléctrica involucra todos los medios de transporte cuya locomoción se realiza a través del uso de energía eléctrica. (EPM, 2019)</w:t>
      </w:r>
    </w:p>
    <w:p w14:paraId="4E711774" w14:textId="77777777" w:rsidR="00A33986" w:rsidRPr="00A33986" w:rsidRDefault="00A33986" w:rsidP="00A33986">
      <w:pPr>
        <w:pStyle w:val="Prrafodelista"/>
        <w:ind w:left="851" w:hanging="567"/>
        <w:jc w:val="both"/>
        <w:rPr>
          <w:rFonts w:eastAsia="Times New Roman" w:cstheme="minorHAnsi"/>
          <w:bCs/>
          <w:sz w:val="20"/>
          <w:szCs w:val="20"/>
          <w:lang w:val="es-CO" w:eastAsia="es-ES"/>
        </w:rPr>
      </w:pPr>
    </w:p>
    <w:p w14:paraId="639D8C0A" w14:textId="77777777" w:rsidR="00A33986" w:rsidRPr="00A33986"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Inclusiva:</w:t>
      </w:r>
      <w:r w:rsidRPr="00A33986">
        <w:rPr>
          <w:rFonts w:eastAsia="Times New Roman" w:cstheme="minorHAnsi"/>
          <w:bCs/>
          <w:sz w:val="20"/>
          <w:szCs w:val="20"/>
          <w:lang w:val="es-CO" w:eastAsia="es-ES"/>
        </w:rPr>
        <w:t xml:space="preserve"> Implica reconocer el derecho prioritario de los usuarios de otros modos de transporte como peatones, ciclistas y usuarios de transporte público; garantizar el derecho a movilizarse de la población más vulnerable como ancianos, niños, mujeres y personas con discapacidad, además de garantizar que todos los ciudadanos puedan movilizarse de manera segura, eficiente, accesible y cómoda, sin importar su lugar de residencia ni su nivel de ingreso, con escenarios de inclusión de los actores en los procesos de planificación, gestión y evaluación, como sujetos capaces de generar cambios y de cambiar. (Puga, 2017)</w:t>
      </w:r>
    </w:p>
    <w:p w14:paraId="2E123FBD" w14:textId="77777777" w:rsidR="00A33986" w:rsidRPr="00A33986" w:rsidRDefault="00A33986" w:rsidP="00A33986">
      <w:pPr>
        <w:pStyle w:val="Prrafodelista"/>
        <w:ind w:left="851" w:hanging="567"/>
        <w:jc w:val="both"/>
        <w:rPr>
          <w:rFonts w:eastAsia="Times New Roman" w:cstheme="minorHAnsi"/>
          <w:bCs/>
          <w:sz w:val="20"/>
          <w:szCs w:val="20"/>
          <w:lang w:val="es-CO" w:eastAsia="es-ES"/>
        </w:rPr>
      </w:pPr>
    </w:p>
    <w:p w14:paraId="16FB233C" w14:textId="747E3357" w:rsidR="00A33986" w:rsidRPr="00E003EA" w:rsidRDefault="00A33986" w:rsidP="00A33986">
      <w:pPr>
        <w:pStyle w:val="Prrafodelista"/>
        <w:numPr>
          <w:ilvl w:val="1"/>
          <w:numId w:val="22"/>
        </w:numPr>
        <w:ind w:left="851" w:hanging="567"/>
        <w:jc w:val="both"/>
        <w:rPr>
          <w:rFonts w:eastAsia="Times New Roman" w:cstheme="minorHAnsi"/>
          <w:bCs/>
          <w:sz w:val="20"/>
          <w:szCs w:val="20"/>
          <w:lang w:val="es-CO" w:eastAsia="es-ES"/>
        </w:rPr>
      </w:pPr>
      <w:r w:rsidRPr="00A33986">
        <w:rPr>
          <w:rFonts w:eastAsia="Times New Roman" w:cstheme="minorHAnsi"/>
          <w:b/>
          <w:sz w:val="20"/>
          <w:szCs w:val="20"/>
          <w:lang w:val="es-CO" w:eastAsia="es-ES"/>
        </w:rPr>
        <w:t>Movilidad sostenible:</w:t>
      </w:r>
      <w:r w:rsidRPr="00A33986">
        <w:rPr>
          <w:rFonts w:eastAsia="Times New Roman" w:cstheme="minorHAnsi"/>
          <w:bCs/>
          <w:sz w:val="20"/>
          <w:szCs w:val="20"/>
          <w:lang w:val="es-CO" w:eastAsia="es-ES"/>
        </w:rPr>
        <w:t xml:space="preserve"> Se entiende por movilidad sostenible el conjunto de actividades referentes a la movilidad en términos de logística, construcción de infraestructura de transporte, combustibles alternativos, movilidad eléctrica y limpia. (MinAmbiente, 2019)</w:t>
      </w:r>
    </w:p>
    <w:p w14:paraId="60B4CB4F" w14:textId="77777777" w:rsidR="00E531C9" w:rsidRPr="00547D84" w:rsidRDefault="00E531C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49015AF9" w:rsidR="00C70512" w:rsidRDefault="00C7051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540BDAA6" w14:textId="062F35D0" w:rsidR="00A33986" w:rsidRPr="00A33986" w:rsidRDefault="00A33986" w:rsidP="00A33986">
      <w:pPr>
        <w:pStyle w:val="Prrafodelista"/>
        <w:numPr>
          <w:ilvl w:val="1"/>
          <w:numId w:val="22"/>
        </w:numPr>
        <w:ind w:left="851" w:hanging="567"/>
        <w:jc w:val="both"/>
        <w:rPr>
          <w:rFonts w:eastAsia="Times New Roman" w:cstheme="minorHAnsi"/>
          <w:sz w:val="20"/>
          <w:szCs w:val="20"/>
          <w:lang w:val="es-CO" w:eastAsia="es-ES"/>
        </w:rPr>
      </w:pPr>
      <w:r w:rsidRPr="00A33986">
        <w:rPr>
          <w:rFonts w:eastAsia="Times New Roman" w:cstheme="minorHAnsi"/>
          <w:b/>
          <w:bCs/>
          <w:sz w:val="20"/>
          <w:szCs w:val="20"/>
          <w:lang w:val="es-CO" w:eastAsia="es-ES"/>
        </w:rPr>
        <w:lastRenderedPageBreak/>
        <w:t>Participación Ciudadana:</w:t>
      </w:r>
      <w:r w:rsidRPr="00A33986">
        <w:rPr>
          <w:rFonts w:eastAsia="Times New Roman" w:cstheme="minorHAnsi"/>
          <w:sz w:val="20"/>
          <w:szCs w:val="20"/>
          <w:lang w:val="es-CO" w:eastAsia="es-ES"/>
        </w:rPr>
        <w:t xml:space="preserve"> Es un derecho de los ciudadanos y eje medular del ordenamiento constitucional vigente en la conformación y control del poder político; así como en la vida económica, política, administrativa y cultural de la Nación. (Corte Constitucional, 2015)</w:t>
      </w:r>
    </w:p>
    <w:p w14:paraId="4875A9A4" w14:textId="43062738" w:rsidR="008D61E1" w:rsidRPr="00547D84" w:rsidRDefault="008D61E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A33986">
        <w:rPr>
          <w:rFonts w:asciiTheme="minorHAnsi" w:hAnsiTheme="minorHAnsi" w:cstheme="minorHAnsi"/>
          <w:b/>
          <w:bCs/>
          <w:sz w:val="20"/>
          <w:szCs w:val="20"/>
          <w:lang w:val="es-CO"/>
        </w:rPr>
        <w:t xml:space="preserve">Paso </w:t>
      </w:r>
      <w:r w:rsidR="008A1377" w:rsidRPr="00A33986">
        <w:rPr>
          <w:rFonts w:asciiTheme="minorHAnsi" w:hAnsiTheme="minorHAnsi" w:cstheme="minorHAnsi"/>
          <w:b/>
          <w:bCs/>
          <w:sz w:val="20"/>
          <w:szCs w:val="20"/>
          <w:lang w:val="es-CO"/>
        </w:rPr>
        <w:t xml:space="preserve">e Intersección a </w:t>
      </w:r>
      <w:r w:rsidR="61768F81" w:rsidRPr="00A33986">
        <w:rPr>
          <w:rFonts w:asciiTheme="minorHAnsi" w:hAnsiTheme="minorHAnsi" w:cstheme="minorHAnsi"/>
          <w:b/>
          <w:bCs/>
          <w:sz w:val="20"/>
          <w:szCs w:val="20"/>
          <w:lang w:val="es-CO"/>
        </w:rPr>
        <w:t>D</w:t>
      </w:r>
      <w:r w:rsidR="008A1377" w:rsidRPr="00A33986">
        <w:rPr>
          <w:rFonts w:asciiTheme="minorHAnsi" w:hAnsiTheme="minorHAnsi" w:cstheme="minorHAnsi"/>
          <w:b/>
          <w:bCs/>
          <w:sz w:val="20"/>
          <w:szCs w:val="20"/>
          <w:lang w:val="es-CO"/>
        </w:rPr>
        <w:t xml:space="preserve">esnivel </w:t>
      </w:r>
      <w:r w:rsidR="02834FEF" w:rsidRPr="00A33986">
        <w:rPr>
          <w:rFonts w:asciiTheme="minorHAnsi" w:hAnsiTheme="minorHAnsi" w:cstheme="minorHAnsi"/>
          <w:b/>
          <w:bCs/>
          <w:sz w:val="20"/>
          <w:szCs w:val="20"/>
          <w:lang w:val="es-CO"/>
        </w:rPr>
        <w:t>V</w:t>
      </w:r>
      <w:r w:rsidR="008A1377" w:rsidRPr="00A33986">
        <w:rPr>
          <w:rFonts w:asciiTheme="minorHAnsi" w:hAnsiTheme="minorHAnsi" w:cstheme="minorHAnsi"/>
          <w:b/>
          <w:bCs/>
          <w:sz w:val="20"/>
          <w:szCs w:val="20"/>
          <w:lang w:val="es-CO"/>
        </w:rPr>
        <w:t xml:space="preserve">ehicular: </w:t>
      </w:r>
      <w:r w:rsidR="008A1377" w:rsidRPr="00547D84">
        <w:rPr>
          <w:rFonts w:asciiTheme="minorHAnsi" w:hAnsiTheme="minorHAnsi" w:cstheme="minorHAnsi"/>
          <w:sz w:val="20"/>
          <w:szCs w:val="20"/>
          <w:lang w:val="es-CO"/>
        </w:rPr>
        <w:t>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2D4E548" w:rsidR="006A7911" w:rsidRDefault="006A791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5473570B" w:rsidR="000A3D22" w:rsidRDefault="000A3D22"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6199F1AD"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Pila: </w:t>
      </w:r>
      <w:r w:rsidRPr="006A2F19">
        <w:rPr>
          <w:rFonts w:asciiTheme="minorHAnsi" w:hAnsiTheme="minorHAnsi" w:cstheme="minorHAnsi"/>
          <w:sz w:val="20"/>
          <w:szCs w:val="20"/>
          <w:lang w:val="es-CO"/>
        </w:rPr>
        <w:t>Una columna o un grupo de columnas conectadas u otra configuración diseñada para ser un soporte interior para una superestructura de puente; Aquella parte de la estructura de un puente que proporciona soporte intermedio a la superestructura. (CCP-2014)</w:t>
      </w:r>
    </w:p>
    <w:p w14:paraId="355FC448" w14:textId="77777777" w:rsidR="00C173F0" w:rsidRPr="006A2F19" w:rsidRDefault="00C173F0" w:rsidP="00C173F0">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Pilote: </w:t>
      </w:r>
      <w:r w:rsidRPr="006A2F19">
        <w:rPr>
          <w:rFonts w:asciiTheme="minorHAnsi" w:hAnsiTheme="minorHAnsi" w:cstheme="minorHAnsi"/>
          <w:sz w:val="20"/>
          <w:szCs w:val="20"/>
          <w:lang w:val="es-CO"/>
        </w:rPr>
        <w:t>Unidad de cimentación profunda y esbelta, total o parcialmente empotrada en el suelo, instalada mediante hincado, perforación, taladrado, inyección u otra forma y que desarrolla su capacidad de carga a partir de las propiedades del suelo circundante y/o el suelo o estratos de roca bajo su punta. (CCP-2014)</w:t>
      </w:r>
    </w:p>
    <w:p w14:paraId="4B96D1CA" w14:textId="2A64935F" w:rsidR="00DD35E3" w:rsidRPr="00547D84" w:rsidRDefault="00DD35E3" w:rsidP="00823299">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77E86969" w14:textId="363A6208" w:rsidR="00775859" w:rsidRPr="00547D84" w:rsidRDefault="00775859" w:rsidP="00823299">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axeo;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61B8BFEE" w:rsidR="00617AC0" w:rsidRDefault="00775859"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0C9B1425"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Plan de Manejo Ambiental: </w:t>
      </w:r>
      <w:r w:rsidRPr="006A2F19">
        <w:rPr>
          <w:rFonts w:asciiTheme="minorHAnsi" w:hAnsiTheme="minorHAnsi" w:cstheme="minorHAnsi"/>
          <w:sz w:val="20"/>
          <w:szCs w:val="20"/>
          <w:lang w:val="es-CO"/>
        </w:rPr>
        <w:t xml:space="preserve">Documento presentado a la Autoridad Ambiental relacionado con la solicitud o modificación del licenciamiento ambiental, que contiene el conjunto detallado de medidas y actividades que, producto de una evaluación ambiental, están orientadas a prevenir, mitigar, corregir o compensar los impactos y efectos ambientales debidamente identificados, que se causen por el desarrollo de un proyecto, obra o </w:t>
      </w:r>
      <w:r w:rsidRPr="006A2F19">
        <w:rPr>
          <w:rFonts w:asciiTheme="minorHAnsi" w:hAnsiTheme="minorHAnsi" w:cstheme="minorHAnsi"/>
          <w:sz w:val="20"/>
          <w:szCs w:val="20"/>
          <w:lang w:val="es-CO"/>
        </w:rPr>
        <w:lastRenderedPageBreak/>
        <w:t>actividad. Incluye los planes de seguimiento, monitoreo, contingencia, y abandono según la naturaleza del proyecto, obra o actividad. (Manual de interventoría – Res 319-2022)</w:t>
      </w:r>
    </w:p>
    <w:p w14:paraId="64DDBAC8" w14:textId="0B07598A" w:rsidR="0009659A" w:rsidRPr="00F46BBD" w:rsidRDefault="0009659A" w:rsidP="00823299">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C3C14E" w:rsidR="00DB0B82" w:rsidRDefault="00DB0B8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Pontones: </w:t>
      </w:r>
      <w:r w:rsidR="00772270"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structura de drenaje para el paso de vehículos, cuya luz medida paralela al eje de la carretera es menor o igual a diez metros (10m).</w:t>
      </w:r>
    </w:p>
    <w:p w14:paraId="50E86A99"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Preparación (En el marco de política nacional de gestión del riesgo de desastres): </w:t>
      </w:r>
      <w:r w:rsidRPr="006A2F19">
        <w:rPr>
          <w:rFonts w:asciiTheme="minorHAnsi" w:hAnsiTheme="minorHAnsi" w:cstheme="minorHAnsi"/>
          <w:sz w:val="20"/>
          <w:szCs w:val="20"/>
          <w:lang w:val="es-CO"/>
        </w:rPr>
        <w:t>Es el conjunto de acciones principalmente de coordinación, sistemas de alerta, capacitación, equipamiento, centros de reserva y albergues y entrenamiento, con el propósito de optimizar la ejecución de los diferentes servicios básicos de respuesta, como accesibilidad y transporte, telecomunicaciones, evaluación de daños y análisis de necesidades, salud y saneamiento básico, búsqueda y rescate, extinción de incendios y manejo de materiales peligrosos, albergues y alimentación, servicios públicos, seguridad y convivencia, aspectos financieros y legales, información pública y el manejo general de la respuesta, entre otros. (Ley 1523 de 2012).</w:t>
      </w:r>
    </w:p>
    <w:p w14:paraId="7F4E44BB"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Prevención de riesgo (En el marco de política nacional de gestión del riesgo de desastres): </w:t>
      </w:r>
      <w:r w:rsidRPr="006A2F19">
        <w:rPr>
          <w:rFonts w:asciiTheme="minorHAnsi" w:hAnsiTheme="minorHAnsi" w:cstheme="minorHAnsi"/>
          <w:sz w:val="20"/>
          <w:szCs w:val="20"/>
          <w:lang w:val="es-CO"/>
        </w:rPr>
        <w:t>Medidas y acciones de intervención restrictiva o prospectiva dispuestas con anticipación con el fin de evitar que se genere riesgo. Puede enfocarse a evitar o neutralizar la amenaza o la exposición y la vulnerabilidad ante la misma en forma definitiva para impedir que se genere nuevo riesgo. Los instrumentos esenciales de la prevención son aquellos previstos en la planificación, la inversión pública y el ordenamiento ambiental territorial, que tienen como objetivo reglamentar el uso y la ocupación del suelo de forma segura y sostenible. (Ley 1523 de 2012).</w:t>
      </w:r>
    </w:p>
    <w:p w14:paraId="2D41A55D" w14:textId="387060AF" w:rsidR="00AA0EB0" w:rsidRDefault="00990339"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Profesional especializado</w:t>
      </w:r>
      <w:r w:rsidRPr="00F46BBD">
        <w:rPr>
          <w:rFonts w:asciiTheme="minorHAnsi" w:hAnsiTheme="minorHAnsi" w:cstheme="minorHAnsi"/>
          <w:b/>
          <w:bCs/>
          <w:sz w:val="20"/>
          <w:szCs w:val="20"/>
          <w:lang w:val="es-CO"/>
        </w:rPr>
        <w:t>:</w:t>
      </w:r>
      <w:r w:rsidR="00946771" w:rsidRPr="00F46BBD">
        <w:rPr>
          <w:rFonts w:asciiTheme="minorHAnsi" w:hAnsiTheme="minorHAnsi" w:cstheme="minorHAnsi"/>
          <w:b/>
          <w:bCs/>
          <w:sz w:val="20"/>
          <w:szCs w:val="20"/>
          <w:lang w:val="es-CO"/>
        </w:rPr>
        <w:t xml:space="preserve"> </w:t>
      </w:r>
      <w:r w:rsidR="00C173F0" w:rsidRPr="006A2F19">
        <w:rPr>
          <w:rFonts w:asciiTheme="minorHAnsi" w:hAnsiTheme="minorHAnsi" w:cstheme="minorHAnsi"/>
          <w:sz w:val="20"/>
          <w:szCs w:val="20"/>
          <w:lang w:val="es-CO"/>
        </w:rPr>
        <w:t>Estos especialistas serán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34CAE11F"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Protección financiera (En el marco de política nacional de gestión del riesgo de desastres): </w:t>
      </w:r>
      <w:r w:rsidRPr="006A2F19">
        <w:rPr>
          <w:rFonts w:asciiTheme="minorHAnsi" w:hAnsiTheme="minorHAnsi" w:cstheme="minorHAnsi"/>
          <w:sz w:val="20"/>
          <w:szCs w:val="20"/>
          <w:lang w:val="es-CO"/>
        </w:rPr>
        <w:t xml:space="preserve">Mecanismos o instrumentos financieros de retención intencional o transferencia del riesgo que se establecen en forma ex ante con el fin de acceder de </w:t>
      </w:r>
      <w:r w:rsidRPr="006A2F19">
        <w:rPr>
          <w:rFonts w:asciiTheme="minorHAnsi" w:hAnsiTheme="minorHAnsi" w:cstheme="minorHAnsi"/>
          <w:sz w:val="20"/>
          <w:szCs w:val="20"/>
          <w:lang w:val="es-CO"/>
        </w:rPr>
        <w:lastRenderedPageBreak/>
        <w:t>manera ex post a recursos económicos oportunos para la atención de emergencias y la recuperación. (Ley 1523 de 2012).</w:t>
      </w:r>
    </w:p>
    <w:p w14:paraId="662B2C37"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Prueba de carga: </w:t>
      </w:r>
      <w:r w:rsidRPr="006A2F19">
        <w:rPr>
          <w:rFonts w:asciiTheme="minorHAnsi" w:hAnsiTheme="minorHAnsi" w:cstheme="minorHAnsi"/>
          <w:sz w:val="20"/>
          <w:szCs w:val="20"/>
          <w:lang w:val="es-CO"/>
        </w:rPr>
        <w:t>Carga incremental de un elemento de cimentación, registrando el movimiento total en cada incremento. (CCP-2014)</w:t>
      </w:r>
    </w:p>
    <w:p w14:paraId="134DC690" w14:textId="12E4D343" w:rsidR="001B3E9A"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823299">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313AEA06" w:rsidR="00010486" w:rsidRDefault="00FD1031"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0166596" w14:textId="77777777" w:rsidR="00C173F0" w:rsidRPr="006A2F19" w:rsidRDefault="00C173F0" w:rsidP="00C173F0">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Reducción del riesgo: </w:t>
      </w:r>
      <w:r w:rsidRPr="006A2F19">
        <w:rPr>
          <w:rFonts w:asciiTheme="minorHAnsi" w:hAnsiTheme="minorHAnsi" w:cstheme="minorHAnsi"/>
          <w:sz w:val="20"/>
          <w:szCs w:val="20"/>
          <w:lang w:val="es-CO"/>
        </w:rPr>
        <w:t xml:space="preserve">Es el proceso de la gestión del riesgo, está compuesto por la intervención dirigida a modificar o disminuir las condiciones de riesgo existentes, entiéndase: mitigación del riesgo y a evitar nuevo riesgo en el territorio, entiéndase: prevención del riesgo. Son medidas de mitigación y prevención que se adoptan con </w:t>
      </w:r>
      <w:r w:rsidRPr="006A2F19">
        <w:rPr>
          <w:rFonts w:asciiTheme="minorHAnsi" w:hAnsiTheme="minorHAnsi" w:cstheme="minorHAnsi"/>
          <w:sz w:val="20"/>
          <w:szCs w:val="20"/>
          <w:lang w:val="es-CO"/>
        </w:rPr>
        <w:lastRenderedPageBreak/>
        <w:t>antelación para reducir la amenaza, la exposición y disminuir la vulnerabilidad de las personas, los medios de subsistencia, los bienes, la infraestructura y los recursos ambientales, para evitar o minimizar los daños y pérdidas en caso de producirse los eventos físicos peligrosos. La reducción del riesgo la componen la intervención correctiva del riesgo existente, la intervención prospectiva de nuevo riesgo y la protección financiera. (Ley 1523 de 2012).</w:t>
      </w:r>
    </w:p>
    <w:p w14:paraId="1E930B0E" w14:textId="0638DB4B" w:rsidR="00D236F1" w:rsidRPr="00547D84" w:rsidRDefault="00F14108"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823299">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4E0BBCA4" w:rsidR="00F81D22" w:rsidRDefault="00F81D2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postensionamientos externos.</w:t>
      </w:r>
    </w:p>
    <w:p w14:paraId="2322DF44"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Reglamentación prescriptiva (En el marco de política nacional de gestión del riesgo de desastres): </w:t>
      </w:r>
      <w:r w:rsidRPr="006A2F19">
        <w:rPr>
          <w:rFonts w:asciiTheme="minorHAnsi" w:hAnsiTheme="minorHAnsi" w:cstheme="minorHAnsi"/>
          <w:sz w:val="20"/>
          <w:szCs w:val="20"/>
          <w:lang w:val="es-CO"/>
        </w:rPr>
        <w:t>Disposiciones cuyo objetivo es determinar en forma explícita exigencias mínimas de seguridad en elementos que están o van a estar expuestos en áreas propensas a eventos peligrosos con el fin de preestablecer el nivel de riesgo aceptable en dichas áreas. (Ley 1523 de 2012).</w:t>
      </w:r>
    </w:p>
    <w:p w14:paraId="0BDBEF20"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Reglamentación restrictiva (En el marco de política nacional de gestión del riesgo de desastres): </w:t>
      </w:r>
      <w:r w:rsidRPr="006A2F19">
        <w:rPr>
          <w:rFonts w:asciiTheme="minorHAnsi" w:hAnsiTheme="minorHAnsi" w:cstheme="minorHAnsi"/>
          <w:sz w:val="20"/>
          <w:szCs w:val="20"/>
          <w:lang w:val="es-CO"/>
        </w:rPr>
        <w:t>Disposiciones cuyo objetivo es evitar la configuración de nuevo riesgo mediante la prohibición taxativa de la ocupación permanente de áreas expuestas y propensas a eventos peligrosos. Es fundamental para la planificación ambiental y territorial sostenible. (Ley 1523 de 2012).</w:t>
      </w:r>
    </w:p>
    <w:p w14:paraId="5C334830" w14:textId="31E54BA3" w:rsidR="00722BEA" w:rsidRDefault="00722BEA"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6CD59E23"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Residuo de Construcción y Demolición (RCD): </w:t>
      </w:r>
      <w:r w:rsidRPr="006A2F19">
        <w:rPr>
          <w:rFonts w:asciiTheme="minorHAnsi" w:hAnsiTheme="minorHAnsi" w:cstheme="minorHAnsi"/>
          <w:sz w:val="20"/>
          <w:szCs w:val="20"/>
          <w:lang w:val="es-CO"/>
        </w:rPr>
        <w:t>Residuos sólidos provenientes de las actividades de excavación, construcción, demolición, reparaciones o mejoras locativas de obras civiles o de otras actividades conexas, entre los cuales se pueden encontrar los tipos que señala la Resolución No. 0472 de 2017 o la norma que lo modifique o derogue. (Anteriormente conocidos como escombros).</w:t>
      </w:r>
    </w:p>
    <w:p w14:paraId="12F2C4AD" w14:textId="696F6164" w:rsidR="007072E4" w:rsidRPr="00547D84" w:rsidRDefault="007072E4"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34C59359" w:rsidR="007072E4" w:rsidRDefault="007072E4" w:rsidP="009F2167">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251F8B85" w14:textId="7787FA6B" w:rsidR="009F2167" w:rsidRPr="009F2167" w:rsidRDefault="009F2167" w:rsidP="009F2167">
      <w:pPr>
        <w:pStyle w:val="Prrafodelista"/>
        <w:numPr>
          <w:ilvl w:val="1"/>
          <w:numId w:val="22"/>
        </w:numPr>
        <w:ind w:left="851" w:hanging="567"/>
        <w:jc w:val="both"/>
        <w:rPr>
          <w:rFonts w:eastAsia="Times New Roman" w:cstheme="minorHAnsi"/>
          <w:bCs/>
          <w:sz w:val="20"/>
          <w:szCs w:val="20"/>
          <w:lang w:val="es-CO" w:eastAsia="es-ES"/>
        </w:rPr>
      </w:pPr>
      <w:r w:rsidRPr="009F2167">
        <w:rPr>
          <w:rFonts w:eastAsia="Times New Roman" w:cstheme="minorHAnsi"/>
          <w:b/>
          <w:sz w:val="20"/>
          <w:szCs w:val="20"/>
          <w:lang w:val="es-CO" w:eastAsia="es-ES"/>
        </w:rPr>
        <w:t>Resiliencia o capacidad de adaptación:</w:t>
      </w:r>
      <w:r w:rsidRPr="009F2167">
        <w:rPr>
          <w:rFonts w:eastAsia="Times New Roman" w:cstheme="minorHAnsi"/>
          <w:bCs/>
          <w:sz w:val="20"/>
          <w:szCs w:val="20"/>
          <w:lang w:val="es-CO" w:eastAsia="es-ES"/>
        </w:rPr>
        <w:t xml:space="preserve"> Capacidad de los sistemas sociales, económicos y ambientales de afrontar un suceso, tendencia o perturbación peligrosa, respondiendo o reorganizándose de modo que mantengan su función esencial, su identidad y su estructura, y conservando al mismo tiempo la capacidad de adaptación, aprendizaje y transformación. (IDEAM, 2016)</w:t>
      </w:r>
    </w:p>
    <w:p w14:paraId="46382F1A" w14:textId="77777777" w:rsidR="009F2167" w:rsidRPr="009F2167" w:rsidRDefault="009F2167" w:rsidP="009F2167">
      <w:pPr>
        <w:ind w:left="851" w:hanging="567"/>
        <w:jc w:val="both"/>
        <w:rPr>
          <w:rFonts w:eastAsia="Times New Roman" w:cstheme="minorHAnsi"/>
          <w:bCs/>
          <w:sz w:val="20"/>
          <w:szCs w:val="20"/>
          <w:lang w:val="es-CO" w:eastAsia="es-ES"/>
        </w:rPr>
      </w:pPr>
    </w:p>
    <w:p w14:paraId="1AB28078" w14:textId="7BFF005F" w:rsidR="009F2167" w:rsidRPr="009F2167" w:rsidRDefault="009F2167" w:rsidP="009F2167">
      <w:pPr>
        <w:pStyle w:val="Prrafodelista"/>
        <w:numPr>
          <w:ilvl w:val="1"/>
          <w:numId w:val="22"/>
        </w:numPr>
        <w:ind w:left="851" w:hanging="567"/>
        <w:jc w:val="both"/>
        <w:rPr>
          <w:rFonts w:eastAsia="Times New Roman" w:cstheme="minorHAnsi"/>
          <w:bCs/>
          <w:sz w:val="20"/>
          <w:szCs w:val="20"/>
          <w:lang w:val="es-CO" w:eastAsia="es-ES"/>
        </w:rPr>
      </w:pPr>
      <w:r w:rsidRPr="009F2167">
        <w:rPr>
          <w:rFonts w:eastAsia="Times New Roman" w:cstheme="minorHAnsi"/>
          <w:b/>
          <w:sz w:val="20"/>
          <w:szCs w:val="20"/>
          <w:lang w:val="es-CO" w:eastAsia="es-ES"/>
        </w:rPr>
        <w:t>Riesgo de desastres:</w:t>
      </w:r>
      <w:r w:rsidRPr="009F2167">
        <w:rPr>
          <w:rFonts w:eastAsia="Times New Roman" w:cstheme="minorHAnsi"/>
          <w:bCs/>
          <w:sz w:val="20"/>
          <w:szCs w:val="20"/>
          <w:lang w:val="es-CO" w:eastAsia="es-ES"/>
        </w:rPr>
        <w:t xml:space="preserve"> Corresponde a los daños o pérdidas potenciales que pueden presentarse debido a los eventos físicos peligrosos de origen natural, socio-natural, biosanitario o humano no intencional, en un período de tiempo específico y que son determinados por la vulnerabilidad de los elementos expuestos; por consiguiente, el riesgo de desastres se deriva de la combinación de la amenaza y la vulnerabilidad. (Ley 1523, 2012)</w:t>
      </w:r>
    </w:p>
    <w:p w14:paraId="1037F5B1" w14:textId="15E9D5BB" w:rsidR="00B907B0" w:rsidRPr="00547D84" w:rsidRDefault="00B907B0"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6364B46A" w:rsidR="00010486" w:rsidRDefault="00010486" w:rsidP="00420A3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96A34A7" w14:textId="5C3CBA78"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Seguridad Vial:</w:t>
      </w:r>
      <w:r w:rsidRPr="00420A39">
        <w:rPr>
          <w:rFonts w:eastAsia="Times New Roman" w:cstheme="minorHAnsi"/>
          <w:sz w:val="20"/>
          <w:szCs w:val="20"/>
          <w:lang w:val="es-CO" w:eastAsia="es-CO"/>
        </w:rPr>
        <w:t xml:space="preserve"> Entiéndase por seguridad vial el conjunto de acciones y políticas dirigidas a prevenir, controlar y disminuir el riesgo de muerte o de lesión de las personas en sus desplazamientos ya sea en medios motorizados o no motorizados. Se trata de un enfoque multidisciplinario sobre medidas que intervienen en todos los factores que contribuyen a los accidentes de tráfico en la vía, desde el diseño de la vía y equipamiento vial, el mantenimiento de las infraestructuras viales. (Ley 1702 de 2013).</w:t>
      </w:r>
    </w:p>
    <w:p w14:paraId="2D4B4833" w14:textId="296C7FAE" w:rsidR="009D4952" w:rsidRPr="00547D84" w:rsidRDefault="00FB1B3F"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3C413AC0" w:rsidR="009D4952" w:rsidRPr="00547D84" w:rsidRDefault="009D495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w:t>
      </w:r>
    </w:p>
    <w:p w14:paraId="678E2ABC" w14:textId="3CBAC806" w:rsidR="00B907B0" w:rsidRDefault="00B907B0" w:rsidP="00420A3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557FEAF" w14:textId="26E640CA" w:rsidR="00BE0A0D"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Sistema Nacional de Carreteras o Red Vial Nacional: </w:t>
      </w:r>
      <w:r w:rsidRPr="006A2F19">
        <w:rPr>
          <w:rFonts w:asciiTheme="minorHAnsi" w:hAnsiTheme="minorHAnsi" w:cstheme="minorHAnsi"/>
          <w:sz w:val="20"/>
          <w:szCs w:val="20"/>
          <w:lang w:val="es-CO"/>
        </w:rPr>
        <w:t>Está compuesto por la red de carretas a cargo de la Nación, red de carreteras a cargo de departamentos, red de carreteras a cargo de municipios y red de carreteras a cargo de distritos especiales. Cada una de estas redes podrá estar conformada a su vez por vías de diferentes categorías, este es, arteriales o de primer orden, intermunicipales o de segundo orden y veredales o de tercer orden. (Res 0411 de 2020 – MT)</w:t>
      </w:r>
    </w:p>
    <w:p w14:paraId="58FFD63C"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6A2F19">
        <w:rPr>
          <w:rFonts w:asciiTheme="minorHAnsi" w:hAnsiTheme="minorHAnsi" w:cstheme="minorHAnsi"/>
          <w:b/>
          <w:bCs/>
          <w:sz w:val="20"/>
          <w:szCs w:val="20"/>
          <w:lang w:val="es-CO"/>
        </w:rPr>
        <w:t xml:space="preserve">Sitio de Disposición Final de RCD: </w:t>
      </w:r>
      <w:r w:rsidRPr="006A2F19">
        <w:rPr>
          <w:rFonts w:asciiTheme="minorHAnsi" w:hAnsiTheme="minorHAnsi" w:cstheme="minorHAnsi"/>
          <w:sz w:val="20"/>
          <w:szCs w:val="20"/>
          <w:lang w:val="es-CO"/>
        </w:rPr>
        <w:t>Lugar técnicamente seleccionado, diseñado y operado para la disposición final controlada de RCD, minimizando y controlando los impactos ambientales y utilizando principios de ingeniería, para la confinación y aislamientos de dichos residuos. (Artículo 1 Capitulo 1 de la Resolución No. 047 de 2017 MADS).</w:t>
      </w:r>
    </w:p>
    <w:p w14:paraId="525E19DD" w14:textId="355751D1"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ambiental:</w:t>
      </w:r>
      <w:r w:rsidRPr="00420A39">
        <w:rPr>
          <w:rFonts w:eastAsia="Times New Roman" w:cstheme="minorHAnsi"/>
          <w:sz w:val="20"/>
          <w:szCs w:val="20"/>
          <w:lang w:val="es-CO" w:eastAsia="es-CO"/>
        </w:rPr>
        <w:t xml:space="preserve"> La sostenibilidad ambiental, tiene por objetivo apoyar el uso sostenible y eficiente de los recursos naturales, incluyendo la energía, el agua y los materiales necesarios para el diseño y la operación de la infraestructura, resiliencia al cambio climático, manejo y aprovechamiento de residuos, que permitan integrar soluciones eficaces  que sean producto de realizar el análisis de ciclo de vida de los proyectos para reducir  de manera adecuada cualquier tipo de contaminación (Grupo de Sostenibilidad – INVIAS).  Finalmente, la dimensión ambiental debe tener en cuenta principios de economía circular, inclusión de nuevas tecnologías, bien sea para el uso de fuentes de energías renovables, optimización del recurso hídrico, lineamientos de infraestructura verde vial, documentos de transporte intermodal, normas ISO de ciclo de vida de los proyectos (Grupo de Sostenibilidad – INVIAS).   </w:t>
      </w:r>
    </w:p>
    <w:p w14:paraId="7F1301A8" w14:textId="77777777" w:rsidR="00420A39" w:rsidRPr="00420A39" w:rsidRDefault="00420A39" w:rsidP="00420A39">
      <w:pPr>
        <w:ind w:left="851" w:hanging="567"/>
        <w:jc w:val="both"/>
        <w:rPr>
          <w:rFonts w:eastAsia="Times New Roman" w:cstheme="minorHAnsi"/>
          <w:sz w:val="20"/>
          <w:szCs w:val="20"/>
          <w:lang w:val="es-CO" w:eastAsia="es-CO"/>
        </w:rPr>
      </w:pPr>
    </w:p>
    <w:p w14:paraId="17338A16" w14:textId="705189FF"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económica y financiera:</w:t>
      </w:r>
      <w:r w:rsidRPr="00420A39">
        <w:rPr>
          <w:rFonts w:eastAsia="Times New Roman" w:cstheme="minorHAnsi"/>
          <w:sz w:val="20"/>
          <w:szCs w:val="20"/>
          <w:lang w:val="es-CO" w:eastAsia="es-CO"/>
        </w:rPr>
        <w:t xml:space="preserve"> tiene como objetivo genera un rendimiento económico neto positivo teniendo en cuenta todos los beneficios y costos durante el ciclo de vida del proyecto. Dentro de la sostenibilidad económica y financiera se tiene en cuenta los siguientes aspectos análisis de costos asociados a riesgos por cambio climático, valor económico total positivo, inversión sostenible, asistencia financiera, entre otros aspectos que contribuyan al desarrollo del proyecto a nivel económico y financiero, relacionándose con la sostenibilidad ambiental y social (Grupo de Sostenibilidad – INVIAS). </w:t>
      </w:r>
    </w:p>
    <w:p w14:paraId="7E536C67" w14:textId="77777777" w:rsidR="00420A39" w:rsidRDefault="00420A39" w:rsidP="00420A39">
      <w:pPr>
        <w:ind w:left="851" w:hanging="567"/>
        <w:jc w:val="both"/>
        <w:rPr>
          <w:rFonts w:eastAsia="Times New Roman" w:cstheme="minorHAnsi"/>
          <w:sz w:val="20"/>
          <w:szCs w:val="20"/>
          <w:lang w:val="es-CO" w:eastAsia="es-CO"/>
        </w:rPr>
      </w:pPr>
    </w:p>
    <w:p w14:paraId="2F4531CE" w14:textId="704024ED" w:rsidR="00420A39" w:rsidRP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social:</w:t>
      </w:r>
      <w:r w:rsidRPr="00420A39">
        <w:rPr>
          <w:rFonts w:eastAsia="Times New Roman" w:cstheme="minorHAnsi"/>
          <w:sz w:val="20"/>
          <w:szCs w:val="20"/>
          <w:lang w:val="es-CO" w:eastAsia="es-CO"/>
        </w:rPr>
        <w:t xml:space="preserve"> Se refiere a la armonización de las necesidades, metas y objetivos de las partes interesadas en el diseño e implementación de los proyectos de infraestructura de transporte con el fin de mejorar la calidad de vida, el bienestar y lograr una distribución equitativa de los beneficios del proyecto; abarca las medidas dirigidas a promover la igualdad y la equidad, especialmente de los grupos de población históricamente discriminados; así mismo implica generar en las comunidades procesos de apropiación del territorio para generar buenas prácticas en el uso del espacio (Grupo de Sostenibilidad – INVIAS).</w:t>
      </w:r>
    </w:p>
    <w:p w14:paraId="0C946E13" w14:textId="77777777" w:rsidR="00420A39" w:rsidRPr="00420A39" w:rsidRDefault="00420A39" w:rsidP="00420A39">
      <w:pPr>
        <w:ind w:left="851" w:hanging="567"/>
        <w:jc w:val="both"/>
        <w:rPr>
          <w:rFonts w:eastAsia="Times New Roman" w:cstheme="minorHAnsi"/>
          <w:sz w:val="20"/>
          <w:szCs w:val="20"/>
          <w:lang w:val="es-CO" w:eastAsia="es-CO"/>
        </w:rPr>
      </w:pPr>
    </w:p>
    <w:p w14:paraId="526B89B8" w14:textId="5A4BA241" w:rsidR="00420A39" w:rsidRDefault="00420A39" w:rsidP="00420A39">
      <w:pPr>
        <w:pStyle w:val="Prrafodelista"/>
        <w:numPr>
          <w:ilvl w:val="1"/>
          <w:numId w:val="22"/>
        </w:numPr>
        <w:ind w:left="851" w:hanging="567"/>
        <w:jc w:val="both"/>
        <w:rPr>
          <w:rFonts w:eastAsia="Times New Roman" w:cstheme="minorHAnsi"/>
          <w:sz w:val="20"/>
          <w:szCs w:val="20"/>
          <w:lang w:val="es-CO" w:eastAsia="es-CO"/>
        </w:rPr>
      </w:pPr>
      <w:r w:rsidRPr="00420A39">
        <w:rPr>
          <w:rFonts w:eastAsia="Times New Roman" w:cstheme="minorHAnsi"/>
          <w:b/>
          <w:bCs/>
          <w:sz w:val="20"/>
          <w:szCs w:val="20"/>
          <w:lang w:val="es-CO" w:eastAsia="es-CO"/>
        </w:rPr>
        <w:t>Sostenibilidad técnica:</w:t>
      </w:r>
      <w:r w:rsidRPr="00420A39">
        <w:rPr>
          <w:rFonts w:eastAsia="Times New Roman" w:cstheme="minorHAnsi"/>
          <w:sz w:val="20"/>
          <w:szCs w:val="20"/>
          <w:lang w:val="es-CO" w:eastAsia="es-CO"/>
        </w:rPr>
        <w:t xml:space="preserve"> La Sostenibilidad Técnica busca poner en servicio sus conocimientos técnicos de ingeniería para el desarrollo de la infraestructura de trasporte sostenible, teniendo en cuenta su capacidad de aplicar la tecnología apropiada para preservación, restauración e integridad del entorno natural, así como el desarrollo social del área de influencia del proyecto (Grupo de Sostenibilidad – INVIAS). La Sostenibilidad </w:t>
      </w:r>
      <w:r w:rsidRPr="00420A39">
        <w:rPr>
          <w:rFonts w:eastAsia="Times New Roman" w:cstheme="minorHAnsi"/>
          <w:sz w:val="20"/>
          <w:szCs w:val="20"/>
          <w:lang w:val="es-CO" w:eastAsia="es-CO"/>
        </w:rPr>
        <w:lastRenderedPageBreak/>
        <w:t>Técnica contribuye al desarrollo de la infraestructura de transporte haciendo uso de los recursos naturales de forma eficiente y sostenible, como los son la energía, materiales, agua, suelo, además de establecer mecanismos que permitan la reducción de la contaminación, estableciendo buenas prácticas a nivel ambiental, social y económico a lo largo del ciclo de vida del proyecto garantizando que en el desarrollo de la infraestructura de transporte se incorporen conceptos de ingeniería, innovación, tecnología, materiales, infraestructura verde, energía, capacitación, resiliencia, que garanticen diseños amigables con el ambiente y una adecuada construcción y operación de esta infraestructura de transporte en el marco de la sostenibilidad (Grupo de Sostenibilidad – INVIAS).</w:t>
      </w:r>
    </w:p>
    <w:p w14:paraId="3058E3E4"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 xml:space="preserve">Subestructura: </w:t>
      </w:r>
      <w:r w:rsidRPr="006A2F19">
        <w:rPr>
          <w:rFonts w:asciiTheme="minorHAnsi" w:hAnsiTheme="minorHAnsi" w:cstheme="minorHAnsi"/>
          <w:sz w:val="20"/>
          <w:szCs w:val="20"/>
          <w:lang w:val="es-CO"/>
        </w:rPr>
        <w:t>Partes estructurales del puente que soportan el vano horizontal. (CCP-2014)</w:t>
      </w:r>
    </w:p>
    <w:p w14:paraId="1926BC27" w14:textId="160D8E50" w:rsidR="007F2D45" w:rsidRDefault="00F83CA3"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2E03FEEC" w14:textId="77777777" w:rsidR="00BE0A0D" w:rsidRPr="006A2F19" w:rsidRDefault="00BE0A0D" w:rsidP="00BE0A0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6A2F19">
        <w:rPr>
          <w:rFonts w:asciiTheme="minorHAnsi" w:hAnsiTheme="minorHAnsi" w:cstheme="minorHAnsi"/>
          <w:b/>
          <w:bCs/>
          <w:sz w:val="20"/>
          <w:szCs w:val="20"/>
          <w:lang w:val="es-CO"/>
        </w:rPr>
        <w:t>Tablero:</w:t>
      </w:r>
      <w:r w:rsidRPr="006A2F19">
        <w:rPr>
          <w:rFonts w:asciiTheme="minorHAnsi" w:hAnsiTheme="minorHAnsi" w:cstheme="minorHAnsi"/>
          <w:sz w:val="20"/>
          <w:szCs w:val="20"/>
          <w:lang w:val="es-CO"/>
        </w:rPr>
        <w:t xml:space="preserve"> Componente, con o sin pavimento, que recibe directamente las cargas de rueda. (CCP-2014)</w:t>
      </w:r>
    </w:p>
    <w:p w14:paraId="0AEBB9F2" w14:textId="2097C013" w:rsidR="00010486" w:rsidRDefault="00010486"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78B05E35" w14:textId="55425EC9" w:rsidR="00B31BD3" w:rsidRPr="00B31BD3" w:rsidRDefault="00B31BD3" w:rsidP="00B31BD3">
      <w:pPr>
        <w:pStyle w:val="Prrafodelista"/>
        <w:numPr>
          <w:ilvl w:val="1"/>
          <w:numId w:val="22"/>
        </w:numPr>
        <w:ind w:left="851" w:hanging="567"/>
        <w:jc w:val="both"/>
        <w:rPr>
          <w:rFonts w:eastAsia="Times New Roman" w:cstheme="minorHAnsi"/>
          <w:b/>
          <w:bCs/>
          <w:sz w:val="20"/>
          <w:szCs w:val="20"/>
          <w:lang w:val="es-CO" w:eastAsia="es-CO"/>
        </w:rPr>
      </w:pPr>
      <w:r w:rsidRPr="00B31BD3">
        <w:rPr>
          <w:rFonts w:eastAsia="Times New Roman" w:cstheme="minorHAnsi"/>
          <w:b/>
          <w:bCs/>
          <w:sz w:val="20"/>
          <w:szCs w:val="20"/>
          <w:lang w:val="es-CO" w:eastAsia="es-CO"/>
        </w:rPr>
        <w:t>Tecnología ambientalmente sostenible:</w:t>
      </w:r>
      <w:r w:rsidRPr="00B31BD3">
        <w:rPr>
          <w:rFonts w:eastAsia="Times New Roman" w:cstheme="minorHAnsi"/>
          <w:sz w:val="20"/>
          <w:szCs w:val="20"/>
          <w:lang w:val="es-CO" w:eastAsia="es-CO"/>
        </w:rPr>
        <w:t xml:space="preserve"> Son aquellas que emplean menos energía para realizar los procesos, no agotan los recursos naturales tanto en su creación, puesta en marcha o utilización. Las tecnologías sostenibles también se conocen como tecnologías limpias, las cuales permiten la reducción de emisiones y/o descargas de un contaminante, la reducción del consumo de energía eléctrica y/o agua, sin provocar incremento de otros contaminantes. (OEI, 2014)</w:t>
      </w:r>
    </w:p>
    <w:p w14:paraId="10493742" w14:textId="349F98ED" w:rsidR="001E2692" w:rsidRPr="00547D84" w:rsidRDefault="00844748"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750F615C" w:rsidR="002D3644" w:rsidRDefault="00A9778B" w:rsidP="00B31BD3">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A16EDE5" w14:textId="1CB1D526" w:rsidR="00B31BD3" w:rsidRPr="00B31BD3" w:rsidRDefault="00B31BD3" w:rsidP="00B31BD3">
      <w:pPr>
        <w:pStyle w:val="Prrafodelista"/>
        <w:numPr>
          <w:ilvl w:val="1"/>
          <w:numId w:val="22"/>
        </w:numPr>
        <w:ind w:left="851" w:hanging="567"/>
        <w:jc w:val="both"/>
        <w:rPr>
          <w:rFonts w:eastAsia="Times New Roman" w:cstheme="minorHAnsi"/>
          <w:sz w:val="20"/>
          <w:szCs w:val="20"/>
          <w:lang w:val="es-CO" w:eastAsia="es-ES"/>
        </w:rPr>
      </w:pPr>
      <w:r w:rsidRPr="00B31BD3">
        <w:rPr>
          <w:rFonts w:eastAsia="Times New Roman" w:cstheme="minorHAnsi"/>
          <w:b/>
          <w:bCs/>
          <w:sz w:val="20"/>
          <w:szCs w:val="20"/>
          <w:lang w:val="es-CO" w:eastAsia="es-ES"/>
        </w:rPr>
        <w:t>Transporte limpio:</w:t>
      </w:r>
      <w:r w:rsidRPr="00B31BD3">
        <w:rPr>
          <w:rFonts w:eastAsia="Times New Roman" w:cstheme="minorHAnsi"/>
          <w:sz w:val="20"/>
          <w:szCs w:val="20"/>
          <w:lang w:val="es-CO" w:eastAsia="es-ES"/>
        </w:rPr>
        <w:t xml:space="preserve"> Se entiende por el uso de tecnologías involucrando todos los medios de transporte que generen cero emisiones de carbono. (Grupo de Sostenibilidad – INVIAS)</w:t>
      </w:r>
    </w:p>
    <w:p w14:paraId="63D9973F" w14:textId="36C3621A" w:rsidR="00D407B7" w:rsidRPr="00547D84" w:rsidRDefault="001E2692"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823299">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lastRenderedPageBreak/>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20948B80" w:rsidR="003F2F5B" w:rsidRDefault="003F2F5B"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06F1BA2D" w14:textId="77777777"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6A2F19">
        <w:rPr>
          <w:rFonts w:asciiTheme="minorHAnsi" w:hAnsiTheme="minorHAnsi" w:cstheme="minorHAnsi"/>
          <w:b/>
          <w:bCs/>
          <w:color w:val="000000"/>
          <w:sz w:val="20"/>
          <w:szCs w:val="20"/>
          <w:lang w:val="es-CO"/>
        </w:rPr>
        <w:t xml:space="preserve">Vía Troncal: </w:t>
      </w:r>
      <w:r w:rsidRPr="006A2F19">
        <w:rPr>
          <w:rFonts w:asciiTheme="minorHAnsi" w:hAnsiTheme="minorHAnsi" w:cstheme="minorHAnsi"/>
          <w:color w:val="000000"/>
          <w:sz w:val="20"/>
          <w:szCs w:val="20"/>
          <w:lang w:val="es-CO"/>
        </w:rPr>
        <w:t>Las carreteras con dirección predominante sur-norte, denominadas troncales, que inician su recorrido en las fronteras internacionales y terminan en los puertos del Atlántico o en fronteras internacionales. (Res 411 de 2020 – MT).</w:t>
      </w:r>
    </w:p>
    <w:p w14:paraId="028006C0" w14:textId="195428C3"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6A2F19">
        <w:rPr>
          <w:rFonts w:asciiTheme="minorHAnsi" w:hAnsiTheme="minorHAnsi" w:cstheme="minorHAnsi"/>
          <w:b/>
          <w:bCs/>
          <w:color w:val="000000"/>
          <w:sz w:val="20"/>
          <w:szCs w:val="20"/>
          <w:lang w:val="es-CO"/>
        </w:rPr>
        <w:t xml:space="preserve">Vía Transversal: </w:t>
      </w:r>
      <w:r w:rsidRPr="006A2F19">
        <w:rPr>
          <w:rFonts w:asciiTheme="minorHAnsi" w:hAnsiTheme="minorHAnsi" w:cstheme="minorHAnsi"/>
          <w:color w:val="000000"/>
          <w:sz w:val="20"/>
          <w:szCs w:val="20"/>
          <w:lang w:val="es-CO"/>
        </w:rPr>
        <w:t>Las carreteras con dirección predominante occidente-oriente que unen las troncales, anteriores entre sí, denominadas transversales, cuyo volumen de tránsito esté justificado y que comuniquen con los países limítrofes o con los puertos de comercio internacional. (Res 411 de 2020 – MT).</w:t>
      </w:r>
    </w:p>
    <w:p w14:paraId="7FDE90C0" w14:textId="1C5E3C21" w:rsidR="00A43BE1" w:rsidRPr="00547D84" w:rsidRDefault="00D407B7"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823299">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55A9566C" w:rsidR="000712F4" w:rsidRDefault="00A43BE1" w:rsidP="0082329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1B0B104B" w14:textId="77777777" w:rsidR="00BE0A0D" w:rsidRPr="006A2F19" w:rsidRDefault="00BE0A0D"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6A2F19">
        <w:rPr>
          <w:rFonts w:asciiTheme="minorHAnsi" w:hAnsiTheme="minorHAnsi" w:cstheme="minorHAnsi"/>
          <w:b/>
          <w:bCs/>
          <w:sz w:val="20"/>
          <w:szCs w:val="20"/>
          <w:lang w:val="es-CO"/>
        </w:rPr>
        <w:t>Viga:</w:t>
      </w:r>
      <w:r w:rsidRPr="006A2F19">
        <w:rPr>
          <w:rFonts w:asciiTheme="minorHAnsi" w:hAnsiTheme="minorHAnsi" w:cstheme="minorHAnsi"/>
          <w:sz w:val="20"/>
          <w:szCs w:val="20"/>
          <w:lang w:val="es-CO"/>
        </w:rPr>
        <w:t xml:space="preserve"> Un componente estructural, cuya principal función es la de resistir las cargas de flexión y de cortante. En general, este término se utiliza para las secciones fabricadas o armadas. (CCP-2014)</w:t>
      </w:r>
    </w:p>
    <w:p w14:paraId="7B04DF98" w14:textId="77777777" w:rsidR="00BE0A0D" w:rsidRDefault="00EF5347"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823299">
        <w:rPr>
          <w:rFonts w:asciiTheme="minorHAnsi" w:hAnsiTheme="minorHAnsi" w:cstheme="minorHAnsi"/>
          <w:b/>
          <w:bCs/>
          <w:color w:val="000000"/>
          <w:sz w:val="20"/>
          <w:szCs w:val="20"/>
          <w:lang w:val="es-CO"/>
        </w:rPr>
        <w:t xml:space="preserve">Zona Verde: </w:t>
      </w:r>
      <w:r w:rsidRPr="00823299">
        <w:rPr>
          <w:rFonts w:asciiTheme="minorHAnsi" w:hAnsiTheme="minorHAnsi" w:cstheme="minorHAnsi"/>
          <w:color w:val="000000"/>
          <w:sz w:val="20"/>
          <w:szCs w:val="20"/>
          <w:lang w:val="es-CO"/>
        </w:rPr>
        <w:t>Espacio de carácter permanente, abierto y empradizado, de dominio o uso público, que hace parte del espacio público efectivo y destinado al uso recreativo.</w:t>
      </w:r>
    </w:p>
    <w:p w14:paraId="2A3CE845" w14:textId="749B0B13" w:rsidR="00B31BD3" w:rsidRPr="00BE0A0D" w:rsidRDefault="00B31BD3" w:rsidP="00BE0A0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BE0A0D">
        <w:rPr>
          <w:rFonts w:asciiTheme="minorHAnsi" w:hAnsiTheme="minorHAnsi" w:cstheme="minorHAnsi"/>
          <w:b/>
          <w:color w:val="000000"/>
          <w:sz w:val="20"/>
          <w:szCs w:val="20"/>
          <w:lang w:val="es-CO"/>
        </w:rPr>
        <w:t>Zonas de Reserva Campesina:</w:t>
      </w:r>
      <w:r w:rsidRPr="00BE0A0D">
        <w:rPr>
          <w:rFonts w:asciiTheme="minorHAnsi" w:hAnsiTheme="minorHAnsi" w:cstheme="minorHAnsi"/>
          <w:color w:val="000000"/>
          <w:sz w:val="20"/>
          <w:szCs w:val="20"/>
          <w:lang w:val="es-CO"/>
        </w:rPr>
        <w:t xml:space="preserve"> Son las áreas geográficas que tienen en cuenta las características ambientales, agroecológicas y socioeconómicas regionales para el ordenamiento territorial, económico, social y ambiental de la propiedad, para la estabilización y consolidación de la economía campesina, se constituyen y delimitan con objetivos y principios orientadores encaminados a construir una propuesta integral de desarrollo humano sostenible, de ordenamiento territorial y de gestión política. Estos territorios son concebidos como iniciativas que contribuyen al reconocimiento y garantía de los derechos políticos, económicos, sociales, culturales y al fortalecimiento organizativo del campesinado, en perspectiva de desarrollo rural integral con enfoque territorial, sostenibilidad socioambiental y alimentaria. (Agencia Nacional de Tierras, 2017)</w:t>
      </w:r>
    </w:p>
    <w:sectPr w:rsidR="00B31BD3" w:rsidRPr="00BE0A0D"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17696" w14:textId="77777777" w:rsidR="00B7183F" w:rsidRDefault="00B7183F" w:rsidP="004F2C35">
      <w:r>
        <w:separator/>
      </w:r>
    </w:p>
  </w:endnote>
  <w:endnote w:type="continuationSeparator" w:id="0">
    <w:p w14:paraId="10B5C60F" w14:textId="77777777" w:rsidR="00B7183F" w:rsidRDefault="00B7183F" w:rsidP="004F2C35">
      <w:r>
        <w:continuationSeparator/>
      </w:r>
    </w:p>
  </w:endnote>
  <w:endnote w:type="continuationNotice" w:id="1">
    <w:p w14:paraId="370E4C21" w14:textId="77777777" w:rsidR="00B7183F" w:rsidRDefault="00B71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lang w:val="es-CO" w:eastAsia="es-CO"/>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val="es-CO" w:eastAsia="es-CO"/>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E64A5" w14:textId="77777777" w:rsidR="00B7183F" w:rsidRDefault="00B7183F" w:rsidP="004F2C35">
      <w:r>
        <w:separator/>
      </w:r>
    </w:p>
  </w:footnote>
  <w:footnote w:type="continuationSeparator" w:id="0">
    <w:p w14:paraId="15029577" w14:textId="77777777" w:rsidR="00B7183F" w:rsidRDefault="00B7183F" w:rsidP="004F2C35">
      <w:r>
        <w:continuationSeparator/>
      </w:r>
    </w:p>
  </w:footnote>
  <w:footnote w:type="continuationNotice" w:id="1">
    <w:p w14:paraId="107CEAA9" w14:textId="77777777" w:rsidR="00B7183F" w:rsidRDefault="00B7183F"/>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6">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7">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8">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9">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9B1D14" w:rsidRPr="00550768" w14:paraId="431B7FF5" w14:textId="77777777" w:rsidTr="009B1D14">
      <w:trPr>
        <w:trHeight w:val="146"/>
        <w:jc w:val="center"/>
      </w:trPr>
      <w:tc>
        <w:tcPr>
          <w:tcW w:w="5000" w:type="pct"/>
          <w:shd w:val="clear" w:color="auto" w:fill="auto"/>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12BB6F3D" w:rsidR="009B1D14" w:rsidRPr="006A2E8C" w:rsidRDefault="009B1D14" w:rsidP="00F3478D">
          <w:pPr>
            <w:pStyle w:val="Encabezado"/>
            <w:jc w:val="center"/>
            <w:rPr>
              <w:rFonts w:ascii="Arial" w:hAnsi="Arial" w:cs="Arial"/>
              <w:b/>
              <w:sz w:val="16"/>
              <w:szCs w:val="16"/>
            </w:rPr>
          </w:pPr>
        </w:p>
      </w:tc>
    </w:tr>
  </w:tbl>
  <w:p w14:paraId="67993770" w14:textId="77777777" w:rsidR="009B1D14" w:rsidRPr="00B0093A" w:rsidRDefault="009B1D14" w:rsidP="00A86C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500FB0"/>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DD874C6"/>
    <w:multiLevelType w:val="hybridMultilevel"/>
    <w:tmpl w:val="9D2AE5D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8C0FC80">
      <w:start w:val="2"/>
      <w:numFmt w:val="bullet"/>
      <w:lvlText w:val="-"/>
      <w:lvlJc w:val="left"/>
      <w:pPr>
        <w:ind w:left="2880" w:hanging="360"/>
      </w:pPr>
      <w:rPr>
        <w:rFonts w:ascii="Arial" w:eastAsia="Times New Roman" w:hAnsi="Arial" w:cs="Aria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1AA16BA"/>
    <w:multiLevelType w:val="hybridMultilevel"/>
    <w:tmpl w:val="38BCEFCA"/>
    <w:lvl w:ilvl="0" w:tplc="566A84C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2"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1630D0B"/>
    <w:multiLevelType w:val="hybridMultilevel"/>
    <w:tmpl w:val="400A30F0"/>
    <w:lvl w:ilvl="0" w:tplc="FFFFFFFF">
      <w:numFmt w:val="bullet"/>
      <w:lvlText w:val="-"/>
      <w:lvlJc w:val="left"/>
      <w:pPr>
        <w:ind w:left="720" w:hanging="360"/>
      </w:pPr>
      <w:rPr>
        <w:rFonts w:ascii="Arial Narrow" w:eastAsia="Times New Roman" w:hAnsi="Arial Narrow"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566A84C2">
      <w:numFmt w:val="bullet"/>
      <w:lvlText w:val="-"/>
      <w:lvlJc w:val="left"/>
      <w:pPr>
        <w:ind w:left="2880" w:hanging="360"/>
      </w:pPr>
      <w:rPr>
        <w:rFonts w:ascii="Arial Narrow" w:eastAsia="Times New Roman" w:hAnsi="Arial Narrow"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81594367">
    <w:abstractNumId w:val="29"/>
  </w:num>
  <w:num w:numId="2" w16cid:durableId="1471902012">
    <w:abstractNumId w:val="17"/>
  </w:num>
  <w:num w:numId="3" w16cid:durableId="1320771316">
    <w:abstractNumId w:val="19"/>
  </w:num>
  <w:num w:numId="4" w16cid:durableId="1213615157">
    <w:abstractNumId w:val="30"/>
  </w:num>
  <w:num w:numId="5" w16cid:durableId="1768953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5310344">
    <w:abstractNumId w:val="13"/>
  </w:num>
  <w:num w:numId="7" w16cid:durableId="1654290821">
    <w:abstractNumId w:val="18"/>
  </w:num>
  <w:num w:numId="8" w16cid:durableId="2123957646">
    <w:abstractNumId w:val="8"/>
  </w:num>
  <w:num w:numId="9" w16cid:durableId="791746169">
    <w:abstractNumId w:val="22"/>
  </w:num>
  <w:num w:numId="10" w16cid:durableId="1275747739">
    <w:abstractNumId w:val="1"/>
  </w:num>
  <w:num w:numId="11" w16cid:durableId="670714433">
    <w:abstractNumId w:val="4"/>
  </w:num>
  <w:num w:numId="12" w16cid:durableId="1263105238">
    <w:abstractNumId w:val="21"/>
    <w:lvlOverride w:ilvl="0">
      <w:startOverride w:val="1"/>
    </w:lvlOverride>
  </w:num>
  <w:num w:numId="13" w16cid:durableId="29959905">
    <w:abstractNumId w:val="32"/>
  </w:num>
  <w:num w:numId="14" w16cid:durableId="1484589437">
    <w:abstractNumId w:val="33"/>
  </w:num>
  <w:num w:numId="15" w16cid:durableId="225455106">
    <w:abstractNumId w:val="11"/>
  </w:num>
  <w:num w:numId="16" w16cid:durableId="1369068210">
    <w:abstractNumId w:val="16"/>
  </w:num>
  <w:num w:numId="17" w16cid:durableId="1636989216">
    <w:abstractNumId w:val="0"/>
  </w:num>
  <w:num w:numId="18" w16cid:durableId="277110133">
    <w:abstractNumId w:val="25"/>
  </w:num>
  <w:num w:numId="19" w16cid:durableId="1318337875">
    <w:abstractNumId w:val="12"/>
  </w:num>
  <w:num w:numId="20" w16cid:durableId="174544160">
    <w:abstractNumId w:val="28"/>
  </w:num>
  <w:num w:numId="21" w16cid:durableId="1219433825">
    <w:abstractNumId w:val="7"/>
  </w:num>
  <w:num w:numId="22" w16cid:durableId="346907461">
    <w:abstractNumId w:val="31"/>
  </w:num>
  <w:num w:numId="23" w16cid:durableId="1635910942">
    <w:abstractNumId w:val="10"/>
  </w:num>
  <w:num w:numId="24" w16cid:durableId="443574050">
    <w:abstractNumId w:val="5"/>
  </w:num>
  <w:num w:numId="25" w16cid:durableId="164440307">
    <w:abstractNumId w:val="20"/>
  </w:num>
  <w:num w:numId="26" w16cid:durableId="1542858876">
    <w:abstractNumId w:val="6"/>
  </w:num>
  <w:num w:numId="27" w16cid:durableId="1747800524">
    <w:abstractNumId w:val="24"/>
  </w:num>
  <w:num w:numId="28" w16cid:durableId="944460761">
    <w:abstractNumId w:val="26"/>
  </w:num>
  <w:num w:numId="29" w16cid:durableId="2080470832">
    <w:abstractNumId w:val="27"/>
  </w:num>
  <w:num w:numId="30" w16cid:durableId="188374194">
    <w:abstractNumId w:val="3"/>
  </w:num>
  <w:num w:numId="31" w16cid:durableId="1406299217">
    <w:abstractNumId w:val="15"/>
  </w:num>
  <w:num w:numId="32" w16cid:durableId="1102798911">
    <w:abstractNumId w:val="9"/>
  </w:num>
  <w:num w:numId="33" w16cid:durableId="1421411315">
    <w:abstractNumId w:val="2"/>
  </w:num>
  <w:num w:numId="34" w16cid:durableId="1765610498">
    <w:abstractNumId w:val="14"/>
  </w:num>
  <w:num w:numId="35" w16cid:durableId="9175936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0C23"/>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2C93"/>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D7AB9"/>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752"/>
    <w:rsid w:val="00295EF2"/>
    <w:rsid w:val="0029671C"/>
    <w:rsid w:val="002A0AF6"/>
    <w:rsid w:val="002A0E97"/>
    <w:rsid w:val="002A3024"/>
    <w:rsid w:val="002A3553"/>
    <w:rsid w:val="002A3E45"/>
    <w:rsid w:val="002A4459"/>
    <w:rsid w:val="002B209C"/>
    <w:rsid w:val="002B39B5"/>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5AEE"/>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4A0"/>
    <w:rsid w:val="003C39D9"/>
    <w:rsid w:val="003C53AA"/>
    <w:rsid w:val="003C585D"/>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1591B"/>
    <w:rsid w:val="00416EC6"/>
    <w:rsid w:val="0042055C"/>
    <w:rsid w:val="00420A39"/>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71CE"/>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616"/>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3C02"/>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2040"/>
    <w:rsid w:val="0081377F"/>
    <w:rsid w:val="00815FF4"/>
    <w:rsid w:val="00816049"/>
    <w:rsid w:val="00816F44"/>
    <w:rsid w:val="00823299"/>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6509D"/>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00F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3E60"/>
    <w:rsid w:val="009C550F"/>
    <w:rsid w:val="009D0EA4"/>
    <w:rsid w:val="009D2535"/>
    <w:rsid w:val="009D2A20"/>
    <w:rsid w:val="009D2AAE"/>
    <w:rsid w:val="009D3074"/>
    <w:rsid w:val="009D3123"/>
    <w:rsid w:val="009D4952"/>
    <w:rsid w:val="009E01B4"/>
    <w:rsid w:val="009E1626"/>
    <w:rsid w:val="009E7C8C"/>
    <w:rsid w:val="009F1957"/>
    <w:rsid w:val="009F216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3986"/>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C2F"/>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1BD3"/>
    <w:rsid w:val="00B33167"/>
    <w:rsid w:val="00B34329"/>
    <w:rsid w:val="00B34F56"/>
    <w:rsid w:val="00B35408"/>
    <w:rsid w:val="00B365B3"/>
    <w:rsid w:val="00B36F7E"/>
    <w:rsid w:val="00B40B18"/>
    <w:rsid w:val="00B41F11"/>
    <w:rsid w:val="00B43770"/>
    <w:rsid w:val="00B46271"/>
    <w:rsid w:val="00B4704A"/>
    <w:rsid w:val="00B53C57"/>
    <w:rsid w:val="00B54C9C"/>
    <w:rsid w:val="00B56596"/>
    <w:rsid w:val="00B60A12"/>
    <w:rsid w:val="00B61246"/>
    <w:rsid w:val="00B62FD0"/>
    <w:rsid w:val="00B654D0"/>
    <w:rsid w:val="00B6599D"/>
    <w:rsid w:val="00B6716E"/>
    <w:rsid w:val="00B7183F"/>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70B"/>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A0D"/>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173F0"/>
    <w:rsid w:val="00C20BA8"/>
    <w:rsid w:val="00C24AC4"/>
    <w:rsid w:val="00C255A7"/>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03EA"/>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C7AE1"/>
    <w:rsid w:val="00ED2A23"/>
    <w:rsid w:val="00ED5788"/>
    <w:rsid w:val="00EE0772"/>
    <w:rsid w:val="00EE1340"/>
    <w:rsid w:val="00EE42EC"/>
    <w:rsid w:val="00EE6B33"/>
    <w:rsid w:val="00EE75D7"/>
    <w:rsid w:val="00EF3178"/>
    <w:rsid w:val="00EF5347"/>
    <w:rsid w:val="00EF555C"/>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37341"/>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43A79"/>
    <w:rPr>
      <w:color w:val="605E5C"/>
      <w:shd w:val="clear" w:color="auto" w:fill="E1DFDD"/>
    </w:rPr>
  </w:style>
  <w:style w:type="character" w:customStyle="1" w:styleId="Mencionar1">
    <w:name w:val="Mencionar1"/>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903008">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49206617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8EEEE3-48B7-4402-83CF-D76BCE70F1CE}">
  <ds:schemaRefs>
    <ds:schemaRef ds:uri="http://schemas.openxmlformats.org/officeDocument/2006/bibliography"/>
  </ds:schemaRefs>
</ds:datastoreItem>
</file>

<file path=customXml/itemProps2.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28</Pages>
  <Words>14150</Words>
  <Characters>77829</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Sepulveda Buitrago</cp:lastModifiedBy>
  <cp:revision>20</cp:revision>
  <cp:lastPrinted>2022-06-28T20:15:00Z</cp:lastPrinted>
  <dcterms:created xsi:type="dcterms:W3CDTF">2022-09-30T00:01:00Z</dcterms:created>
  <dcterms:modified xsi:type="dcterms:W3CDTF">2025-04-09T23:02:00Z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