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GRUPO 5 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RENOVACIÓN DE SOPORTE HARDWARE Y SOFTWARE DE LAS PLATAFORMAS DELL DE LA FISCALÍA GENERAL DE LA NACIÓN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74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87.0" w:type="dxa"/>
        <w:jc w:val="left"/>
        <w:tblInd w:w="55.0" w:type="dxa"/>
        <w:tblLayout w:type="fixed"/>
        <w:tblLook w:val="0000"/>
      </w:tblPr>
      <w:tblGrid>
        <w:gridCol w:w="2800"/>
        <w:gridCol w:w="6287"/>
        <w:tblGridChange w:id="0">
          <w:tblGrid>
            <w:gridCol w:w="2800"/>
            <w:gridCol w:w="6287"/>
          </w:tblGrid>
        </w:tblGridChange>
      </w:tblGrid>
      <w:tr>
        <w:trPr>
          <w:cantSplit w:val="0"/>
          <w:trHeight w:val="8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Clasificación del bien o servicio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6137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772"/>
              <w:gridCol w:w="3365"/>
              <w:tblGridChange w:id="0">
                <w:tblGrid>
                  <w:gridCol w:w="2772"/>
                  <w:gridCol w:w="3365"/>
                </w:tblGrid>
              </w:tblGridChange>
            </w:tblGrid>
            <w:tr>
              <w:trPr>
                <w:cantSplit w:val="0"/>
                <w:trHeight w:val="307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07">
                  <w:pPr>
                    <w:shd w:fill="ffffff" w:val="clear"/>
                    <w:spacing w:line="276" w:lineRule="auto"/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81112200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08">
                  <w:pPr>
                    <w:shd w:fill="ffffff" w:val="clear"/>
                    <w:spacing w:line="276" w:lineRule="auto"/>
                    <w:jc w:val="both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Mantenimiento y soporte software.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07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09">
                  <w:pPr>
                    <w:shd w:fill="ffffff" w:val="clear"/>
                    <w:spacing w:line="276" w:lineRule="auto"/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81112300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0A">
                  <w:pPr>
                    <w:shd w:fill="ffffff" w:val="clear"/>
                    <w:spacing w:line="276" w:lineRule="auto"/>
                    <w:jc w:val="both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Mantenimiento y soporte de hardware de computadores.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Nombre Comercial del Bien o Servicio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Renovación de soporte de las plataformas DELL de la Fiscalía General de la Nación.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Calidad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N/A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Generalidades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1">
            <w:pPr>
              <w:ind w:right="18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La Fiscalía General de la Nación posee actualmente una infraestructura del fabricante DELL y se requiere la renovación del soporte.</w:t>
            </w:r>
          </w:p>
        </w:tc>
      </w:tr>
      <w:tr>
        <w:trPr>
          <w:cantSplit w:val="0"/>
          <w:trHeight w:val="1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Requisitos generales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Para la renovación del soporte, la FGN requiere los siguiente: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5327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842"/>
              <w:gridCol w:w="2526"/>
              <w:gridCol w:w="1959"/>
              <w:tblGridChange w:id="0">
                <w:tblGrid>
                  <w:gridCol w:w="842"/>
                  <w:gridCol w:w="2526"/>
                  <w:gridCol w:w="1959"/>
                </w:tblGrid>
              </w:tblGridChange>
            </w:tblGrid>
            <w:tr>
              <w:trPr>
                <w:cantSplit w:val="0"/>
                <w:trHeight w:val="320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5">
                  <w:pPr>
                    <w:spacing w:after="40" w:before="40" w:lineRule="auto"/>
                    <w:jc w:val="center"/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Ítem</w:t>
                  </w:r>
                </w:p>
              </w:tc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6">
                  <w:pPr>
                    <w:spacing w:after="40" w:before="40" w:lineRule="auto"/>
                    <w:jc w:val="center"/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20"/>
                      <w:szCs w:val="20"/>
                      <w:rtl w:val="0"/>
                    </w:rPr>
                    <w:t xml:space="preserve">DESCRIPCIÓN DEL BIEN O SERVICIO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7">
                  <w:pPr>
                    <w:spacing w:after="40" w:before="40" w:lineRule="auto"/>
                    <w:jc w:val="center"/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20"/>
                      <w:szCs w:val="20"/>
                      <w:rtl w:val="0"/>
                    </w:rPr>
                    <w:t xml:space="preserve">UNIDAD DE MEDIDA </w:t>
                  </w: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rtl w:val="0"/>
                    </w:rPr>
                    <w:t xml:space="preserve">(*)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73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8">
                  <w:pPr>
                    <w:spacing w:after="40" w:before="40" w:lineRule="auto"/>
                    <w:jc w:val="center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rtl w:val="0"/>
                    </w:rPr>
                    <w:t xml:space="preserve">1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9">
                  <w:pPr>
                    <w:spacing w:after="40" w:before="40" w:lineRule="auto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rtl w:val="0"/>
                    </w:rPr>
                    <w:t xml:space="preserve">Renovación de soporte de hardware hardware </w:t>
                  </w: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de las plataformas </w:t>
                  </w: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rtl w:val="0"/>
                    </w:rPr>
                    <w:t xml:space="preserve">DELL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A">
                  <w:pPr>
                    <w:spacing w:after="120" w:lineRule="auto"/>
                    <w:jc w:val="center"/>
                    <w:rPr>
                      <w:rFonts w:ascii="Arial" w:cs="Arial" w:eastAsia="Arial" w:hAnsi="Arial"/>
                      <w:sz w:val="22"/>
                      <w:szCs w:val="22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Soporte  por 18 meses – a partir del 12 de junio de 202</w:t>
                  </w:r>
                  <w:r w:rsidDel="00000000" w:rsidR="00000000" w:rsidRPr="00000000">
                    <w:rPr>
                      <w:rFonts w:ascii="Arial" w:cs="Arial" w:eastAsia="Arial" w:hAnsi="Arial"/>
                      <w:sz w:val="14"/>
                      <w:szCs w:val="14"/>
                      <w:rtl w:val="0"/>
                    </w:rPr>
                    <w:t xml:space="preserve">5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*NOTA: Para todos los componentes se debe proveer un soporte y garantía 7X24 por dieciocho meses contados a partir del 12 de junio de 2025.</w:t>
            </w:r>
          </w:p>
          <w:p w:rsidR="00000000" w:rsidDel="00000000" w:rsidP="00000000" w:rsidRDefault="00000000" w:rsidRPr="00000000" w14:paraId="0000001D">
            <w:pPr>
              <w:ind w:right="109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ind w:right="19"/>
              <w:jc w:val="both"/>
              <w:rPr>
                <w:rFonts w:ascii="Arial" w:cs="Arial" w:eastAsia="Arial" w:hAnsi="Arial"/>
                <w:color w:val="0000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Para la entrega de la certificación expedida por el fabricante en formato electrónico y/o físico en la que se acredite la renovación y/o suscripción del licenciamiento a nombre de la Fiscalía General de la Nación, el contratista  cuenta con 20 días calendario, donde se constate que el soporte inicia a partir del 12 de junio de 2025 hasta el 05 de diciembre de 2026. Todos los productos deben quedar registrados a través del envío de la certificación a la cuenta de correo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0000ff"/>
                  <w:sz w:val="22"/>
                  <w:szCs w:val="22"/>
                  <w:u w:val="single"/>
                  <w:rtl w:val="0"/>
                </w:rPr>
                <w:t xml:space="preserve">licencias.tics@fiscalia.gov.co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Requisitos específicos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Renovación de soporte para el hardware y software de las plataformas DELL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65" w:firstLine="0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La Entidad se requiere renovar los servicios de soporte 7x24 certificado por el fabricante para el hardware relacionado a continuación: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4440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595"/>
              <w:gridCol w:w="1845"/>
              <w:tblGridChange w:id="0">
                <w:tblGrid>
                  <w:gridCol w:w="2595"/>
                  <w:gridCol w:w="1845"/>
                </w:tblGrid>
              </w:tblGridChange>
            </w:tblGrid>
            <w:tr>
              <w:trPr>
                <w:cantSplit w:val="0"/>
                <w:trHeight w:val="111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5">
                  <w:pPr>
                    <w:jc w:val="both"/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Tipo / Modelo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6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b w:val="1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18"/>
                      <w:szCs w:val="18"/>
                      <w:highlight w:val="white"/>
                      <w:rtl w:val="0"/>
                    </w:rPr>
                    <w:t xml:space="preserve">Service Tag</w:t>
                  </w:r>
                </w:p>
              </w:tc>
            </w:tr>
            <w:tr>
              <w:trPr>
                <w:cantSplit w:val="0"/>
                <w:trHeight w:val="257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7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28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167V513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08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9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2A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168Q513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08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B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2C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167W513</w:t>
                  </w:r>
                </w:p>
              </w:tc>
            </w:tr>
            <w:tr>
              <w:trPr>
                <w:cantSplit w:val="0"/>
                <w:trHeight w:val="74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D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 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2E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168T513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72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2F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 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168R513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1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 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2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168S513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3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 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4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rtl w:val="0"/>
                    </w:rPr>
                    <w:t xml:space="preserve">167T513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5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6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3KMH613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7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8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3KMPG13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9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A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3KMRG13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B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C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3KMQG13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D">
                  <w:pPr>
                    <w:jc w:val="both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PowerEdge R640</w:t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3E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3KMJ613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3F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PowerEdge R650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4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GXK80R3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41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PowerEdge R650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42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HXK80R3</w:t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43">
                  <w:pPr>
                    <w:jc w:val="both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PowerEdge R740XD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cccccc" w:space="0" w:sz="4" w:val="single"/>
                    <w:left w:color="cccccc" w:space="0" w:sz="4" w:val="single"/>
                    <w:bottom w:color="cccccc" w:space="0" w:sz="4" w:val="single"/>
                    <w:right w:color="cccccc" w:space="0" w:sz="4" w:val="single"/>
                  </w:tcBorders>
                  <w:tcMar>
                    <w:top w:w="40.0" w:type="dxa"/>
                    <w:left w:w="40.0" w:type="dxa"/>
                    <w:bottom w:w="40.0" w:type="dxa"/>
                    <w:right w:w="40.0" w:type="dxa"/>
                  </w:tcMar>
                  <w:vAlign w:val="bottom"/>
                </w:tcPr>
                <w:p w:rsidR="00000000" w:rsidDel="00000000" w:rsidP="00000000" w:rsidRDefault="00000000" w:rsidRPr="00000000" w14:paraId="00000044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right"/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18"/>
                      <w:szCs w:val="18"/>
                      <w:highlight w:val="white"/>
                      <w:rtl w:val="0"/>
                    </w:rPr>
                    <w:t xml:space="preserve">4YR0RJ3</w:t>
                  </w:r>
                </w:p>
              </w:tc>
            </w:tr>
          </w:tbl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Cuadro: Período de soporte - Equipos servidores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Se Requiere un servicio de soporte 7X24, de acuerdo con los niveles de severidad ofertados y establecidos en las políticas de soporte del fabricante, los cuales se encuentran descritos en el link</w:t>
            </w:r>
          </w:p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https://i.dell.com/sites/csdocuments/Legal_Docs/es/ar/dell-prosupport-for-client-products-sd-es-xl.pdf y deben incluir como mínimo: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Disponer línea telefónica 018000 y sitio Web, con servicio al cliente 7X24 y responder al llamado de servicio en un término no mayor a 4 horas en idioma español o con traductor.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Proveer las partes reemplazables en caso de fallo y asignar el personal para atención en sitio.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Realizar las actualizaciones de software, correcciones, alertas de seguridad y actualizaciones críticas del software, microcódigo y componentes, las cuales deberán ser ejecutadas por el soporte técnico especializado en el producto, sin costo adicional para la entidad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Responder al llamado de servicio en un término no mayor a 4 horas.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Proveer las partes reemplazables en caso de fallo y asignar el personal para atención en sitio.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Reemplazo de partes con envío y recogida sin costo para la entidad. Los tiempos de respuesta deben ser de conformidad con los niveles de soporte establecidos por el fabricante.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tabs>
                <w:tab w:val="left" w:leader="none" w:pos="7740"/>
              </w:tabs>
              <w:ind w:left="720" w:hanging="360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Cada soporte y licencia deberán entregarse con sus certificaciones emitidas por el fabricante, con las instrucciones de activación seriales y demás componentes que apliquen.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Cumplir en el marco del soporte técnico prestado las normas y permisos ambientales necesarios para el desarrollo del objeto contractual, aplicables según la Ley, y de acuerdo con los procesos y/o políticas globales del fabricante.</w:t>
            </w:r>
          </w:p>
          <w:p w:rsidR="00000000" w:rsidDel="00000000" w:rsidP="00000000" w:rsidRDefault="00000000" w:rsidRPr="00000000" w14:paraId="00000053">
            <w:pPr>
              <w:ind w:left="720" w:firstLine="0"/>
              <w:jc w:val="both"/>
              <w:rPr>
                <w:rFonts w:ascii="Arial" w:cs="Arial" w:eastAsia="Arial" w:hAnsi="Arial"/>
                <w:sz w:val="22"/>
                <w:szCs w:val="22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Las versiones principales de productos y tecnología deben incluir: versiones de mantenimiento, versiones de funcionalidad seleccionadas y actualizaciones de documentación.</w:t>
            </w:r>
          </w:p>
        </w:tc>
      </w:tr>
      <w:tr>
        <w:trPr>
          <w:cantSplit w:val="0"/>
          <w:trHeight w:val="3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Empaque y rotulado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6">
            <w:pPr>
              <w:shd w:fill="ffffff" w:val="clear"/>
              <w:tabs>
                <w:tab w:val="left" w:leader="none" w:pos="7740"/>
              </w:tabs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Los elementos deben ser entregados sin sobre empaque o exceso de envolturas. Se deberán evitar empaques plásticos, a menos que no se pueda garantizar la integridad del elemento con otro tipo de empaque.  En todo caso la entrega sin sobre empaque no debe comprometer la integridad y calidad del bien o producto. Se deben tomar las medidas necesarias para asegurar que los bienes lleguen en perfectas condiciones, utilizando métodos de protección alternativos y sostenibles cuando sea posible.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tabs>
                <w:tab w:val="left" w:leader="none" w:pos="7740"/>
              </w:tabs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Presentación y Unidad de Medida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740"/>
              </w:tabs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Soporte – Soporte  por 18 meses – a partir del 12 de junio de 2025</w:t>
            </w:r>
          </w:p>
        </w:tc>
      </w:tr>
    </w:tbl>
    <w:p w:rsidR="00000000" w:rsidDel="00000000" w:rsidP="00000000" w:rsidRDefault="00000000" w:rsidRPr="00000000" w14:paraId="00000059">
      <w:pPr>
        <w:tabs>
          <w:tab w:val="left" w:leader="none" w:pos="774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Revisó: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Joseph Javier Barrer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Zambrano                               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Revisó: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Edgar Arias Medina  </w:t>
      </w:r>
    </w:p>
    <w:p w:rsidR="00000000" w:rsidDel="00000000" w:rsidP="00000000" w:rsidRDefault="00000000" w:rsidRPr="00000000" w14:paraId="0000005B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</w:t>
      </w:r>
    </w:p>
    <w:p w:rsidR="00000000" w:rsidDel="00000000" w:rsidP="00000000" w:rsidRDefault="00000000" w:rsidRPr="00000000" w14:paraId="0000005D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            </w:t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Revisò: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Alejandro Parra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Jaimes(contratista)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                       Revisó: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Dagoberto Enrique Giraldo Torres</w:t>
      </w:r>
    </w:p>
    <w:sectPr>
      <w:headerReference r:id="rId8" w:type="default"/>
      <w:footerReference r:id="rId9" w:type="default"/>
      <w:pgSz w:h="15840" w:w="12240" w:orient="portrait"/>
      <w:pgMar w:bottom="1417" w:top="795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highlight w:val="white"/>
        <w:rtl w:val="0"/>
      </w:rPr>
      <w:t xml:space="preserve">Este documento es copia del original que reposa en la Intranet.  Su impresión o descarga se considera una Copia No Controlada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  <w:rtl w:val="0"/>
      </w:rPr>
      <w:t xml:space="preserve">Grupo </w:t>
    </w:r>
    <w:r w:rsidDel="00000000" w:rsidR="00000000" w:rsidRPr="00000000">
      <w:rPr>
        <w:sz w:val="16"/>
        <w:szCs w:val="16"/>
        <w:rtl w:val="0"/>
      </w:rPr>
      <w:t xml:space="preserve">5</w:t>
    </w:r>
    <w:r w:rsidDel="00000000" w:rsidR="00000000" w:rsidRPr="00000000">
      <w:rPr>
        <w:color w:val="000000"/>
        <w:sz w:val="16"/>
        <w:szCs w:val="16"/>
        <w:rtl w:val="0"/>
      </w:rPr>
      <w:t xml:space="preserve"> Servidores Soporte Plataforma DELL</w:t>
    </w:r>
  </w:p>
  <w:p w:rsidR="00000000" w:rsidDel="00000000" w:rsidP="00000000" w:rsidRDefault="00000000" w:rsidRPr="00000000" w14:paraId="0000006E">
    <w:pPr>
      <w:widowControl w:val="0"/>
      <w:ind w:right="446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Página </w:t>
    </w: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 de </w:t>
    </w:r>
    <w:r w:rsidDel="00000000" w:rsidR="00000000" w:rsidRPr="00000000">
      <w:rPr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tbl>
    <w:tblPr>
      <w:tblStyle w:val="Table5"/>
      <w:tblW w:w="9214.0" w:type="dxa"/>
      <w:jc w:val="left"/>
      <w:tblInd w:w="-5.0" w:type="dxa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Layout w:type="fixed"/>
      <w:tblLook w:val="0000"/>
    </w:tblPr>
    <w:tblGrid>
      <w:gridCol w:w="2127"/>
      <w:gridCol w:w="5103"/>
      <w:gridCol w:w="1984"/>
      <w:tblGridChange w:id="0">
        <w:tblGrid>
          <w:gridCol w:w="2127"/>
          <w:gridCol w:w="5103"/>
          <w:gridCol w:w="1984"/>
        </w:tblGrid>
      </w:tblGridChange>
    </w:tblGrid>
    <w:tr>
      <w:trPr>
        <w:cantSplit w:val="1"/>
        <w:trHeight w:val="274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</w:rPr>
            <w:drawing>
              <wp:inline distB="0" distT="0" distL="0" distR="0">
                <wp:extent cx="1269574" cy="381872"/>
                <wp:effectExtent b="0" l="0" r="0" t="0"/>
                <wp:docPr descr="Dibujo con letras blancas&#10;&#10;Descripción generada automáticamente con confianza media" id="4" name="image1.png"/>
                <a:graphic>
                  <a:graphicData uri="http://schemas.openxmlformats.org/drawingml/2006/picture">
                    <pic:pic>
                      <pic:nvPicPr>
                        <pic:cNvPr descr="Dibujo con letras blancas&#10;&#10;Descripción generada automáticamente con confianza media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6"/>
              <w:szCs w:val="16"/>
              <w:rtl w:val="0"/>
            </w:rPr>
            <w:t xml:space="preserve">PROCESO GESTIÓN CONTRACTUAL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ind w:left="-392" w:firstLine="392"/>
            <w:rPr>
              <w:rFonts w:ascii="Arial" w:cs="Arial" w:eastAsia="Arial" w:hAnsi="Arial"/>
              <w:b w:val="1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4"/>
              <w:szCs w:val="14"/>
              <w:rtl w:val="0"/>
            </w:rPr>
            <w:t xml:space="preserve">Código: FGN-AP07-F-07</w:t>
          </w:r>
        </w:p>
        <w:p w:rsidR="00000000" w:rsidDel="00000000" w:rsidP="00000000" w:rsidRDefault="00000000" w:rsidRPr="00000000" w14:paraId="0000006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4"/>
              <w:szCs w:val="14"/>
              <w:rtl w:val="0"/>
            </w:rPr>
            <w:t xml:space="preserve">Versión:</w:t>
          </w: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 02</w:t>
          </w:r>
        </w:p>
        <w:p w:rsidR="00000000" w:rsidDel="00000000" w:rsidP="00000000" w:rsidRDefault="00000000" w:rsidRPr="00000000" w14:paraId="0000006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Arial" w:cs="Arial" w:eastAsia="Arial" w:hAnsi="Arial"/>
              <w:b w:val="1"/>
              <w:color w:val="000000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4"/>
              <w:szCs w:val="14"/>
              <w:rtl w:val="0"/>
            </w:rPr>
            <w:t xml:space="preserve">Página:</w:t>
          </w: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4"/>
              <w:szCs w:val="14"/>
              <w:rtl w:val="0"/>
            </w:rPr>
            <w:t xml:space="preserve">de </w:t>
          </w:r>
          <w:r w:rsidDel="00000000" w:rsidR="00000000" w:rsidRPr="00000000">
            <w:rPr>
              <w:color w:val="000000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787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8">
          <w:pPr>
            <w:jc w:val="center"/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rtl w:val="0"/>
            </w:rPr>
            <w:t xml:space="preserve">FORMATO FICHA TÉCNICA DE BIENES Y SERVICIOS DE </w:t>
          </w: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CARACTERÍSTICAS</w:t>
          </w:r>
          <w:r w:rsidDel="00000000" w:rsidR="00000000" w:rsidRPr="00000000">
            <w:rPr>
              <w:rFonts w:ascii="Arial" w:cs="Arial" w:eastAsia="Arial" w:hAnsi="Arial"/>
              <w:b w:val="1"/>
              <w:color w:val="000000"/>
              <w:rtl w:val="0"/>
            </w:rPr>
            <w:t xml:space="preserve"> TÉCNICAS UNIFORMES Y DE COMÚN UTILIZACIÓN</w:t>
          </w: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A">
    <w:pPr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</w:pPr>
    <w:rPr>
      <w:rFonts w:ascii="Tahoma" w:cs="Tahoma" w:eastAsia="Tahoma" w:hAnsi="Tahoma"/>
      <w:b w:val="1"/>
    </w:rPr>
  </w:style>
  <w:style w:type="paragraph" w:styleId="Heading3">
    <w:name w:val="heading 3"/>
    <w:basedOn w:val="Normal"/>
    <w:next w:val="Normal"/>
    <w:pPr>
      <w:keepNext w:val="1"/>
    </w:pPr>
    <w:rPr>
      <w:rFonts w:ascii="Tahoma" w:cs="Tahoma" w:eastAsia="Tahoma" w:hAnsi="Tahoma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50233"/>
    <w:rPr>
      <w:lang w:eastAsia="es-ES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 w:val="1"/>
    <w:rsid w:val="007B6FF1"/>
    <w:pPr>
      <w:keepNext w:val="1"/>
      <w:outlineLvl w:val="1"/>
    </w:pPr>
    <w:rPr>
      <w:rFonts w:ascii="Tahoma" w:hAnsi="Tahoma"/>
      <w:b w:val="1"/>
      <w:szCs w:val="20"/>
    </w:rPr>
  </w:style>
  <w:style w:type="paragraph" w:styleId="Ttulo3">
    <w:name w:val="heading 3"/>
    <w:basedOn w:val="Normal"/>
    <w:next w:val="Normal"/>
    <w:link w:val="Ttulo3Car"/>
    <w:uiPriority w:val="9"/>
    <w:qFormat w:val="1"/>
    <w:rsid w:val="007B6FF1"/>
    <w:pPr>
      <w:keepNext w:val="1"/>
      <w:outlineLvl w:val="2"/>
    </w:pPr>
    <w:rPr>
      <w:rFonts w:ascii="Tahoma" w:hAnsi="Tahoma"/>
      <w:b w:val="1"/>
      <w:sz w:val="20"/>
      <w:szCs w:val="20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E84417"/>
    <w:rPr>
      <w:rFonts w:asciiTheme="majorHAnsi" w:cstheme="majorBidi" w:eastAsiaTheme="majorEastAsia" w:hAnsiTheme="majorHAnsi"/>
      <w:b w:val="1"/>
      <w:bCs w:val="1"/>
      <w:i w:val="1"/>
      <w:iCs w:val="1"/>
      <w:sz w:val="28"/>
      <w:szCs w:val="28"/>
      <w:lang w:eastAsia="es-ES" w:val="es-E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E84417"/>
    <w:rPr>
      <w:rFonts w:asciiTheme="majorHAnsi" w:cstheme="majorBidi" w:eastAsiaTheme="majorEastAsia" w:hAnsiTheme="majorHAnsi"/>
      <w:b w:val="1"/>
      <w:bCs w:val="1"/>
      <w:sz w:val="26"/>
      <w:szCs w:val="26"/>
      <w:lang w:eastAsia="es-ES" w:val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E84417"/>
    <w:rPr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E84417"/>
    <w:rPr>
      <w:sz w:val="24"/>
      <w:szCs w:val="24"/>
      <w:lang w:eastAsia="es-ES" w:val="es-ES"/>
    </w:rPr>
  </w:style>
  <w:style w:type="paragraph" w:styleId="Car" w:customStyle="1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eastAsia="en-US" w:val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globo">
    <w:name w:val="Balloon Text"/>
    <w:basedOn w:val="Normal"/>
    <w:link w:val="TextodegloboCar"/>
    <w:rsid w:val="0091214F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rsid w:val="0091214F"/>
    <w:rPr>
      <w:rFonts w:ascii="Tahoma" w:cs="Tahoma" w:hAnsi="Tahoma"/>
      <w:sz w:val="16"/>
      <w:szCs w:val="16"/>
      <w:lang w:eastAsia="es-ES" w:val="es-ES"/>
    </w:rPr>
  </w:style>
  <w:style w:type="character" w:styleId="Nmerodepgina">
    <w:name w:val="page number"/>
    <w:rsid w:val="0017261C"/>
    <w:rPr>
      <w:rFonts w:cs="Times New Roman"/>
    </w:rPr>
  </w:style>
  <w:style w:type="paragraph" w:styleId="TableParagraph" w:customStyle="1">
    <w:name w:val="Table Paragraph"/>
    <w:basedOn w:val="Normal"/>
    <w:uiPriority w:val="1"/>
    <w:qFormat w:val="1"/>
    <w:rsid w:val="0072616A"/>
    <w:pPr>
      <w:widowControl w:val="0"/>
    </w:pPr>
    <w:rPr>
      <w:rFonts w:asciiTheme="minorHAnsi" w:cstheme="minorBidi" w:eastAsiaTheme="minorHAnsi" w:hAnsiTheme="minorHAnsi"/>
      <w:sz w:val="22"/>
      <w:szCs w:val="22"/>
      <w:lang w:eastAsia="en-US" w:val="en-US"/>
    </w:rPr>
  </w:style>
  <w:style w:type="paragraph" w:styleId="Prrafodelista">
    <w:name w:val="List Paragraph"/>
    <w:aliases w:val="List,List1,List11,EY EPM - Lista,List111,List1111,List11111,List2,List111111,Capítulo,TIT 2 IND,List1111111,Fluvial1,titulo 3,Lista vistosa - Énfasis 11,Bullet List,FooterText,numbered,List Paragraph1,Paragraphe de liste1"/>
    <w:basedOn w:val="Normal"/>
    <w:link w:val="PrrafodelistaCar"/>
    <w:uiPriority w:val="34"/>
    <w:qFormat w:val="1"/>
    <w:rsid w:val="0072616A"/>
    <w:pPr>
      <w:ind w:left="720"/>
      <w:contextualSpacing w:val="1"/>
    </w:pPr>
  </w:style>
  <w:style w:type="character" w:styleId="Refdecomentario">
    <w:name w:val="annotation reference"/>
    <w:basedOn w:val="Fuentedeprrafopredeter"/>
    <w:unhideWhenUsed w:val="1"/>
    <w:rsid w:val="00D41E8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 w:val="1"/>
    <w:rsid w:val="00D41E8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D41E81"/>
    <w:rPr>
      <w:lang w:eastAsia="es-ES" w:val="es-ES"/>
    </w:rPr>
  </w:style>
  <w:style w:type="paragraph" w:styleId="Revisin">
    <w:name w:val="Revision"/>
    <w:hidden w:val="1"/>
    <w:uiPriority w:val="99"/>
    <w:semiHidden w:val="1"/>
    <w:rsid w:val="00D41E8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 w:val="1"/>
    <w:unhideWhenUsed w:val="1"/>
    <w:rsid w:val="0080711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semiHidden w:val="1"/>
    <w:rsid w:val="0080711F"/>
    <w:rPr>
      <w:b w:val="1"/>
      <w:bCs w:val="1"/>
      <w:lang w:eastAsia="es-ES" w:val="es-ES"/>
    </w:rPr>
  </w:style>
  <w:style w:type="character" w:styleId="PrrafodelistaCar" w:customStyle="1">
    <w:name w:val="Párrafo de lista Car"/>
    <w:aliases w:val="List Car,List1 Car,List11 Car,EY EPM - Lista Car,List111 Car,List1111 Car,List11111 Car,List2 Car,List111111 Car,Capítulo Car,TIT 2 IND Car,List1111111 Car,Fluvial1 Car,titulo 3 Car,Lista vistosa - Énfasis 11 Car,Bullet List Car"/>
    <w:link w:val="Prrafodelista"/>
    <w:uiPriority w:val="34"/>
    <w:qFormat w:val="1"/>
    <w:locked w:val="1"/>
    <w:rsid w:val="00B84E84"/>
    <w:rPr>
      <w:sz w:val="24"/>
      <w:szCs w:val="24"/>
      <w:lang w:eastAsia="es-ES" w:val="es-ES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A644A2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icencias.tics@fiscalia.gov.co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kTkvQce8uwl+/iQNgQioKSmYWg==">CgMxLjAyCGguZ2pkZ3hzOAByITFuQjMxNnFzWldER3NYVDVQcWNUbGpYTXFqZzNxWnBFaA==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2023-02-24T17:39:00Z</dcterms:created>
  <dc:creator>Martha Emilia Diaz Cruz</dc:creator>
</cp:coreProperties>
</file>