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3C4" w:rsidRPr="00DA5B17" w:rsidRDefault="003933C4" w:rsidP="003933C4">
      <w:pPr>
        <w:tabs>
          <w:tab w:val="left" w:pos="7740"/>
        </w:tabs>
        <w:jc w:val="center"/>
        <w:rPr>
          <w:rFonts w:ascii="Arial Narrow" w:eastAsia="Arial" w:hAnsi="Arial Narrow" w:cs="Arial"/>
          <w:b/>
          <w:sz w:val="22"/>
          <w:szCs w:val="22"/>
        </w:rPr>
      </w:pPr>
      <w:bookmarkStart w:id="0" w:name="_heading=h.gjdgxs" w:colFirst="0" w:colLast="0"/>
      <w:bookmarkEnd w:id="0"/>
      <w:r w:rsidRPr="00DA5B17">
        <w:rPr>
          <w:rFonts w:ascii="Arial Narrow" w:eastAsia="Arial" w:hAnsi="Arial Narrow" w:cs="Arial"/>
          <w:b/>
          <w:sz w:val="22"/>
          <w:szCs w:val="22"/>
        </w:rPr>
        <w:t>ANEXO 3</w:t>
      </w:r>
    </w:p>
    <w:p w:rsidR="003933C4" w:rsidRPr="00DA5B17" w:rsidRDefault="003933C4" w:rsidP="003933C4">
      <w:pPr>
        <w:tabs>
          <w:tab w:val="left" w:pos="7740"/>
        </w:tabs>
        <w:jc w:val="center"/>
        <w:rPr>
          <w:rFonts w:ascii="Arial Narrow" w:eastAsia="Arial" w:hAnsi="Arial Narrow" w:cs="Arial"/>
          <w:b/>
          <w:sz w:val="22"/>
          <w:szCs w:val="22"/>
        </w:rPr>
      </w:pPr>
    </w:p>
    <w:p w:rsidR="009E4F21" w:rsidRPr="00300417" w:rsidRDefault="009E4F21" w:rsidP="009E4F21">
      <w:pPr>
        <w:jc w:val="center"/>
        <w:rPr>
          <w:rFonts w:ascii="Arial Narrow" w:hAnsi="Arial Narrow" w:cs="Arial"/>
          <w:b/>
          <w:sz w:val="22"/>
          <w:szCs w:val="22"/>
        </w:rPr>
      </w:pPr>
      <w:bookmarkStart w:id="1" w:name="_Hlk158888717"/>
      <w:r w:rsidRPr="00300417">
        <w:rPr>
          <w:rFonts w:ascii="Arial Narrow" w:hAnsi="Arial Narrow" w:cs="Arial"/>
          <w:b/>
          <w:sz w:val="22"/>
          <w:szCs w:val="22"/>
        </w:rPr>
        <w:t>ESPECIFICACIONES TÉCNICAS DEL OFRECIMIENTO EN CONCORDANCIA CON LA FICHA TECNICA DISEÑADA POR LA FGN Y QUE SE ENCUENTRA PUBLICADA</w:t>
      </w:r>
    </w:p>
    <w:p w:rsidR="009E4F21" w:rsidRPr="00300417" w:rsidRDefault="009E4F21" w:rsidP="009E4F21">
      <w:pPr>
        <w:jc w:val="center"/>
        <w:rPr>
          <w:rFonts w:ascii="Arial Narrow" w:hAnsi="Arial Narrow" w:cs="Arial"/>
          <w:b/>
          <w:sz w:val="22"/>
          <w:szCs w:val="22"/>
        </w:rPr>
      </w:pPr>
    </w:p>
    <w:p w:rsidR="009E4F21" w:rsidRPr="00300417" w:rsidRDefault="009E4F21" w:rsidP="009E4F21">
      <w:pPr>
        <w:jc w:val="both"/>
        <w:rPr>
          <w:rFonts w:ascii="Arial Narrow" w:hAnsi="Arial Narrow" w:cs="Arial"/>
          <w:sz w:val="22"/>
          <w:szCs w:val="22"/>
        </w:rPr>
      </w:pPr>
      <w:bookmarkStart w:id="2" w:name="_Hlk159926474"/>
      <w:r w:rsidRPr="00300417">
        <w:rPr>
          <w:rFonts w:ascii="Arial Narrow" w:hAnsi="Arial Narrow"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bookmarkEnd w:id="2"/>
    <w:p w:rsidR="009E4F21" w:rsidRPr="00300417" w:rsidRDefault="009E4F21" w:rsidP="009E4F21">
      <w:pPr>
        <w:ind w:firstLine="708"/>
        <w:jc w:val="center"/>
        <w:rPr>
          <w:rFonts w:ascii="Arial Narrow" w:hAnsi="Arial Narrow" w:cs="Arial"/>
          <w:b/>
          <w:sz w:val="22"/>
          <w:szCs w:val="22"/>
        </w:rPr>
      </w:pPr>
    </w:p>
    <w:p w:rsidR="009E4F21" w:rsidRPr="001921BD" w:rsidRDefault="009E4F21" w:rsidP="009E4F21">
      <w:pPr>
        <w:jc w:val="both"/>
        <w:rPr>
          <w:rFonts w:ascii="Arial Narrow" w:hAnsi="Arial Narrow" w:cs="Arial"/>
          <w:sz w:val="22"/>
          <w:szCs w:val="22"/>
        </w:rPr>
      </w:pPr>
      <w:r w:rsidRPr="001921BD">
        <w:rPr>
          <w:rFonts w:ascii="Arial Narrow" w:hAnsi="Arial Narrow" w:cs="Arial"/>
          <w:sz w:val="22"/>
          <w:szCs w:val="22"/>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rsidR="009E4F21" w:rsidRPr="001921BD" w:rsidRDefault="009E4F21" w:rsidP="009E4F21">
      <w:pPr>
        <w:jc w:val="both"/>
        <w:rPr>
          <w:rFonts w:ascii="Arial Narrow" w:hAnsi="Arial Narrow" w:cs="Arial"/>
          <w:sz w:val="22"/>
          <w:szCs w:val="22"/>
        </w:rPr>
      </w:pPr>
    </w:p>
    <w:p w:rsidR="009E4F21" w:rsidRPr="001921BD" w:rsidRDefault="009E4F21" w:rsidP="009E4F21">
      <w:pPr>
        <w:ind w:firstLine="708"/>
        <w:jc w:val="both"/>
        <w:rPr>
          <w:rFonts w:ascii="Arial Narrow" w:hAnsi="Arial Narrow" w:cs="Arial"/>
          <w:sz w:val="22"/>
          <w:szCs w:val="22"/>
        </w:rPr>
      </w:pPr>
      <w:r w:rsidRPr="001921BD">
        <w:rPr>
          <w:rFonts w:ascii="Arial Narrow" w:hAnsi="Arial Narrow" w:cs="Arial"/>
          <w:sz w:val="22"/>
          <w:szCs w:val="22"/>
        </w:rPr>
        <w:t>“Aquél cuyo clausulado se redacta por una de las partes sin intervención de la otra, cuya libertad contractual queda limitada a manifestar o no la aceptación de sus estipulaciones, de adherirse o no al contrato”</w:t>
      </w:r>
    </w:p>
    <w:bookmarkEnd w:id="1"/>
    <w:p w:rsidR="00DA5B17" w:rsidRPr="00DA5B17" w:rsidRDefault="00DA5B17" w:rsidP="001921BD">
      <w:pPr>
        <w:tabs>
          <w:tab w:val="left" w:pos="7740"/>
        </w:tabs>
        <w:jc w:val="center"/>
        <w:rPr>
          <w:rFonts w:ascii="Arial Narrow" w:hAnsi="Arial Narrow" w:cs="Arial"/>
          <w:sz w:val="22"/>
          <w:szCs w:val="22"/>
        </w:rPr>
      </w:pPr>
    </w:p>
    <w:p w:rsidR="00DE7F17" w:rsidRDefault="00DE7F17" w:rsidP="00DE7F17">
      <w:pPr>
        <w:tabs>
          <w:tab w:val="left" w:pos="7740"/>
        </w:tabs>
        <w:jc w:val="center"/>
        <w:rPr>
          <w:rFonts w:ascii="Arial" w:eastAsia="Arial" w:hAnsi="Arial" w:cs="Arial"/>
          <w:b/>
        </w:rPr>
      </w:pPr>
    </w:p>
    <w:p w:rsidR="00135521" w:rsidRPr="00135521" w:rsidRDefault="00135521" w:rsidP="00135521">
      <w:pPr>
        <w:jc w:val="center"/>
        <w:rPr>
          <w:rFonts w:ascii="Arial" w:eastAsia="Arial" w:hAnsi="Arial" w:cs="Arial"/>
          <w:b/>
        </w:rPr>
      </w:pPr>
      <w:r w:rsidRPr="00135521">
        <w:rPr>
          <w:rFonts w:ascii="Arial" w:eastAsia="Arial" w:hAnsi="Arial" w:cs="Arial"/>
          <w:b/>
        </w:rPr>
        <w:t xml:space="preserve">GRUPO 3 </w:t>
      </w:r>
    </w:p>
    <w:p w:rsidR="00135521" w:rsidRPr="00135521" w:rsidRDefault="00135521" w:rsidP="00135521">
      <w:pPr>
        <w:jc w:val="center"/>
        <w:rPr>
          <w:rFonts w:ascii="Arial" w:eastAsia="Arial" w:hAnsi="Arial" w:cs="Arial"/>
          <w:b/>
        </w:rPr>
      </w:pPr>
    </w:p>
    <w:p w:rsidR="00135521" w:rsidRPr="00135521" w:rsidRDefault="00135521" w:rsidP="00135521">
      <w:pPr>
        <w:jc w:val="both"/>
        <w:rPr>
          <w:rFonts w:ascii="Arial" w:eastAsia="Arial" w:hAnsi="Arial" w:cs="Arial"/>
          <w:b/>
          <w:sz w:val="20"/>
          <w:szCs w:val="20"/>
        </w:rPr>
      </w:pPr>
      <w:r w:rsidRPr="00135521">
        <w:rPr>
          <w:rFonts w:ascii="Arial" w:eastAsia="Arial" w:hAnsi="Arial" w:cs="Arial"/>
          <w:b/>
        </w:rPr>
        <w:t>RENOVACIÓN DE SOPORTE HARDWARE Y SOFTWARE VERITAS NETBACKUP DE LA FISCALÍA GENERAL DE LA NACIÓN</w:t>
      </w:r>
    </w:p>
    <w:p w:rsidR="00135521" w:rsidRPr="00135521" w:rsidRDefault="00135521" w:rsidP="00135521">
      <w:pPr>
        <w:tabs>
          <w:tab w:val="left" w:pos="7740"/>
        </w:tabs>
        <w:jc w:val="center"/>
        <w:rPr>
          <w:rFonts w:ascii="Arial" w:eastAsia="Arial" w:hAnsi="Arial" w:cs="Arial"/>
        </w:rPr>
      </w:pPr>
    </w:p>
    <w:tbl>
      <w:tblPr>
        <w:tblW w:w="9087" w:type="dxa"/>
        <w:tblInd w:w="55" w:type="dxa"/>
        <w:tblLayout w:type="fixed"/>
        <w:tblLook w:val="0000" w:firstRow="0" w:lastRow="0" w:firstColumn="0" w:lastColumn="0" w:noHBand="0" w:noVBand="0"/>
      </w:tblPr>
      <w:tblGrid>
        <w:gridCol w:w="2800"/>
        <w:gridCol w:w="6287"/>
      </w:tblGrid>
      <w:tr w:rsidR="00135521" w:rsidRPr="00135521" w:rsidTr="00503676">
        <w:trPr>
          <w:trHeight w:val="960"/>
        </w:trPr>
        <w:tc>
          <w:tcPr>
            <w:tcW w:w="2800" w:type="dxa"/>
            <w:tcBorders>
              <w:top w:val="single" w:sz="4" w:space="0" w:color="000000"/>
              <w:left w:val="single" w:sz="4" w:space="0" w:color="000000"/>
              <w:bottom w:val="single" w:sz="4" w:space="0" w:color="000000"/>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t xml:space="preserve">Clasificación del bien o servicio </w:t>
            </w:r>
          </w:p>
        </w:tc>
        <w:tc>
          <w:tcPr>
            <w:tcW w:w="6287" w:type="dxa"/>
            <w:tcBorders>
              <w:top w:val="single" w:sz="4" w:space="0" w:color="000000"/>
              <w:left w:val="single" w:sz="8" w:space="0" w:color="000000"/>
              <w:bottom w:val="single" w:sz="4" w:space="0" w:color="000000"/>
              <w:right w:val="single" w:sz="4" w:space="0" w:color="000000"/>
            </w:tcBorders>
            <w:tcMar>
              <w:top w:w="0" w:type="dxa"/>
              <w:left w:w="70" w:type="dxa"/>
              <w:bottom w:w="0" w:type="dxa"/>
              <w:right w:w="70" w:type="dxa"/>
            </w:tcMar>
          </w:tcPr>
          <w:p w:rsidR="00135521" w:rsidRPr="00135521" w:rsidRDefault="00135521" w:rsidP="00135521">
            <w:pPr>
              <w:widowControl w:val="0"/>
              <w:jc w:val="both"/>
              <w:rPr>
                <w:rFonts w:ascii="Arial" w:eastAsia="Arial" w:hAnsi="Arial" w:cs="Arial"/>
                <w:color w:val="222222"/>
                <w:sz w:val="21"/>
                <w:szCs w:val="21"/>
                <w:highlight w:val="white"/>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43201800</w:t>
            </w:r>
            <w:r w:rsidRPr="00135521">
              <w:rPr>
                <w:rFonts w:ascii="Arial" w:eastAsia="Arial" w:hAnsi="Arial" w:cs="Arial"/>
                <w:sz w:val="22"/>
                <w:szCs w:val="22"/>
              </w:rPr>
              <w:tab/>
              <w:t>Dispositivos de almacenamiento</w:t>
            </w: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43201900</w:t>
            </w:r>
            <w:r w:rsidRPr="00135521">
              <w:rPr>
                <w:rFonts w:ascii="Arial" w:eastAsia="Arial" w:hAnsi="Arial" w:cs="Arial"/>
                <w:sz w:val="22"/>
                <w:szCs w:val="22"/>
              </w:rPr>
              <w:tab/>
              <w:t>Accesorios de dispositivos de almacenamiento</w:t>
            </w:r>
          </w:p>
          <w:p w:rsidR="00135521" w:rsidRPr="00135521" w:rsidRDefault="00135521" w:rsidP="00135521">
            <w:pPr>
              <w:jc w:val="both"/>
              <w:rPr>
                <w:rFonts w:ascii="Arial" w:eastAsia="Arial" w:hAnsi="Arial" w:cs="Arial"/>
              </w:rPr>
            </w:pPr>
            <w:r w:rsidRPr="00135521">
              <w:rPr>
                <w:rFonts w:ascii="Arial" w:eastAsia="Arial" w:hAnsi="Arial" w:cs="Arial"/>
                <w:sz w:val="22"/>
                <w:szCs w:val="22"/>
              </w:rPr>
              <w:t>43212200</w:t>
            </w:r>
            <w:r w:rsidRPr="00135521">
              <w:rPr>
                <w:rFonts w:ascii="Arial" w:eastAsia="Arial" w:hAnsi="Arial" w:cs="Arial"/>
                <w:sz w:val="22"/>
                <w:szCs w:val="22"/>
              </w:rPr>
              <w:tab/>
              <w:t>Sistemas de manejo de almacenamiento de    datos de computador.</w:t>
            </w:r>
          </w:p>
        </w:tc>
      </w:tr>
      <w:tr w:rsidR="00135521" w:rsidRPr="00135521" w:rsidTr="00503676">
        <w:trPr>
          <w:trHeight w:val="733"/>
        </w:trPr>
        <w:tc>
          <w:tcPr>
            <w:tcW w:w="2800" w:type="dxa"/>
            <w:tcBorders>
              <w:top w:val="single" w:sz="4"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t xml:space="preserve">Nombre Comercial del Bien o Servicio </w:t>
            </w:r>
          </w:p>
        </w:tc>
        <w:tc>
          <w:tcPr>
            <w:tcW w:w="6287"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tcPr>
          <w:p w:rsidR="00135521" w:rsidRPr="00135521" w:rsidRDefault="00135521" w:rsidP="00135521">
            <w:pPr>
              <w:rPr>
                <w:rFonts w:ascii="Arial" w:eastAsia="Arial" w:hAnsi="Arial" w:cs="Arial"/>
                <w:color w:val="000000"/>
                <w:sz w:val="20"/>
                <w:szCs w:val="20"/>
              </w:rPr>
            </w:pPr>
          </w:p>
          <w:p w:rsidR="00135521" w:rsidRPr="00135521" w:rsidRDefault="00135521" w:rsidP="00135521">
            <w:pPr>
              <w:jc w:val="both"/>
              <w:rPr>
                <w:rFonts w:ascii="Arial" w:eastAsia="Arial" w:hAnsi="Arial" w:cs="Arial"/>
                <w:b/>
                <w:color w:val="000000"/>
                <w:sz w:val="20"/>
                <w:szCs w:val="20"/>
              </w:rPr>
            </w:pPr>
            <w:r w:rsidRPr="00135521">
              <w:rPr>
                <w:rFonts w:ascii="Arial" w:eastAsia="Arial" w:hAnsi="Arial" w:cs="Arial"/>
                <w:b/>
                <w:color w:val="000000"/>
                <w:sz w:val="20"/>
                <w:szCs w:val="20"/>
              </w:rPr>
              <w:t xml:space="preserve">RENOVACIÓN DE LA PLATAFORMA DE RESPALDO Y RECUPERACIÓN DE INFORMACIÓN </w:t>
            </w:r>
          </w:p>
          <w:p w:rsidR="00135521" w:rsidRPr="00135521" w:rsidRDefault="00135521" w:rsidP="00135521">
            <w:pPr>
              <w:rPr>
                <w:rFonts w:ascii="Arial" w:eastAsia="Arial" w:hAnsi="Arial" w:cs="Arial"/>
                <w:sz w:val="22"/>
                <w:szCs w:val="22"/>
              </w:rPr>
            </w:pPr>
          </w:p>
        </w:tc>
      </w:tr>
      <w:tr w:rsidR="00135521" w:rsidRPr="00135521" w:rsidTr="00503676">
        <w:trPr>
          <w:trHeight w:val="187"/>
        </w:trPr>
        <w:tc>
          <w:tcPr>
            <w:tcW w:w="2800" w:type="dxa"/>
            <w:tcBorders>
              <w:top w:val="single" w:sz="4"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t>Calidad</w:t>
            </w:r>
          </w:p>
        </w:tc>
        <w:tc>
          <w:tcPr>
            <w:tcW w:w="6287"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tcPr>
          <w:p w:rsidR="00135521" w:rsidRPr="00135521" w:rsidRDefault="00135521" w:rsidP="00135521">
            <w:pPr>
              <w:rPr>
                <w:rFonts w:ascii="Arial" w:eastAsia="Arial" w:hAnsi="Arial" w:cs="Arial"/>
                <w:sz w:val="22"/>
                <w:szCs w:val="22"/>
              </w:rPr>
            </w:pPr>
            <w:r w:rsidRPr="00135521">
              <w:rPr>
                <w:rFonts w:ascii="Arial" w:eastAsia="Arial" w:hAnsi="Arial" w:cs="Arial"/>
                <w:sz w:val="22"/>
                <w:szCs w:val="22"/>
              </w:rPr>
              <w:t>N/A</w:t>
            </w:r>
          </w:p>
        </w:tc>
      </w:tr>
      <w:tr w:rsidR="00135521" w:rsidRPr="00135521" w:rsidTr="00503676">
        <w:trPr>
          <w:trHeight w:val="728"/>
        </w:trPr>
        <w:tc>
          <w:tcPr>
            <w:tcW w:w="2800" w:type="dxa"/>
            <w:tcBorders>
              <w:top w:val="nil"/>
              <w:left w:val="single" w:sz="4" w:space="0" w:color="000000"/>
              <w:bottom w:val="single" w:sz="4" w:space="0" w:color="000000"/>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t xml:space="preserve">Generalidades </w:t>
            </w:r>
          </w:p>
        </w:tc>
        <w:tc>
          <w:tcPr>
            <w:tcW w:w="6287" w:type="dxa"/>
            <w:tcBorders>
              <w:top w:val="nil"/>
              <w:left w:val="single" w:sz="8" w:space="0" w:color="000000"/>
              <w:bottom w:val="single" w:sz="4" w:space="0" w:color="000000"/>
              <w:right w:val="single" w:sz="4" w:space="0" w:color="000000"/>
            </w:tcBorders>
            <w:tcMar>
              <w:top w:w="0" w:type="dxa"/>
              <w:left w:w="70" w:type="dxa"/>
              <w:bottom w:w="0" w:type="dxa"/>
              <w:right w:w="70" w:type="dxa"/>
            </w:tcMar>
          </w:tcPr>
          <w:p w:rsidR="00135521" w:rsidRPr="00135521" w:rsidRDefault="00135521" w:rsidP="00135521">
            <w:pPr>
              <w:ind w:right="-212"/>
              <w:jc w:val="both"/>
              <w:rPr>
                <w:rFonts w:ascii="Arial" w:eastAsia="Arial" w:hAnsi="Arial" w:cs="Arial"/>
                <w:sz w:val="22"/>
                <w:szCs w:val="22"/>
              </w:rPr>
            </w:pPr>
            <w:r w:rsidRPr="00135521">
              <w:rPr>
                <w:rFonts w:ascii="Arial" w:eastAsia="Arial" w:hAnsi="Arial" w:cs="Arial"/>
                <w:sz w:val="22"/>
                <w:szCs w:val="22"/>
              </w:rPr>
              <w:t>La Fiscalía General de la Nación posee actualmente una infraestructura y requiere ser actualizada con las últimas versiones de software.</w:t>
            </w:r>
          </w:p>
        </w:tc>
      </w:tr>
      <w:tr w:rsidR="00135521" w:rsidRPr="00135521" w:rsidTr="00503676">
        <w:trPr>
          <w:trHeight w:val="754"/>
        </w:trPr>
        <w:tc>
          <w:tcPr>
            <w:tcW w:w="280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t>Requisitos generales</w:t>
            </w:r>
          </w:p>
        </w:tc>
        <w:tc>
          <w:tcPr>
            <w:tcW w:w="62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Se requiere renovar el soporte técnico de software y hardware y de licenciamiento de la plataforma de backup Veritas Netbackup que posee la Fiscalía General de la Nación con una vigencia por doce meses a partir del 3 de junio</w:t>
            </w:r>
          </w:p>
          <w:tbl>
            <w:tblPr>
              <w:tblW w:w="54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2475"/>
              <w:gridCol w:w="1830"/>
            </w:tblGrid>
            <w:tr w:rsidR="00135521" w:rsidRPr="00135521" w:rsidTr="00503676">
              <w:trPr>
                <w:trHeight w:val="1011"/>
                <w:jc w:val="center"/>
              </w:trPr>
              <w:tc>
                <w:tcPr>
                  <w:tcW w:w="1095" w:type="dxa"/>
                  <w:shd w:val="clear" w:color="auto" w:fill="D9D9D9"/>
                  <w:vAlign w:val="center"/>
                </w:tcPr>
                <w:p w:rsidR="00135521" w:rsidRPr="00135521" w:rsidRDefault="00135521" w:rsidP="00135521">
                  <w:pPr>
                    <w:spacing w:before="40" w:after="40"/>
                    <w:jc w:val="center"/>
                    <w:rPr>
                      <w:rFonts w:ascii="Arial" w:eastAsia="Arial" w:hAnsi="Arial" w:cs="Arial"/>
                      <w:b/>
                      <w:color w:val="000000"/>
                      <w:sz w:val="18"/>
                      <w:szCs w:val="18"/>
                    </w:rPr>
                  </w:pPr>
                  <w:r w:rsidRPr="00135521">
                    <w:rPr>
                      <w:rFonts w:ascii="Arial" w:eastAsia="Arial" w:hAnsi="Arial" w:cs="Arial"/>
                      <w:b/>
                      <w:color w:val="000000"/>
                      <w:sz w:val="18"/>
                      <w:szCs w:val="18"/>
                    </w:rPr>
                    <w:t>Ítem</w:t>
                  </w:r>
                </w:p>
              </w:tc>
              <w:tc>
                <w:tcPr>
                  <w:tcW w:w="2475" w:type="dxa"/>
                  <w:shd w:val="clear" w:color="auto" w:fill="D9D9D9"/>
                  <w:vAlign w:val="center"/>
                </w:tcPr>
                <w:p w:rsidR="00135521" w:rsidRPr="00135521" w:rsidRDefault="00135521" w:rsidP="00135521">
                  <w:pPr>
                    <w:spacing w:before="40" w:after="40"/>
                    <w:jc w:val="center"/>
                    <w:rPr>
                      <w:rFonts w:ascii="Arial" w:eastAsia="Arial" w:hAnsi="Arial" w:cs="Arial"/>
                      <w:b/>
                      <w:color w:val="000000"/>
                      <w:sz w:val="18"/>
                      <w:szCs w:val="18"/>
                    </w:rPr>
                  </w:pPr>
                  <w:r w:rsidRPr="00135521">
                    <w:rPr>
                      <w:rFonts w:ascii="Arial" w:eastAsia="Arial" w:hAnsi="Arial" w:cs="Arial"/>
                      <w:b/>
                      <w:color w:val="000000"/>
                      <w:sz w:val="20"/>
                      <w:szCs w:val="20"/>
                    </w:rPr>
                    <w:t>DESCRIPCIÓN DEL BIEN O SERVICIO</w:t>
                  </w:r>
                </w:p>
              </w:tc>
              <w:tc>
                <w:tcPr>
                  <w:tcW w:w="1830" w:type="dxa"/>
                  <w:shd w:val="clear" w:color="auto" w:fill="D9D9D9"/>
                  <w:vAlign w:val="center"/>
                </w:tcPr>
                <w:p w:rsidR="00135521" w:rsidRPr="00135521" w:rsidRDefault="00135521" w:rsidP="00135521">
                  <w:pPr>
                    <w:spacing w:before="40" w:after="40"/>
                    <w:jc w:val="center"/>
                    <w:rPr>
                      <w:rFonts w:ascii="Arial" w:eastAsia="Arial" w:hAnsi="Arial" w:cs="Arial"/>
                      <w:b/>
                      <w:color w:val="000000"/>
                      <w:sz w:val="18"/>
                      <w:szCs w:val="18"/>
                    </w:rPr>
                  </w:pPr>
                  <w:r w:rsidRPr="00135521">
                    <w:rPr>
                      <w:rFonts w:ascii="Arial" w:eastAsia="Arial" w:hAnsi="Arial" w:cs="Arial"/>
                      <w:b/>
                      <w:color w:val="000000"/>
                      <w:sz w:val="20"/>
                      <w:szCs w:val="20"/>
                    </w:rPr>
                    <w:t xml:space="preserve">UNIDAD DE MEDIDA </w:t>
                  </w:r>
                  <w:r w:rsidRPr="00135521">
                    <w:rPr>
                      <w:rFonts w:ascii="Arial" w:eastAsia="Arial" w:hAnsi="Arial" w:cs="Arial"/>
                      <w:b/>
                      <w:color w:val="000000"/>
                      <w:sz w:val="18"/>
                      <w:szCs w:val="18"/>
                    </w:rPr>
                    <w:t>(*)</w:t>
                  </w:r>
                </w:p>
              </w:tc>
            </w:tr>
            <w:tr w:rsidR="00135521" w:rsidRPr="00135521" w:rsidTr="00503676">
              <w:trPr>
                <w:trHeight w:val="233"/>
                <w:jc w:val="center"/>
              </w:trPr>
              <w:tc>
                <w:tcPr>
                  <w:tcW w:w="1095" w:type="dxa"/>
                  <w:shd w:val="clear" w:color="auto" w:fill="auto"/>
                  <w:vAlign w:val="center"/>
                </w:tcPr>
                <w:p w:rsidR="00135521" w:rsidRPr="00135521" w:rsidRDefault="00135521" w:rsidP="00135521">
                  <w:pPr>
                    <w:spacing w:before="40" w:after="40"/>
                    <w:jc w:val="center"/>
                    <w:rPr>
                      <w:rFonts w:ascii="Arial" w:eastAsia="Arial" w:hAnsi="Arial" w:cs="Arial"/>
                      <w:color w:val="000000"/>
                      <w:sz w:val="18"/>
                      <w:szCs w:val="18"/>
                    </w:rPr>
                  </w:pPr>
                  <w:r w:rsidRPr="00135521">
                    <w:rPr>
                      <w:rFonts w:ascii="Arial" w:eastAsia="Arial" w:hAnsi="Arial" w:cs="Arial"/>
                      <w:color w:val="000000"/>
                      <w:sz w:val="18"/>
                      <w:szCs w:val="18"/>
                    </w:rPr>
                    <w:t>1.</w:t>
                  </w:r>
                </w:p>
              </w:tc>
              <w:tc>
                <w:tcPr>
                  <w:tcW w:w="2475" w:type="dxa"/>
                  <w:shd w:val="clear" w:color="auto" w:fill="auto"/>
                  <w:vAlign w:val="center"/>
                </w:tcPr>
                <w:p w:rsidR="00135521" w:rsidRPr="00135521" w:rsidRDefault="00135521" w:rsidP="00135521">
                  <w:pPr>
                    <w:spacing w:before="40" w:after="40"/>
                    <w:jc w:val="both"/>
                    <w:rPr>
                      <w:rFonts w:ascii="Arial" w:eastAsia="Arial" w:hAnsi="Arial" w:cs="Arial"/>
                      <w:color w:val="000000"/>
                      <w:sz w:val="22"/>
                      <w:szCs w:val="22"/>
                    </w:rPr>
                  </w:pPr>
                  <w:r w:rsidRPr="00135521">
                    <w:rPr>
                      <w:rFonts w:ascii="Arial" w:eastAsia="Arial" w:hAnsi="Arial" w:cs="Arial"/>
                      <w:color w:val="000000"/>
                      <w:sz w:val="22"/>
                      <w:szCs w:val="22"/>
                    </w:rPr>
                    <w:t xml:space="preserve">Renovación de soporte hardware y </w:t>
                  </w:r>
                  <w:r w:rsidRPr="00135521">
                    <w:rPr>
                      <w:rFonts w:ascii="Arial" w:eastAsia="Arial" w:hAnsi="Arial" w:cs="Arial"/>
                      <w:sz w:val="22"/>
                      <w:szCs w:val="22"/>
                    </w:rPr>
                    <w:t>software Veritas Netbackup</w:t>
                  </w:r>
                  <w:r w:rsidRPr="00135521">
                    <w:rPr>
                      <w:rFonts w:ascii="Arial" w:eastAsia="Arial" w:hAnsi="Arial" w:cs="Arial"/>
                      <w:color w:val="000000"/>
                      <w:sz w:val="22"/>
                      <w:szCs w:val="22"/>
                    </w:rPr>
                    <w:t xml:space="preserve"> </w:t>
                  </w:r>
                </w:p>
              </w:tc>
              <w:tc>
                <w:tcPr>
                  <w:tcW w:w="1830" w:type="dxa"/>
                  <w:shd w:val="clear" w:color="auto" w:fill="auto"/>
                  <w:vAlign w:val="center"/>
                </w:tcPr>
                <w:p w:rsidR="00135521" w:rsidRPr="00135521" w:rsidRDefault="00135521" w:rsidP="00135521">
                  <w:pPr>
                    <w:spacing w:before="40" w:after="40"/>
                    <w:jc w:val="both"/>
                    <w:rPr>
                      <w:rFonts w:ascii="Arial" w:eastAsia="Arial" w:hAnsi="Arial" w:cs="Arial"/>
                      <w:color w:val="000000"/>
                      <w:sz w:val="22"/>
                      <w:szCs w:val="22"/>
                    </w:rPr>
                  </w:pPr>
                  <w:r w:rsidRPr="00135521">
                    <w:rPr>
                      <w:rFonts w:ascii="Arial" w:eastAsia="Arial" w:hAnsi="Arial" w:cs="Arial"/>
                      <w:color w:val="000000"/>
                      <w:sz w:val="22"/>
                      <w:szCs w:val="22"/>
                    </w:rPr>
                    <w:t xml:space="preserve">Tiempo </w:t>
                  </w:r>
                  <w:r w:rsidRPr="00135521">
                    <w:rPr>
                      <w:rFonts w:ascii="Arial" w:eastAsia="Arial" w:hAnsi="Arial" w:cs="Arial"/>
                      <w:sz w:val="22"/>
                      <w:szCs w:val="22"/>
                    </w:rPr>
                    <w:t xml:space="preserve">por doce meses contados a partir del 3 de junio del 2025 </w:t>
                  </w:r>
                </w:p>
              </w:tc>
            </w:tr>
          </w:tbl>
          <w:p w:rsidR="00135521" w:rsidRPr="00135521" w:rsidRDefault="00135521" w:rsidP="00135521">
            <w:pPr>
              <w:ind w:left="87" w:right="159"/>
              <w:jc w:val="center"/>
              <w:rPr>
                <w:rFonts w:ascii="Arial" w:eastAsia="Arial" w:hAnsi="Arial" w:cs="Arial"/>
                <w:sz w:val="16"/>
                <w:szCs w:val="16"/>
              </w:rPr>
            </w:pPr>
            <w:r w:rsidRPr="00135521">
              <w:rPr>
                <w:rFonts w:ascii="Arial" w:eastAsia="Arial" w:hAnsi="Arial" w:cs="Arial"/>
                <w:sz w:val="16"/>
                <w:szCs w:val="16"/>
              </w:rPr>
              <w:t>(*) Ver cuadro No. 1 Rango de soporte</w:t>
            </w:r>
          </w:p>
          <w:p w:rsidR="00135521" w:rsidRPr="00135521" w:rsidRDefault="00135521" w:rsidP="00135521">
            <w:pPr>
              <w:ind w:left="87" w:right="159"/>
              <w:jc w:val="both"/>
              <w:rPr>
                <w:rFonts w:ascii="Arial" w:eastAsia="Arial" w:hAnsi="Arial" w:cs="Arial"/>
                <w:sz w:val="22"/>
                <w:szCs w:val="22"/>
              </w:rPr>
            </w:pPr>
          </w:p>
          <w:p w:rsidR="00135521" w:rsidRPr="00135521" w:rsidRDefault="00135521" w:rsidP="00135521">
            <w:pPr>
              <w:ind w:left="87" w:right="159"/>
              <w:jc w:val="both"/>
              <w:rPr>
                <w:rFonts w:ascii="Arial" w:eastAsia="Arial" w:hAnsi="Arial" w:cs="Arial"/>
                <w:sz w:val="22"/>
                <w:szCs w:val="22"/>
              </w:rPr>
            </w:pPr>
            <w:r w:rsidRPr="00135521">
              <w:rPr>
                <w:rFonts w:ascii="Arial" w:eastAsia="Arial" w:hAnsi="Arial" w:cs="Arial"/>
                <w:sz w:val="22"/>
                <w:szCs w:val="22"/>
              </w:rPr>
              <w:t xml:space="preserve">**Nota: Para los componentes e incluyendo los actualmente instalados de la plataforma Veritas, se debe proveer un soporte 7x24 por doce meses contados a partir de la </w:t>
            </w:r>
            <w:proofErr w:type="spellStart"/>
            <w:r w:rsidRPr="00135521">
              <w:rPr>
                <w:rFonts w:ascii="Arial" w:eastAsia="Arial" w:hAnsi="Arial" w:cs="Arial"/>
                <w:sz w:val="22"/>
                <w:szCs w:val="22"/>
              </w:rPr>
              <w:t>finalizaciòn</w:t>
            </w:r>
            <w:proofErr w:type="spellEnd"/>
            <w:r w:rsidRPr="00135521">
              <w:rPr>
                <w:rFonts w:ascii="Arial" w:eastAsia="Arial" w:hAnsi="Arial" w:cs="Arial"/>
                <w:sz w:val="22"/>
                <w:szCs w:val="22"/>
              </w:rPr>
              <w:t xml:space="preserve"> del  soporte actual</w:t>
            </w:r>
          </w:p>
          <w:p w:rsidR="00135521" w:rsidRPr="00135521" w:rsidRDefault="00135521" w:rsidP="00135521">
            <w:pPr>
              <w:ind w:left="87" w:right="159"/>
              <w:jc w:val="both"/>
              <w:rPr>
                <w:rFonts w:ascii="Arial" w:eastAsia="Arial" w:hAnsi="Arial" w:cs="Arial"/>
                <w:sz w:val="22"/>
                <w:szCs w:val="22"/>
              </w:rPr>
            </w:pPr>
          </w:p>
          <w:p w:rsidR="00135521" w:rsidRPr="00135521" w:rsidRDefault="00135521" w:rsidP="00135521">
            <w:pPr>
              <w:numPr>
                <w:ilvl w:val="0"/>
                <w:numId w:val="13"/>
              </w:numPr>
              <w:pBdr>
                <w:top w:val="nil"/>
                <w:left w:val="nil"/>
                <w:bottom w:val="nil"/>
                <w:right w:val="nil"/>
                <w:between w:val="nil"/>
              </w:pBdr>
              <w:ind w:right="159"/>
              <w:jc w:val="both"/>
              <w:rPr>
                <w:rFonts w:ascii="Arial" w:eastAsia="Arial" w:hAnsi="Arial" w:cs="Arial"/>
                <w:color w:val="000000"/>
                <w:sz w:val="22"/>
                <w:szCs w:val="22"/>
              </w:rPr>
            </w:pPr>
            <w:r w:rsidRPr="00135521">
              <w:rPr>
                <w:rFonts w:ascii="Arial" w:eastAsia="Arial" w:hAnsi="Arial" w:cs="Arial"/>
                <w:color w:val="000000"/>
                <w:sz w:val="22"/>
                <w:szCs w:val="22"/>
              </w:rPr>
              <w:t>Los elementos deben de ser actualizados y configurados según designe el supervisor o su delegado.</w:t>
            </w:r>
          </w:p>
          <w:p w:rsidR="00135521" w:rsidRPr="00135521" w:rsidRDefault="00135521" w:rsidP="00135521">
            <w:pPr>
              <w:ind w:right="19"/>
              <w:jc w:val="both"/>
              <w:rPr>
                <w:rFonts w:ascii="Arial" w:eastAsia="Arial" w:hAnsi="Arial" w:cs="Arial"/>
                <w:sz w:val="22"/>
                <w:szCs w:val="22"/>
              </w:rPr>
            </w:pPr>
          </w:p>
          <w:p w:rsidR="00135521" w:rsidRPr="00135521" w:rsidRDefault="00135521" w:rsidP="00135521">
            <w:pPr>
              <w:ind w:right="19"/>
              <w:jc w:val="both"/>
              <w:rPr>
                <w:rFonts w:ascii="Arial" w:eastAsia="Arial" w:hAnsi="Arial" w:cs="Arial"/>
                <w:sz w:val="22"/>
                <w:szCs w:val="22"/>
              </w:rPr>
            </w:pPr>
            <w:r w:rsidRPr="00135521">
              <w:rPr>
                <w:rFonts w:ascii="Arial" w:eastAsia="Arial" w:hAnsi="Arial" w:cs="Arial"/>
                <w:sz w:val="22"/>
                <w:szCs w:val="22"/>
              </w:rPr>
              <w:t xml:space="preserve">Dentro de los veinte días </w:t>
            </w:r>
            <w:proofErr w:type="gramStart"/>
            <w:r w:rsidRPr="00135521">
              <w:rPr>
                <w:rFonts w:ascii="Arial" w:eastAsia="Arial" w:hAnsi="Arial" w:cs="Arial"/>
                <w:sz w:val="22"/>
                <w:szCs w:val="22"/>
              </w:rPr>
              <w:t>calendario siguientes</w:t>
            </w:r>
            <w:proofErr w:type="gramEnd"/>
            <w:r w:rsidRPr="00135521">
              <w:rPr>
                <w:rFonts w:ascii="Arial" w:eastAsia="Arial" w:hAnsi="Arial" w:cs="Arial"/>
                <w:sz w:val="22"/>
                <w:szCs w:val="22"/>
              </w:rPr>
              <w:t xml:space="preserve"> a partir del 3 de junio del 2025l</w:t>
            </w:r>
            <w:r w:rsidRPr="00135521">
              <w:rPr>
                <w:rFonts w:ascii="Arial" w:eastAsia="Arial" w:hAnsi="Arial" w:cs="Arial"/>
                <w:color w:val="980000"/>
                <w:sz w:val="22"/>
                <w:szCs w:val="22"/>
              </w:rPr>
              <w:t xml:space="preserve">, </w:t>
            </w:r>
            <w:r w:rsidRPr="00135521">
              <w:rPr>
                <w:rFonts w:ascii="Arial" w:eastAsia="Arial" w:hAnsi="Arial" w:cs="Arial"/>
                <w:sz w:val="22"/>
                <w:szCs w:val="22"/>
              </w:rPr>
              <w:t xml:space="preserve">el contratista debe realizar la entrega de la certificación expedida por el fabricante en formato electrónico y/o físico en la que se acredite la renovación y/o suscripción del licenciamiento a nombre de la Fiscalía General de la Nación. Todos los productos deben quedar registrados a través del envío de la certificación a la cuenta de correo </w:t>
            </w:r>
            <w:hyperlink r:id="rId8">
              <w:r w:rsidRPr="00135521">
                <w:rPr>
                  <w:rFonts w:ascii="Arial" w:eastAsia="Arial" w:hAnsi="Arial" w:cs="Arial"/>
                  <w:color w:val="0000FF"/>
                  <w:sz w:val="22"/>
                  <w:szCs w:val="22"/>
                  <w:u w:val="single"/>
                </w:rPr>
                <w:t>licencias.tics@fiscalia.gov.co</w:t>
              </w:r>
            </w:hyperlink>
          </w:p>
        </w:tc>
      </w:tr>
      <w:tr w:rsidR="00135521" w:rsidRPr="00135521" w:rsidTr="00503676">
        <w:trPr>
          <w:trHeight w:val="1272"/>
        </w:trPr>
        <w:tc>
          <w:tcPr>
            <w:tcW w:w="2800" w:type="dxa"/>
            <w:tcBorders>
              <w:top w:val="single" w:sz="4" w:space="0" w:color="000000"/>
              <w:left w:val="single" w:sz="4" w:space="0" w:color="000000"/>
              <w:bottom w:val="nil"/>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lastRenderedPageBreak/>
              <w:t>Requisitos específicos</w:t>
            </w:r>
          </w:p>
        </w:tc>
        <w:tc>
          <w:tcPr>
            <w:tcW w:w="6287" w:type="dxa"/>
            <w:tcBorders>
              <w:top w:val="single" w:sz="4" w:space="0" w:color="000000"/>
              <w:left w:val="single" w:sz="8" w:space="0" w:color="000000"/>
              <w:bottom w:val="nil"/>
              <w:right w:val="single" w:sz="4" w:space="0" w:color="000000"/>
            </w:tcBorders>
            <w:tcMar>
              <w:top w:w="0" w:type="dxa"/>
              <w:left w:w="70" w:type="dxa"/>
              <w:bottom w:w="0" w:type="dxa"/>
              <w:right w:w="70" w:type="dxa"/>
            </w:tcMar>
          </w:tcPr>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Renovación de soporte de la plataforma actual Veritas Netbackup</w:t>
            </w:r>
          </w:p>
          <w:p w:rsidR="00135521" w:rsidRPr="00135521" w:rsidRDefault="00135521" w:rsidP="00135521">
            <w:pPr>
              <w:pBdr>
                <w:top w:val="nil"/>
                <w:left w:val="nil"/>
                <w:bottom w:val="nil"/>
                <w:right w:val="nil"/>
                <w:between w:val="nil"/>
              </w:pBdr>
              <w:ind w:left="1065"/>
              <w:rPr>
                <w:rFonts w:ascii="Arial" w:eastAsia="Arial" w:hAnsi="Arial" w:cs="Arial"/>
                <w:color w:val="000000"/>
                <w:sz w:val="22"/>
                <w:szCs w:val="22"/>
              </w:rPr>
            </w:pPr>
          </w:p>
          <w:p w:rsidR="00135521" w:rsidRPr="00135521" w:rsidRDefault="00135521" w:rsidP="00135521">
            <w:pPr>
              <w:rPr>
                <w:rFonts w:ascii="Arial" w:eastAsia="Arial" w:hAnsi="Arial" w:cs="Arial"/>
                <w:sz w:val="22"/>
                <w:szCs w:val="22"/>
              </w:rPr>
            </w:pPr>
          </w:p>
          <w:tbl>
            <w:tblPr>
              <w:tblW w:w="5445" w:type="dxa"/>
              <w:jc w:val="center"/>
              <w:tblBorders>
                <w:top w:val="single" w:sz="8" w:space="0" w:color="000000"/>
                <w:left w:val="single" w:sz="8" w:space="0" w:color="000000"/>
                <w:bottom w:val="single" w:sz="4" w:space="0" w:color="000000"/>
                <w:right w:val="single" w:sz="8" w:space="0" w:color="000000"/>
                <w:insideH w:val="single" w:sz="4" w:space="0" w:color="000000"/>
                <w:insideV w:val="single" w:sz="8" w:space="0" w:color="000000"/>
              </w:tblBorders>
              <w:tblLayout w:type="fixed"/>
              <w:tblLook w:val="0400" w:firstRow="0" w:lastRow="0" w:firstColumn="0" w:lastColumn="0" w:noHBand="0" w:noVBand="1"/>
            </w:tblPr>
            <w:tblGrid>
              <w:gridCol w:w="1395"/>
              <w:gridCol w:w="2985"/>
              <w:gridCol w:w="1065"/>
            </w:tblGrid>
            <w:tr w:rsidR="00135521" w:rsidRPr="00135521" w:rsidTr="00503676">
              <w:trPr>
                <w:trHeight w:val="315"/>
                <w:jc w:val="center"/>
              </w:trPr>
              <w:tc>
                <w:tcPr>
                  <w:tcW w:w="1395" w:type="dxa"/>
                  <w:tcBorders>
                    <w:top w:val="single" w:sz="8" w:space="0" w:color="000000"/>
                  </w:tcBorders>
                  <w:vAlign w:val="center"/>
                </w:tcPr>
                <w:p w:rsidR="00135521" w:rsidRPr="00135521" w:rsidRDefault="00135521" w:rsidP="00135521">
                  <w:pPr>
                    <w:jc w:val="both"/>
                    <w:rPr>
                      <w:rFonts w:ascii="Arial" w:eastAsia="Arial" w:hAnsi="Arial" w:cs="Arial"/>
                      <w:b/>
                      <w:color w:val="000000"/>
                      <w:sz w:val="13"/>
                      <w:szCs w:val="13"/>
                    </w:rPr>
                  </w:pPr>
                  <w:r w:rsidRPr="00135521">
                    <w:rPr>
                      <w:rFonts w:ascii="Arial" w:eastAsia="Arial" w:hAnsi="Arial" w:cs="Arial"/>
                      <w:b/>
                      <w:color w:val="000000"/>
                      <w:sz w:val="13"/>
                      <w:szCs w:val="13"/>
                    </w:rPr>
                    <w:t>Referencia</w:t>
                  </w:r>
                </w:p>
              </w:tc>
              <w:tc>
                <w:tcPr>
                  <w:tcW w:w="2985" w:type="dxa"/>
                  <w:tcBorders>
                    <w:top w:val="single" w:sz="8" w:space="0" w:color="000000"/>
                  </w:tcBorders>
                  <w:vAlign w:val="center"/>
                </w:tcPr>
                <w:p w:rsidR="00135521" w:rsidRPr="00135521" w:rsidRDefault="00135521" w:rsidP="00135521">
                  <w:pPr>
                    <w:jc w:val="both"/>
                    <w:rPr>
                      <w:rFonts w:ascii="Arial" w:eastAsia="Arial" w:hAnsi="Arial" w:cs="Arial"/>
                      <w:b/>
                      <w:color w:val="000000"/>
                      <w:sz w:val="13"/>
                      <w:szCs w:val="13"/>
                    </w:rPr>
                  </w:pPr>
                  <w:r w:rsidRPr="00135521">
                    <w:rPr>
                      <w:rFonts w:ascii="Arial" w:eastAsia="Arial" w:hAnsi="Arial" w:cs="Arial"/>
                      <w:b/>
                      <w:color w:val="000000"/>
                      <w:sz w:val="13"/>
                      <w:szCs w:val="13"/>
                    </w:rPr>
                    <w:t>Descripción</w:t>
                  </w:r>
                </w:p>
              </w:tc>
              <w:tc>
                <w:tcPr>
                  <w:tcW w:w="1065" w:type="dxa"/>
                  <w:tcBorders>
                    <w:top w:val="single" w:sz="8" w:space="0" w:color="000000"/>
                  </w:tcBorders>
                  <w:vAlign w:val="center"/>
                </w:tcPr>
                <w:p w:rsidR="00135521" w:rsidRPr="00135521" w:rsidRDefault="00135521" w:rsidP="00135521">
                  <w:pPr>
                    <w:rPr>
                      <w:rFonts w:ascii="Arial" w:eastAsia="Arial" w:hAnsi="Arial" w:cs="Arial"/>
                      <w:b/>
                      <w:color w:val="000000"/>
                      <w:sz w:val="13"/>
                      <w:szCs w:val="13"/>
                    </w:rPr>
                  </w:pPr>
                  <w:r w:rsidRPr="00135521">
                    <w:rPr>
                      <w:rFonts w:ascii="Arial" w:eastAsia="Arial" w:hAnsi="Arial" w:cs="Arial"/>
                      <w:b/>
                      <w:color w:val="000000"/>
                      <w:sz w:val="13"/>
                      <w:szCs w:val="13"/>
                    </w:rPr>
                    <w:t xml:space="preserve">Cantidad </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highlight w:val="green"/>
                    </w:rPr>
                  </w:pPr>
                  <w:r w:rsidRPr="00135521">
                    <w:rPr>
                      <w:rFonts w:ascii="Arial" w:eastAsia="Arial" w:hAnsi="Arial" w:cs="Arial"/>
                      <w:color w:val="000000"/>
                      <w:sz w:val="14"/>
                      <w:szCs w:val="14"/>
                    </w:rPr>
                    <w:t>4135121</w:t>
                  </w:r>
                </w:p>
              </w:tc>
              <w:tc>
                <w:tcPr>
                  <w:tcW w:w="298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ESSENTIAL 12 MONTHS RENEWAL FOR ACCESS 3340 APPLIANCE LNX 1 TB ONPREMISE STANDARD PERPETUAL LICENSE GOV</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color w:val="000000"/>
                      <w:sz w:val="14"/>
                      <w:szCs w:val="14"/>
                    </w:rPr>
                    <w:t>510</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highlight w:val="green"/>
                    </w:rPr>
                  </w:pPr>
                  <w:r w:rsidRPr="00135521">
                    <w:rPr>
                      <w:rFonts w:ascii="Arial" w:eastAsia="Arial" w:hAnsi="Arial" w:cs="Arial"/>
                      <w:color w:val="000000"/>
                      <w:sz w:val="14"/>
                      <w:szCs w:val="14"/>
                    </w:rPr>
                    <w:t>4144250</w:t>
                  </w:r>
                </w:p>
              </w:tc>
              <w:tc>
                <w:tcPr>
                  <w:tcW w:w="298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ESSENTIAL 12 MONTHS RENEWAL FOR ACCESS APPLIANCE 3340 255TB WITH 4TB DRIVES 4 1GB ETHERNET - 4 10GB</w:t>
                  </w:r>
                </w:p>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SFP ETHERNET STANDARD APPLIANCE KIT GOV</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color w:val="000000"/>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highlight w:val="green"/>
                    </w:rPr>
                  </w:pPr>
                  <w:r w:rsidRPr="00135521">
                    <w:rPr>
                      <w:rFonts w:ascii="Arial" w:eastAsia="Arial" w:hAnsi="Arial" w:cs="Arial"/>
                      <w:color w:val="000000"/>
                      <w:sz w:val="14"/>
                      <w:szCs w:val="14"/>
                    </w:rPr>
                    <w:t>4144251</w:t>
                  </w:r>
                </w:p>
              </w:tc>
              <w:tc>
                <w:tcPr>
                  <w:tcW w:w="298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ESSENTIAL 12 MONTHS RENEWAL FOR ACCESS APPLIANCE 3340 255TB WITH 4TB DRIVES 4 1GB ETHERNET - 4 10GB</w:t>
                  </w:r>
                </w:p>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SFP ETHERNET STANDARD APPLIANCE KIT GOV</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color w:val="000000"/>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4315500</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ESSENTIAL 12 MONTHS RENEWAL FOR NETBACKUP APPLIANCE 5250 75TB 4 1GB ENET - 4 25-10GB ENET – 6 16GB FC HW ONLY STANDARD APPLIANCE KIT GOV</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4431822</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ESSENTIAL 12 MONTHS RENEWAL FOR NETBACKUP IT ANALYTICS COMPLETE WIN/LX 1 RAW TB ONPREMISE</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STANDARD PERPETUAL LICENSE GOV</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150</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4304096</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NETBACKUP APPLIANCE SOFTWARE 5250 1 TB ONPREMISE STANDARD SUBSCRIPTION + ESSENTIAL MAINTENANCE LICENSE RENEWAL 12MO GOV</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75</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4144255</w:t>
                  </w:r>
                </w:p>
              </w:tc>
              <w:tc>
                <w:tcPr>
                  <w:tcW w:w="298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color w:val="000000"/>
                      <w:sz w:val="14"/>
                      <w:szCs w:val="14"/>
                    </w:rPr>
                    <w:t>ESSENTIAL 12 MONTHS RENEWAL FOR NETBACKUP APPLIANCE 5250 75TB 4 1GB ENET - 2 25-10GB ENET – 2 16GB FC STANDARD APPLIANCE KIT GOV</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color w:val="000000"/>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sz w:val="14"/>
                      <w:szCs w:val="14"/>
                    </w:rPr>
                    <w:t>4144250</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ACCESS APPLIANCE 3340 255TB EXTENDED APPLIANCE</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SUPPORT RENEWAL 12MO</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4144251</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ACCESS APPLIANCE 3340 255TB EXTENDED APPLIANCE</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SUPPORT RENEWAL 12MO</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sz w:val="14"/>
                      <w:szCs w:val="14"/>
                    </w:rPr>
                    <w:t>4503477</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NETBACKUP IT ANALYTICS COMPLETE WIN/LX 1 RAW TB</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ONPREMISE STANDARD SUBSCRIPTION + ESSENTIAL</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MAINTENANCE LICENSE 12MO</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sz w:val="14"/>
                      <w:szCs w:val="14"/>
                    </w:rPr>
                    <w:t>211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4502374</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NETBACKUP DATA MOVER XPLAT 1 FRONT END TB ONPREMISE STANDARD SUBSCRIPTION + ESSENTIAL MAINTENANCE LICENSE 12MO</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51</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sz w:val="14"/>
                      <w:szCs w:val="14"/>
                    </w:rPr>
                    <w:t>4502372</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NETBACKUP ENTERPRISE XPLAT 1 FRONT END TB</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ONPREMISE STANDARD SUBSCRIPTION + ESSENTIAL</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MAINTENANCE LICENSE 12MO</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sz w:val="14"/>
                      <w:szCs w:val="14"/>
                    </w:rPr>
                    <w:t>116</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color w:val="000000"/>
                      <w:sz w:val="14"/>
                      <w:szCs w:val="14"/>
                    </w:rPr>
                  </w:pPr>
                  <w:r w:rsidRPr="00135521">
                    <w:rPr>
                      <w:rFonts w:ascii="Arial" w:eastAsia="Arial" w:hAnsi="Arial" w:cs="Arial"/>
                      <w:sz w:val="14"/>
                      <w:szCs w:val="14"/>
                    </w:rPr>
                    <w:t>4502373</w:t>
                  </w: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NETBACKUP ENTERPRISE XPLAT 1 FRONT END TB</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ONPREMISE STANDARD SUBSCRIPTION + ESSENTIAL</w:t>
                  </w:r>
                </w:p>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MAINTENANCE LICENSE 12MO</w:t>
                  </w:r>
                </w:p>
              </w:tc>
              <w:tc>
                <w:tcPr>
                  <w:tcW w:w="1065" w:type="dxa"/>
                  <w:vAlign w:val="center"/>
                </w:tcPr>
                <w:p w:rsidR="00135521" w:rsidRPr="00135521" w:rsidRDefault="00135521" w:rsidP="00135521">
                  <w:pPr>
                    <w:jc w:val="center"/>
                    <w:rPr>
                      <w:rFonts w:ascii="Arial" w:eastAsia="Arial" w:hAnsi="Arial" w:cs="Arial"/>
                      <w:color w:val="000000"/>
                      <w:sz w:val="14"/>
                      <w:szCs w:val="14"/>
                    </w:rPr>
                  </w:pPr>
                  <w:r w:rsidRPr="00135521">
                    <w:rPr>
                      <w:rFonts w:ascii="Arial" w:eastAsia="Arial" w:hAnsi="Arial" w:cs="Arial"/>
                      <w:sz w:val="14"/>
                      <w:szCs w:val="14"/>
                    </w:rPr>
                    <w:t>194</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 xml:space="preserve">CRECIMIENTO NETBACKUP ENTERPRISE XPLAT 1 FRONT END TB </w:t>
                  </w:r>
                  <w:r w:rsidRPr="00135521">
                    <w:rPr>
                      <w:rFonts w:ascii="Arial" w:eastAsia="Arial" w:hAnsi="Arial" w:cs="Arial"/>
                      <w:sz w:val="14"/>
                      <w:szCs w:val="14"/>
                    </w:rPr>
                    <w:lastRenderedPageBreak/>
                    <w:t>PARA LA FISCALÍA GENERAL DE LA NACIÓN</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lastRenderedPageBreak/>
                    <w:t>176</w:t>
                  </w:r>
                </w:p>
              </w:tc>
            </w:tr>
            <w:tr w:rsidR="00135521" w:rsidRPr="00135521" w:rsidTr="00503676">
              <w:trPr>
                <w:trHeight w:val="315"/>
                <w:jc w:val="center"/>
              </w:trPr>
              <w:tc>
                <w:tcPr>
                  <w:tcW w:w="1395" w:type="dxa"/>
                  <w:vAlign w:val="center"/>
                </w:tcPr>
                <w:p w:rsidR="00135521" w:rsidRPr="00135521" w:rsidRDefault="00135521" w:rsidP="00135521">
                  <w:pPr>
                    <w:jc w:val="both"/>
                    <w:rPr>
                      <w:rFonts w:ascii="Arial" w:eastAsia="Arial" w:hAnsi="Arial" w:cs="Arial"/>
                      <w:sz w:val="14"/>
                      <w:szCs w:val="14"/>
                    </w:rPr>
                  </w:pPr>
                </w:p>
              </w:tc>
              <w:tc>
                <w:tcPr>
                  <w:tcW w:w="2985" w:type="dxa"/>
                  <w:vAlign w:val="center"/>
                </w:tcPr>
                <w:p w:rsidR="00135521" w:rsidRPr="00135521" w:rsidRDefault="00135521" w:rsidP="00135521">
                  <w:pPr>
                    <w:jc w:val="both"/>
                    <w:rPr>
                      <w:rFonts w:ascii="Arial" w:eastAsia="Arial" w:hAnsi="Arial" w:cs="Arial"/>
                      <w:sz w:val="14"/>
                      <w:szCs w:val="14"/>
                    </w:rPr>
                  </w:pPr>
                  <w:r w:rsidRPr="00135521">
                    <w:rPr>
                      <w:rFonts w:ascii="Arial" w:eastAsia="Arial" w:hAnsi="Arial" w:cs="Arial"/>
                      <w:sz w:val="14"/>
                      <w:szCs w:val="14"/>
                    </w:rPr>
                    <w:t>CRECIMIENTO NETBACKUP DATA MOVER XPLAT 1 FRONT END PARA LA FISCALÍA GENERAL DE LA NACIÓN</w:t>
                  </w:r>
                </w:p>
              </w:tc>
              <w:tc>
                <w:tcPr>
                  <w:tcW w:w="1065" w:type="dxa"/>
                  <w:vAlign w:val="center"/>
                </w:tcPr>
                <w:p w:rsidR="00135521" w:rsidRPr="00135521" w:rsidRDefault="00135521" w:rsidP="00135521">
                  <w:pPr>
                    <w:jc w:val="center"/>
                    <w:rPr>
                      <w:rFonts w:ascii="Arial" w:eastAsia="Arial" w:hAnsi="Arial" w:cs="Arial"/>
                      <w:sz w:val="14"/>
                      <w:szCs w:val="14"/>
                    </w:rPr>
                  </w:pPr>
                  <w:r w:rsidRPr="00135521">
                    <w:rPr>
                      <w:rFonts w:ascii="Arial" w:eastAsia="Arial" w:hAnsi="Arial" w:cs="Arial"/>
                      <w:sz w:val="14"/>
                      <w:szCs w:val="14"/>
                    </w:rPr>
                    <w:t>74</w:t>
                  </w:r>
                </w:p>
              </w:tc>
            </w:tr>
          </w:tbl>
          <w:p w:rsidR="00135521" w:rsidRPr="00135521" w:rsidRDefault="00135521" w:rsidP="00135521">
            <w:pPr>
              <w:jc w:val="both"/>
              <w:rPr>
                <w:rFonts w:ascii="Arial" w:eastAsia="Arial" w:hAnsi="Arial" w:cs="Arial"/>
                <w:b/>
                <w:sz w:val="16"/>
                <w:szCs w:val="16"/>
              </w:rPr>
            </w:pPr>
          </w:p>
          <w:p w:rsidR="00135521" w:rsidRPr="00135521" w:rsidRDefault="00135521" w:rsidP="00135521">
            <w:pPr>
              <w:jc w:val="both"/>
              <w:rPr>
                <w:rFonts w:ascii="Arial" w:eastAsia="Arial" w:hAnsi="Arial" w:cs="Arial"/>
                <w:b/>
                <w:sz w:val="16"/>
                <w:szCs w:val="16"/>
              </w:rPr>
            </w:pPr>
            <w:r w:rsidRPr="00135521">
              <w:rPr>
                <w:rFonts w:ascii="Arial" w:eastAsia="Arial" w:hAnsi="Arial" w:cs="Arial"/>
                <w:b/>
                <w:sz w:val="16"/>
                <w:szCs w:val="16"/>
              </w:rPr>
              <w:t xml:space="preserve">Cuadro No. 1 Rango de Soporte </w:t>
            </w:r>
          </w:p>
          <w:p w:rsidR="00135521" w:rsidRPr="00135521" w:rsidRDefault="00135521" w:rsidP="00135521">
            <w:pPr>
              <w:jc w:val="both"/>
              <w:rPr>
                <w:rFonts w:ascii="Arial" w:eastAsia="Arial" w:hAnsi="Arial" w:cs="Arial"/>
                <w:b/>
                <w:sz w:val="16"/>
                <w:szCs w:val="16"/>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Servicio de soporte 7X24, de acuerdo con los niveles de severidad ofertados y establecidos en las políticas de soporte del fabricante las cuales deben incluir como mínimo:</w:t>
            </w:r>
          </w:p>
          <w:p w:rsidR="00135521" w:rsidRPr="00135521" w:rsidRDefault="00135521" w:rsidP="00135521">
            <w:pPr>
              <w:jc w:val="both"/>
              <w:rPr>
                <w:rFonts w:ascii="Arial" w:eastAsia="Arial" w:hAnsi="Arial" w:cs="Arial"/>
                <w:sz w:val="22"/>
                <w:szCs w:val="22"/>
              </w:rPr>
            </w:pPr>
          </w:p>
          <w:p w:rsidR="00135521" w:rsidRPr="00135521" w:rsidRDefault="00135521" w:rsidP="00135521">
            <w:pPr>
              <w:numPr>
                <w:ilvl w:val="0"/>
                <w:numId w:val="13"/>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Asistencia </w:t>
            </w:r>
            <w:r w:rsidRPr="00135521">
              <w:rPr>
                <w:rFonts w:ascii="Arial" w:eastAsia="Arial" w:hAnsi="Arial" w:cs="Arial"/>
                <w:sz w:val="22"/>
                <w:szCs w:val="22"/>
              </w:rPr>
              <w:t>telefónica las</w:t>
            </w:r>
            <w:r w:rsidRPr="00135521">
              <w:rPr>
                <w:rFonts w:ascii="Arial" w:eastAsia="Arial" w:hAnsi="Arial" w:cs="Arial"/>
                <w:color w:val="000000"/>
                <w:sz w:val="22"/>
                <w:szCs w:val="22"/>
              </w:rPr>
              <w:t xml:space="preserve"> 24 horas durante los 365 días del año.</w:t>
            </w:r>
          </w:p>
          <w:p w:rsidR="00135521" w:rsidRPr="00135521" w:rsidRDefault="00135521" w:rsidP="00135521">
            <w:pPr>
              <w:numPr>
                <w:ilvl w:val="0"/>
                <w:numId w:val="13"/>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Acceso al sitio Web de soporte técnico de Veritas 24 horas durante los 365 días del año.</w:t>
            </w:r>
          </w:p>
          <w:p w:rsidR="00135521" w:rsidRPr="00135521" w:rsidRDefault="00135521" w:rsidP="00135521">
            <w:pPr>
              <w:numPr>
                <w:ilvl w:val="0"/>
                <w:numId w:val="13"/>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Acceso a cualquier Parche generalmente disponible (GA) de la Base de datos de conocimientos de Veritas.</w:t>
            </w:r>
          </w:p>
          <w:p w:rsidR="00135521" w:rsidRPr="00135521" w:rsidRDefault="00135521" w:rsidP="00135521">
            <w:pPr>
              <w:numPr>
                <w:ilvl w:val="0"/>
                <w:numId w:val="13"/>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Disponer línea telefónica 018000 y sitio Web en español o con traducción al español. </w:t>
            </w:r>
          </w:p>
          <w:p w:rsidR="00135521" w:rsidRPr="00135521" w:rsidRDefault="00135521" w:rsidP="00135521">
            <w:pPr>
              <w:numPr>
                <w:ilvl w:val="0"/>
                <w:numId w:val="13"/>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Las actualizaciones de Software y correcciones, alertas de seguridad y actualizaciones críticas del software el cual se realizará a través de parches </w:t>
            </w:r>
            <w:r w:rsidRPr="00135521">
              <w:rPr>
                <w:rFonts w:ascii="Arial" w:eastAsia="Arial" w:hAnsi="Arial" w:cs="Arial"/>
                <w:sz w:val="22"/>
                <w:szCs w:val="22"/>
              </w:rPr>
              <w:t>los cuales deberán ser ejecutados por el soporte técnico especializado en el producto,</w:t>
            </w:r>
            <w:r w:rsidRPr="00135521">
              <w:rPr>
                <w:rFonts w:ascii="Arial" w:eastAsia="Arial" w:hAnsi="Arial" w:cs="Arial"/>
                <w:color w:val="000000"/>
                <w:sz w:val="22"/>
                <w:szCs w:val="22"/>
              </w:rPr>
              <w:t xml:space="preserve"> de conformidad con las políticas de soporte ofertadas por el fabricante sin costo adicional para la Fiscalía General de la Nación.</w:t>
            </w:r>
          </w:p>
          <w:p w:rsidR="00135521" w:rsidRPr="00135521" w:rsidRDefault="00135521" w:rsidP="00135521">
            <w:pPr>
              <w:numPr>
                <w:ilvl w:val="0"/>
                <w:numId w:val="11"/>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En caso de presentarse fallas que requieran cambio de partes, repuestos </w:t>
            </w:r>
            <w:r w:rsidRPr="00135521">
              <w:rPr>
                <w:rFonts w:ascii="Arial" w:eastAsia="Arial" w:hAnsi="Arial" w:cs="Arial"/>
                <w:sz w:val="22"/>
                <w:szCs w:val="22"/>
              </w:rPr>
              <w:t>y equipos</w:t>
            </w:r>
            <w:r w:rsidRPr="00135521">
              <w:rPr>
                <w:rFonts w:ascii="Arial" w:eastAsia="Arial" w:hAnsi="Arial" w:cs="Arial"/>
                <w:color w:val="000000"/>
                <w:sz w:val="22"/>
                <w:szCs w:val="22"/>
              </w:rPr>
              <w:t xml:space="preserve"> por obsolescencia o que presenten desgaste el contratista deberá realizar el cambio de estas sin costo adicional para la entidad.</w:t>
            </w:r>
          </w:p>
          <w:p w:rsidR="00135521" w:rsidRPr="00135521" w:rsidRDefault="00135521" w:rsidP="00135521">
            <w:pPr>
              <w:numPr>
                <w:ilvl w:val="0"/>
                <w:numId w:val="11"/>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Las demás suscritas en la política de soporte del fabricante.  </w:t>
            </w:r>
          </w:p>
          <w:p w:rsidR="00135521" w:rsidRPr="00135521" w:rsidRDefault="00135521" w:rsidP="00135521">
            <w:pPr>
              <w:numPr>
                <w:ilvl w:val="0"/>
                <w:numId w:val="11"/>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Reemplazo de partes con envío y recogida sin costo para la entidad. Los tiempos de respuesta deben corresponder a los niveles de soporte establecidos por el fabricante.</w:t>
            </w:r>
          </w:p>
          <w:p w:rsidR="00135521" w:rsidRPr="00135521" w:rsidRDefault="00135521" w:rsidP="00135521">
            <w:pPr>
              <w:numPr>
                <w:ilvl w:val="0"/>
                <w:numId w:val="11"/>
              </w:numPr>
              <w:jc w:val="both"/>
              <w:rPr>
                <w:rFonts w:ascii="Arial" w:eastAsia="Arial" w:hAnsi="Arial" w:cs="Arial"/>
                <w:sz w:val="22"/>
                <w:szCs w:val="22"/>
              </w:rPr>
            </w:pPr>
            <w:r w:rsidRPr="00135521">
              <w:rPr>
                <w:rFonts w:ascii="Arial" w:eastAsia="Arial" w:hAnsi="Arial" w:cs="Arial"/>
                <w:sz w:val="22"/>
                <w:szCs w:val="22"/>
              </w:rPr>
              <w:t xml:space="preserve">En caso que las actualizaciones que se realicen sobre la infraestructura que componen la solución de backup veritas </w:t>
            </w:r>
            <w:proofErr w:type="spellStart"/>
            <w:r w:rsidRPr="00135521">
              <w:rPr>
                <w:rFonts w:ascii="Arial" w:eastAsia="Arial" w:hAnsi="Arial" w:cs="Arial"/>
                <w:sz w:val="22"/>
                <w:szCs w:val="22"/>
              </w:rPr>
              <w:t>netbackup</w:t>
            </w:r>
            <w:proofErr w:type="spellEnd"/>
            <w:r w:rsidRPr="00135521">
              <w:rPr>
                <w:rFonts w:ascii="Arial" w:eastAsia="Arial" w:hAnsi="Arial" w:cs="Arial"/>
                <w:sz w:val="22"/>
                <w:szCs w:val="22"/>
              </w:rPr>
              <w:t xml:space="preserve"> instalados en la Fiscalía General de la Nación que requieran elementos de hardware adicionales que sean necesarios para dicha actualización, el contratista deberá proveerlos sin costo adicional para la Fiscalía General de la Nación.</w:t>
            </w:r>
          </w:p>
          <w:p w:rsidR="00135521" w:rsidRPr="00135521" w:rsidRDefault="00135521" w:rsidP="00135521">
            <w:pPr>
              <w:numPr>
                <w:ilvl w:val="0"/>
                <w:numId w:val="11"/>
              </w:numPr>
              <w:pBdr>
                <w:top w:val="nil"/>
                <w:left w:val="nil"/>
                <w:bottom w:val="nil"/>
                <w:right w:val="nil"/>
                <w:between w:val="nil"/>
              </w:pBdr>
              <w:jc w:val="both"/>
              <w:rPr>
                <w:rFonts w:ascii="Arial" w:eastAsia="Arial" w:hAnsi="Arial" w:cs="Arial"/>
                <w:sz w:val="22"/>
                <w:szCs w:val="22"/>
              </w:rPr>
            </w:pPr>
            <w:r w:rsidRPr="00135521">
              <w:rPr>
                <w:rFonts w:ascii="Arial" w:eastAsia="Arial" w:hAnsi="Arial" w:cs="Arial"/>
                <w:sz w:val="22"/>
                <w:szCs w:val="22"/>
              </w:rPr>
              <w:t xml:space="preserve">Cumplir en el marco del soporte técnico prestado las normas y permisos ambientales necesarios para </w:t>
            </w:r>
            <w:proofErr w:type="gramStart"/>
            <w:r w:rsidRPr="00135521">
              <w:rPr>
                <w:rFonts w:ascii="Arial" w:eastAsia="Arial" w:hAnsi="Arial" w:cs="Arial"/>
                <w:sz w:val="22"/>
                <w:szCs w:val="22"/>
              </w:rPr>
              <w:t>el desarrollo del objeto contractual, aplicables según la Ley, y de acuerdo con los procesos y/o políticas</w:t>
            </w:r>
            <w:proofErr w:type="gramEnd"/>
            <w:r w:rsidRPr="00135521">
              <w:rPr>
                <w:rFonts w:ascii="Arial" w:eastAsia="Arial" w:hAnsi="Arial" w:cs="Arial"/>
                <w:sz w:val="22"/>
                <w:szCs w:val="22"/>
              </w:rPr>
              <w:t xml:space="preserve"> globales del fabricante.</w:t>
            </w:r>
          </w:p>
          <w:p w:rsidR="00135521" w:rsidRPr="00135521" w:rsidRDefault="00135521" w:rsidP="00135521">
            <w:pPr>
              <w:rPr>
                <w:rFonts w:ascii="Arial" w:eastAsia="Arial" w:hAnsi="Arial" w:cs="Arial"/>
                <w:sz w:val="22"/>
                <w:szCs w:val="22"/>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Las versiones principales de productos y tecnología deben incluir: versiones de mantenimiento, versiones de funcionalidad seleccionadas y actualizaciones de documentación</w:t>
            </w:r>
          </w:p>
          <w:p w:rsidR="00135521" w:rsidRPr="00135521" w:rsidRDefault="00135521" w:rsidP="00135521">
            <w:pPr>
              <w:rPr>
                <w:rFonts w:ascii="Arial" w:eastAsia="Arial" w:hAnsi="Arial" w:cs="Arial"/>
                <w:sz w:val="22"/>
                <w:szCs w:val="22"/>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El Soporte debe incluir personal certificado por Veritas Netbackup en sitio con dedicación mínima de 20 horas a la semana que permita realizar las siguientes tareas:</w:t>
            </w:r>
          </w:p>
          <w:p w:rsidR="00135521" w:rsidRPr="00135521" w:rsidRDefault="00135521" w:rsidP="00135521">
            <w:pPr>
              <w:jc w:val="both"/>
              <w:rPr>
                <w:rFonts w:ascii="Arial" w:eastAsia="Arial" w:hAnsi="Arial" w:cs="Arial"/>
                <w:sz w:val="22"/>
                <w:szCs w:val="22"/>
              </w:rPr>
            </w:pP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lastRenderedPageBreak/>
              <w:t xml:space="preserve">Administración de las plataformas de backup Veritas Netbackup existentes en la Fiscalía General de la Nación </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Actualizar las plataformas de backup Veritas Netbackup existentes en la Fiscalía General de la Nación a la última versión disponible de Veritas Netbackup y los agentes y demás componentes tanto de software como de hardware que componen la plataforma de respaldo de la Fiscalía General de la Nación.</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Revisión proactiva de las plataformas de respaldo Veritas Netbackup de las que disponga la Fiscalía General de la Nación </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Detección de puntos de mejora</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Acompañamiento en el afinamiento de la plataforma de respaldo</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Transferencia de conocimiento de las actividades e implementaciones realizadas durante su gestión al supervisor del contrato o a quienes </w:t>
            </w:r>
            <w:r w:rsidRPr="00135521">
              <w:rPr>
                <w:rFonts w:ascii="Arial" w:eastAsia="Arial" w:hAnsi="Arial" w:cs="Arial"/>
                <w:sz w:val="22"/>
                <w:szCs w:val="22"/>
              </w:rPr>
              <w:t>éste</w:t>
            </w:r>
            <w:r w:rsidRPr="00135521">
              <w:rPr>
                <w:rFonts w:ascii="Arial" w:eastAsia="Arial" w:hAnsi="Arial" w:cs="Arial"/>
                <w:color w:val="000000"/>
                <w:sz w:val="22"/>
                <w:szCs w:val="22"/>
              </w:rPr>
              <w:t xml:space="preserve"> designe.</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color w:val="000000"/>
                <w:sz w:val="22"/>
                <w:szCs w:val="22"/>
              </w:rPr>
              <w:t xml:space="preserve">Apoyar con Actividades relacionadas con nuevas implementaciones de Veritas Netbackup, además de realizar configuraciones, migraciones, instalaciones de parches, versiones de mantenimiento en sus componentes tanto de software como de Hardware y demás concernientes a las plataformas de respaldo Veritas Netbackup con las que se cuentan en la Fiscalía General de la Nación </w:t>
            </w:r>
          </w:p>
          <w:p w:rsidR="00135521" w:rsidRPr="00135521" w:rsidRDefault="00135521" w:rsidP="00135521">
            <w:pPr>
              <w:numPr>
                <w:ilvl w:val="0"/>
                <w:numId w:val="12"/>
              </w:numPr>
              <w:tabs>
                <w:tab w:val="left" w:pos="7740"/>
              </w:tabs>
              <w:jc w:val="both"/>
              <w:rPr>
                <w:rFonts w:ascii="Arial" w:eastAsia="Arial" w:hAnsi="Arial" w:cs="Arial"/>
                <w:sz w:val="22"/>
                <w:szCs w:val="22"/>
              </w:rPr>
            </w:pPr>
            <w:r w:rsidRPr="00135521">
              <w:rPr>
                <w:rFonts w:ascii="Arial" w:eastAsia="Arial" w:hAnsi="Arial" w:cs="Arial"/>
                <w:sz w:val="22"/>
                <w:szCs w:val="22"/>
              </w:rPr>
              <w:t>Cada soporte y licencia deberán entregarse con sus certificaciones emitidas por el fabricante, con las instrucciones de activación seriales y demás componentes que apliquen.</w:t>
            </w:r>
          </w:p>
          <w:p w:rsidR="00135521" w:rsidRPr="00135521" w:rsidRDefault="00135521" w:rsidP="00135521">
            <w:pPr>
              <w:numPr>
                <w:ilvl w:val="0"/>
                <w:numId w:val="12"/>
              </w:numPr>
              <w:pBdr>
                <w:top w:val="nil"/>
                <w:left w:val="nil"/>
                <w:bottom w:val="nil"/>
                <w:right w:val="nil"/>
                <w:between w:val="nil"/>
              </w:pBdr>
              <w:jc w:val="both"/>
              <w:rPr>
                <w:rFonts w:ascii="Arial" w:eastAsia="Arial" w:hAnsi="Arial" w:cs="Arial"/>
                <w:color w:val="000000"/>
                <w:sz w:val="22"/>
                <w:szCs w:val="22"/>
              </w:rPr>
            </w:pPr>
            <w:r w:rsidRPr="00135521">
              <w:rPr>
                <w:rFonts w:ascii="Arial" w:eastAsia="Arial" w:hAnsi="Arial" w:cs="Arial"/>
                <w:sz w:val="22"/>
                <w:szCs w:val="22"/>
              </w:rPr>
              <w:t>Garantizar durante la ejecución del contrato el cumplimiento de las normas y permisos ambientales y sanitarios, necesarios para el desarrollo del objeto contractual y del plan de Gestión integral de Residuos vigente de la Entidad</w:t>
            </w:r>
          </w:p>
          <w:p w:rsidR="00135521" w:rsidRPr="00135521" w:rsidRDefault="00135521" w:rsidP="00135521">
            <w:pPr>
              <w:jc w:val="both"/>
              <w:rPr>
                <w:rFonts w:ascii="Arial" w:eastAsia="Arial" w:hAnsi="Arial" w:cs="Arial"/>
                <w:sz w:val="22"/>
                <w:szCs w:val="22"/>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*NOTA: Para todos los componentes e incluyendo los actualmente instalados de la plataforma Veritas Netbackup, se debe proveer un soporte 7x24 durante el año de garantía y soporte contratado.</w:t>
            </w:r>
          </w:p>
          <w:p w:rsidR="00135521" w:rsidRPr="00135521" w:rsidRDefault="00135521" w:rsidP="00135521">
            <w:pPr>
              <w:jc w:val="both"/>
              <w:rPr>
                <w:rFonts w:ascii="Arial" w:eastAsia="Arial" w:hAnsi="Arial" w:cs="Arial"/>
                <w:sz w:val="22"/>
                <w:szCs w:val="22"/>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**NOTA: Entiéndase que la Fiscalía General de la Nación está compuesta por varias áreas, por lo cual el contrato deberá soportar la totalidad de necesidades que se presenten durante su ejecución.</w:t>
            </w:r>
          </w:p>
          <w:p w:rsidR="00135521" w:rsidRPr="00135521" w:rsidRDefault="00135521" w:rsidP="00135521">
            <w:pPr>
              <w:jc w:val="both"/>
              <w:rPr>
                <w:rFonts w:ascii="Arial" w:eastAsia="Arial" w:hAnsi="Arial" w:cs="Arial"/>
                <w:sz w:val="22"/>
                <w:szCs w:val="22"/>
              </w:rPr>
            </w:pPr>
          </w:p>
          <w:p w:rsidR="00135521" w:rsidRPr="00135521" w:rsidRDefault="00135521" w:rsidP="00135521">
            <w:pPr>
              <w:jc w:val="both"/>
              <w:rPr>
                <w:rFonts w:ascii="Arial" w:eastAsia="Arial" w:hAnsi="Arial" w:cs="Arial"/>
                <w:sz w:val="22"/>
                <w:szCs w:val="22"/>
              </w:rPr>
            </w:pPr>
            <w:r w:rsidRPr="00135521">
              <w:rPr>
                <w:rFonts w:ascii="Arial" w:eastAsia="Arial" w:hAnsi="Arial" w:cs="Arial"/>
                <w:sz w:val="22"/>
                <w:szCs w:val="22"/>
              </w:rPr>
              <w:t xml:space="preserve">*** NOTA Los elementos que deberá suministrar el contratista en caso de actualizaciones que lo requieran serán </w:t>
            </w:r>
            <w:r w:rsidRPr="00135521">
              <w:rPr>
                <w:rFonts w:ascii="Arial" w:eastAsia="Arial" w:hAnsi="Arial" w:cs="Arial"/>
                <w:i/>
                <w:sz w:val="22"/>
                <w:szCs w:val="22"/>
              </w:rPr>
              <w:t>memorias RAM para equipos  VERITAS ACCESS 3340 y APPLIANCE 5250</w:t>
            </w:r>
            <w:r w:rsidRPr="00135521">
              <w:rPr>
                <w:rFonts w:ascii="Arial" w:eastAsia="Arial" w:hAnsi="Arial" w:cs="Arial"/>
                <w:sz w:val="22"/>
                <w:szCs w:val="22"/>
              </w:rPr>
              <w:t>, el contratista deberá proveerlos sin costo adicional para la Fiscalía General de la Nación</w:t>
            </w:r>
          </w:p>
        </w:tc>
      </w:tr>
      <w:tr w:rsidR="00135521" w:rsidRPr="00135521" w:rsidTr="00503676">
        <w:trPr>
          <w:trHeight w:val="552"/>
        </w:trPr>
        <w:tc>
          <w:tcPr>
            <w:tcW w:w="2800" w:type="dxa"/>
            <w:tcBorders>
              <w:top w:val="single" w:sz="8"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rsidR="00135521" w:rsidRPr="00135521" w:rsidRDefault="00135521" w:rsidP="00135521">
            <w:pPr>
              <w:jc w:val="center"/>
              <w:rPr>
                <w:rFonts w:ascii="Arial" w:eastAsia="Arial" w:hAnsi="Arial" w:cs="Arial"/>
                <w:b/>
                <w:sz w:val="22"/>
                <w:szCs w:val="22"/>
              </w:rPr>
            </w:pPr>
            <w:r w:rsidRPr="00135521">
              <w:rPr>
                <w:rFonts w:ascii="Arial" w:eastAsia="Arial" w:hAnsi="Arial" w:cs="Arial"/>
                <w:b/>
                <w:sz w:val="22"/>
                <w:szCs w:val="22"/>
              </w:rPr>
              <w:lastRenderedPageBreak/>
              <w:t>Empaque y rotulado</w:t>
            </w:r>
          </w:p>
        </w:tc>
        <w:tc>
          <w:tcPr>
            <w:tcW w:w="6287" w:type="dxa"/>
            <w:tcBorders>
              <w:top w:val="single" w:sz="8" w:space="0" w:color="000000"/>
              <w:left w:val="single" w:sz="8" w:space="0" w:color="000000"/>
              <w:bottom w:val="nil"/>
              <w:right w:val="single" w:sz="4" w:space="0" w:color="000000"/>
            </w:tcBorders>
            <w:tcMar>
              <w:top w:w="0" w:type="dxa"/>
              <w:left w:w="70" w:type="dxa"/>
              <w:bottom w:w="0" w:type="dxa"/>
              <w:right w:w="70" w:type="dxa"/>
            </w:tcMar>
          </w:tcPr>
          <w:p w:rsidR="00135521" w:rsidRPr="00135521" w:rsidRDefault="00135521" w:rsidP="00135521">
            <w:pPr>
              <w:shd w:val="clear" w:color="auto" w:fill="FFFFFF"/>
              <w:tabs>
                <w:tab w:val="left" w:pos="7740"/>
              </w:tabs>
              <w:jc w:val="both"/>
              <w:rPr>
                <w:rFonts w:ascii="Arial" w:eastAsia="Arial" w:hAnsi="Arial" w:cs="Arial"/>
                <w:sz w:val="22"/>
                <w:szCs w:val="22"/>
              </w:rPr>
            </w:pPr>
            <w:r w:rsidRPr="00135521">
              <w:rPr>
                <w:rFonts w:ascii="Arial" w:eastAsia="Arial" w:hAnsi="Arial" w:cs="Arial"/>
                <w:sz w:val="22"/>
                <w:szCs w:val="22"/>
              </w:rPr>
              <w:t xml:space="preserve">Los elementos deben ser entregados sin sobre empaque o exceso de envolturas. Se deberán evitar empaques plásticos, a menos que no se pueda garantizar la integridad del elemento con otro tipo de empaque.  En todo caso la entrega sin sobre empaque no debe comprometer la integridad y calidad del bien o producto. Se deben tomar las medidas necesarias para </w:t>
            </w:r>
            <w:r w:rsidRPr="00135521">
              <w:rPr>
                <w:rFonts w:ascii="Arial" w:eastAsia="Arial" w:hAnsi="Arial" w:cs="Arial"/>
                <w:sz w:val="22"/>
                <w:szCs w:val="22"/>
              </w:rPr>
              <w:lastRenderedPageBreak/>
              <w:t>asegurar que los bienes lleguen en perfectas condiciones, utilizando métodos de protección alternativos y sostenibles cuando sea posible.</w:t>
            </w:r>
          </w:p>
        </w:tc>
      </w:tr>
      <w:tr w:rsidR="00135521" w:rsidRPr="00135521" w:rsidTr="00503676">
        <w:trPr>
          <w:trHeight w:val="960"/>
        </w:trPr>
        <w:tc>
          <w:tcPr>
            <w:tcW w:w="280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135521" w:rsidRPr="00135521" w:rsidRDefault="00135521" w:rsidP="00135521">
            <w:pPr>
              <w:tabs>
                <w:tab w:val="left" w:pos="7740"/>
              </w:tabs>
              <w:jc w:val="center"/>
              <w:rPr>
                <w:rFonts w:ascii="Arial" w:eastAsia="Arial" w:hAnsi="Arial" w:cs="Arial"/>
                <w:b/>
                <w:sz w:val="22"/>
                <w:szCs w:val="22"/>
              </w:rPr>
            </w:pPr>
            <w:r w:rsidRPr="00135521">
              <w:rPr>
                <w:rFonts w:ascii="Arial" w:eastAsia="Arial" w:hAnsi="Arial" w:cs="Arial"/>
                <w:b/>
                <w:sz w:val="22"/>
                <w:szCs w:val="22"/>
              </w:rPr>
              <w:lastRenderedPageBreak/>
              <w:t>Presentación y Unidad de Medida</w:t>
            </w:r>
          </w:p>
        </w:tc>
        <w:tc>
          <w:tcPr>
            <w:tcW w:w="62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35521" w:rsidRPr="00135521" w:rsidRDefault="00135521" w:rsidP="00135521">
            <w:pPr>
              <w:tabs>
                <w:tab w:val="left" w:pos="7740"/>
              </w:tabs>
              <w:jc w:val="both"/>
              <w:rPr>
                <w:rFonts w:ascii="Arial" w:eastAsia="Arial" w:hAnsi="Arial" w:cs="Arial"/>
                <w:sz w:val="22"/>
                <w:szCs w:val="22"/>
              </w:rPr>
            </w:pPr>
            <w:r w:rsidRPr="00135521">
              <w:rPr>
                <w:rFonts w:ascii="Arial" w:eastAsia="Arial" w:hAnsi="Arial" w:cs="Arial"/>
                <w:sz w:val="22"/>
                <w:szCs w:val="22"/>
              </w:rPr>
              <w:t>Soporte por 12 meses a partir del 3 de junio del 2025</w:t>
            </w:r>
          </w:p>
        </w:tc>
      </w:tr>
    </w:tbl>
    <w:p w:rsidR="00135521" w:rsidRPr="00135521" w:rsidRDefault="00135521" w:rsidP="00135521">
      <w:pPr>
        <w:jc w:val="both"/>
        <w:rPr>
          <w:rFonts w:ascii="Arial" w:eastAsia="Arial" w:hAnsi="Arial" w:cs="Arial"/>
          <w:b/>
          <w:sz w:val="18"/>
          <w:szCs w:val="18"/>
        </w:rPr>
      </w:pPr>
    </w:p>
    <w:p w:rsidR="00DE7F17" w:rsidRDefault="00DE7F17" w:rsidP="00DE7F17">
      <w:pPr>
        <w:tabs>
          <w:tab w:val="left" w:pos="7740"/>
        </w:tabs>
        <w:jc w:val="center"/>
        <w:rPr>
          <w:rFonts w:ascii="Arial" w:eastAsia="Arial" w:hAnsi="Arial" w:cs="Arial"/>
        </w:rPr>
      </w:pPr>
      <w:bookmarkStart w:id="3" w:name="_GoBack"/>
      <w:bookmarkEnd w:id="3"/>
    </w:p>
    <w:p w:rsidR="00DE7F17" w:rsidRDefault="00DE7F17" w:rsidP="00DE7F17">
      <w:pPr>
        <w:jc w:val="both"/>
        <w:rPr>
          <w:rFonts w:ascii="Arial" w:eastAsia="Arial" w:hAnsi="Arial" w:cs="Arial"/>
          <w:b/>
          <w:sz w:val="18"/>
          <w:szCs w:val="18"/>
        </w:rPr>
      </w:pPr>
    </w:p>
    <w:p w:rsidR="00DA5B17" w:rsidRPr="00DA5B17" w:rsidRDefault="00DA5B17" w:rsidP="00DA5B17">
      <w:pPr>
        <w:jc w:val="center"/>
        <w:rPr>
          <w:rFonts w:ascii="Arial Narrow" w:eastAsia="Arial" w:hAnsi="Arial Narrow" w:cs="Arial"/>
          <w:b/>
          <w:sz w:val="22"/>
          <w:szCs w:val="22"/>
        </w:rPr>
      </w:pPr>
    </w:p>
    <w:p w:rsidR="00F10CBA" w:rsidRPr="00DA5B17" w:rsidRDefault="00F10CBA" w:rsidP="003933C4">
      <w:pPr>
        <w:spacing w:after="160" w:line="259" w:lineRule="auto"/>
        <w:rPr>
          <w:rFonts w:ascii="Arial Narrow" w:eastAsia="Arial Narrow" w:hAnsi="Arial Narrow" w:cs="Arial Narrow"/>
          <w:b/>
          <w:sz w:val="22"/>
          <w:szCs w:val="22"/>
        </w:rPr>
      </w:pPr>
    </w:p>
    <w:p w:rsidR="003933C4" w:rsidRPr="00DA5B17" w:rsidRDefault="003933C4" w:rsidP="003933C4">
      <w:pPr>
        <w:spacing w:after="160" w:line="259" w:lineRule="auto"/>
        <w:rPr>
          <w:rFonts w:ascii="Arial Narrow" w:eastAsia="Arial Narrow" w:hAnsi="Arial Narrow" w:cs="Arial Narrow"/>
          <w:b/>
          <w:sz w:val="22"/>
          <w:szCs w:val="22"/>
        </w:rPr>
      </w:pPr>
      <w:r w:rsidRPr="00DA5B17">
        <w:rPr>
          <w:rFonts w:ascii="Arial Narrow" w:eastAsia="Arial Narrow" w:hAnsi="Arial Narrow" w:cs="Arial Narrow"/>
          <w:b/>
          <w:sz w:val="22"/>
          <w:szCs w:val="22"/>
        </w:rPr>
        <w:t xml:space="preserve">Me comprometo a cumplir </w:t>
      </w:r>
      <w:r w:rsidRPr="00DA5B17">
        <w:rPr>
          <w:rFonts w:ascii="Arial Narrow" w:eastAsia="Arial Narrow" w:hAnsi="Arial Narrow" w:cs="Arial Narrow"/>
          <w:sz w:val="22"/>
          <w:szCs w:val="22"/>
        </w:rPr>
        <w:t>las especificaciones técnicas mínimas, de conformidad con “Ficha técnica de bienes y servicios de características técnicas uniformes y de común utilización” publicadas en el SECOP II.</w:t>
      </w:r>
    </w:p>
    <w:p w:rsidR="003933C4" w:rsidRPr="00DA5B17" w:rsidRDefault="003933C4" w:rsidP="003933C4">
      <w:pPr>
        <w:jc w:val="both"/>
        <w:rPr>
          <w:rFonts w:ascii="Arial Narrow" w:eastAsia="Arial" w:hAnsi="Arial Narrow" w:cs="Arial"/>
          <w:sz w:val="22"/>
          <w:szCs w:val="22"/>
        </w:rPr>
      </w:pPr>
    </w:p>
    <w:p w:rsidR="003933C4" w:rsidRPr="00DA5B17" w:rsidRDefault="003933C4" w:rsidP="003933C4">
      <w:pPr>
        <w:jc w:val="both"/>
        <w:rPr>
          <w:rFonts w:ascii="Arial Narrow" w:eastAsia="Arial" w:hAnsi="Arial Narrow" w:cs="Arial"/>
          <w:sz w:val="22"/>
          <w:szCs w:val="22"/>
        </w:rPr>
      </w:pPr>
    </w:p>
    <w:p w:rsidR="003933C4" w:rsidRPr="00DA5B17" w:rsidRDefault="003933C4" w:rsidP="003933C4">
      <w:pPr>
        <w:jc w:val="both"/>
        <w:rPr>
          <w:rFonts w:ascii="Arial Narrow" w:eastAsia="Arial" w:hAnsi="Arial Narrow" w:cs="Arial"/>
          <w:sz w:val="22"/>
          <w:szCs w:val="22"/>
        </w:rPr>
      </w:pPr>
      <w:r w:rsidRPr="00DA5B17">
        <w:rPr>
          <w:rFonts w:ascii="Arial Narrow" w:eastAsia="Arial" w:hAnsi="Arial Narrow" w:cs="Arial"/>
          <w:sz w:val="22"/>
          <w:szCs w:val="22"/>
        </w:rPr>
        <w:t>____________________________</w:t>
      </w:r>
    </w:p>
    <w:p w:rsidR="003933C4" w:rsidRPr="00DA5B17" w:rsidRDefault="003933C4" w:rsidP="003933C4">
      <w:pPr>
        <w:jc w:val="both"/>
        <w:rPr>
          <w:rFonts w:ascii="Arial Narrow" w:eastAsia="Arial" w:hAnsi="Arial Narrow" w:cs="Arial"/>
          <w:sz w:val="22"/>
          <w:szCs w:val="22"/>
        </w:rPr>
      </w:pPr>
      <w:r w:rsidRPr="00DA5B17">
        <w:rPr>
          <w:rFonts w:ascii="Arial Narrow" w:eastAsia="Arial" w:hAnsi="Arial Narrow" w:cs="Arial"/>
          <w:sz w:val="22"/>
          <w:szCs w:val="22"/>
        </w:rPr>
        <w:t>Nombre y firma del representante legal</w:t>
      </w:r>
    </w:p>
    <w:p w:rsidR="003933C4" w:rsidRPr="00DA5B17" w:rsidRDefault="003933C4" w:rsidP="003933C4">
      <w:pPr>
        <w:jc w:val="both"/>
        <w:rPr>
          <w:rFonts w:ascii="Arial Narrow" w:eastAsia="Arial" w:hAnsi="Arial Narrow" w:cs="Arial"/>
          <w:sz w:val="22"/>
          <w:szCs w:val="22"/>
        </w:rPr>
      </w:pPr>
      <w:r w:rsidRPr="00DA5B17">
        <w:rPr>
          <w:rFonts w:ascii="Arial Narrow" w:eastAsia="Arial" w:hAnsi="Arial Narrow" w:cs="Arial"/>
          <w:sz w:val="22"/>
          <w:szCs w:val="22"/>
        </w:rPr>
        <w:t>CC</w:t>
      </w:r>
    </w:p>
    <w:p w:rsidR="00995A98" w:rsidRPr="00DA5B17" w:rsidRDefault="00995A98" w:rsidP="008D7FE7">
      <w:pPr>
        <w:ind w:left="-567" w:right="-660"/>
        <w:jc w:val="both"/>
        <w:rPr>
          <w:rFonts w:ascii="Arial Narrow" w:eastAsia="Arial" w:hAnsi="Arial Narrow" w:cs="Arial"/>
          <w:b/>
          <w:sz w:val="22"/>
          <w:szCs w:val="22"/>
        </w:rPr>
      </w:pPr>
    </w:p>
    <w:sectPr w:rsidR="00995A98" w:rsidRPr="00DA5B17">
      <w:headerReference w:type="default" r:id="rId9"/>
      <w:footerReference w:type="default" r:id="rId10"/>
      <w:pgSz w:w="12240" w:h="18720"/>
      <w:pgMar w:top="1702" w:right="1701" w:bottom="1843"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364" w:rsidRDefault="00612364">
      <w:r>
        <w:separator/>
      </w:r>
    </w:p>
  </w:endnote>
  <w:endnote w:type="continuationSeparator" w:id="0">
    <w:p w:rsidR="00612364" w:rsidRDefault="00612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819" w:rsidRDefault="000A4819">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rsidR="000A4819" w:rsidRDefault="000A48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364" w:rsidRDefault="00612364">
      <w:r>
        <w:separator/>
      </w:r>
    </w:p>
  </w:footnote>
  <w:footnote w:type="continuationSeparator" w:id="0">
    <w:p w:rsidR="00612364" w:rsidRDefault="006123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27"/>
      <w:gridCol w:w="5103"/>
      <w:gridCol w:w="1984"/>
    </w:tblGrid>
    <w:tr w:rsidR="001F19F8" w:rsidTr="008937DB">
      <w:trPr>
        <w:cantSplit/>
        <w:trHeight w:val="274"/>
      </w:trPr>
      <w:tc>
        <w:tcPr>
          <w:tcW w:w="2127" w:type="dxa"/>
          <w:vMerge w:val="restart"/>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lang w:val="es-CO" w:eastAsia="es-CO"/>
            </w:rPr>
            <w:drawing>
              <wp:inline distT="0" distB="0" distL="0" distR="0" wp14:anchorId="707268A4" wp14:editId="70255E53">
                <wp:extent cx="1269574" cy="381872"/>
                <wp:effectExtent l="0" t="0" r="0" b="0"/>
                <wp:docPr id="1929542533"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4" w:type="dxa"/>
          <w:vMerge w:val="restart"/>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ind w:left="-392" w:firstLine="392"/>
            <w:rPr>
              <w:rFonts w:ascii="Arial" w:eastAsia="Arial" w:hAnsi="Arial" w:cs="Arial"/>
              <w:b/>
              <w:color w:val="000000"/>
              <w:sz w:val="14"/>
              <w:szCs w:val="14"/>
            </w:rPr>
          </w:pPr>
          <w:r>
            <w:rPr>
              <w:rFonts w:ascii="Arial" w:eastAsia="Arial" w:hAnsi="Arial" w:cs="Arial"/>
              <w:b/>
              <w:color w:val="000000"/>
              <w:sz w:val="14"/>
              <w:szCs w:val="14"/>
            </w:rPr>
            <w:t>Código: FGN-AP07-F-07</w:t>
          </w:r>
        </w:p>
        <w:p w:rsidR="001F19F8" w:rsidRDefault="001F19F8" w:rsidP="001F19F8">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1F19F8" w:rsidRDefault="001F19F8" w:rsidP="001F19F8">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b/>
              <w:color w:val="000000"/>
              <w:sz w:val="14"/>
              <w:szCs w:val="14"/>
            </w:rPr>
            <w:t>Versión:</w:t>
          </w:r>
          <w:r>
            <w:rPr>
              <w:rFonts w:ascii="Arial" w:eastAsia="Arial" w:hAnsi="Arial" w:cs="Arial"/>
              <w:color w:val="000000"/>
              <w:sz w:val="14"/>
              <w:szCs w:val="14"/>
            </w:rPr>
            <w:t xml:space="preserve"> 02</w:t>
          </w:r>
        </w:p>
        <w:p w:rsidR="001F19F8" w:rsidRDefault="001F19F8" w:rsidP="001F19F8">
          <w:pPr>
            <w:pBdr>
              <w:top w:val="nil"/>
              <w:left w:val="nil"/>
              <w:bottom w:val="nil"/>
              <w:right w:val="nil"/>
              <w:between w:val="nil"/>
            </w:pBdr>
            <w:tabs>
              <w:tab w:val="center" w:pos="4252"/>
              <w:tab w:val="right" w:pos="8504"/>
            </w:tabs>
            <w:rPr>
              <w:rFonts w:ascii="Arial" w:eastAsia="Arial" w:hAnsi="Arial" w:cs="Arial"/>
              <w:b/>
              <w:color w:val="000000"/>
              <w:sz w:val="14"/>
              <w:szCs w:val="14"/>
            </w:rPr>
          </w:pPr>
        </w:p>
        <w:p w:rsidR="001F19F8" w:rsidRDefault="001F19F8" w:rsidP="001F19F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b/>
              <w:color w:val="000000"/>
              <w:sz w:val="14"/>
              <w:szCs w:val="14"/>
            </w:rPr>
            <w:t>Página:</w:t>
          </w:r>
          <w:r>
            <w:rPr>
              <w:rFonts w:ascii="Arial" w:eastAsia="Arial" w:hAnsi="Arial" w:cs="Arial"/>
              <w:color w:val="000000"/>
              <w:sz w:val="14"/>
              <w:szCs w:val="14"/>
            </w:rPr>
            <w:t xml:space="preserve"> </w:t>
          </w:r>
          <w:r>
            <w:rPr>
              <w:rFonts w:ascii="Arial" w:eastAsia="Arial" w:hAnsi="Arial" w:cs="Arial"/>
              <w:color w:val="000000"/>
              <w:sz w:val="14"/>
              <w:szCs w:val="14"/>
            </w:rPr>
            <w:fldChar w:fldCharType="begin"/>
          </w:r>
          <w:r>
            <w:rPr>
              <w:rFonts w:ascii="Arial" w:eastAsia="Arial" w:hAnsi="Arial" w:cs="Arial"/>
              <w:color w:val="000000"/>
              <w:sz w:val="14"/>
              <w:szCs w:val="14"/>
            </w:rPr>
            <w:instrText>PAGE</w:instrText>
          </w:r>
          <w:r>
            <w:rPr>
              <w:rFonts w:ascii="Arial" w:eastAsia="Arial" w:hAnsi="Arial" w:cs="Arial"/>
              <w:color w:val="000000"/>
              <w:sz w:val="14"/>
              <w:szCs w:val="14"/>
            </w:rPr>
            <w:fldChar w:fldCharType="separate"/>
          </w:r>
          <w:r w:rsidR="00135521">
            <w:rPr>
              <w:rFonts w:ascii="Arial" w:eastAsia="Arial" w:hAnsi="Arial" w:cs="Arial"/>
              <w:noProof/>
              <w:color w:val="000000"/>
              <w:sz w:val="14"/>
              <w:szCs w:val="14"/>
            </w:rPr>
            <w:t>4</w:t>
          </w:r>
          <w:r>
            <w:rPr>
              <w:rFonts w:ascii="Arial" w:eastAsia="Arial" w:hAnsi="Arial" w:cs="Arial"/>
              <w:color w:val="000000"/>
              <w:sz w:val="14"/>
              <w:szCs w:val="14"/>
            </w:rPr>
            <w:fldChar w:fldCharType="end"/>
          </w:r>
          <w:r>
            <w:rPr>
              <w:rFonts w:ascii="Arial" w:eastAsia="Arial" w:hAnsi="Arial" w:cs="Arial"/>
              <w:color w:val="000000"/>
              <w:sz w:val="14"/>
              <w:szCs w:val="14"/>
            </w:rPr>
            <w:t xml:space="preserve"> </w:t>
          </w:r>
          <w:r>
            <w:rPr>
              <w:rFonts w:ascii="Arial" w:eastAsia="Arial" w:hAnsi="Arial" w:cs="Arial"/>
              <w:b/>
              <w:color w:val="000000"/>
              <w:sz w:val="14"/>
              <w:szCs w:val="14"/>
            </w:rPr>
            <w:t xml:space="preserve">de </w:t>
          </w:r>
          <w:r>
            <w:rPr>
              <w:rFonts w:ascii="Arial" w:eastAsia="Arial" w:hAnsi="Arial" w:cs="Arial"/>
              <w:color w:val="000000"/>
              <w:sz w:val="14"/>
              <w:szCs w:val="14"/>
            </w:rPr>
            <w:t>13</w:t>
          </w:r>
        </w:p>
      </w:tc>
    </w:tr>
    <w:tr w:rsidR="001F19F8" w:rsidTr="008937DB">
      <w:trPr>
        <w:cantSplit/>
        <w:trHeight w:val="787"/>
      </w:trPr>
      <w:tc>
        <w:tcPr>
          <w:tcW w:w="2127" w:type="dxa"/>
          <w:vMerge/>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spacing w:line="276" w:lineRule="auto"/>
            <w:rPr>
              <w:rFonts w:ascii="Arial" w:eastAsia="Arial" w:hAnsi="Arial" w:cs="Arial"/>
              <w:b/>
              <w:i/>
              <w:color w:val="000000"/>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F19F8" w:rsidRDefault="001F19F8" w:rsidP="001F19F8">
          <w:pPr>
            <w:jc w:val="center"/>
            <w:rPr>
              <w:rFonts w:ascii="Arial" w:eastAsia="Arial" w:hAnsi="Arial" w:cs="Arial"/>
              <w:b/>
              <w:i/>
              <w:color w:val="000000"/>
            </w:rPr>
          </w:pPr>
          <w:r>
            <w:rPr>
              <w:rFonts w:ascii="Arial" w:eastAsia="Arial" w:hAnsi="Arial" w:cs="Arial"/>
              <w:b/>
              <w:color w:val="000000"/>
            </w:rPr>
            <w:t>FORMATO FICHA TÉCNICA DE BIENES Y SERVICIOS DE CARACTERISTICAS TÉCNICAS UNIFORMES Y DE COMÚN UTILIZACIÓN</w:t>
          </w:r>
        </w:p>
      </w:tc>
      <w:tc>
        <w:tcPr>
          <w:tcW w:w="1984" w:type="dxa"/>
          <w:vMerge/>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spacing w:line="276" w:lineRule="auto"/>
            <w:rPr>
              <w:rFonts w:ascii="Arial" w:eastAsia="Arial" w:hAnsi="Arial" w:cs="Arial"/>
              <w:b/>
              <w:i/>
              <w:color w:val="000000"/>
            </w:rPr>
          </w:pPr>
        </w:p>
      </w:tc>
    </w:tr>
  </w:tbl>
  <w:p w:rsidR="000A4819" w:rsidRDefault="000A4819">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E65BF"/>
    <w:multiLevelType w:val="multilevel"/>
    <w:tmpl w:val="49A25AE2"/>
    <w:lvl w:ilvl="0">
      <w:start w:val="1"/>
      <w:numFmt w:val="decimal"/>
      <w:lvlText w:val="%1."/>
      <w:lvlJc w:val="left"/>
      <w:pPr>
        <w:ind w:left="465" w:hanging="46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
    <w:nsid w:val="2B825999"/>
    <w:multiLevelType w:val="multilevel"/>
    <w:tmpl w:val="32183324"/>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D54307D"/>
    <w:multiLevelType w:val="multilevel"/>
    <w:tmpl w:val="D09C7D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26E5275"/>
    <w:multiLevelType w:val="multilevel"/>
    <w:tmpl w:val="1AF6B5E6"/>
    <w:lvl w:ilvl="0">
      <w:start w:val="1"/>
      <w:numFmt w:val="decimal"/>
      <w:lvlText w:val="%1"/>
      <w:lvlJc w:val="left"/>
      <w:pPr>
        <w:ind w:left="0" w:hanging="503"/>
      </w:pPr>
    </w:lvl>
    <w:lvl w:ilvl="1">
      <w:start w:val="1"/>
      <w:numFmt w:val="decimal"/>
      <w:lvlText w:val="%1.%2."/>
      <w:lvlJc w:val="left"/>
      <w:pPr>
        <w:ind w:left="0" w:hanging="503"/>
      </w:pPr>
      <w:rPr>
        <w:rFonts w:ascii="Arial" w:eastAsia="Arial" w:hAnsi="Arial" w:cs="Arial"/>
        <w:b/>
        <w:color w:val="00000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37F14A0B"/>
    <w:multiLevelType w:val="multilevel"/>
    <w:tmpl w:val="76D0735A"/>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5">
    <w:nsid w:val="3A3D7DF2"/>
    <w:multiLevelType w:val="multilevel"/>
    <w:tmpl w:val="103C20EA"/>
    <w:lvl w:ilvl="0">
      <w:start w:val="1"/>
      <w:numFmt w:val="decimal"/>
      <w:lvlText w:val="%1."/>
      <w:lvlJc w:val="left"/>
      <w:pPr>
        <w:ind w:left="360" w:hanging="360"/>
      </w:pPr>
    </w:lvl>
    <w:lvl w:ilvl="1">
      <w:start w:val="1"/>
      <w:numFmt w:val="decimal"/>
      <w:lvlText w:val="%1.%2."/>
      <w:lvlJc w:val="left"/>
      <w:pPr>
        <w:ind w:left="720" w:hanging="720"/>
      </w:pPr>
      <w:rPr>
        <w:rFonts w:ascii="Arial" w:eastAsia="Arial" w:hAnsi="Arial" w:cs="Arial"/>
        <w:b/>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nsid w:val="3EEC235D"/>
    <w:multiLevelType w:val="multilevel"/>
    <w:tmpl w:val="9E18986A"/>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8250803"/>
    <w:multiLevelType w:val="multilevel"/>
    <w:tmpl w:val="2A22D898"/>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4AF791C"/>
    <w:multiLevelType w:val="multilevel"/>
    <w:tmpl w:val="DD2A4640"/>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D91433A"/>
    <w:multiLevelType w:val="multilevel"/>
    <w:tmpl w:val="87901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6AAC179E"/>
    <w:multiLevelType w:val="multilevel"/>
    <w:tmpl w:val="8CE0D0F8"/>
    <w:lvl w:ilvl="0">
      <w:start w:val="1"/>
      <w:numFmt w:val="decimal"/>
      <w:lvlText w:val="%1"/>
      <w:lvlJc w:val="left"/>
      <w:pPr>
        <w:ind w:left="0" w:hanging="361"/>
      </w:pPr>
    </w:lvl>
    <w:lvl w:ilvl="1">
      <w:start w:val="1"/>
      <w:numFmt w:val="decimal"/>
      <w:lvlText w:val="%1.%2"/>
      <w:lvlJc w:val="left"/>
      <w:pPr>
        <w:ind w:left="0" w:hanging="361"/>
      </w:pPr>
      <w:rPr>
        <w:rFonts w:ascii="Arial" w:eastAsia="Arial" w:hAnsi="Arial" w:cs="Arial"/>
        <w:b/>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75046C3E"/>
    <w:multiLevelType w:val="multilevel"/>
    <w:tmpl w:val="B51C79F6"/>
    <w:lvl w:ilvl="0">
      <w:start w:val="3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8A82259"/>
    <w:multiLevelType w:val="hybridMultilevel"/>
    <w:tmpl w:val="DECE2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3"/>
  </w:num>
  <w:num w:numId="4">
    <w:abstractNumId w:val="10"/>
  </w:num>
  <w:num w:numId="5">
    <w:abstractNumId w:val="5"/>
  </w:num>
  <w:num w:numId="6">
    <w:abstractNumId w:val="12"/>
  </w:num>
  <w:num w:numId="7">
    <w:abstractNumId w:val="8"/>
  </w:num>
  <w:num w:numId="8">
    <w:abstractNumId w:val="1"/>
  </w:num>
  <w:num w:numId="9">
    <w:abstractNumId w:val="2"/>
  </w:num>
  <w:num w:numId="10">
    <w:abstractNumId w:val="6"/>
  </w:num>
  <w:num w:numId="11">
    <w:abstractNumId w:val="7"/>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A98"/>
    <w:rsid w:val="00060A79"/>
    <w:rsid w:val="000625DA"/>
    <w:rsid w:val="000A4819"/>
    <w:rsid w:val="000B4931"/>
    <w:rsid w:val="00135521"/>
    <w:rsid w:val="001921BD"/>
    <w:rsid w:val="001F19F8"/>
    <w:rsid w:val="00240303"/>
    <w:rsid w:val="002405D4"/>
    <w:rsid w:val="00247DDF"/>
    <w:rsid w:val="00262952"/>
    <w:rsid w:val="003869DB"/>
    <w:rsid w:val="003933C4"/>
    <w:rsid w:val="00424E47"/>
    <w:rsid w:val="00551D51"/>
    <w:rsid w:val="00612364"/>
    <w:rsid w:val="00645AB4"/>
    <w:rsid w:val="00705866"/>
    <w:rsid w:val="00767136"/>
    <w:rsid w:val="00783652"/>
    <w:rsid w:val="00786FC6"/>
    <w:rsid w:val="007C088B"/>
    <w:rsid w:val="007C4789"/>
    <w:rsid w:val="007D2BD1"/>
    <w:rsid w:val="00810955"/>
    <w:rsid w:val="00880C09"/>
    <w:rsid w:val="008D7FE7"/>
    <w:rsid w:val="009836A9"/>
    <w:rsid w:val="00995A98"/>
    <w:rsid w:val="009E4F21"/>
    <w:rsid w:val="00A46F11"/>
    <w:rsid w:val="00AE63CC"/>
    <w:rsid w:val="00BB14CA"/>
    <w:rsid w:val="00BF4586"/>
    <w:rsid w:val="00C03EDD"/>
    <w:rsid w:val="00C66933"/>
    <w:rsid w:val="00CD6435"/>
    <w:rsid w:val="00D543FC"/>
    <w:rsid w:val="00DA5B17"/>
    <w:rsid w:val="00DE1853"/>
    <w:rsid w:val="00DE7F17"/>
    <w:rsid w:val="00E25184"/>
    <w:rsid w:val="00E92BFF"/>
    <w:rsid w:val="00F10CBA"/>
    <w:rsid w:val="00F5360C"/>
    <w:rsid w:val="00F65E04"/>
    <w:rsid w:val="00FD7C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D7946E-464E-45A5-97F0-518077F8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CF3"/>
    <w:rPr>
      <w:lang w:val="es-ES" w:eastAsia="es-ES"/>
    </w:rPr>
  </w:style>
  <w:style w:type="paragraph" w:styleId="Ttulo1">
    <w:name w:val="heading 1"/>
    <w:basedOn w:val="Normal"/>
    <w:next w:val="Normal"/>
    <w:link w:val="Ttulo1Car"/>
    <w:qFormat/>
    <w:rsid w:val="00081AA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TableParagraph">
    <w:name w:val="Table Paragraph"/>
    <w:basedOn w:val="Normal"/>
    <w:uiPriority w:val="1"/>
    <w:qFormat/>
    <w:rsid w:val="00BC4D4E"/>
    <w:pPr>
      <w:widowControl w:val="0"/>
    </w:pPr>
    <w:rPr>
      <w:rFonts w:asciiTheme="minorHAnsi" w:eastAsiaTheme="minorHAnsi" w:hAnsiTheme="minorHAnsi" w:cstheme="minorBidi"/>
      <w:sz w:val="22"/>
      <w:szCs w:val="22"/>
      <w:lang w:val="es-CO" w:eastAsia="en-US"/>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BC4D4E"/>
    <w:pPr>
      <w:widowControl w:val="0"/>
    </w:pPr>
    <w:rPr>
      <w:rFonts w:asciiTheme="minorHAnsi" w:eastAsiaTheme="minorHAnsi" w:hAnsiTheme="minorHAnsi" w:cstheme="minorBidi"/>
      <w:sz w:val="22"/>
      <w:szCs w:val="22"/>
      <w:lang w:val="es-CO" w:eastAsia="en-US"/>
    </w:rPr>
  </w:style>
  <w:style w:type="table" w:customStyle="1" w:styleId="TableNormal0">
    <w:name w:val="Table Normal"/>
    <w:uiPriority w:val="2"/>
    <w:semiHidden/>
    <w:unhideWhenUsed/>
    <w:qFormat/>
    <w:rsid w:val="00BC4D4E"/>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866C8B"/>
    <w:rPr>
      <w:rFonts w:asciiTheme="minorHAnsi" w:eastAsiaTheme="minorHAnsi" w:hAnsiTheme="minorHAnsi" w:cstheme="minorBidi"/>
      <w:sz w:val="22"/>
      <w:szCs w:val="22"/>
      <w:lang w:val="es-CO"/>
    </w:rPr>
  </w:style>
  <w:style w:type="character" w:customStyle="1" w:styleId="Ttulo1Car">
    <w:name w:val="Título 1 Car"/>
    <w:basedOn w:val="Fuentedeprrafopredeter"/>
    <w:link w:val="Ttulo1"/>
    <w:rsid w:val="00081AAD"/>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7433A4"/>
    <w:rPr>
      <w:sz w:val="16"/>
      <w:szCs w:val="16"/>
    </w:rPr>
  </w:style>
  <w:style w:type="paragraph" w:styleId="Textocomentario">
    <w:name w:val="annotation text"/>
    <w:basedOn w:val="Normal"/>
    <w:link w:val="TextocomentarioCar"/>
    <w:unhideWhenUsed/>
    <w:rsid w:val="007433A4"/>
    <w:rPr>
      <w:sz w:val="20"/>
      <w:szCs w:val="20"/>
    </w:rPr>
  </w:style>
  <w:style w:type="character" w:customStyle="1" w:styleId="TextocomentarioCar">
    <w:name w:val="Texto comentario Car"/>
    <w:basedOn w:val="Fuentedeprrafopredeter"/>
    <w:link w:val="Textocomentario"/>
    <w:rsid w:val="007433A4"/>
    <w:rPr>
      <w:lang w:val="es-ES" w:eastAsia="es-ES"/>
    </w:rPr>
  </w:style>
  <w:style w:type="paragraph" w:styleId="Asuntodelcomentario">
    <w:name w:val="annotation subject"/>
    <w:basedOn w:val="Textocomentario"/>
    <w:next w:val="Textocomentario"/>
    <w:link w:val="AsuntodelcomentarioCar"/>
    <w:semiHidden/>
    <w:unhideWhenUsed/>
    <w:rsid w:val="007433A4"/>
    <w:rPr>
      <w:b/>
      <w:bCs/>
    </w:rPr>
  </w:style>
  <w:style w:type="character" w:customStyle="1" w:styleId="AsuntodelcomentarioCar">
    <w:name w:val="Asunto del comentario Car"/>
    <w:basedOn w:val="TextocomentarioCar"/>
    <w:link w:val="Asuntodelcomentario"/>
    <w:semiHidden/>
    <w:rsid w:val="007433A4"/>
    <w:rPr>
      <w:b/>
      <w:bCs/>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rPr>
      <w:rFonts w:ascii="Calibri" w:eastAsia="Calibri" w:hAnsi="Calibri" w:cs="Calibri"/>
    </w:rPr>
    <w:tblPr>
      <w:tblStyleRowBandSize w:val="1"/>
      <w:tblStyleColBandSize w:val="1"/>
      <w:tblInd w:w="0" w:type="dxa"/>
      <w:tblCellMar>
        <w:top w:w="0" w:type="dxa"/>
        <w:left w:w="0" w:type="dxa"/>
        <w:bottom w:w="0" w:type="dxa"/>
        <w:right w:w="0" w:type="dxa"/>
      </w:tblCellMar>
    </w:tblPr>
  </w:style>
  <w:style w:type="table" w:customStyle="1" w:styleId="a0">
    <w:basedOn w:val="TableNormal0"/>
    <w:rPr>
      <w:rFonts w:ascii="Calibri" w:eastAsia="Calibri" w:hAnsi="Calibri" w:cs="Calibri"/>
    </w:rPr>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licencias.tics@fiscal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g9V0/43R0yn57j9DhsdQtL/P7g==">CgMxLjAyCGguZ2pkZ3hzOAByITE2bjZFZWktM3JkT0UzM2hTUVFFbk5QOGR5Y2tXcWNNVg==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1590</Words>
  <Characters>8751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Emilia Diaz Cruz</dc:creator>
  <cp:lastModifiedBy>Natalia Ximena Becerra Torres</cp:lastModifiedBy>
  <cp:revision>14</cp:revision>
  <cp:lastPrinted>2025-03-05T00:04:00Z</cp:lastPrinted>
  <dcterms:created xsi:type="dcterms:W3CDTF">2025-03-11T22:39:00Z</dcterms:created>
  <dcterms:modified xsi:type="dcterms:W3CDTF">2025-05-05T16:16:00Z</dcterms:modified>
</cp:coreProperties>
</file>