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8F10A" w14:textId="77777777" w:rsidR="006756CC" w:rsidRPr="009832BA" w:rsidRDefault="006756CC" w:rsidP="001855D1">
      <w:pPr>
        <w:pStyle w:val="Ttulo1"/>
        <w:spacing w:after="100" w:afterAutospacing="1" w:line="276" w:lineRule="auto"/>
        <w:contextualSpacing/>
        <w:rPr>
          <w:rFonts w:ascii="Arial Narrow" w:hAnsi="Arial Narrow" w:cs="Arial"/>
          <w:sz w:val="22"/>
          <w:szCs w:val="22"/>
          <w:lang w:val="es-US"/>
        </w:rPr>
      </w:pPr>
      <w:r w:rsidRPr="009832BA">
        <w:rPr>
          <w:rFonts w:ascii="Arial Narrow" w:hAnsi="Arial Narrow" w:cs="Arial"/>
          <w:sz w:val="22"/>
          <w:szCs w:val="22"/>
          <w:lang w:val="es-US"/>
        </w:rPr>
        <w:t>ANALISIS DE INDICADORES FINANCIEROS Y DE EFICIENCIA DE LA ORGANIZACIÓN PARA EL PROCESO DE CONTRATACIÓN</w:t>
      </w:r>
    </w:p>
    <w:p w14:paraId="4DC80825" w14:textId="77777777" w:rsidR="0069557F" w:rsidRPr="009832BA" w:rsidRDefault="0069557F" w:rsidP="001855D1">
      <w:pPr>
        <w:tabs>
          <w:tab w:val="left" w:pos="2390"/>
        </w:tabs>
        <w:spacing w:line="276" w:lineRule="auto"/>
        <w:rPr>
          <w:rFonts w:ascii="Arial Narrow" w:hAnsi="Arial Narrow" w:cs="Arial"/>
          <w:lang w:val="es-US"/>
        </w:rPr>
      </w:pPr>
      <w:r w:rsidRPr="009832BA">
        <w:rPr>
          <w:rFonts w:ascii="Arial Narrow" w:hAnsi="Arial Narrow" w:cs="Arial"/>
          <w:lang w:val="es-US"/>
        </w:rPr>
        <w:t>La Agencia Nacional de Tierras – ANT, establece las condiciones mínimas que deben cumplir los proponentes interesados en participar en los procesos de contratación con el fin de lograr identificar la capacidad financiera y organizacional del mercado objeto de la contratación, permitiendo evaluar la aptitud del proponente para cumplir oportuna y cabalmente el objeto del contrato.</w:t>
      </w:r>
    </w:p>
    <w:p w14:paraId="0DED50A8" w14:textId="2214BE0D" w:rsidR="0069557F" w:rsidRPr="009832BA" w:rsidRDefault="0069557F" w:rsidP="005E5B12">
      <w:pPr>
        <w:tabs>
          <w:tab w:val="left" w:pos="2390"/>
        </w:tabs>
        <w:spacing w:line="276" w:lineRule="auto"/>
        <w:rPr>
          <w:rFonts w:ascii="Arial Narrow" w:hAnsi="Arial Narrow" w:cs="Arial"/>
          <w:i/>
          <w:lang w:val="es-US"/>
        </w:rPr>
      </w:pPr>
      <w:r w:rsidRPr="009832BA">
        <w:rPr>
          <w:rFonts w:ascii="Arial Narrow" w:hAnsi="Arial Narrow" w:cs="Arial"/>
          <w:lang w:val="es-US"/>
        </w:rPr>
        <w:t>El análisis de indicadores es para el proceso cuyo</w:t>
      </w:r>
      <w:r w:rsidR="005E015E" w:rsidRPr="009832BA">
        <w:rPr>
          <w:rFonts w:ascii="Arial Narrow" w:hAnsi="Arial Narrow" w:cs="Arial"/>
          <w:lang w:val="es-US"/>
        </w:rPr>
        <w:t xml:space="preserve"> o</w:t>
      </w:r>
      <w:r w:rsidRPr="009832BA">
        <w:rPr>
          <w:rFonts w:ascii="Arial Narrow" w:hAnsi="Arial Narrow" w:cs="Arial"/>
          <w:lang w:val="es-US"/>
        </w:rPr>
        <w:t xml:space="preserve">bjeto es: </w:t>
      </w:r>
      <w:r w:rsidR="00B7749A" w:rsidRPr="009832BA">
        <w:rPr>
          <w:rFonts w:ascii="Arial Narrow" w:hAnsi="Arial Narrow" w:cs="Arial"/>
          <w:lang w:val="es-US"/>
        </w:rPr>
        <w:t>“</w:t>
      </w:r>
      <w:r w:rsidR="00E4183D" w:rsidRPr="00E4183D">
        <w:rPr>
          <w:rFonts w:ascii="Arial Narrow" w:hAnsi="Arial Narrow" w:cs="Arial"/>
          <w:b/>
          <w:bCs/>
          <w:i/>
          <w:lang w:val="es-US"/>
        </w:rPr>
        <w:t>Prestar el servicio de transporte público terrestre automotor especial con conductor, disponibilidad 7 x 24, para transporte de personal, materiales y equipos a Nivel Nacional</w:t>
      </w:r>
      <w:r w:rsidR="005E5B12" w:rsidRPr="005E5B12">
        <w:rPr>
          <w:rFonts w:ascii="Arial Narrow" w:hAnsi="Arial Narrow" w:cs="Arial"/>
          <w:b/>
          <w:bCs/>
          <w:i/>
          <w:lang w:val="es-US"/>
        </w:rPr>
        <w:t>.</w:t>
      </w:r>
      <w:r w:rsidRPr="009832BA">
        <w:rPr>
          <w:rFonts w:ascii="Arial Narrow" w:hAnsi="Arial Narrow" w:cs="Arial"/>
          <w:i/>
          <w:lang w:val="es-US"/>
        </w:rPr>
        <w:t>”</w:t>
      </w:r>
    </w:p>
    <w:p w14:paraId="197E1B17" w14:textId="77777777" w:rsidR="0069557F" w:rsidRPr="009832BA" w:rsidRDefault="0069557F" w:rsidP="001855D1">
      <w:pPr>
        <w:pStyle w:val="Sinespaciado"/>
        <w:spacing w:line="276" w:lineRule="auto"/>
        <w:rPr>
          <w:rFonts w:ascii="Arial Narrow" w:hAnsi="Arial Narrow" w:cs="Arial"/>
          <w:bCs/>
          <w:color w:val="000000"/>
          <w:sz w:val="22"/>
          <w:szCs w:val="22"/>
          <w:lang w:val="es-US"/>
        </w:rPr>
      </w:pPr>
      <w:r w:rsidRPr="009832BA">
        <w:rPr>
          <w:rFonts w:ascii="Arial Narrow" w:hAnsi="Arial Narrow" w:cs="Arial"/>
          <w:color w:val="000000"/>
          <w:sz w:val="22"/>
          <w:szCs w:val="22"/>
          <w:lang w:val="es-US"/>
        </w:rPr>
        <w:t xml:space="preserve">A continuación, se presentan las definiciones de los indicadores financieros </w:t>
      </w:r>
      <w:r w:rsidRPr="009832BA">
        <w:rPr>
          <w:rFonts w:ascii="Arial Narrow" w:hAnsi="Arial Narrow" w:cs="Arial"/>
          <w:sz w:val="22"/>
          <w:szCs w:val="22"/>
          <w:lang w:val="es-US" w:eastAsia="es-CO"/>
        </w:rPr>
        <w:t>establecidos en los numerales 3. “Capacidad Financiera” y 4. “Capacidad Organizacional”, del Articulo 2.2.1.1.1.5.3   del Decreto 1082 de 2015:</w:t>
      </w:r>
    </w:p>
    <w:p w14:paraId="5A174648" w14:textId="6B0254CF" w:rsidR="0069557F" w:rsidRPr="009832BA" w:rsidRDefault="0069557F" w:rsidP="001855D1">
      <w:pPr>
        <w:pStyle w:val="Ttulo2"/>
        <w:spacing w:after="100" w:afterAutospacing="1" w:line="276" w:lineRule="auto"/>
        <w:contextualSpacing/>
        <w:rPr>
          <w:rFonts w:ascii="Arial Narrow" w:hAnsi="Arial Narrow" w:cs="Arial"/>
          <w:sz w:val="22"/>
          <w:szCs w:val="22"/>
          <w:lang w:val="es-US"/>
        </w:rPr>
      </w:pPr>
      <w:r w:rsidRPr="009832BA">
        <w:rPr>
          <w:rFonts w:ascii="Arial Narrow" w:hAnsi="Arial Narrow" w:cs="Arial"/>
          <w:sz w:val="22"/>
          <w:szCs w:val="22"/>
          <w:lang w:val="es-US"/>
        </w:rPr>
        <w:t>DEFINICIONES DE INDICADORES FINANCIEROS</w:t>
      </w:r>
    </w:p>
    <w:p w14:paraId="60928623" w14:textId="77777777" w:rsidR="0069557F" w:rsidRDefault="0069557F" w:rsidP="001855D1">
      <w:pPr>
        <w:pStyle w:val="Prrafodelista"/>
        <w:numPr>
          <w:ilvl w:val="0"/>
          <w:numId w:val="6"/>
        </w:numPr>
        <w:spacing w:before="0" w:after="0" w:line="276" w:lineRule="auto"/>
        <w:ind w:left="284" w:hanging="284"/>
        <w:contextualSpacing w:val="0"/>
        <w:rPr>
          <w:rFonts w:ascii="Arial Narrow" w:hAnsi="Arial Narrow" w:cs="Arial"/>
          <w:bCs/>
          <w:color w:val="000000"/>
          <w:lang w:val="es-US"/>
        </w:rPr>
      </w:pPr>
      <w:r w:rsidRPr="009832BA">
        <w:rPr>
          <w:rFonts w:ascii="Arial Narrow" w:hAnsi="Arial Narrow" w:cs="Arial"/>
          <w:b/>
          <w:bCs/>
          <w:color w:val="000000"/>
          <w:lang w:val="es-US"/>
        </w:rPr>
        <w:t xml:space="preserve">Capacidad Financiera: </w:t>
      </w:r>
      <w:r w:rsidRPr="009832BA">
        <w:rPr>
          <w:rFonts w:ascii="Arial Narrow" w:hAnsi="Arial Narrow" w:cs="Arial"/>
          <w:bCs/>
          <w:color w:val="000000"/>
          <w:lang w:val="es-US"/>
        </w:rPr>
        <w:t>los siguientes indicadores miden la fortaleza financiera del interesado:</w:t>
      </w:r>
    </w:p>
    <w:p w14:paraId="2F5845C4" w14:textId="77777777" w:rsidR="001D51C8" w:rsidRPr="009832BA" w:rsidRDefault="001D51C8" w:rsidP="001D51C8">
      <w:pPr>
        <w:pStyle w:val="Prrafodelista"/>
        <w:spacing w:before="0" w:after="0" w:line="276" w:lineRule="auto"/>
        <w:ind w:left="284"/>
        <w:contextualSpacing w:val="0"/>
        <w:rPr>
          <w:rFonts w:ascii="Arial Narrow" w:hAnsi="Arial Narrow" w:cs="Arial"/>
          <w:bCs/>
          <w:color w:val="000000"/>
          <w:lang w:val="es-US"/>
        </w:rPr>
      </w:pPr>
    </w:p>
    <w:p w14:paraId="1B9417DF" w14:textId="6EC0FC0E" w:rsidR="0069557F" w:rsidRPr="009832BA" w:rsidRDefault="0069557F" w:rsidP="007330BF">
      <w:pPr>
        <w:numPr>
          <w:ilvl w:val="0"/>
          <w:numId w:val="5"/>
        </w:numPr>
        <w:spacing w:before="0" w:after="0" w:line="276" w:lineRule="auto"/>
        <w:ind w:left="630" w:hanging="284"/>
        <w:rPr>
          <w:rFonts w:ascii="Arial Narrow" w:hAnsi="Arial Narrow" w:cs="Arial"/>
          <w:lang w:val="es-US" w:eastAsia="es-CO"/>
        </w:rPr>
      </w:pPr>
      <w:r w:rsidRPr="009832BA">
        <w:rPr>
          <w:rFonts w:ascii="Arial Narrow" w:hAnsi="Arial Narrow" w:cs="Arial"/>
          <w:b/>
          <w:color w:val="000000"/>
          <w:lang w:val="es-US"/>
        </w:rPr>
        <w:t>Índice de Liquidez:</w:t>
      </w:r>
      <w:r w:rsidRPr="009832BA">
        <w:rPr>
          <w:rFonts w:ascii="Arial Narrow" w:hAnsi="Arial Narrow" w:cs="Arial"/>
          <w:bCs/>
          <w:color w:val="000000"/>
          <w:lang w:val="es-US"/>
        </w:rPr>
        <w:t xml:space="preserve"> </w:t>
      </w:r>
      <w:r w:rsidRPr="009832BA">
        <w:rPr>
          <w:rFonts w:ascii="Arial Narrow" w:hAnsi="Arial Narrow" w:cs="Arial"/>
          <w:lang w:val="es-US" w:eastAsia="es-CO"/>
        </w:rPr>
        <w:t xml:space="preserve">El índice de liquidez (IDL, activo corriente/pasivo corriente), pretende determinar si los recursos de la empresa, a corto plazo, son suficientes para afrontar sus obligaciones, también a corto plazo. </w:t>
      </w:r>
      <w:r w:rsidRPr="009832BA">
        <w:rPr>
          <w:rFonts w:ascii="Arial Narrow" w:hAnsi="Arial Narrow" w:cs="Arial"/>
          <w:i/>
          <w:lang w:val="es-US" w:eastAsia="es-CO"/>
        </w:rPr>
        <w:t>“Refleja la capacidad de la empresa para cubrir sus obligaciones corrientes, guardando cierto margen de seguridad en previsión de alguna reducción o pérdida en el valor de los activos corrientes”</w:t>
      </w:r>
      <w:r w:rsidRPr="009832BA">
        <w:rPr>
          <w:rFonts w:ascii="Arial Narrow" w:hAnsi="Arial Narrow" w:cs="Arial"/>
          <w:lang w:val="es-US" w:eastAsia="es-CO"/>
        </w:rPr>
        <w:t>.</w:t>
      </w:r>
      <w:r w:rsidRPr="009832BA">
        <w:rPr>
          <w:rStyle w:val="Refdenotaalpie"/>
          <w:rFonts w:ascii="Arial Narrow" w:hAnsi="Arial Narrow" w:cs="Arial"/>
          <w:lang w:val="es-US" w:eastAsia="es-CO"/>
        </w:rPr>
        <w:footnoteReference w:id="1"/>
      </w:r>
      <w:r w:rsidRPr="009832BA">
        <w:rPr>
          <w:rFonts w:ascii="Arial Narrow" w:hAnsi="Arial Narrow" w:cs="Arial"/>
          <w:lang w:val="es-US" w:eastAsia="es-CO"/>
        </w:rPr>
        <w:t xml:space="preserve"> </w:t>
      </w:r>
    </w:p>
    <w:p w14:paraId="1B64816F" w14:textId="726C4751" w:rsidR="0069557F" w:rsidRPr="009832BA" w:rsidRDefault="0069557F" w:rsidP="007330BF">
      <w:pPr>
        <w:numPr>
          <w:ilvl w:val="0"/>
          <w:numId w:val="5"/>
        </w:numPr>
        <w:spacing w:before="0" w:after="0" w:line="276" w:lineRule="auto"/>
        <w:ind w:left="630" w:hanging="284"/>
        <w:rPr>
          <w:rFonts w:ascii="Arial Narrow" w:hAnsi="Arial Narrow" w:cs="Arial"/>
          <w:bCs/>
          <w:color w:val="000000"/>
          <w:lang w:val="es-US"/>
        </w:rPr>
      </w:pPr>
      <w:r w:rsidRPr="009832BA">
        <w:rPr>
          <w:rFonts w:ascii="Arial Narrow" w:hAnsi="Arial Narrow" w:cs="Arial"/>
          <w:b/>
          <w:color w:val="000000"/>
          <w:lang w:val="es-US"/>
        </w:rPr>
        <w:t>Nivel de endeudamiento:</w:t>
      </w:r>
      <w:r w:rsidRPr="009832BA">
        <w:rPr>
          <w:rFonts w:ascii="Arial Narrow" w:hAnsi="Arial Narrow" w:cs="Arial"/>
          <w:bCs/>
          <w:color w:val="000000"/>
          <w:lang w:val="es-US"/>
        </w:rPr>
        <w:t xml:space="preserve"> El nivel de endeudamiento (NDE, Pasivo total/Activo total) indica el grado de apalancamiento de la compañía o la participación de los acreedores sobre los activos de la compañía.</w:t>
      </w:r>
    </w:p>
    <w:p w14:paraId="79C6345F" w14:textId="28A713BC" w:rsidR="0069557F" w:rsidRPr="009832BA" w:rsidRDefault="0069557F" w:rsidP="007330BF">
      <w:pPr>
        <w:numPr>
          <w:ilvl w:val="0"/>
          <w:numId w:val="5"/>
        </w:numPr>
        <w:spacing w:before="0" w:after="0" w:line="276" w:lineRule="auto"/>
        <w:ind w:left="630" w:hanging="284"/>
        <w:rPr>
          <w:rFonts w:ascii="Arial Narrow" w:hAnsi="Arial Narrow" w:cs="Arial"/>
          <w:bCs/>
          <w:color w:val="000000"/>
          <w:lang w:val="es-US"/>
        </w:rPr>
      </w:pPr>
      <w:r w:rsidRPr="009832BA">
        <w:rPr>
          <w:rFonts w:ascii="Arial Narrow" w:hAnsi="Arial Narrow" w:cs="Arial"/>
          <w:b/>
          <w:color w:val="000000"/>
          <w:lang w:val="es-US"/>
        </w:rPr>
        <w:t>Razón de Cobertura de Intereses:</w:t>
      </w:r>
      <w:r w:rsidRPr="009832BA">
        <w:rPr>
          <w:rFonts w:ascii="Arial Narrow" w:hAnsi="Arial Narrow" w:cs="Arial"/>
          <w:bCs/>
          <w:color w:val="000000"/>
          <w:lang w:val="es-US"/>
        </w:rPr>
        <w:t xml:space="preserve"> Este indicador establece una relación entre las utilidades operacionales de la empresa y los gastos por intereses, los cuales están, a su vez, directamente relacionados con el NDE. Se verifica la capacidad de la empresa para realizar los pagos de intereses. La razón de cobertura de intereses se calcula mediante la fórmula RCI = Utilidad Operacional/Gastos de intereses.</w:t>
      </w:r>
    </w:p>
    <w:p w14:paraId="43D4116E" w14:textId="77777777" w:rsidR="0069557F" w:rsidRPr="009832BA" w:rsidRDefault="0069557F" w:rsidP="007330BF">
      <w:pPr>
        <w:numPr>
          <w:ilvl w:val="0"/>
          <w:numId w:val="5"/>
        </w:numPr>
        <w:spacing w:before="0" w:after="0" w:line="276" w:lineRule="auto"/>
        <w:ind w:left="630" w:hanging="284"/>
        <w:rPr>
          <w:rFonts w:ascii="Arial Narrow" w:hAnsi="Arial Narrow" w:cs="Arial"/>
          <w:color w:val="000000" w:themeColor="text1"/>
          <w:lang w:val="es-US"/>
        </w:rPr>
      </w:pPr>
      <w:r w:rsidRPr="009832BA">
        <w:rPr>
          <w:rFonts w:ascii="Arial Narrow" w:hAnsi="Arial Narrow" w:cs="Arial"/>
          <w:b/>
          <w:bCs/>
          <w:color w:val="000000" w:themeColor="text1"/>
          <w:lang w:val="es-US"/>
        </w:rPr>
        <w:t>Capital de Trabajo:</w:t>
      </w:r>
      <w:r w:rsidRPr="009832BA">
        <w:rPr>
          <w:rFonts w:ascii="Arial Narrow" w:hAnsi="Arial Narrow" w:cs="Arial"/>
          <w:color w:val="000000" w:themeColor="text1"/>
          <w:lang w:val="es-US"/>
        </w:rPr>
        <w:t xml:space="preserve"> Representa, en términos absolutos, la liquidez operativa de la empresa, es decir, la capacidad de una compañía para llevar a cabo sus actividades con normalidad en el corto plazo (menor a un año). Resulta de restarle al pasivo corriente los activos corrientes. Contar con capital de trabajo positivo favorece el desarrollo eficiente del objeto social de una compañía.</w:t>
      </w:r>
    </w:p>
    <w:p w14:paraId="5DB07D86" w14:textId="77777777" w:rsidR="0069557F" w:rsidRPr="009832BA" w:rsidRDefault="0069557F" w:rsidP="001855D1">
      <w:pPr>
        <w:pStyle w:val="Prrafodelista"/>
        <w:spacing w:before="0" w:after="0" w:line="276" w:lineRule="auto"/>
        <w:ind w:left="284"/>
        <w:contextualSpacing w:val="0"/>
        <w:rPr>
          <w:rFonts w:ascii="Arial Narrow" w:hAnsi="Arial Narrow" w:cs="Arial"/>
          <w:b/>
          <w:bCs/>
          <w:color w:val="000000"/>
          <w:lang w:val="es-US"/>
        </w:rPr>
      </w:pPr>
    </w:p>
    <w:p w14:paraId="4EF8D5BB" w14:textId="4E7AF25B" w:rsidR="0069557F" w:rsidRPr="001D51C8" w:rsidRDefault="0069557F" w:rsidP="001855D1">
      <w:pPr>
        <w:pStyle w:val="Prrafodelista"/>
        <w:numPr>
          <w:ilvl w:val="0"/>
          <w:numId w:val="6"/>
        </w:numPr>
        <w:spacing w:before="0" w:after="0" w:line="276" w:lineRule="auto"/>
        <w:ind w:left="284" w:hanging="284"/>
        <w:contextualSpacing w:val="0"/>
        <w:rPr>
          <w:rFonts w:ascii="Arial Narrow" w:hAnsi="Arial Narrow" w:cs="Arial"/>
          <w:b/>
          <w:bCs/>
          <w:color w:val="000000"/>
          <w:lang w:val="es-US"/>
        </w:rPr>
      </w:pPr>
      <w:r w:rsidRPr="009832BA">
        <w:rPr>
          <w:rFonts w:ascii="Arial Narrow" w:hAnsi="Arial Narrow" w:cs="Arial"/>
          <w:b/>
          <w:bCs/>
          <w:color w:val="000000"/>
          <w:lang w:val="es-US"/>
        </w:rPr>
        <w:t xml:space="preserve">Capacidad Organizacional: </w:t>
      </w:r>
      <w:r w:rsidRPr="009832BA">
        <w:rPr>
          <w:rFonts w:ascii="Arial Narrow" w:hAnsi="Arial Narrow" w:cs="Arial"/>
          <w:bCs/>
          <w:color w:val="000000"/>
          <w:lang w:val="es-US"/>
        </w:rPr>
        <w:t>los siguientes indicadores miden el rendimiento de las inversiones y la eficiencia en el uso de activos del interesado:</w:t>
      </w:r>
    </w:p>
    <w:p w14:paraId="0FC6FD6C" w14:textId="77777777" w:rsidR="001D51C8" w:rsidRPr="009832BA" w:rsidRDefault="001D51C8" w:rsidP="001D51C8">
      <w:pPr>
        <w:pStyle w:val="Prrafodelista"/>
        <w:spacing w:before="0" w:after="0" w:line="276" w:lineRule="auto"/>
        <w:ind w:left="284"/>
        <w:contextualSpacing w:val="0"/>
        <w:rPr>
          <w:rFonts w:ascii="Arial Narrow" w:hAnsi="Arial Narrow" w:cs="Arial"/>
          <w:b/>
          <w:bCs/>
          <w:color w:val="000000"/>
          <w:lang w:val="es-US"/>
        </w:rPr>
      </w:pPr>
    </w:p>
    <w:p w14:paraId="2F2D5607" w14:textId="1E5AD666" w:rsidR="0069557F" w:rsidRPr="009832BA" w:rsidRDefault="0069557F" w:rsidP="007330BF">
      <w:pPr>
        <w:pStyle w:val="Prrafodelista"/>
        <w:numPr>
          <w:ilvl w:val="0"/>
          <w:numId w:val="5"/>
        </w:numPr>
        <w:spacing w:before="0" w:after="0" w:line="276" w:lineRule="auto"/>
        <w:ind w:left="720" w:hanging="284"/>
        <w:contextualSpacing w:val="0"/>
        <w:rPr>
          <w:rFonts w:ascii="Arial Narrow" w:hAnsi="Arial Narrow" w:cs="Arial"/>
          <w:bCs/>
          <w:i/>
          <w:color w:val="000000"/>
          <w:lang w:val="es-US"/>
        </w:rPr>
      </w:pPr>
      <w:r w:rsidRPr="009832BA">
        <w:rPr>
          <w:rFonts w:ascii="Arial Narrow" w:hAnsi="Arial Narrow" w:cs="Arial"/>
          <w:b/>
          <w:color w:val="000000"/>
          <w:lang w:val="es-US"/>
        </w:rPr>
        <w:t>Rentabilidad del Patrimonio:</w:t>
      </w:r>
      <w:r w:rsidRPr="009832BA">
        <w:rPr>
          <w:rFonts w:ascii="Arial Narrow" w:hAnsi="Arial Narrow" w:cs="Arial"/>
          <w:b/>
          <w:bCs/>
          <w:color w:val="000000"/>
          <w:lang w:val="es-US"/>
        </w:rPr>
        <w:t xml:space="preserve"> </w:t>
      </w:r>
      <w:r w:rsidRPr="009832BA">
        <w:rPr>
          <w:rFonts w:ascii="Arial Narrow" w:hAnsi="Arial Narrow" w:cs="Arial"/>
          <w:bCs/>
          <w:color w:val="000000"/>
          <w:lang w:val="es-US"/>
        </w:rPr>
        <w:t xml:space="preserve">La rentabilidad del patrimonio (ROE = Utilidad Operacional/Patrimonio), </w:t>
      </w:r>
      <w:r w:rsidRPr="009832BA">
        <w:rPr>
          <w:rFonts w:ascii="Arial Narrow" w:hAnsi="Arial Narrow" w:cs="Arial"/>
          <w:bCs/>
          <w:i/>
          <w:color w:val="000000"/>
          <w:lang w:val="es-US"/>
        </w:rPr>
        <w:t xml:space="preserve">“permite identificar la rentabilidad que le ofrece a los socios o accionistas el capital que han invertido en la </w:t>
      </w:r>
      <w:r w:rsidRPr="009832BA">
        <w:rPr>
          <w:rFonts w:ascii="Arial Narrow" w:hAnsi="Arial Narrow" w:cs="Arial"/>
          <w:bCs/>
          <w:i/>
          <w:color w:val="000000"/>
          <w:lang w:val="es-US"/>
        </w:rPr>
        <w:lastRenderedPageBreak/>
        <w:t>empresa, sin tomar en cuenta la diferencia que existe entre este indicador y la rentabilidad financiera, para conocer cuál es el impacto de los gastos financieros e impuestos de la rentabilidad de los accionistas.”</w:t>
      </w:r>
      <w:r w:rsidRPr="009832BA">
        <w:rPr>
          <w:rStyle w:val="Refdenotaalpie"/>
          <w:rFonts w:ascii="Arial Narrow" w:hAnsi="Arial Narrow" w:cs="Arial"/>
          <w:bCs/>
          <w:i/>
          <w:color w:val="000000"/>
          <w:lang w:val="es-US"/>
        </w:rPr>
        <w:footnoteReference w:id="2"/>
      </w:r>
    </w:p>
    <w:p w14:paraId="794A28E0" w14:textId="77777777" w:rsidR="0069557F" w:rsidRPr="009832BA" w:rsidRDefault="0069557F" w:rsidP="007330BF">
      <w:pPr>
        <w:numPr>
          <w:ilvl w:val="0"/>
          <w:numId w:val="5"/>
        </w:numPr>
        <w:spacing w:before="0" w:after="0" w:line="276" w:lineRule="auto"/>
        <w:ind w:left="720" w:hanging="284"/>
        <w:rPr>
          <w:rFonts w:ascii="Arial Narrow" w:hAnsi="Arial Narrow" w:cs="Arial"/>
          <w:b/>
          <w:bCs/>
          <w:i/>
          <w:color w:val="000000"/>
          <w:lang w:val="es-US"/>
        </w:rPr>
      </w:pPr>
      <w:r w:rsidRPr="009832BA">
        <w:rPr>
          <w:rFonts w:ascii="Arial Narrow" w:hAnsi="Arial Narrow" w:cs="Arial"/>
          <w:b/>
          <w:color w:val="000000"/>
          <w:lang w:val="es-US"/>
        </w:rPr>
        <w:t>Rentabilidad del activo:</w:t>
      </w:r>
      <w:r w:rsidRPr="009832BA">
        <w:rPr>
          <w:rFonts w:ascii="Arial Narrow" w:hAnsi="Arial Narrow" w:cs="Arial"/>
          <w:b/>
          <w:bCs/>
          <w:color w:val="000000"/>
          <w:lang w:val="es-US"/>
        </w:rPr>
        <w:t xml:space="preserve"> </w:t>
      </w:r>
      <w:r w:rsidRPr="009832BA">
        <w:rPr>
          <w:rFonts w:ascii="Arial Narrow" w:hAnsi="Arial Narrow" w:cs="Arial"/>
          <w:bCs/>
          <w:color w:val="000000"/>
          <w:lang w:val="es-US"/>
        </w:rPr>
        <w:t>La rentabilidad del activo (ROA = Utilidad Operacional/Activo Total), “</w:t>
      </w:r>
      <w:r w:rsidRPr="009832BA">
        <w:rPr>
          <w:rFonts w:ascii="Arial Narrow" w:hAnsi="Arial Narrow" w:cs="Arial"/>
          <w:bCs/>
          <w:i/>
          <w:color w:val="000000"/>
          <w:lang w:val="es-US"/>
        </w:rPr>
        <w:t>se considera como una medida de la capacidad de los activos de una empresa para generar valor con independencia, es un indicador para juzgar la eficiencia en la Gestión Empresarial, pues es precisamente el comportamiento de los activos con independencia de su financiación, el que determina con carácter general que una empresa sea o no rentable en términos económicos.”</w:t>
      </w:r>
      <w:r w:rsidRPr="009832BA">
        <w:rPr>
          <w:rStyle w:val="Refdenotaalpie"/>
          <w:rFonts w:ascii="Arial Narrow" w:hAnsi="Arial Narrow" w:cs="Arial"/>
          <w:bCs/>
          <w:i/>
          <w:color w:val="000000"/>
          <w:lang w:val="es-US"/>
        </w:rPr>
        <w:footnoteReference w:id="3"/>
      </w:r>
      <w:r w:rsidRPr="009832BA">
        <w:rPr>
          <w:rFonts w:ascii="Arial Narrow" w:hAnsi="Arial Narrow" w:cs="Arial"/>
          <w:bCs/>
          <w:i/>
          <w:color w:val="000000"/>
          <w:lang w:val="es-US"/>
        </w:rPr>
        <w:t xml:space="preserve"> </w:t>
      </w:r>
    </w:p>
    <w:p w14:paraId="6FDEB78C" w14:textId="1A1D40B6" w:rsidR="006756CC" w:rsidRPr="009832BA" w:rsidRDefault="006756CC" w:rsidP="001855D1">
      <w:pPr>
        <w:pStyle w:val="Ttulo2"/>
        <w:spacing w:after="100" w:afterAutospacing="1" w:line="276" w:lineRule="auto"/>
        <w:contextualSpacing/>
        <w:rPr>
          <w:rFonts w:ascii="Arial Narrow" w:eastAsia="Calibri" w:hAnsi="Arial Narrow" w:cs="Arial"/>
          <w:sz w:val="22"/>
          <w:szCs w:val="22"/>
          <w:lang w:val="es-US"/>
        </w:rPr>
      </w:pPr>
      <w:r w:rsidRPr="009832BA">
        <w:rPr>
          <w:rFonts w:ascii="Arial Narrow" w:hAnsi="Arial Narrow" w:cs="Arial"/>
          <w:sz w:val="22"/>
          <w:szCs w:val="22"/>
          <w:lang w:val="es-US"/>
        </w:rPr>
        <w:t>FUENTES DE INFORMACIÓN PARA LOS INDICADORES Y DE EFICIENCIA DE LAS ORGANIZACIONES.</w:t>
      </w:r>
    </w:p>
    <w:p w14:paraId="50C4BC02" w14:textId="77777777" w:rsidR="0069557F" w:rsidRPr="009832BA" w:rsidRDefault="0069557F" w:rsidP="001855D1">
      <w:pPr>
        <w:pStyle w:val="Sinespaciado"/>
        <w:spacing w:line="276" w:lineRule="auto"/>
        <w:rPr>
          <w:rFonts w:ascii="Arial Narrow" w:hAnsi="Arial Narrow" w:cs="Arial"/>
          <w:sz w:val="22"/>
          <w:szCs w:val="22"/>
          <w:lang w:val="es-US" w:eastAsia="es-CO"/>
        </w:rPr>
      </w:pPr>
      <w:r w:rsidRPr="009832BA">
        <w:rPr>
          <w:rFonts w:ascii="Arial Narrow" w:hAnsi="Arial Narrow" w:cs="Arial"/>
          <w:sz w:val="22"/>
          <w:szCs w:val="22"/>
          <w:lang w:val="es-US" w:eastAsia="es-CO"/>
        </w:rPr>
        <w:t>Con el fin de que los indicadores financieros mínimos habilitantes se ajusten al sector específico del bien o servicio a adquirir, a continuación, se analizan los índices financieros de empresas del sector relativo al objeto de la contratación.</w:t>
      </w:r>
    </w:p>
    <w:p w14:paraId="266D6827" w14:textId="77777777" w:rsidR="0069557F" w:rsidRPr="009832BA" w:rsidRDefault="0069557F" w:rsidP="001855D1">
      <w:pPr>
        <w:pStyle w:val="Sinespaciado"/>
        <w:spacing w:line="276" w:lineRule="auto"/>
        <w:rPr>
          <w:rFonts w:ascii="Arial Narrow" w:hAnsi="Arial Narrow" w:cs="Arial"/>
          <w:sz w:val="22"/>
          <w:szCs w:val="22"/>
          <w:lang w:val="es-US" w:eastAsia="es-CO"/>
        </w:rPr>
      </w:pPr>
    </w:p>
    <w:p w14:paraId="4E416853" w14:textId="52E30798" w:rsidR="0069557F" w:rsidRPr="009832BA" w:rsidRDefault="0069557F" w:rsidP="001855D1">
      <w:pPr>
        <w:pStyle w:val="Sinespaciado"/>
        <w:spacing w:line="276" w:lineRule="auto"/>
        <w:rPr>
          <w:rFonts w:ascii="Arial Narrow" w:hAnsi="Arial Narrow" w:cs="Arial"/>
          <w:color w:val="000000" w:themeColor="text1"/>
          <w:sz w:val="22"/>
          <w:szCs w:val="22"/>
          <w:lang w:val="es-US" w:eastAsia="es-CO"/>
        </w:rPr>
      </w:pPr>
      <w:r w:rsidRPr="009832BA">
        <w:rPr>
          <w:rFonts w:ascii="Arial Narrow" w:hAnsi="Arial Narrow" w:cs="Arial"/>
          <w:color w:val="000000" w:themeColor="text1"/>
          <w:sz w:val="22"/>
          <w:szCs w:val="22"/>
          <w:lang w:val="es-US" w:eastAsia="es-CO"/>
        </w:rPr>
        <w:t>Para obtener información de referencia para establecer los indicadores financieros se realizaron búsquedas de las empresas del sector y de procesos similares en las siguientes bases de datos públicas que contienen la información de los estados financieros de las empresas del sector y los indicadores solicitados en procesos similares:</w:t>
      </w:r>
    </w:p>
    <w:p w14:paraId="68EE3402" w14:textId="77777777" w:rsidR="007330BF" w:rsidRPr="009832BA" w:rsidRDefault="007330BF" w:rsidP="001855D1">
      <w:pPr>
        <w:pStyle w:val="Sinespaciado"/>
        <w:spacing w:line="276" w:lineRule="auto"/>
        <w:rPr>
          <w:rFonts w:ascii="Arial Narrow" w:hAnsi="Arial Narrow" w:cs="Arial"/>
          <w:color w:val="000000" w:themeColor="text1"/>
          <w:sz w:val="22"/>
          <w:szCs w:val="22"/>
          <w:lang w:val="es-US" w:eastAsia="es-CO"/>
        </w:rPr>
      </w:pPr>
    </w:p>
    <w:p w14:paraId="14DE6C93" w14:textId="14D1EEA8" w:rsidR="0020186D" w:rsidRPr="009832BA" w:rsidRDefault="0069557F" w:rsidP="007330BF">
      <w:pPr>
        <w:pStyle w:val="Prrafodelista"/>
        <w:numPr>
          <w:ilvl w:val="0"/>
          <w:numId w:val="3"/>
        </w:numPr>
        <w:tabs>
          <w:tab w:val="left" w:pos="2390"/>
        </w:tabs>
        <w:spacing w:before="0" w:line="276" w:lineRule="auto"/>
        <w:ind w:left="284" w:hanging="284"/>
        <w:rPr>
          <w:rFonts w:ascii="Arial Narrow" w:hAnsi="Arial Narrow" w:cs="Arial"/>
          <w:lang w:val="es-US"/>
        </w:rPr>
      </w:pPr>
      <w:r w:rsidRPr="009832BA">
        <w:rPr>
          <w:rFonts w:ascii="Arial Narrow" w:hAnsi="Arial Narrow" w:cs="Arial"/>
          <w:lang w:val="es-US"/>
        </w:rPr>
        <w:t xml:space="preserve">Sistema Integrado de Información Societario </w:t>
      </w:r>
      <w:r w:rsidR="0020186D" w:rsidRPr="009832BA">
        <w:rPr>
          <w:rFonts w:ascii="Arial Narrow" w:hAnsi="Arial Narrow" w:cs="Arial"/>
          <w:lang w:val="es-US"/>
        </w:rPr>
        <w:t xml:space="preserve">de la Superintendencia de Sociedades, con la cual se busca identificar empresas que reportan información financiera acorde con la actividad y el objeto a contratar. </w:t>
      </w:r>
      <w:r w:rsidRPr="009832BA">
        <w:rPr>
          <w:rFonts w:ascii="Arial Narrow" w:hAnsi="Arial Narrow" w:cs="Arial"/>
          <w:lang w:val="es-US"/>
        </w:rPr>
        <w:t>S</w:t>
      </w:r>
      <w:r w:rsidR="0020186D" w:rsidRPr="009832BA">
        <w:rPr>
          <w:rFonts w:ascii="Arial Narrow" w:hAnsi="Arial Narrow" w:cs="Arial"/>
          <w:lang w:val="es-US"/>
        </w:rPr>
        <w:t>e utiliz</w:t>
      </w:r>
      <w:r w:rsidRPr="009832BA">
        <w:rPr>
          <w:rFonts w:ascii="Arial Narrow" w:hAnsi="Arial Narrow" w:cs="Arial"/>
          <w:lang w:val="es-US"/>
        </w:rPr>
        <w:t>aron los</w:t>
      </w:r>
      <w:r w:rsidR="0020186D" w:rsidRPr="009832BA">
        <w:rPr>
          <w:rFonts w:ascii="Arial Narrow" w:hAnsi="Arial Narrow" w:cs="Arial"/>
          <w:lang w:val="es-US"/>
        </w:rPr>
        <w:t xml:space="preserve"> código</w:t>
      </w:r>
      <w:r w:rsidRPr="009832BA">
        <w:rPr>
          <w:rFonts w:ascii="Arial Narrow" w:hAnsi="Arial Narrow" w:cs="Arial"/>
          <w:lang w:val="es-US"/>
        </w:rPr>
        <w:t>s</w:t>
      </w:r>
      <w:r w:rsidR="0020186D" w:rsidRPr="009832BA">
        <w:rPr>
          <w:rFonts w:ascii="Arial Narrow" w:hAnsi="Arial Narrow" w:cs="Arial"/>
          <w:lang w:val="es-US"/>
        </w:rPr>
        <w:t xml:space="preserve"> de la Clasificación Industrial Internacional Uniforme de todas las actividades económicas – CIIU, </w:t>
      </w:r>
      <w:r w:rsidRPr="009832BA">
        <w:rPr>
          <w:rFonts w:ascii="Arial Narrow" w:hAnsi="Arial Narrow" w:cs="Arial"/>
          <w:lang w:val="es-US"/>
        </w:rPr>
        <w:t>que están asociadas con el servicio a contratar.</w:t>
      </w:r>
    </w:p>
    <w:p w14:paraId="3DAF8BAC" w14:textId="3D820A87" w:rsidR="00141394" w:rsidRPr="009832BA" w:rsidRDefault="00141394" w:rsidP="001855D1">
      <w:pPr>
        <w:pStyle w:val="Prrafodelista"/>
        <w:numPr>
          <w:ilvl w:val="0"/>
          <w:numId w:val="3"/>
        </w:numPr>
        <w:tabs>
          <w:tab w:val="left" w:pos="2390"/>
        </w:tabs>
        <w:spacing w:line="276" w:lineRule="auto"/>
        <w:ind w:left="284" w:hanging="284"/>
        <w:rPr>
          <w:rFonts w:ascii="Arial Narrow" w:hAnsi="Arial Narrow" w:cs="Arial"/>
          <w:lang w:val="es-US"/>
        </w:rPr>
      </w:pPr>
      <w:r w:rsidRPr="009832BA">
        <w:rPr>
          <w:rFonts w:ascii="Arial Narrow" w:hAnsi="Arial Narrow" w:cs="Arial"/>
          <w:lang w:val="es-US"/>
        </w:rPr>
        <w:t>Los indicadores de capacidad financiera y capacidad organizacional requeridos por otras entidades en procesos de contratación publicados en el SECOP II con objeto similar al presente proceso.</w:t>
      </w:r>
    </w:p>
    <w:p w14:paraId="0EE7CBA4" w14:textId="77777777" w:rsidR="00D4294D" w:rsidRPr="009832BA" w:rsidRDefault="00D4294D" w:rsidP="001855D1">
      <w:pPr>
        <w:pStyle w:val="Prrafodelista"/>
        <w:tabs>
          <w:tab w:val="left" w:pos="2390"/>
        </w:tabs>
        <w:spacing w:after="0" w:line="276" w:lineRule="auto"/>
        <w:rPr>
          <w:rFonts w:ascii="Arial Narrow" w:hAnsi="Arial Narrow" w:cs="Arial"/>
          <w:lang w:val="es-US"/>
        </w:rPr>
      </w:pPr>
    </w:p>
    <w:p w14:paraId="1D1E59EE" w14:textId="30689887" w:rsidR="006756CC" w:rsidRPr="009832BA" w:rsidRDefault="006756CC" w:rsidP="001855D1">
      <w:pPr>
        <w:pStyle w:val="Ttulo2"/>
        <w:numPr>
          <w:ilvl w:val="0"/>
          <w:numId w:val="2"/>
        </w:numPr>
        <w:spacing w:before="0" w:after="100" w:afterAutospacing="1" w:line="276" w:lineRule="auto"/>
        <w:ind w:left="284" w:hanging="284"/>
        <w:contextualSpacing/>
        <w:rPr>
          <w:rFonts w:ascii="Arial Narrow" w:hAnsi="Arial Narrow" w:cs="Arial"/>
          <w:sz w:val="22"/>
          <w:szCs w:val="22"/>
          <w:lang w:val="es-US" w:eastAsia="es-ES"/>
        </w:rPr>
      </w:pPr>
      <w:r w:rsidRPr="009832BA">
        <w:rPr>
          <w:rFonts w:ascii="Arial Narrow" w:hAnsi="Arial Narrow" w:cs="Arial"/>
          <w:sz w:val="22"/>
          <w:szCs w:val="22"/>
          <w:lang w:val="es-US" w:eastAsia="es-ES"/>
        </w:rPr>
        <w:t>INFORMACIÓN FINANCIERA Y ORGANIZACIONAL REPORTADA EN LA SUPERINTENDENCIA DE SOCIEDADES.</w:t>
      </w:r>
    </w:p>
    <w:p w14:paraId="6AE99E4B" w14:textId="55EF7A66" w:rsidR="00C6358F" w:rsidRPr="009832BA" w:rsidRDefault="00C6358F" w:rsidP="001855D1">
      <w:pPr>
        <w:tabs>
          <w:tab w:val="left" w:pos="2390"/>
        </w:tabs>
        <w:spacing w:line="276" w:lineRule="auto"/>
        <w:rPr>
          <w:rFonts w:ascii="Arial Narrow" w:hAnsi="Arial Narrow" w:cs="Arial"/>
          <w:lang w:val="es-US"/>
        </w:rPr>
      </w:pPr>
      <w:r w:rsidRPr="009832BA">
        <w:rPr>
          <w:rFonts w:ascii="Arial Narrow" w:hAnsi="Arial Narrow" w:cs="Arial"/>
          <w:lang w:val="es-US"/>
        </w:rPr>
        <w:t>La caracterización del sector se realizó con la información reportada por las empresas a la Superintendencia de Sociedades</w:t>
      </w:r>
      <w:r w:rsidR="00D33ACA" w:rsidRPr="009832BA">
        <w:rPr>
          <w:rFonts w:ascii="Arial Narrow" w:hAnsi="Arial Narrow" w:cs="Arial"/>
          <w:lang w:val="es-US"/>
        </w:rPr>
        <w:t xml:space="preserve">. Se analizaron los indicadores financieros teniendo en cuenta la Clasificación Industrial Internacional Uniforme de todas las actividades económicas, revisión cuarta, (CIIU Rev. 4 A.C), adaptada para Colombia por el DANE, las empresas cuya actividad económica están incluidas en el </w:t>
      </w:r>
      <w:r w:rsidR="00F94C6D" w:rsidRPr="009832BA">
        <w:rPr>
          <w:rFonts w:ascii="Arial Narrow" w:hAnsi="Arial Narrow" w:cs="Arial"/>
          <w:lang w:val="es-US"/>
        </w:rPr>
        <w:t xml:space="preserve">presente </w:t>
      </w:r>
      <w:r w:rsidR="00D33ACA" w:rsidRPr="009832BA">
        <w:rPr>
          <w:rFonts w:ascii="Arial Narrow" w:hAnsi="Arial Narrow" w:cs="Arial"/>
          <w:lang w:val="es-US"/>
        </w:rPr>
        <w:t>sector</w:t>
      </w:r>
      <w:r w:rsidR="00F94C6D" w:rsidRPr="009832BA">
        <w:rPr>
          <w:rFonts w:ascii="Arial Narrow" w:hAnsi="Arial Narrow" w:cs="Arial"/>
          <w:lang w:val="es-US"/>
        </w:rPr>
        <w:t xml:space="preserve"> de análisis,</w:t>
      </w:r>
      <w:r w:rsidR="00D33ACA" w:rsidRPr="009832BA">
        <w:rPr>
          <w:rFonts w:ascii="Arial Narrow" w:hAnsi="Arial Narrow" w:cs="Arial"/>
          <w:lang w:val="es-US"/>
        </w:rPr>
        <w:t xml:space="preserve"> se encuen</w:t>
      </w:r>
      <w:r w:rsidR="00F94C6D" w:rsidRPr="009832BA">
        <w:rPr>
          <w:rFonts w:ascii="Arial Narrow" w:hAnsi="Arial Narrow" w:cs="Arial"/>
          <w:lang w:val="es-US"/>
        </w:rPr>
        <w:t xml:space="preserve">tran en </w:t>
      </w:r>
      <w:r w:rsidR="002A11B1" w:rsidRPr="009832BA">
        <w:rPr>
          <w:rFonts w:ascii="Arial Narrow" w:hAnsi="Arial Narrow" w:cs="Arial"/>
          <w:lang w:val="es-US"/>
        </w:rPr>
        <w:t>los siguientes</w:t>
      </w:r>
      <w:r w:rsidR="00D33ACA" w:rsidRPr="009832BA">
        <w:rPr>
          <w:rFonts w:ascii="Arial Narrow" w:hAnsi="Arial Narrow" w:cs="Arial"/>
          <w:lang w:val="es-US"/>
        </w:rPr>
        <w:t xml:space="preserve"> grupos y clases:</w:t>
      </w:r>
    </w:p>
    <w:tbl>
      <w:tblPr>
        <w:tblStyle w:val="Tablaconcuadrcula1clara"/>
        <w:tblW w:w="5000" w:type="pct"/>
        <w:jc w:val="center"/>
        <w:tblLook w:val="04A0" w:firstRow="1" w:lastRow="0" w:firstColumn="1" w:lastColumn="0" w:noHBand="0" w:noVBand="1"/>
      </w:tblPr>
      <w:tblGrid>
        <w:gridCol w:w="749"/>
        <w:gridCol w:w="8428"/>
      </w:tblGrid>
      <w:tr w:rsidR="00D33ACA" w:rsidRPr="009832BA" w14:paraId="49D24E0A" w14:textId="77777777" w:rsidTr="00C827AE">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000" w:type="pct"/>
            <w:gridSpan w:val="2"/>
          </w:tcPr>
          <w:p w14:paraId="7DDAB157" w14:textId="21143D41" w:rsidR="00D33ACA" w:rsidRPr="009832BA" w:rsidRDefault="00D33ACA" w:rsidP="001855D1">
            <w:pPr>
              <w:spacing w:before="0" w:after="0" w:line="276" w:lineRule="auto"/>
              <w:jc w:val="center"/>
              <w:rPr>
                <w:rFonts w:ascii="Arial Narrow" w:hAnsi="Arial Narrow" w:cs="Arial"/>
                <w:b w:val="0"/>
                <w:bCs w:val="0"/>
                <w:color w:val="000000"/>
                <w:sz w:val="20"/>
                <w:szCs w:val="20"/>
                <w:lang w:val="es-US" w:eastAsia="es-CO"/>
              </w:rPr>
            </w:pPr>
            <w:r w:rsidRPr="009832BA">
              <w:rPr>
                <w:rFonts w:ascii="Arial Narrow" w:hAnsi="Arial Narrow" w:cs="Arial"/>
                <w:color w:val="000000"/>
                <w:sz w:val="20"/>
                <w:szCs w:val="20"/>
                <w:lang w:val="es-US" w:eastAsia="es-CO"/>
              </w:rPr>
              <w:t>Clasificación CIIU Rev. 4 A.C</w:t>
            </w:r>
          </w:p>
        </w:tc>
      </w:tr>
      <w:tr w:rsidR="00BA032A" w:rsidRPr="009832BA" w14:paraId="4D1D6007" w14:textId="77777777" w:rsidTr="00C827AE">
        <w:trPr>
          <w:trHeight w:val="284"/>
          <w:jc w:val="center"/>
        </w:trPr>
        <w:tc>
          <w:tcPr>
            <w:cnfStyle w:val="001000000000" w:firstRow="0" w:lastRow="0" w:firstColumn="1" w:lastColumn="0" w:oddVBand="0" w:evenVBand="0" w:oddHBand="0" w:evenHBand="0" w:firstRowFirstColumn="0" w:firstRowLastColumn="0" w:lastRowFirstColumn="0" w:lastRowLastColumn="0"/>
            <w:tcW w:w="408" w:type="pct"/>
            <w:noWrap/>
          </w:tcPr>
          <w:p w14:paraId="47345C22" w14:textId="37FBC643" w:rsidR="00BA032A" w:rsidRPr="009832BA" w:rsidRDefault="006D0619" w:rsidP="00BA032A">
            <w:pPr>
              <w:spacing w:before="0" w:after="0" w:line="276" w:lineRule="auto"/>
              <w:jc w:val="center"/>
              <w:rPr>
                <w:rFonts w:ascii="Arial Narrow" w:hAnsi="Arial Narrow" w:cs="Arial"/>
                <w:bCs w:val="0"/>
                <w:color w:val="000000"/>
                <w:sz w:val="20"/>
                <w:szCs w:val="20"/>
                <w:lang w:val="es-US" w:eastAsia="es-CO"/>
              </w:rPr>
            </w:pPr>
            <w:r>
              <w:rPr>
                <w:rFonts w:ascii="Arial Narrow" w:hAnsi="Arial Narrow" w:cs="Arial"/>
                <w:color w:val="000000"/>
                <w:sz w:val="20"/>
                <w:szCs w:val="20"/>
                <w:lang w:val="es-US" w:eastAsia="es-CO"/>
              </w:rPr>
              <w:t>4921</w:t>
            </w:r>
          </w:p>
        </w:tc>
        <w:tc>
          <w:tcPr>
            <w:tcW w:w="4592" w:type="pct"/>
          </w:tcPr>
          <w:p w14:paraId="3EBF549A" w14:textId="3E073215" w:rsidR="00BA032A" w:rsidRPr="009832BA" w:rsidRDefault="001D51C8" w:rsidP="00BA032A">
            <w:pPr>
              <w:spacing w:before="0" w:after="0" w:line="276"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lang w:val="es-US" w:eastAsia="es-CO"/>
              </w:rPr>
            </w:pPr>
            <w:r w:rsidRPr="001D51C8">
              <w:rPr>
                <w:rFonts w:ascii="Arial Narrow" w:hAnsi="Arial Narrow" w:cs="Arial"/>
                <w:color w:val="000000"/>
                <w:sz w:val="20"/>
                <w:szCs w:val="20"/>
                <w:lang w:val="es-US" w:eastAsia="es-CO"/>
              </w:rPr>
              <w:t>Transporte terrestre público automotor</w:t>
            </w:r>
          </w:p>
        </w:tc>
      </w:tr>
    </w:tbl>
    <w:p w14:paraId="79EFA1C2" w14:textId="287B5B23" w:rsidR="00C6358F" w:rsidRPr="009832BA" w:rsidRDefault="00C6358F" w:rsidP="001855D1">
      <w:pPr>
        <w:tabs>
          <w:tab w:val="left" w:pos="2390"/>
        </w:tabs>
        <w:spacing w:line="276" w:lineRule="auto"/>
        <w:rPr>
          <w:rFonts w:ascii="Arial Narrow" w:hAnsi="Arial Narrow" w:cs="Arial"/>
          <w:lang w:val="es-US"/>
        </w:rPr>
      </w:pPr>
      <w:r w:rsidRPr="009832BA">
        <w:rPr>
          <w:rFonts w:ascii="Arial Narrow" w:hAnsi="Arial Narrow" w:cs="Arial"/>
          <w:lang w:val="es-US"/>
        </w:rPr>
        <w:t xml:space="preserve">Al respecto, para un total de </w:t>
      </w:r>
      <w:r w:rsidR="00801F23">
        <w:rPr>
          <w:rFonts w:ascii="Arial Narrow" w:hAnsi="Arial Narrow" w:cs="Arial"/>
          <w:lang w:val="es-US"/>
        </w:rPr>
        <w:t>46</w:t>
      </w:r>
      <w:r w:rsidRPr="009832BA">
        <w:rPr>
          <w:rFonts w:ascii="Arial Narrow" w:hAnsi="Arial Narrow" w:cs="Arial"/>
          <w:lang w:val="es-US"/>
        </w:rPr>
        <w:t xml:space="preserve"> empresas que hacen parte del sector identificado, se evidenciaron los siguientes resultados para cada indicador:</w:t>
      </w:r>
    </w:p>
    <w:p w14:paraId="7534F05F" w14:textId="77777777" w:rsidR="0003622C" w:rsidRPr="009832BA" w:rsidRDefault="0003622C" w:rsidP="00F6797F">
      <w:pPr>
        <w:tabs>
          <w:tab w:val="left" w:pos="2390"/>
        </w:tabs>
        <w:spacing w:after="0" w:line="276" w:lineRule="auto"/>
        <w:rPr>
          <w:rFonts w:ascii="Arial Narrow" w:hAnsi="Arial Narrow" w:cs="Arial"/>
          <w:lang w:val="es-US"/>
        </w:rPr>
      </w:pPr>
    </w:p>
    <w:p w14:paraId="1AC2A930" w14:textId="3364379A" w:rsidR="00C6358F" w:rsidRPr="009832BA" w:rsidRDefault="00C6358F" w:rsidP="001855D1">
      <w:pPr>
        <w:spacing w:after="100" w:afterAutospacing="1" w:line="276" w:lineRule="auto"/>
        <w:contextualSpacing/>
        <w:rPr>
          <w:rFonts w:ascii="Arial Narrow" w:hAnsi="Arial Narrow" w:cs="Arial"/>
          <w:b/>
          <w:u w:val="single"/>
          <w:lang w:val="es-US"/>
        </w:rPr>
      </w:pPr>
      <w:r w:rsidRPr="009832BA">
        <w:rPr>
          <w:rFonts w:ascii="Arial Narrow" w:hAnsi="Arial Narrow" w:cs="Arial"/>
          <w:b/>
          <w:u w:val="single"/>
          <w:lang w:val="es-US"/>
        </w:rPr>
        <w:t>Indicadores de Capacidad Financiera:</w:t>
      </w:r>
    </w:p>
    <w:p w14:paraId="0CAF6038" w14:textId="77777777" w:rsidR="003A3B4E" w:rsidRPr="009832BA" w:rsidRDefault="003A3B4E" w:rsidP="001855D1">
      <w:pPr>
        <w:spacing w:after="100" w:afterAutospacing="1" w:line="276" w:lineRule="auto"/>
        <w:contextualSpacing/>
        <w:rPr>
          <w:rFonts w:ascii="Arial Narrow" w:hAnsi="Arial Narrow" w:cs="Arial"/>
          <w:b/>
          <w:u w:val="single"/>
          <w:lang w:val="es-US"/>
        </w:rPr>
      </w:pPr>
    </w:p>
    <w:p w14:paraId="6727530B" w14:textId="4CFAAD14" w:rsidR="00C6358F" w:rsidRPr="009832BA" w:rsidRDefault="00C6358F" w:rsidP="001855D1">
      <w:pPr>
        <w:tabs>
          <w:tab w:val="left" w:pos="2390"/>
        </w:tabs>
        <w:spacing w:line="276" w:lineRule="auto"/>
        <w:rPr>
          <w:rFonts w:ascii="Arial Narrow" w:hAnsi="Arial Narrow" w:cs="Arial"/>
          <w:lang w:val="es-US"/>
        </w:rPr>
      </w:pPr>
      <w:r w:rsidRPr="009832BA">
        <w:rPr>
          <w:rFonts w:ascii="Arial Narrow" w:hAnsi="Arial Narrow" w:cs="Arial"/>
          <w:lang w:val="es-US"/>
        </w:rPr>
        <w:t>Í</w:t>
      </w:r>
      <w:r w:rsidRPr="009832BA">
        <w:rPr>
          <w:rFonts w:ascii="Arial Narrow" w:hAnsi="Arial Narrow" w:cs="Arial"/>
          <w:b/>
          <w:bCs/>
          <w:lang w:val="es-US"/>
        </w:rPr>
        <w:t xml:space="preserve">ndice de liquidez: </w:t>
      </w:r>
      <w:r w:rsidR="00B1137A" w:rsidRPr="009832BA">
        <w:rPr>
          <w:rFonts w:ascii="Arial Narrow" w:hAnsi="Arial Narrow" w:cs="Arial"/>
          <w:lang w:val="es-US"/>
        </w:rPr>
        <w:t>En el análisis de histograma se identifica</w:t>
      </w:r>
      <w:r w:rsidR="00CF1573">
        <w:rPr>
          <w:rFonts w:ascii="Arial Narrow" w:hAnsi="Arial Narrow" w:cs="Arial"/>
          <w:lang w:val="es-US"/>
        </w:rPr>
        <w:t xml:space="preserve"> que</w:t>
      </w:r>
      <w:r w:rsidR="00B1137A" w:rsidRPr="009832BA">
        <w:rPr>
          <w:rFonts w:ascii="Arial Narrow" w:hAnsi="Arial Narrow" w:cs="Arial"/>
          <w:lang w:val="es-US"/>
        </w:rPr>
        <w:t xml:space="preserve"> </w:t>
      </w:r>
      <w:r w:rsidR="006D421A" w:rsidRPr="009832BA">
        <w:rPr>
          <w:rFonts w:ascii="Arial Narrow" w:hAnsi="Arial Narrow" w:cs="Arial"/>
          <w:lang w:val="es-US"/>
        </w:rPr>
        <w:t xml:space="preserve">las empresas cuentan con una liquidez </w:t>
      </w:r>
      <w:r w:rsidR="00AD7096" w:rsidRPr="009832BA">
        <w:rPr>
          <w:rFonts w:ascii="Arial Narrow" w:hAnsi="Arial Narrow" w:cs="Arial"/>
          <w:lang w:val="es-US"/>
        </w:rPr>
        <w:t>mayor a</w:t>
      </w:r>
      <w:r w:rsidR="006D421A" w:rsidRPr="009832BA">
        <w:rPr>
          <w:rFonts w:ascii="Arial Narrow" w:hAnsi="Arial Narrow" w:cs="Arial"/>
          <w:lang w:val="es-US"/>
        </w:rPr>
        <w:t xml:space="preserve"> </w:t>
      </w:r>
      <w:r w:rsidR="001879A2" w:rsidRPr="009832BA">
        <w:rPr>
          <w:rFonts w:ascii="Arial Narrow" w:hAnsi="Arial Narrow" w:cs="Arial"/>
          <w:lang w:val="es-US"/>
        </w:rPr>
        <w:t>1</w:t>
      </w:r>
      <w:r w:rsidR="00EA48C8" w:rsidRPr="009832BA">
        <w:rPr>
          <w:rFonts w:ascii="Arial Narrow" w:hAnsi="Arial Narrow" w:cs="Arial"/>
          <w:lang w:val="es-US"/>
        </w:rPr>
        <w:t xml:space="preserve"> ve</w:t>
      </w:r>
      <w:r w:rsidR="001879A2" w:rsidRPr="009832BA">
        <w:rPr>
          <w:rFonts w:ascii="Arial Narrow" w:hAnsi="Arial Narrow" w:cs="Arial"/>
          <w:lang w:val="es-US"/>
        </w:rPr>
        <w:t xml:space="preserve">z y menor a </w:t>
      </w:r>
      <w:r w:rsidR="00673D7D">
        <w:rPr>
          <w:rFonts w:ascii="Arial Narrow" w:hAnsi="Arial Narrow" w:cs="Arial"/>
          <w:lang w:val="es-US"/>
        </w:rPr>
        <w:t>1</w:t>
      </w:r>
      <w:r w:rsidR="00AD5E53" w:rsidRPr="009832BA">
        <w:rPr>
          <w:rFonts w:ascii="Arial Narrow" w:hAnsi="Arial Narrow" w:cs="Arial"/>
          <w:lang w:val="es-US"/>
        </w:rPr>
        <w:t>,5</w:t>
      </w:r>
      <w:r w:rsidR="005955A7">
        <w:rPr>
          <w:rFonts w:ascii="Arial Narrow" w:hAnsi="Arial Narrow" w:cs="Arial"/>
          <w:lang w:val="es-US"/>
        </w:rPr>
        <w:t xml:space="preserve"> para el periodo actual</w:t>
      </w:r>
      <w:r w:rsidR="00673D7D">
        <w:rPr>
          <w:rFonts w:ascii="Arial Narrow" w:hAnsi="Arial Narrow" w:cs="Arial"/>
          <w:lang w:val="es-US"/>
        </w:rPr>
        <w:t>;</w:t>
      </w:r>
      <w:r w:rsidR="005955A7">
        <w:rPr>
          <w:rFonts w:ascii="Arial Narrow" w:hAnsi="Arial Narrow" w:cs="Arial"/>
          <w:lang w:val="es-US"/>
        </w:rPr>
        <w:t xml:space="preserve"> y para el periodo anterior</w:t>
      </w:r>
      <w:r w:rsidR="00673D7D">
        <w:rPr>
          <w:rFonts w:ascii="Arial Narrow" w:hAnsi="Arial Narrow" w:cs="Arial"/>
          <w:lang w:val="es-US"/>
        </w:rPr>
        <w:t xml:space="preserve"> se encuentra entre 1,5 y 2,5</w:t>
      </w:r>
      <w:r w:rsidR="007964A6" w:rsidRPr="009832BA">
        <w:rPr>
          <w:rFonts w:ascii="Arial Narrow" w:hAnsi="Arial Narrow" w:cs="Arial"/>
          <w:lang w:val="es-US"/>
        </w:rPr>
        <w:t>. Del análisis de histogramas</w:t>
      </w:r>
      <w:r w:rsidR="006D421A" w:rsidRPr="009832BA">
        <w:rPr>
          <w:rFonts w:ascii="Arial Narrow" w:hAnsi="Arial Narrow" w:cs="Arial"/>
          <w:lang w:val="es-US"/>
        </w:rPr>
        <w:t xml:space="preserve"> se puede identificar que pocas empresas del sector cuentan con indicadores menores a 1 vez, lo</w:t>
      </w:r>
      <w:r w:rsidR="00B1137A" w:rsidRPr="009832BA">
        <w:rPr>
          <w:rFonts w:ascii="Arial Narrow" w:hAnsi="Arial Narrow" w:cs="Arial"/>
          <w:lang w:val="es-US"/>
        </w:rPr>
        <w:t xml:space="preserve"> cual permite identificar que el sector cuenta con una liquidez sólida, como se muestra a continuación:</w:t>
      </w:r>
    </w:p>
    <w:p w14:paraId="6AA9C8DA" w14:textId="56EFB31B" w:rsidR="00C6358F" w:rsidRPr="009832BA" w:rsidRDefault="00CF1573" w:rsidP="001855D1">
      <w:pPr>
        <w:spacing w:after="100" w:afterAutospacing="1" w:line="276" w:lineRule="auto"/>
        <w:contextualSpacing/>
        <w:rPr>
          <w:rFonts w:ascii="Arial Narrow" w:hAnsi="Arial Narrow" w:cs="Arial"/>
          <w:lang w:val="es-US"/>
        </w:rPr>
      </w:pPr>
      <w:r>
        <w:rPr>
          <w:noProof/>
        </w:rPr>
        <w:drawing>
          <wp:inline distT="0" distB="0" distL="0" distR="0" wp14:anchorId="44B6F9D6" wp14:editId="34A600F4">
            <wp:extent cx="5833745" cy="2355215"/>
            <wp:effectExtent l="0" t="0" r="14605" b="6985"/>
            <wp:docPr id="258650285" name="Gráfico 1">
              <a:extLst xmlns:a="http://schemas.openxmlformats.org/drawingml/2006/main">
                <a:ext uri="{FF2B5EF4-FFF2-40B4-BE49-F238E27FC236}">
                  <a16:creationId xmlns:a16="http://schemas.microsoft.com/office/drawing/2014/main" id="{E5D33EA9-CD07-66E4-7684-30FE7ED443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6CEFDF" w14:textId="77777777" w:rsidR="003D21CC" w:rsidRPr="009832BA" w:rsidRDefault="003D21CC" w:rsidP="001855D1">
      <w:pPr>
        <w:spacing w:after="100" w:afterAutospacing="1" w:line="276" w:lineRule="auto"/>
        <w:contextualSpacing/>
        <w:rPr>
          <w:rFonts w:ascii="Arial Narrow" w:hAnsi="Arial Narrow" w:cs="Arial"/>
          <w:lang w:val="es-US"/>
        </w:rPr>
      </w:pPr>
    </w:p>
    <w:p w14:paraId="53BF38A5" w14:textId="760F4D71" w:rsidR="00C6358F" w:rsidRPr="009832BA" w:rsidRDefault="00407F8A" w:rsidP="001855D1">
      <w:pPr>
        <w:tabs>
          <w:tab w:val="left" w:pos="2390"/>
        </w:tabs>
        <w:spacing w:line="276" w:lineRule="auto"/>
        <w:rPr>
          <w:rFonts w:ascii="Arial Narrow" w:hAnsi="Arial Narrow" w:cs="Arial"/>
          <w:lang w:val="es-US"/>
        </w:rPr>
      </w:pPr>
      <w:r w:rsidRPr="009832BA">
        <w:rPr>
          <w:rFonts w:ascii="Arial Narrow" w:hAnsi="Arial Narrow" w:cs="Arial"/>
          <w:b/>
          <w:lang w:val="es-US"/>
        </w:rPr>
        <w:t>Índice</w:t>
      </w:r>
      <w:r w:rsidR="00C6358F" w:rsidRPr="009832BA">
        <w:rPr>
          <w:rFonts w:ascii="Arial Narrow" w:hAnsi="Arial Narrow" w:cs="Arial"/>
          <w:b/>
          <w:bCs/>
          <w:lang w:val="es-US"/>
        </w:rPr>
        <w:t xml:space="preserve"> de endeudamiento</w:t>
      </w:r>
      <w:r w:rsidRPr="009832BA">
        <w:rPr>
          <w:rFonts w:ascii="Arial Narrow" w:hAnsi="Arial Narrow" w:cs="Arial"/>
          <w:b/>
          <w:lang w:val="es-US"/>
        </w:rPr>
        <w:t>:</w:t>
      </w:r>
      <w:r w:rsidRPr="009832BA">
        <w:rPr>
          <w:rFonts w:ascii="Arial Narrow" w:hAnsi="Arial Narrow" w:cs="Arial"/>
          <w:lang w:val="es-US"/>
        </w:rPr>
        <w:t xml:space="preserve"> </w:t>
      </w:r>
      <w:r w:rsidR="00B1137A" w:rsidRPr="009832BA">
        <w:rPr>
          <w:rFonts w:ascii="Arial Narrow" w:hAnsi="Arial Narrow" w:cs="Arial"/>
          <w:lang w:val="es-US"/>
        </w:rPr>
        <w:t xml:space="preserve">En el análisis de histograma se identifica que el índice de endeudamiento se concentraba en empresas que contaban con un indicador </w:t>
      </w:r>
      <w:r w:rsidR="007F0FCE" w:rsidRPr="009832BA">
        <w:rPr>
          <w:rFonts w:ascii="Arial Narrow" w:hAnsi="Arial Narrow" w:cs="Arial"/>
          <w:lang w:val="es-US"/>
        </w:rPr>
        <w:t xml:space="preserve">mayor o igual </w:t>
      </w:r>
      <w:r w:rsidR="007F0FCE">
        <w:rPr>
          <w:rFonts w:ascii="Arial Narrow" w:hAnsi="Arial Narrow" w:cs="Arial"/>
          <w:lang w:val="es-US"/>
        </w:rPr>
        <w:t>al 60% y menor al 7</w:t>
      </w:r>
      <w:r w:rsidR="001279A5">
        <w:rPr>
          <w:rFonts w:ascii="Arial Narrow" w:hAnsi="Arial Narrow" w:cs="Arial"/>
          <w:lang w:val="es-US"/>
        </w:rPr>
        <w:t>5</w:t>
      </w:r>
      <w:r w:rsidR="00496593">
        <w:rPr>
          <w:rFonts w:ascii="Arial Narrow" w:hAnsi="Arial Narrow" w:cs="Arial"/>
          <w:lang w:val="es-US"/>
        </w:rPr>
        <w:t>%</w:t>
      </w:r>
      <w:r w:rsidR="001279A5">
        <w:rPr>
          <w:rFonts w:ascii="Arial Narrow" w:hAnsi="Arial Narrow" w:cs="Arial"/>
          <w:lang w:val="es-US"/>
        </w:rPr>
        <w:t>.</w:t>
      </w:r>
    </w:p>
    <w:p w14:paraId="0AD0C396" w14:textId="43F107CC" w:rsidR="002771F7" w:rsidRPr="009832BA" w:rsidRDefault="00CF1573" w:rsidP="001855D1">
      <w:pPr>
        <w:tabs>
          <w:tab w:val="left" w:pos="2390"/>
        </w:tabs>
        <w:spacing w:line="276" w:lineRule="auto"/>
        <w:rPr>
          <w:rFonts w:ascii="Arial Narrow" w:hAnsi="Arial Narrow" w:cs="Arial"/>
          <w:lang w:val="es-US"/>
        </w:rPr>
      </w:pPr>
      <w:r w:rsidRPr="00CF1573">
        <w:rPr>
          <w:rFonts w:ascii="Arial Narrow" w:hAnsi="Arial Narrow"/>
          <w:noProof/>
          <w:sz w:val="18"/>
          <w:szCs w:val="18"/>
        </w:rPr>
        <w:drawing>
          <wp:inline distT="0" distB="0" distL="0" distR="0" wp14:anchorId="10C4F5D4" wp14:editId="1EE13182">
            <wp:extent cx="5833745" cy="2076450"/>
            <wp:effectExtent l="0" t="0" r="14605" b="0"/>
            <wp:docPr id="325189373" name="Gráfico 1">
              <a:extLst xmlns:a="http://schemas.openxmlformats.org/drawingml/2006/main">
                <a:ext uri="{FF2B5EF4-FFF2-40B4-BE49-F238E27FC236}">
                  <a16:creationId xmlns:a16="http://schemas.microsoft.com/office/drawing/2014/main" id="{2939EC96-A803-4D3E-AB25-9262A01AF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B5B366" w14:textId="621920E8" w:rsidR="00C6358F" w:rsidRPr="009832BA" w:rsidRDefault="00407F8A" w:rsidP="001855D1">
      <w:pPr>
        <w:tabs>
          <w:tab w:val="left" w:pos="2390"/>
        </w:tabs>
        <w:spacing w:line="276" w:lineRule="auto"/>
        <w:rPr>
          <w:rFonts w:ascii="Arial Narrow" w:hAnsi="Arial Narrow" w:cs="Arial"/>
          <w:lang w:val="es-US"/>
        </w:rPr>
      </w:pPr>
      <w:r w:rsidRPr="009832BA">
        <w:rPr>
          <w:rFonts w:ascii="Arial Narrow" w:hAnsi="Arial Narrow" w:cs="Arial"/>
          <w:b/>
          <w:lang w:val="es-US"/>
        </w:rPr>
        <w:t>Razón</w:t>
      </w:r>
      <w:r w:rsidR="00C6358F" w:rsidRPr="009832BA">
        <w:rPr>
          <w:rFonts w:ascii="Arial Narrow" w:hAnsi="Arial Narrow" w:cs="Arial"/>
          <w:b/>
          <w:bCs/>
          <w:lang w:val="es-US"/>
        </w:rPr>
        <w:t xml:space="preserve"> de cobertura de intereses</w:t>
      </w:r>
      <w:r w:rsidRPr="009832BA">
        <w:rPr>
          <w:rFonts w:ascii="Arial Narrow" w:hAnsi="Arial Narrow" w:cs="Arial"/>
          <w:lang w:val="es-US"/>
        </w:rPr>
        <w:t xml:space="preserve">: </w:t>
      </w:r>
      <w:r w:rsidR="00B1137A" w:rsidRPr="009832BA">
        <w:rPr>
          <w:rFonts w:ascii="Arial Narrow" w:hAnsi="Arial Narrow" w:cs="Arial"/>
          <w:lang w:val="es-US"/>
        </w:rPr>
        <w:t xml:space="preserve">En el análisis de histograma se identifica que el índice de razón de cobertura de intereses se concentra en aquellas empresas que tienen </w:t>
      </w:r>
      <w:r w:rsidR="00B42BF3" w:rsidRPr="009832BA">
        <w:rPr>
          <w:rFonts w:ascii="Arial Narrow" w:hAnsi="Arial Narrow" w:cs="Arial"/>
          <w:lang w:val="es-US"/>
        </w:rPr>
        <w:t xml:space="preserve">un indicador </w:t>
      </w:r>
      <w:r w:rsidR="007B4CBB">
        <w:rPr>
          <w:rFonts w:ascii="Arial Narrow" w:hAnsi="Arial Narrow" w:cs="Arial"/>
          <w:lang w:val="es-US"/>
        </w:rPr>
        <w:t xml:space="preserve">igual a cero y </w:t>
      </w:r>
      <w:r w:rsidR="00782407">
        <w:rPr>
          <w:rFonts w:ascii="Arial Narrow" w:hAnsi="Arial Narrow" w:cs="Arial"/>
          <w:lang w:val="es-US"/>
        </w:rPr>
        <w:t>en el intervalo mayor o igual a 2,5</w:t>
      </w:r>
      <w:r w:rsidR="00B1137A" w:rsidRPr="009832BA">
        <w:rPr>
          <w:rFonts w:ascii="Arial Narrow" w:hAnsi="Arial Narrow" w:cs="Arial"/>
          <w:lang w:val="es-US"/>
        </w:rPr>
        <w:t xml:space="preserve"> como se muestra a continuación:</w:t>
      </w:r>
    </w:p>
    <w:p w14:paraId="7E898434" w14:textId="2946FFF6" w:rsidR="009D2D48" w:rsidRPr="009832BA" w:rsidRDefault="00CF1573" w:rsidP="001855D1">
      <w:pPr>
        <w:tabs>
          <w:tab w:val="left" w:pos="2390"/>
        </w:tabs>
        <w:spacing w:line="276" w:lineRule="auto"/>
        <w:rPr>
          <w:rFonts w:ascii="Arial Narrow" w:hAnsi="Arial Narrow" w:cs="Arial"/>
          <w:lang w:val="es-US"/>
        </w:rPr>
      </w:pPr>
      <w:r>
        <w:rPr>
          <w:noProof/>
        </w:rPr>
        <w:lastRenderedPageBreak/>
        <w:drawing>
          <wp:inline distT="0" distB="0" distL="0" distR="0" wp14:anchorId="23D64E12" wp14:editId="46D9B609">
            <wp:extent cx="5833745" cy="2400300"/>
            <wp:effectExtent l="0" t="0" r="14605" b="0"/>
            <wp:docPr id="1841601573" name="Gráfico 1">
              <a:extLst xmlns:a="http://schemas.openxmlformats.org/drawingml/2006/main">
                <a:ext uri="{FF2B5EF4-FFF2-40B4-BE49-F238E27FC236}">
                  <a16:creationId xmlns:a16="http://schemas.microsoft.com/office/drawing/2014/main" id="{AD92769B-1FC8-4C9C-9817-906C94C2F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210111" w14:textId="097FE317" w:rsidR="007964A6" w:rsidRPr="009832BA" w:rsidRDefault="00407F8A" w:rsidP="007964A6">
      <w:pPr>
        <w:tabs>
          <w:tab w:val="left" w:pos="2390"/>
        </w:tabs>
        <w:spacing w:line="276" w:lineRule="auto"/>
        <w:rPr>
          <w:rFonts w:ascii="Arial Narrow" w:hAnsi="Arial Narrow" w:cs="Arial"/>
          <w:lang w:val="es-US"/>
        </w:rPr>
      </w:pPr>
      <w:r w:rsidRPr="009832BA">
        <w:rPr>
          <w:rFonts w:ascii="Arial Narrow" w:hAnsi="Arial Narrow" w:cs="Arial"/>
          <w:b/>
          <w:lang w:val="es-US"/>
        </w:rPr>
        <w:t>Capital</w:t>
      </w:r>
      <w:r w:rsidR="00C6358F" w:rsidRPr="009832BA">
        <w:rPr>
          <w:rFonts w:ascii="Arial Narrow" w:hAnsi="Arial Narrow" w:cs="Arial"/>
          <w:b/>
          <w:bCs/>
          <w:lang w:val="es-US"/>
        </w:rPr>
        <w:t xml:space="preserve"> de trabajo</w:t>
      </w:r>
      <w:r w:rsidRPr="009832BA">
        <w:rPr>
          <w:rFonts w:ascii="Arial Narrow" w:hAnsi="Arial Narrow" w:cs="Arial"/>
          <w:lang w:val="es-US"/>
        </w:rPr>
        <w:t>: Cómo</w:t>
      </w:r>
      <w:r w:rsidR="00C6358F" w:rsidRPr="009832BA">
        <w:rPr>
          <w:rFonts w:ascii="Arial Narrow" w:hAnsi="Arial Narrow" w:cs="Arial"/>
          <w:lang w:val="es-US"/>
        </w:rPr>
        <w:t xml:space="preserve"> se muestra en la gráfica, </w:t>
      </w:r>
      <w:r w:rsidR="00B1137A" w:rsidRPr="009832BA">
        <w:rPr>
          <w:rFonts w:ascii="Arial Narrow" w:hAnsi="Arial Narrow" w:cs="Arial"/>
          <w:lang w:val="es-US"/>
        </w:rPr>
        <w:t>se identifica que las empresas analizadas se concentran</w:t>
      </w:r>
      <w:r w:rsidR="00B42BF3" w:rsidRPr="009832BA">
        <w:rPr>
          <w:rFonts w:ascii="Arial Narrow" w:hAnsi="Arial Narrow" w:cs="Arial"/>
          <w:lang w:val="es-US"/>
        </w:rPr>
        <w:t xml:space="preserve"> en el rango de </w:t>
      </w:r>
      <w:r w:rsidR="00AD7096" w:rsidRPr="009832BA">
        <w:rPr>
          <w:rFonts w:ascii="Arial Narrow" w:hAnsi="Arial Narrow" w:cs="Arial"/>
          <w:lang w:val="es-US"/>
        </w:rPr>
        <w:t xml:space="preserve">capital de trabajo de </w:t>
      </w:r>
      <w:r w:rsidR="009D2D48" w:rsidRPr="009832BA">
        <w:rPr>
          <w:rFonts w:ascii="Arial Narrow" w:hAnsi="Arial Narrow" w:cs="Arial"/>
          <w:lang w:val="es-US"/>
        </w:rPr>
        <w:t>cero a mil</w:t>
      </w:r>
      <w:r w:rsidR="00D62016" w:rsidRPr="009832BA">
        <w:rPr>
          <w:rFonts w:ascii="Arial Narrow" w:hAnsi="Arial Narrow" w:cs="Arial"/>
          <w:lang w:val="es-US"/>
        </w:rPr>
        <w:t xml:space="preserve"> millones</w:t>
      </w:r>
      <w:r w:rsidR="00DF771B" w:rsidRPr="009832BA">
        <w:rPr>
          <w:rFonts w:ascii="Arial Narrow" w:hAnsi="Arial Narrow" w:cs="Arial"/>
          <w:lang w:val="es-US"/>
        </w:rPr>
        <w:t>,</w:t>
      </w:r>
      <w:r w:rsidR="007964A6" w:rsidRPr="009832BA">
        <w:rPr>
          <w:rFonts w:ascii="Arial Narrow" w:hAnsi="Arial Narrow" w:cs="Arial"/>
          <w:lang w:val="es-US"/>
        </w:rPr>
        <w:t xml:space="preserve"> como se muestra a continuación:</w:t>
      </w:r>
    </w:p>
    <w:p w14:paraId="1035551F" w14:textId="34CED09A" w:rsidR="009D2D48" w:rsidRPr="009832BA" w:rsidRDefault="000965EB" w:rsidP="007964A6">
      <w:pPr>
        <w:tabs>
          <w:tab w:val="left" w:pos="2390"/>
        </w:tabs>
        <w:spacing w:line="276" w:lineRule="auto"/>
        <w:rPr>
          <w:rFonts w:ascii="Arial Narrow" w:hAnsi="Arial Narrow" w:cs="Arial"/>
          <w:lang w:val="es-US"/>
        </w:rPr>
      </w:pPr>
      <w:r>
        <w:rPr>
          <w:noProof/>
        </w:rPr>
        <w:drawing>
          <wp:inline distT="0" distB="0" distL="0" distR="0" wp14:anchorId="7D256428" wp14:editId="1081559B">
            <wp:extent cx="5833745" cy="2298065"/>
            <wp:effectExtent l="0" t="0" r="14605" b="6985"/>
            <wp:docPr id="1698711247" name="Gráfico 1">
              <a:extLst xmlns:a="http://schemas.openxmlformats.org/drawingml/2006/main">
                <a:ext uri="{FF2B5EF4-FFF2-40B4-BE49-F238E27FC236}">
                  <a16:creationId xmlns:a16="http://schemas.microsoft.com/office/drawing/2014/main" id="{CAD88749-07BA-46EC-8AA7-12F4EE32C9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28B58E" w14:textId="00BDF799" w:rsidR="00407F8A" w:rsidRPr="009832BA" w:rsidRDefault="00407F8A" w:rsidP="001855D1">
      <w:pPr>
        <w:spacing w:after="100" w:afterAutospacing="1" w:line="276" w:lineRule="auto"/>
        <w:contextualSpacing/>
        <w:rPr>
          <w:rFonts w:ascii="Arial Narrow" w:hAnsi="Arial Narrow" w:cs="Arial"/>
          <w:b/>
          <w:u w:val="single"/>
          <w:lang w:val="es-US"/>
        </w:rPr>
      </w:pPr>
      <w:r w:rsidRPr="009832BA">
        <w:rPr>
          <w:rFonts w:ascii="Arial Narrow" w:hAnsi="Arial Narrow" w:cs="Arial"/>
          <w:b/>
          <w:u w:val="single"/>
          <w:lang w:val="es-US"/>
        </w:rPr>
        <w:t>Indicadores de Capacidad Organizacional:</w:t>
      </w:r>
    </w:p>
    <w:p w14:paraId="5A27D2F8" w14:textId="3E83FB4D" w:rsidR="00C6358F" w:rsidRPr="009832BA" w:rsidRDefault="00C6358F" w:rsidP="001855D1">
      <w:pPr>
        <w:spacing w:after="100" w:afterAutospacing="1" w:line="276" w:lineRule="auto"/>
        <w:contextualSpacing/>
        <w:rPr>
          <w:rFonts w:ascii="Arial Narrow" w:hAnsi="Arial Narrow" w:cs="Arial"/>
          <w:lang w:val="es-US"/>
        </w:rPr>
      </w:pPr>
    </w:p>
    <w:p w14:paraId="5ED0EE67" w14:textId="5569E757" w:rsidR="00B1137A" w:rsidRPr="009832BA" w:rsidRDefault="00B1137A" w:rsidP="001855D1">
      <w:pPr>
        <w:tabs>
          <w:tab w:val="left" w:pos="2390"/>
        </w:tabs>
        <w:spacing w:line="276" w:lineRule="auto"/>
        <w:rPr>
          <w:rFonts w:ascii="Arial Narrow" w:hAnsi="Arial Narrow" w:cs="Arial"/>
          <w:lang w:val="es-US"/>
        </w:rPr>
      </w:pPr>
      <w:r w:rsidRPr="009832BA">
        <w:rPr>
          <w:rFonts w:ascii="Arial Narrow" w:hAnsi="Arial Narrow" w:cs="Arial"/>
          <w:b/>
          <w:lang w:val="es-US"/>
        </w:rPr>
        <w:t>R</w:t>
      </w:r>
      <w:r w:rsidRPr="009832BA">
        <w:rPr>
          <w:rFonts w:ascii="Arial Narrow" w:hAnsi="Arial Narrow" w:cs="Arial"/>
          <w:b/>
          <w:bCs/>
          <w:lang w:val="es-US"/>
        </w:rPr>
        <w:t>entabilidad sobre patrimonio:</w:t>
      </w:r>
      <w:r w:rsidRPr="009832BA">
        <w:rPr>
          <w:rFonts w:ascii="Arial Narrow" w:hAnsi="Arial Narrow" w:cs="Arial"/>
          <w:lang w:val="es-US"/>
        </w:rPr>
        <w:t xml:space="preserve"> Como se muestra en la gráfica, se identifica que el índice de rentabilidad sobre patrimonio se concentra en aquellas empresas</w:t>
      </w:r>
      <w:r w:rsidR="002D2BC0" w:rsidRPr="009832BA">
        <w:rPr>
          <w:rFonts w:ascii="Arial Narrow" w:hAnsi="Arial Narrow" w:cs="Arial"/>
          <w:lang w:val="es-US"/>
        </w:rPr>
        <w:t xml:space="preserve"> cuentan con un indicador</w:t>
      </w:r>
      <w:r w:rsidR="00CA61DB">
        <w:rPr>
          <w:rFonts w:ascii="Arial Narrow" w:hAnsi="Arial Narrow" w:cs="Arial"/>
          <w:lang w:val="es-US"/>
        </w:rPr>
        <w:t xml:space="preserve"> negativo o con un indicador entre el intervalo comprendido entre 2% y menor o igual al 8%. </w:t>
      </w:r>
    </w:p>
    <w:p w14:paraId="47ED26D5" w14:textId="1F344AF4" w:rsidR="00F07D49" w:rsidRPr="009832BA" w:rsidRDefault="000965EB" w:rsidP="00FF39DD">
      <w:pPr>
        <w:tabs>
          <w:tab w:val="left" w:pos="2390"/>
        </w:tabs>
        <w:spacing w:line="276" w:lineRule="auto"/>
        <w:jc w:val="center"/>
        <w:rPr>
          <w:noProof/>
          <w:lang w:val="es-US"/>
        </w:rPr>
      </w:pPr>
      <w:r>
        <w:rPr>
          <w:noProof/>
        </w:rPr>
        <w:lastRenderedPageBreak/>
        <w:drawing>
          <wp:inline distT="0" distB="0" distL="0" distR="0" wp14:anchorId="342C4357" wp14:editId="1B9CF7C6">
            <wp:extent cx="5833745" cy="2619375"/>
            <wp:effectExtent l="0" t="0" r="14605" b="9525"/>
            <wp:docPr id="733799733" name="Gráfico 1">
              <a:extLst xmlns:a="http://schemas.openxmlformats.org/drawingml/2006/main">
                <a:ext uri="{FF2B5EF4-FFF2-40B4-BE49-F238E27FC236}">
                  <a16:creationId xmlns:a16="http://schemas.microsoft.com/office/drawing/2014/main" id="{FE7F4E35-8670-4F04-A31D-BFD4E042EC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915769" w14:textId="6372C87E" w:rsidR="00054D51" w:rsidRDefault="003A3B4E" w:rsidP="00D62016">
      <w:pPr>
        <w:tabs>
          <w:tab w:val="left" w:pos="2390"/>
        </w:tabs>
        <w:spacing w:line="276" w:lineRule="auto"/>
        <w:rPr>
          <w:rFonts w:ascii="Arial Narrow" w:hAnsi="Arial Narrow" w:cs="Arial"/>
          <w:lang w:val="es-US"/>
        </w:rPr>
      </w:pPr>
      <w:r w:rsidRPr="009832BA">
        <w:rPr>
          <w:rFonts w:ascii="Arial Narrow" w:hAnsi="Arial Narrow" w:cs="Arial"/>
          <w:b/>
          <w:lang w:val="es-US"/>
        </w:rPr>
        <w:t>Rentabilidad</w:t>
      </w:r>
      <w:r w:rsidR="00C6358F" w:rsidRPr="009832BA">
        <w:rPr>
          <w:rFonts w:ascii="Arial Narrow" w:hAnsi="Arial Narrow" w:cs="Arial"/>
          <w:b/>
          <w:bCs/>
          <w:lang w:val="es-US"/>
        </w:rPr>
        <w:t xml:space="preserve"> sobre </w:t>
      </w:r>
      <w:r w:rsidR="00B1137A" w:rsidRPr="009832BA">
        <w:rPr>
          <w:rFonts w:ascii="Arial Narrow" w:hAnsi="Arial Narrow" w:cs="Arial"/>
          <w:b/>
          <w:bCs/>
          <w:lang w:val="es-US"/>
        </w:rPr>
        <w:t>activos</w:t>
      </w:r>
      <w:r w:rsidRPr="009832BA">
        <w:rPr>
          <w:rFonts w:ascii="Arial Narrow" w:hAnsi="Arial Narrow" w:cs="Arial"/>
          <w:b/>
          <w:bCs/>
          <w:lang w:val="es-US"/>
        </w:rPr>
        <w:t xml:space="preserve">: </w:t>
      </w:r>
      <w:r w:rsidR="00D62016" w:rsidRPr="009832BA">
        <w:rPr>
          <w:rFonts w:ascii="Arial Narrow" w:hAnsi="Arial Narrow" w:cs="Arial"/>
          <w:lang w:val="es-US"/>
        </w:rPr>
        <w:t xml:space="preserve">Como se muestra en la gráfica, se identifica que el índice de rentabilidad sobre los activos </w:t>
      </w:r>
      <w:r w:rsidR="00054D51" w:rsidRPr="009832BA">
        <w:rPr>
          <w:rFonts w:ascii="Arial Narrow" w:hAnsi="Arial Narrow" w:cs="Arial"/>
          <w:lang w:val="es-US"/>
        </w:rPr>
        <w:t>se concentra en aquellas empresas cuentan con un indicador</w:t>
      </w:r>
      <w:r w:rsidR="00054D51">
        <w:rPr>
          <w:rFonts w:ascii="Arial Narrow" w:hAnsi="Arial Narrow" w:cs="Arial"/>
          <w:lang w:val="es-US"/>
        </w:rPr>
        <w:t xml:space="preserve"> negativo o con un indicador entre el intervalo comprendido entre 1% y menor o igual al </w:t>
      </w:r>
      <w:r w:rsidR="00B85575">
        <w:rPr>
          <w:rFonts w:ascii="Arial Narrow" w:hAnsi="Arial Narrow" w:cs="Arial"/>
          <w:lang w:val="es-US"/>
        </w:rPr>
        <w:t>4</w:t>
      </w:r>
      <w:r w:rsidR="00054D51">
        <w:rPr>
          <w:rFonts w:ascii="Arial Narrow" w:hAnsi="Arial Narrow" w:cs="Arial"/>
          <w:lang w:val="es-US"/>
        </w:rPr>
        <w:t>%.</w:t>
      </w:r>
    </w:p>
    <w:p w14:paraId="57AD437D" w14:textId="7A7A7DFB" w:rsidR="00B815AA" w:rsidRPr="009832BA" w:rsidRDefault="000965EB" w:rsidP="00D62016">
      <w:pPr>
        <w:tabs>
          <w:tab w:val="left" w:pos="2390"/>
        </w:tabs>
        <w:spacing w:line="276" w:lineRule="auto"/>
        <w:rPr>
          <w:rFonts w:ascii="Arial Narrow" w:hAnsi="Arial Narrow" w:cs="Arial"/>
          <w:lang w:val="es-US"/>
        </w:rPr>
      </w:pPr>
      <w:r>
        <w:rPr>
          <w:noProof/>
        </w:rPr>
        <w:drawing>
          <wp:inline distT="0" distB="0" distL="0" distR="0" wp14:anchorId="483FFD05" wp14:editId="2333BB2C">
            <wp:extent cx="5833745" cy="2486025"/>
            <wp:effectExtent l="0" t="0" r="14605" b="9525"/>
            <wp:docPr id="1742321343" name="Gráfico 1">
              <a:extLst xmlns:a="http://schemas.openxmlformats.org/drawingml/2006/main">
                <a:ext uri="{FF2B5EF4-FFF2-40B4-BE49-F238E27FC236}">
                  <a16:creationId xmlns:a16="http://schemas.microsoft.com/office/drawing/2014/main" id="{92D6136E-3C2C-45EC-B8D1-8A8C4078A2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8BDA70" w14:textId="438173F3" w:rsidR="00C71D74" w:rsidRPr="009832BA" w:rsidRDefault="00C71D74" w:rsidP="001855D1">
      <w:pPr>
        <w:pStyle w:val="Ttulo2"/>
        <w:numPr>
          <w:ilvl w:val="0"/>
          <w:numId w:val="2"/>
        </w:numPr>
        <w:spacing w:before="0" w:after="100" w:afterAutospacing="1" w:line="276" w:lineRule="auto"/>
        <w:ind w:left="284" w:hanging="284"/>
        <w:contextualSpacing/>
        <w:rPr>
          <w:rFonts w:ascii="Arial Narrow" w:hAnsi="Arial Narrow" w:cs="Arial"/>
          <w:sz w:val="22"/>
          <w:szCs w:val="22"/>
          <w:lang w:val="es-US" w:eastAsia="es-ES"/>
        </w:rPr>
      </w:pPr>
      <w:r w:rsidRPr="009832BA">
        <w:rPr>
          <w:rFonts w:ascii="Arial Narrow" w:hAnsi="Arial Narrow" w:cs="Arial"/>
          <w:sz w:val="22"/>
          <w:szCs w:val="22"/>
          <w:lang w:val="es-US" w:eastAsia="es-ES"/>
        </w:rPr>
        <w:t>INDICADORES DE CAPACIDAD FINANCIERA Y ORGANIZACIONAL REQUERIDA EN PROCESOS DE CONTRATACIÓN PUBLICADOS POR OTRAS ENTIDADES.</w:t>
      </w:r>
    </w:p>
    <w:p w14:paraId="41497B37" w14:textId="214B5B2F" w:rsidR="009E7C70" w:rsidRPr="009832BA" w:rsidRDefault="009E7C70" w:rsidP="001855D1">
      <w:pPr>
        <w:tabs>
          <w:tab w:val="left" w:pos="2390"/>
        </w:tabs>
        <w:spacing w:line="276" w:lineRule="auto"/>
        <w:rPr>
          <w:rFonts w:ascii="Arial Narrow" w:hAnsi="Arial Narrow" w:cs="Arial"/>
          <w:lang w:val="es-US" w:eastAsia="es-ES"/>
        </w:rPr>
      </w:pPr>
      <w:r w:rsidRPr="009832BA">
        <w:rPr>
          <w:rFonts w:ascii="Arial Narrow" w:hAnsi="Arial Narrow" w:cs="Arial"/>
          <w:lang w:val="es-US" w:eastAsia="es-ES"/>
        </w:rPr>
        <w:t xml:space="preserve">Se realizó un sondeo por medio de la plataforma SECOP II, identificando algunos procesos adelantados mediante </w:t>
      </w:r>
      <w:r w:rsidR="00F94C6D" w:rsidRPr="009832BA">
        <w:rPr>
          <w:rFonts w:ascii="Arial Narrow" w:hAnsi="Arial Narrow" w:cs="Arial"/>
          <w:lang w:val="es-US" w:eastAsia="es-ES"/>
        </w:rPr>
        <w:t>palabras claves y códigos de naciones unidas</w:t>
      </w:r>
      <w:r w:rsidRPr="009832BA">
        <w:rPr>
          <w:rFonts w:ascii="Arial Narrow" w:hAnsi="Arial Narrow" w:cs="Arial"/>
          <w:lang w:val="es-US" w:eastAsia="es-ES"/>
        </w:rPr>
        <w:t xml:space="preserve"> y </w:t>
      </w:r>
      <w:r w:rsidRPr="009832BA">
        <w:rPr>
          <w:rFonts w:ascii="Arial Narrow" w:hAnsi="Arial Narrow" w:cs="Arial"/>
          <w:lang w:val="es-US"/>
        </w:rPr>
        <w:t>que</w:t>
      </w:r>
      <w:r w:rsidRPr="009832BA">
        <w:rPr>
          <w:rFonts w:ascii="Arial Narrow" w:hAnsi="Arial Narrow" w:cs="Arial"/>
          <w:lang w:val="es-US" w:eastAsia="es-ES"/>
        </w:rPr>
        <w:t xml:space="preserve"> tienen relación directamente con el servic</w:t>
      </w:r>
      <w:r w:rsidR="00F94C6D" w:rsidRPr="009832BA">
        <w:rPr>
          <w:rFonts w:ascii="Arial Narrow" w:hAnsi="Arial Narrow" w:cs="Arial"/>
          <w:lang w:val="es-US" w:eastAsia="es-ES"/>
        </w:rPr>
        <w:t xml:space="preserve">io y </w:t>
      </w:r>
      <w:r w:rsidR="00672236" w:rsidRPr="009832BA">
        <w:rPr>
          <w:rFonts w:ascii="Arial Narrow" w:hAnsi="Arial Narrow" w:cs="Arial"/>
          <w:lang w:val="es-US" w:eastAsia="es-ES"/>
        </w:rPr>
        <w:t>con</w:t>
      </w:r>
      <w:r w:rsidR="00F94C6D" w:rsidRPr="009832BA">
        <w:rPr>
          <w:rFonts w:ascii="Arial Narrow" w:hAnsi="Arial Narrow" w:cs="Arial"/>
          <w:lang w:val="es-US" w:eastAsia="es-ES"/>
        </w:rPr>
        <w:t xml:space="preserve"> el</w:t>
      </w:r>
      <w:r w:rsidR="00672236" w:rsidRPr="009832BA">
        <w:rPr>
          <w:rFonts w:ascii="Arial Narrow" w:hAnsi="Arial Narrow" w:cs="Arial"/>
          <w:lang w:val="es-US" w:eastAsia="es-ES"/>
        </w:rPr>
        <w:t xml:space="preserve"> presupuesto similar</w:t>
      </w:r>
      <w:r w:rsidR="00F94C6D" w:rsidRPr="009832BA">
        <w:rPr>
          <w:rFonts w:ascii="Arial Narrow" w:hAnsi="Arial Narrow" w:cs="Arial"/>
          <w:lang w:val="es-US" w:eastAsia="es-ES"/>
        </w:rPr>
        <w:t xml:space="preserve"> al proceso que pretende adelantar la ANT</w:t>
      </w:r>
      <w:r w:rsidR="00A0743C" w:rsidRPr="009832BA">
        <w:rPr>
          <w:rFonts w:ascii="Arial Narrow" w:hAnsi="Arial Narrow" w:cs="Arial"/>
          <w:lang w:val="es-US" w:eastAsia="es-ES"/>
        </w:rPr>
        <w:t>, para el presente análisis se filtró la base de datos abiertos de p</w:t>
      </w:r>
      <w:r w:rsidR="00EF5769" w:rsidRPr="009832BA">
        <w:rPr>
          <w:rFonts w:ascii="Arial Narrow" w:hAnsi="Arial Narrow" w:cs="Arial"/>
          <w:lang w:val="es-US" w:eastAsia="es-ES"/>
        </w:rPr>
        <w:t>rocesos de contratación con un</w:t>
      </w:r>
      <w:r w:rsidR="00A0743C" w:rsidRPr="009832BA">
        <w:rPr>
          <w:rFonts w:ascii="Arial Narrow" w:hAnsi="Arial Narrow" w:cs="Arial"/>
          <w:lang w:val="es-US" w:eastAsia="es-ES"/>
        </w:rPr>
        <w:t xml:space="preserve"> criterio de búsqueda que comprende que en la descripción </w:t>
      </w:r>
      <w:r w:rsidR="00EF5769" w:rsidRPr="009832BA">
        <w:rPr>
          <w:rFonts w:ascii="Arial Narrow" w:hAnsi="Arial Narrow" w:cs="Arial"/>
          <w:lang w:val="es-US" w:eastAsia="es-ES"/>
        </w:rPr>
        <w:t>del procedimiento se encontrará</w:t>
      </w:r>
      <w:r w:rsidR="00A0743C" w:rsidRPr="009832BA">
        <w:rPr>
          <w:rFonts w:ascii="Arial Narrow" w:hAnsi="Arial Narrow" w:cs="Arial"/>
          <w:lang w:val="es-US" w:eastAsia="es-ES"/>
        </w:rPr>
        <w:t xml:space="preserve"> la</w:t>
      </w:r>
      <w:r w:rsidR="00C206EE" w:rsidRPr="009832BA">
        <w:rPr>
          <w:rFonts w:ascii="Arial Narrow" w:hAnsi="Arial Narrow" w:cs="Arial"/>
          <w:lang w:val="es-US" w:eastAsia="es-ES"/>
        </w:rPr>
        <w:t>s</w:t>
      </w:r>
      <w:r w:rsidR="00A0743C" w:rsidRPr="009832BA">
        <w:rPr>
          <w:rFonts w:ascii="Arial Narrow" w:hAnsi="Arial Narrow" w:cs="Arial"/>
          <w:lang w:val="es-US" w:eastAsia="es-ES"/>
        </w:rPr>
        <w:t xml:space="preserve"> palabra</w:t>
      </w:r>
      <w:r w:rsidR="00C206EE" w:rsidRPr="009832BA">
        <w:rPr>
          <w:rFonts w:ascii="Arial Narrow" w:hAnsi="Arial Narrow" w:cs="Arial"/>
          <w:lang w:val="es-US" w:eastAsia="es-ES"/>
        </w:rPr>
        <w:t>s</w:t>
      </w:r>
      <w:r w:rsidR="00A0743C" w:rsidRPr="009832BA">
        <w:rPr>
          <w:rFonts w:ascii="Arial Narrow" w:hAnsi="Arial Narrow" w:cs="Arial"/>
          <w:lang w:val="es-US" w:eastAsia="es-ES"/>
        </w:rPr>
        <w:t xml:space="preserve"> </w:t>
      </w:r>
      <w:r w:rsidR="00B85575">
        <w:rPr>
          <w:rFonts w:ascii="Arial Narrow" w:hAnsi="Arial Narrow" w:cs="Arial"/>
          <w:i/>
          <w:lang w:val="es-US"/>
        </w:rPr>
        <w:t>transporte</w:t>
      </w:r>
      <w:r w:rsidR="00D42214" w:rsidRPr="009832BA">
        <w:rPr>
          <w:rFonts w:ascii="Arial Narrow" w:hAnsi="Arial Narrow" w:cs="Arial"/>
          <w:i/>
          <w:lang w:val="es-US"/>
        </w:rPr>
        <w:t xml:space="preserve"> y </w:t>
      </w:r>
      <w:r w:rsidR="00B85575">
        <w:rPr>
          <w:rFonts w:ascii="Arial Narrow" w:hAnsi="Arial Narrow" w:cs="Arial"/>
          <w:i/>
          <w:lang w:val="es-US"/>
        </w:rPr>
        <w:t>público</w:t>
      </w:r>
      <w:r w:rsidR="00D42214" w:rsidRPr="009832BA">
        <w:rPr>
          <w:rFonts w:ascii="Arial Narrow" w:hAnsi="Arial Narrow" w:cs="Arial"/>
          <w:i/>
          <w:lang w:val="es-US"/>
        </w:rPr>
        <w:t xml:space="preserve"> </w:t>
      </w:r>
      <w:r w:rsidR="00A0743C" w:rsidRPr="009832BA">
        <w:rPr>
          <w:rFonts w:ascii="Arial Narrow" w:hAnsi="Arial Narrow" w:cs="Arial"/>
          <w:lang w:val="es-US" w:eastAsia="es-ES"/>
        </w:rPr>
        <w:t xml:space="preserve">de igual forma que los procesos se hubiesen adelantado </w:t>
      </w:r>
      <w:r w:rsidR="00C327D9">
        <w:rPr>
          <w:rFonts w:ascii="Arial Narrow" w:hAnsi="Arial Narrow" w:cs="Arial"/>
          <w:lang w:val="es-US" w:eastAsia="es-ES"/>
        </w:rPr>
        <w:t xml:space="preserve">con un precio base entre los mil </w:t>
      </w:r>
      <w:r w:rsidR="00F9249F">
        <w:rPr>
          <w:rFonts w:ascii="Arial Narrow" w:hAnsi="Arial Narrow" w:cs="Arial"/>
          <w:lang w:val="es-US" w:eastAsia="es-ES"/>
        </w:rPr>
        <w:t xml:space="preserve">novecientos </w:t>
      </w:r>
      <w:r w:rsidR="00C327D9">
        <w:rPr>
          <w:rFonts w:ascii="Arial Narrow" w:hAnsi="Arial Narrow" w:cs="Arial"/>
          <w:lang w:val="es-US" w:eastAsia="es-ES"/>
        </w:rPr>
        <w:t xml:space="preserve">millones y los </w:t>
      </w:r>
      <w:r w:rsidR="00F9249F">
        <w:rPr>
          <w:rFonts w:ascii="Arial Narrow" w:hAnsi="Arial Narrow" w:cs="Arial"/>
          <w:lang w:val="es-US" w:eastAsia="es-ES"/>
        </w:rPr>
        <w:t>seis</w:t>
      </w:r>
      <w:r w:rsidR="00C327D9">
        <w:rPr>
          <w:rFonts w:ascii="Arial Narrow" w:hAnsi="Arial Narrow" w:cs="Arial"/>
          <w:lang w:val="es-US" w:eastAsia="es-ES"/>
        </w:rPr>
        <w:t xml:space="preserve"> mil millones</w:t>
      </w:r>
      <w:r w:rsidRPr="009832BA">
        <w:rPr>
          <w:rFonts w:ascii="Arial Narrow" w:hAnsi="Arial Narrow" w:cs="Arial"/>
          <w:lang w:val="es-US" w:eastAsia="es-ES"/>
        </w:rPr>
        <w:t>, validando los indicadores solicitados los cuales se detallan a continuación:</w:t>
      </w:r>
    </w:p>
    <w:p w14:paraId="2586D589" w14:textId="018B2AA4" w:rsidR="00BF4A2D" w:rsidRDefault="00BF4A2D" w:rsidP="001855D1">
      <w:pPr>
        <w:tabs>
          <w:tab w:val="left" w:pos="2390"/>
        </w:tabs>
        <w:spacing w:line="276" w:lineRule="auto"/>
        <w:rPr>
          <w:rFonts w:ascii="Arial Narrow" w:hAnsi="Arial Narrow" w:cs="Arial"/>
          <w:b/>
          <w:bCs/>
          <w:lang w:val="es-US" w:eastAsia="es-ES"/>
        </w:rPr>
      </w:pPr>
      <w:r w:rsidRPr="009832BA">
        <w:rPr>
          <w:rFonts w:ascii="Arial Narrow" w:hAnsi="Arial Narrow" w:cs="Arial"/>
          <w:b/>
          <w:bCs/>
          <w:lang w:val="es-US" w:eastAsia="es-ES"/>
        </w:rPr>
        <w:lastRenderedPageBreak/>
        <w:t>Procesos Similares</w:t>
      </w:r>
    </w:p>
    <w:tbl>
      <w:tblPr>
        <w:tblStyle w:val="Tablaconcuadrcula1clara"/>
        <w:tblW w:w="9305" w:type="dxa"/>
        <w:tblLayout w:type="fixed"/>
        <w:tblLook w:val="04A0" w:firstRow="1" w:lastRow="0" w:firstColumn="1" w:lastColumn="0" w:noHBand="0" w:noVBand="1"/>
      </w:tblPr>
      <w:tblGrid>
        <w:gridCol w:w="1075"/>
        <w:gridCol w:w="990"/>
        <w:gridCol w:w="810"/>
        <w:gridCol w:w="1170"/>
        <w:gridCol w:w="1710"/>
        <w:gridCol w:w="2790"/>
        <w:gridCol w:w="760"/>
      </w:tblGrid>
      <w:tr w:rsidR="00F9249F" w:rsidRPr="00F700F6" w14:paraId="02EFD271" w14:textId="77777777" w:rsidTr="000022C7">
        <w:trPr>
          <w:cnfStyle w:val="100000000000" w:firstRow="1" w:lastRow="0" w:firstColumn="0" w:lastColumn="0" w:oddVBand="0" w:evenVBand="0" w:oddHBand="0" w:evenHBand="0" w:firstRowFirstColumn="0" w:firstRowLastColumn="0" w:lastRowFirstColumn="0" w:lastRowLastColumn="0"/>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082DCEE3" w14:textId="77777777" w:rsidR="00F9249F" w:rsidRPr="00F700F6" w:rsidRDefault="00F9249F" w:rsidP="00F700F6">
            <w:pPr>
              <w:spacing w:before="0" w:after="0" w:line="240" w:lineRule="auto"/>
              <w:jc w:val="left"/>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Nombre Entidad</w:t>
            </w:r>
          </w:p>
        </w:tc>
        <w:tc>
          <w:tcPr>
            <w:tcW w:w="990" w:type="dxa"/>
            <w:hideMark/>
          </w:tcPr>
          <w:p w14:paraId="60669C53" w14:textId="77777777" w:rsidR="00F9249F" w:rsidRPr="00F700F6" w:rsidRDefault="00F9249F" w:rsidP="00F700F6">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ID Contrato</w:t>
            </w:r>
          </w:p>
        </w:tc>
        <w:tc>
          <w:tcPr>
            <w:tcW w:w="810" w:type="dxa"/>
            <w:hideMark/>
          </w:tcPr>
          <w:p w14:paraId="5B880F64" w14:textId="77777777" w:rsidR="00F9249F" w:rsidRPr="00F700F6" w:rsidRDefault="00F9249F" w:rsidP="00F700F6">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Fecha de Firma</w:t>
            </w:r>
          </w:p>
        </w:tc>
        <w:tc>
          <w:tcPr>
            <w:tcW w:w="1170" w:type="dxa"/>
            <w:hideMark/>
          </w:tcPr>
          <w:p w14:paraId="0DC3571B" w14:textId="77777777" w:rsidR="00F9249F" w:rsidRPr="00F700F6" w:rsidRDefault="00F9249F" w:rsidP="00F700F6">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Valor del Contrato</w:t>
            </w:r>
          </w:p>
        </w:tc>
        <w:tc>
          <w:tcPr>
            <w:tcW w:w="1710" w:type="dxa"/>
            <w:hideMark/>
          </w:tcPr>
          <w:p w14:paraId="19F1703E" w14:textId="77777777" w:rsidR="00F9249F" w:rsidRPr="00F700F6" w:rsidRDefault="00F9249F" w:rsidP="00F700F6">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proofErr w:type="spellStart"/>
            <w:r w:rsidRPr="00F700F6">
              <w:rPr>
                <w:rFonts w:ascii="Arial Narrow" w:eastAsia="Times New Roman" w:hAnsi="Arial Narrow" w:cs="Calibri"/>
                <w:color w:val="000000"/>
                <w:sz w:val="14"/>
                <w:szCs w:val="14"/>
                <w:lang w:eastAsia="es-CO"/>
              </w:rPr>
              <w:t>URLProceso</w:t>
            </w:r>
            <w:proofErr w:type="spellEnd"/>
          </w:p>
        </w:tc>
        <w:tc>
          <w:tcPr>
            <w:tcW w:w="2790" w:type="dxa"/>
            <w:hideMark/>
          </w:tcPr>
          <w:p w14:paraId="5E6BAE4C" w14:textId="77777777" w:rsidR="00F9249F" w:rsidRPr="00F700F6" w:rsidRDefault="00F9249F" w:rsidP="00F700F6">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Objeto del Contrato</w:t>
            </w:r>
          </w:p>
        </w:tc>
        <w:tc>
          <w:tcPr>
            <w:tcW w:w="760" w:type="dxa"/>
            <w:hideMark/>
          </w:tcPr>
          <w:p w14:paraId="640A8727" w14:textId="77777777" w:rsidR="00F9249F" w:rsidRPr="00F700F6" w:rsidRDefault="00F9249F" w:rsidP="00F700F6">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4"/>
                <w:szCs w:val="14"/>
                <w:lang w:eastAsia="es-CO"/>
              </w:rPr>
            </w:pPr>
            <w:r w:rsidRPr="00F700F6">
              <w:rPr>
                <w:rFonts w:ascii="Arial Narrow" w:eastAsia="Times New Roman" w:hAnsi="Arial Narrow" w:cs="Calibri"/>
                <w:color w:val="000000"/>
                <w:sz w:val="14"/>
                <w:szCs w:val="14"/>
                <w:lang w:eastAsia="es-CO"/>
              </w:rPr>
              <w:t>Duración del contrato</w:t>
            </w:r>
          </w:p>
        </w:tc>
      </w:tr>
      <w:tr w:rsidR="00F9249F" w:rsidRPr="00F700F6" w14:paraId="0C674938"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4568E269"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ANM</w:t>
            </w:r>
          </w:p>
        </w:tc>
        <w:tc>
          <w:tcPr>
            <w:tcW w:w="990" w:type="dxa"/>
            <w:hideMark/>
          </w:tcPr>
          <w:p w14:paraId="63C2BA2D"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CO1.PCCNTR.5225825</w:t>
            </w:r>
          </w:p>
        </w:tc>
        <w:tc>
          <w:tcPr>
            <w:tcW w:w="810" w:type="dxa"/>
            <w:hideMark/>
          </w:tcPr>
          <w:p w14:paraId="406D2DA2"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07/21/2023</w:t>
            </w:r>
          </w:p>
        </w:tc>
        <w:tc>
          <w:tcPr>
            <w:tcW w:w="1170" w:type="dxa"/>
            <w:hideMark/>
          </w:tcPr>
          <w:p w14:paraId="377C7F29" w14:textId="7447619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3.985.950.507</w:t>
            </w:r>
          </w:p>
        </w:tc>
        <w:tc>
          <w:tcPr>
            <w:tcW w:w="1710" w:type="dxa"/>
            <w:hideMark/>
          </w:tcPr>
          <w:p w14:paraId="3E272388"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https://community.secop.gov.co/Public/Tendering/OpportunityDetail/Index?noticeUID=CO1.NTC.4611229&amp;isFromPublicArea=True&amp;isModal=true&amp;asPopupView=true</w:t>
            </w:r>
          </w:p>
        </w:tc>
        <w:tc>
          <w:tcPr>
            <w:tcW w:w="2790" w:type="dxa"/>
            <w:hideMark/>
          </w:tcPr>
          <w:p w14:paraId="7E8AF7DD"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Contratar la prestación de servicios de transporte público terrestre automotor especial a todo costo dentro del territorio nacional; para el transporte del personal; colaboradores; materiales; equipos y comisiones conjuntas en las zonas de cobertura de la entidad y /o donde esta lo requiera.</w:t>
            </w:r>
          </w:p>
        </w:tc>
        <w:tc>
          <w:tcPr>
            <w:tcW w:w="760" w:type="dxa"/>
            <w:hideMark/>
          </w:tcPr>
          <w:p w14:paraId="3453C2DC"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251 Dia(s)</w:t>
            </w:r>
          </w:p>
        </w:tc>
      </w:tr>
      <w:tr w:rsidR="00F9249F" w:rsidRPr="00F700F6" w14:paraId="6961503F"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71708DE8"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SECRETARIA DISTRITAL DE GOBIERNO 1</w:t>
            </w:r>
          </w:p>
        </w:tc>
        <w:tc>
          <w:tcPr>
            <w:tcW w:w="990" w:type="dxa"/>
            <w:hideMark/>
          </w:tcPr>
          <w:p w14:paraId="0600EFB3"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CO1.PCCNTR.6361776</w:t>
            </w:r>
          </w:p>
        </w:tc>
        <w:tc>
          <w:tcPr>
            <w:tcW w:w="810" w:type="dxa"/>
            <w:hideMark/>
          </w:tcPr>
          <w:p w14:paraId="6CF86796"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05/24/2024</w:t>
            </w:r>
          </w:p>
        </w:tc>
        <w:tc>
          <w:tcPr>
            <w:tcW w:w="1170" w:type="dxa"/>
            <w:hideMark/>
          </w:tcPr>
          <w:p w14:paraId="10AAE33A" w14:textId="4852E55C"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2.661.066.646</w:t>
            </w:r>
          </w:p>
        </w:tc>
        <w:tc>
          <w:tcPr>
            <w:tcW w:w="1710" w:type="dxa"/>
            <w:hideMark/>
          </w:tcPr>
          <w:p w14:paraId="06DBD3C2"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https://community.secop.gov.co/Public/Tendering/OpportunityDetail/Index?noticeUID=CO1.NTC.6051417&amp;isFromPublicArea=True&amp;isModal=true&amp;asPopupView=true</w:t>
            </w:r>
          </w:p>
        </w:tc>
        <w:tc>
          <w:tcPr>
            <w:tcW w:w="2790" w:type="dxa"/>
            <w:hideMark/>
          </w:tcPr>
          <w:p w14:paraId="3A5768FB"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CONTRATAR LA PRESTACIÓN DEL SERVICIO DE TRANSPORTE PÚBLICO TERRESTRE AUTOMOTOR ESPECIAL PARA LOS PROYECTOS YLAS DEPENDENCIAS DEL NIVEL CENTRAL DE LA SECRETARIA DISTRITAL DE GOBIERNO</w:t>
            </w:r>
          </w:p>
        </w:tc>
        <w:tc>
          <w:tcPr>
            <w:tcW w:w="760" w:type="dxa"/>
            <w:hideMark/>
          </w:tcPr>
          <w:p w14:paraId="4663452B"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11 Mes(es)</w:t>
            </w:r>
          </w:p>
        </w:tc>
      </w:tr>
      <w:tr w:rsidR="00F9249F" w:rsidRPr="00F700F6" w14:paraId="346F937B"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5550619E"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 xml:space="preserve">Unidad de </w:t>
            </w:r>
            <w:proofErr w:type="spellStart"/>
            <w:r w:rsidRPr="00F700F6">
              <w:rPr>
                <w:rFonts w:ascii="Arial Narrow" w:eastAsia="Times New Roman" w:hAnsi="Arial Narrow" w:cs="Calibri"/>
                <w:color w:val="000000"/>
                <w:sz w:val="14"/>
                <w:szCs w:val="14"/>
                <w:lang w:eastAsia="es-CO"/>
              </w:rPr>
              <w:t>Busqueda</w:t>
            </w:r>
            <w:proofErr w:type="spellEnd"/>
            <w:r w:rsidRPr="00F700F6">
              <w:rPr>
                <w:rFonts w:ascii="Arial Narrow" w:eastAsia="Times New Roman" w:hAnsi="Arial Narrow" w:cs="Calibri"/>
                <w:color w:val="000000"/>
                <w:sz w:val="14"/>
                <w:szCs w:val="14"/>
                <w:lang w:eastAsia="es-CO"/>
              </w:rPr>
              <w:t xml:space="preserve"> de Personas Desaparecidas</w:t>
            </w:r>
          </w:p>
        </w:tc>
        <w:tc>
          <w:tcPr>
            <w:tcW w:w="990" w:type="dxa"/>
            <w:hideMark/>
          </w:tcPr>
          <w:p w14:paraId="07BDD759"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CO1.PCCNTR.5102413</w:t>
            </w:r>
          </w:p>
        </w:tc>
        <w:tc>
          <w:tcPr>
            <w:tcW w:w="810" w:type="dxa"/>
            <w:hideMark/>
          </w:tcPr>
          <w:p w14:paraId="18FB28DB"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06/28/2023</w:t>
            </w:r>
          </w:p>
        </w:tc>
        <w:tc>
          <w:tcPr>
            <w:tcW w:w="1170" w:type="dxa"/>
            <w:hideMark/>
          </w:tcPr>
          <w:p w14:paraId="765B23E2" w14:textId="5B707DBF"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1.982.889.981</w:t>
            </w:r>
          </w:p>
        </w:tc>
        <w:tc>
          <w:tcPr>
            <w:tcW w:w="1710" w:type="dxa"/>
            <w:hideMark/>
          </w:tcPr>
          <w:p w14:paraId="217C9C80"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https://community.secop.gov.co/Public/Tendering/OpportunityDetail/Index?noticeUID=CO1.NTC.4449333&amp;isFromPublicArea=True&amp;isModal=true&amp;asPopupView=true</w:t>
            </w:r>
          </w:p>
        </w:tc>
        <w:tc>
          <w:tcPr>
            <w:tcW w:w="2790" w:type="dxa"/>
            <w:hideMark/>
          </w:tcPr>
          <w:p w14:paraId="448C96AB"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Servicio de Transporte Público Especial Terrestre para la Sede Central y las Sedes Territoriales y Satélites de la UBPD.</w:t>
            </w:r>
          </w:p>
        </w:tc>
        <w:tc>
          <w:tcPr>
            <w:tcW w:w="760" w:type="dxa"/>
            <w:hideMark/>
          </w:tcPr>
          <w:p w14:paraId="607CF27D"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180 Dia(s)</w:t>
            </w:r>
          </w:p>
        </w:tc>
      </w:tr>
      <w:tr w:rsidR="00F9249F" w:rsidRPr="00F700F6" w14:paraId="2AC22917"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3779A901"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SECRETARIA DISTRITAL DE GOBIERNO 1</w:t>
            </w:r>
          </w:p>
        </w:tc>
        <w:tc>
          <w:tcPr>
            <w:tcW w:w="990" w:type="dxa"/>
            <w:hideMark/>
          </w:tcPr>
          <w:p w14:paraId="5155649A"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CO1.PCCNTR.5209427</w:t>
            </w:r>
          </w:p>
        </w:tc>
        <w:tc>
          <w:tcPr>
            <w:tcW w:w="810" w:type="dxa"/>
            <w:hideMark/>
          </w:tcPr>
          <w:p w14:paraId="54014E99"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07/12/2023</w:t>
            </w:r>
          </w:p>
        </w:tc>
        <w:tc>
          <w:tcPr>
            <w:tcW w:w="1170" w:type="dxa"/>
            <w:hideMark/>
          </w:tcPr>
          <w:p w14:paraId="51311793" w14:textId="1251250E"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2.011.138.745</w:t>
            </w:r>
          </w:p>
        </w:tc>
        <w:tc>
          <w:tcPr>
            <w:tcW w:w="1710" w:type="dxa"/>
            <w:hideMark/>
          </w:tcPr>
          <w:p w14:paraId="636253FE"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https://community.secop.gov.co/Public/Tendering/OpportunityDetail/Index?noticeUID=CO1.NTC.4591307&amp;isFromPublicArea=True&amp;isModal=true&amp;asPopupView=true</w:t>
            </w:r>
          </w:p>
        </w:tc>
        <w:tc>
          <w:tcPr>
            <w:tcW w:w="2790" w:type="dxa"/>
            <w:hideMark/>
          </w:tcPr>
          <w:p w14:paraId="4E3D1F33"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PRESTACIÓN DEL SERVICIO DE TRANSPORTE PÚBLICO TERRESTRE AUTOMOTOR ESPECIAL PARA LOS PROYECTOS Y LAS DEPENDENCIAS DEL NIVEL CENTRAL DE LA SECRETARIA DISTRITAL DE GOBIERNO.</w:t>
            </w:r>
          </w:p>
        </w:tc>
        <w:tc>
          <w:tcPr>
            <w:tcW w:w="760" w:type="dxa"/>
            <w:hideMark/>
          </w:tcPr>
          <w:p w14:paraId="19E2BEE5"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255 Dia(s)</w:t>
            </w:r>
          </w:p>
        </w:tc>
      </w:tr>
      <w:tr w:rsidR="00F9249F" w:rsidRPr="00F700F6" w14:paraId="614176CA"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75AF1F49"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ANM</w:t>
            </w:r>
          </w:p>
        </w:tc>
        <w:tc>
          <w:tcPr>
            <w:tcW w:w="990" w:type="dxa"/>
            <w:hideMark/>
          </w:tcPr>
          <w:p w14:paraId="5A501BBE"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CO1.PCCNTR.6880994</w:t>
            </w:r>
          </w:p>
        </w:tc>
        <w:tc>
          <w:tcPr>
            <w:tcW w:w="810" w:type="dxa"/>
            <w:hideMark/>
          </w:tcPr>
          <w:p w14:paraId="4E453B56"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10/11/2024</w:t>
            </w:r>
          </w:p>
        </w:tc>
        <w:tc>
          <w:tcPr>
            <w:tcW w:w="1170" w:type="dxa"/>
            <w:hideMark/>
          </w:tcPr>
          <w:p w14:paraId="510240FC" w14:textId="0D37739B"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3.994.513.494</w:t>
            </w:r>
          </w:p>
        </w:tc>
        <w:tc>
          <w:tcPr>
            <w:tcW w:w="1710" w:type="dxa"/>
            <w:hideMark/>
          </w:tcPr>
          <w:p w14:paraId="5E83EF38"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https://community.secop.gov.co/Public/Tendering/OpportunityDetail/Index?noticeUID=CO1.NTC.6657430&amp;isFromPublicArea=True&amp;isModal=true&amp;asPopupView=true</w:t>
            </w:r>
          </w:p>
        </w:tc>
        <w:tc>
          <w:tcPr>
            <w:tcW w:w="2790" w:type="dxa"/>
            <w:hideMark/>
          </w:tcPr>
          <w:p w14:paraId="067D11DC"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Contratar la prestación de servicios de transporte público terrestre automotor especial a todo costo dentro del territorio nacional; para el transporte del personal; colaboradores; materiales; equipos y comisiones conjuntas en las zonas de cobertura de la entidad y/o donde esta lo requiera</w:t>
            </w:r>
          </w:p>
        </w:tc>
        <w:tc>
          <w:tcPr>
            <w:tcW w:w="760" w:type="dxa"/>
            <w:hideMark/>
          </w:tcPr>
          <w:p w14:paraId="0722E896"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255 Dia(s)</w:t>
            </w:r>
          </w:p>
        </w:tc>
      </w:tr>
      <w:tr w:rsidR="00F9249F" w:rsidRPr="00F700F6" w14:paraId="6AF5152B" w14:textId="77777777" w:rsidTr="000022C7">
        <w:trPr>
          <w:cantSplit/>
          <w:trHeight w:val="144"/>
        </w:trPr>
        <w:tc>
          <w:tcPr>
            <w:cnfStyle w:val="001000000000" w:firstRow="0" w:lastRow="0" w:firstColumn="1" w:lastColumn="0" w:oddVBand="0" w:evenVBand="0" w:oddHBand="0" w:evenHBand="0" w:firstRowFirstColumn="0" w:firstRowLastColumn="0" w:lastRowFirstColumn="0" w:lastRowLastColumn="0"/>
            <w:tcW w:w="1075" w:type="dxa"/>
            <w:hideMark/>
          </w:tcPr>
          <w:p w14:paraId="27771B58" w14:textId="77777777" w:rsidR="00F9249F" w:rsidRPr="00F700F6" w:rsidRDefault="00F9249F" w:rsidP="00F700F6">
            <w:pPr>
              <w:spacing w:before="0" w:after="0" w:line="240" w:lineRule="auto"/>
              <w:jc w:val="left"/>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AGENCIA NACIONAL DE TIERRAS - ANT</w:t>
            </w:r>
          </w:p>
        </w:tc>
        <w:tc>
          <w:tcPr>
            <w:tcW w:w="990" w:type="dxa"/>
            <w:hideMark/>
          </w:tcPr>
          <w:p w14:paraId="1F60D164"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CO1.PCCNTR.6441453</w:t>
            </w:r>
          </w:p>
        </w:tc>
        <w:tc>
          <w:tcPr>
            <w:tcW w:w="810" w:type="dxa"/>
            <w:hideMark/>
          </w:tcPr>
          <w:p w14:paraId="604DBBAC" w14:textId="77777777" w:rsidR="00F9249F" w:rsidRPr="00F700F6" w:rsidRDefault="00F9249F" w:rsidP="00F700F6">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06/20/2024</w:t>
            </w:r>
          </w:p>
        </w:tc>
        <w:tc>
          <w:tcPr>
            <w:tcW w:w="1170" w:type="dxa"/>
            <w:hideMark/>
          </w:tcPr>
          <w:p w14:paraId="2125A73A" w14:textId="419C2BD2"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6.000.000.000</w:t>
            </w:r>
          </w:p>
        </w:tc>
        <w:tc>
          <w:tcPr>
            <w:tcW w:w="1710" w:type="dxa"/>
            <w:hideMark/>
          </w:tcPr>
          <w:p w14:paraId="3C8D2B92"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https://community.secop.gov.co/Public/Tendering/OpportunityDetail/Index?noticeUID=CO1.NTC.6138743&amp;isFromPublicArea=True&amp;isModal=true&amp;asPopupView=true</w:t>
            </w:r>
          </w:p>
        </w:tc>
        <w:tc>
          <w:tcPr>
            <w:tcW w:w="2790" w:type="dxa"/>
            <w:hideMark/>
          </w:tcPr>
          <w:p w14:paraId="0ECD4F2B" w14:textId="77777777" w:rsidR="00F9249F" w:rsidRPr="00F700F6" w:rsidRDefault="00F9249F" w:rsidP="000022C7">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 xml:space="preserve">PRESTAR EL SERVICIO DE TRANSPORTE PÚBLICO TERRESTRE AUTOMOTOR ESPECIAL CON CONDUCTOR; DISPONIBILIDAD 7 X 24; PARA TRANSPORTE DE PERSONAL; CON MATERIAL Y </w:t>
            </w:r>
            <w:proofErr w:type="gramStart"/>
            <w:r w:rsidRPr="00F700F6">
              <w:rPr>
                <w:rFonts w:ascii="Arial Narrow" w:eastAsia="Times New Roman" w:hAnsi="Arial Narrow" w:cs="Calibri"/>
                <w:color w:val="000000"/>
                <w:sz w:val="14"/>
                <w:szCs w:val="14"/>
                <w:lang w:eastAsia="es-CO"/>
              </w:rPr>
              <w:t>EQUIPOS  A</w:t>
            </w:r>
            <w:proofErr w:type="gramEnd"/>
            <w:r w:rsidRPr="00F700F6">
              <w:rPr>
                <w:rFonts w:ascii="Arial Narrow" w:eastAsia="Times New Roman" w:hAnsi="Arial Narrow" w:cs="Calibri"/>
                <w:color w:val="000000"/>
                <w:sz w:val="14"/>
                <w:szCs w:val="14"/>
                <w:lang w:eastAsia="es-CO"/>
              </w:rPr>
              <w:t xml:space="preserve"> NIVEL NACIONAL</w:t>
            </w:r>
          </w:p>
        </w:tc>
        <w:tc>
          <w:tcPr>
            <w:tcW w:w="760" w:type="dxa"/>
            <w:hideMark/>
          </w:tcPr>
          <w:p w14:paraId="7562D0E7" w14:textId="77777777" w:rsidR="00F9249F" w:rsidRPr="00F700F6" w:rsidRDefault="00F9249F" w:rsidP="00F700F6">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4"/>
                <w:szCs w:val="14"/>
                <w:lang w:eastAsia="es-CO"/>
              </w:rPr>
            </w:pPr>
            <w:r w:rsidRPr="00F700F6">
              <w:rPr>
                <w:rFonts w:ascii="Arial Narrow" w:eastAsia="Times New Roman" w:hAnsi="Arial Narrow" w:cs="Calibri"/>
                <w:color w:val="000000"/>
                <w:sz w:val="14"/>
                <w:szCs w:val="14"/>
                <w:lang w:eastAsia="es-CO"/>
              </w:rPr>
              <w:t>402 Dia(s)</w:t>
            </w:r>
          </w:p>
        </w:tc>
      </w:tr>
    </w:tbl>
    <w:p w14:paraId="7E87E3AB" w14:textId="77777777" w:rsidR="00DF6184" w:rsidRDefault="00DF6184" w:rsidP="004F4BF7">
      <w:pPr>
        <w:tabs>
          <w:tab w:val="left" w:pos="2390"/>
        </w:tabs>
        <w:spacing w:before="0" w:after="0" w:line="276" w:lineRule="auto"/>
        <w:rPr>
          <w:rFonts w:ascii="Arial Narrow" w:hAnsi="Arial Narrow" w:cs="Arial"/>
          <w:lang w:val="es-US" w:eastAsia="es-ES"/>
        </w:rPr>
      </w:pPr>
    </w:p>
    <w:tbl>
      <w:tblPr>
        <w:tblStyle w:val="Tablaconcuadrcula1clara"/>
        <w:tblW w:w="5048" w:type="pct"/>
        <w:tblLayout w:type="fixed"/>
        <w:tblLook w:val="04A0" w:firstRow="1" w:lastRow="0" w:firstColumn="1" w:lastColumn="0" w:noHBand="0" w:noVBand="1"/>
      </w:tblPr>
      <w:tblGrid>
        <w:gridCol w:w="2064"/>
        <w:gridCol w:w="4860"/>
        <w:gridCol w:w="1077"/>
        <w:gridCol w:w="1264"/>
      </w:tblGrid>
      <w:tr w:rsidR="004F4BF7" w:rsidRPr="00985B01" w14:paraId="3ED22568" w14:textId="77777777" w:rsidTr="004F4BF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114" w:type="pct"/>
            <w:noWrap/>
            <w:hideMark/>
          </w:tcPr>
          <w:p w14:paraId="54389FFC" w14:textId="77777777" w:rsidR="004F4BF7" w:rsidRPr="00985B01" w:rsidRDefault="004F4BF7" w:rsidP="006924A2">
            <w:pPr>
              <w:spacing w:before="0" w:after="0" w:line="240" w:lineRule="auto"/>
              <w:jc w:val="left"/>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Entidad</w:t>
            </w:r>
          </w:p>
        </w:tc>
        <w:tc>
          <w:tcPr>
            <w:tcW w:w="2623" w:type="pct"/>
            <w:noWrap/>
            <w:hideMark/>
          </w:tcPr>
          <w:p w14:paraId="1B5E77FE" w14:textId="77777777" w:rsidR="004F4BF7" w:rsidRPr="00985B01" w:rsidRDefault="004F4BF7" w:rsidP="006924A2">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Descripción del Procedimiento</w:t>
            </w:r>
          </w:p>
        </w:tc>
        <w:tc>
          <w:tcPr>
            <w:tcW w:w="581" w:type="pct"/>
            <w:noWrap/>
            <w:hideMark/>
          </w:tcPr>
          <w:p w14:paraId="122DFEE7" w14:textId="77777777" w:rsidR="004F4BF7" w:rsidRPr="00985B01" w:rsidRDefault="004F4BF7" w:rsidP="006924A2">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Precio Base</w:t>
            </w:r>
          </w:p>
        </w:tc>
        <w:tc>
          <w:tcPr>
            <w:tcW w:w="682" w:type="pct"/>
            <w:noWrap/>
            <w:hideMark/>
          </w:tcPr>
          <w:p w14:paraId="09989D2B" w14:textId="77777777" w:rsidR="004F4BF7" w:rsidRPr="00985B01" w:rsidRDefault="004F4BF7" w:rsidP="006924A2">
            <w:pPr>
              <w:spacing w:before="0" w:after="0" w:line="240" w:lineRule="auto"/>
              <w:jc w:val="left"/>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Modalidad de Contratación</w:t>
            </w:r>
          </w:p>
        </w:tc>
      </w:tr>
      <w:tr w:rsidR="004F4BF7" w:rsidRPr="00985B01" w14:paraId="3F72AD14"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1EF1D5C2"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UNIDAD ADMINISTRATIVA ESPECIAL DE GESTION DE RESTITUCION DE TIERRAS DESPOJADAS</w:t>
            </w:r>
          </w:p>
        </w:tc>
        <w:tc>
          <w:tcPr>
            <w:tcW w:w="2623" w:type="pct"/>
            <w:noWrap/>
            <w:hideMark/>
          </w:tcPr>
          <w:p w14:paraId="3EA23830"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Contratar la prestación de los servicios de transporte público terrestre especial automotor en camioneta tipo doble cabina 4x4 con conductor en las diferentes sedes con las que cuenta la Unidad Administrativa Especial de Gestión de Restitución de Tierras Despojadas, incluidos todos los costos operacionales, con una disponibilidad de los vehículos de 24 x 30; así como vehículos adicionales en caso de requerirse, con características diferentes tales como </w:t>
            </w:r>
            <w:proofErr w:type="spellStart"/>
            <w:r w:rsidRPr="00985B01">
              <w:rPr>
                <w:rFonts w:ascii="Arial Narrow" w:eastAsia="Times New Roman" w:hAnsi="Arial Narrow" w:cs="Calibri"/>
                <w:sz w:val="14"/>
                <w:szCs w:val="14"/>
                <w:lang w:val="es-US"/>
              </w:rPr>
              <w:t>vans</w:t>
            </w:r>
            <w:proofErr w:type="spellEnd"/>
            <w:r w:rsidRPr="00985B01">
              <w:rPr>
                <w:rFonts w:ascii="Arial Narrow" w:eastAsia="Times New Roman" w:hAnsi="Arial Narrow" w:cs="Calibri"/>
                <w:sz w:val="14"/>
                <w:szCs w:val="14"/>
                <w:lang w:val="es-US"/>
              </w:rPr>
              <w:t xml:space="preserve">, buses, busetas y camiones que </w:t>
            </w:r>
            <w:proofErr w:type="spellStart"/>
            <w:r w:rsidRPr="00985B01">
              <w:rPr>
                <w:rFonts w:ascii="Arial Narrow" w:eastAsia="Times New Roman" w:hAnsi="Arial Narrow" w:cs="Calibri"/>
                <w:sz w:val="14"/>
                <w:szCs w:val="14"/>
                <w:lang w:val="es-US"/>
              </w:rPr>
              <w:t>garanti</w:t>
            </w:r>
            <w:proofErr w:type="spellEnd"/>
          </w:p>
        </w:tc>
        <w:tc>
          <w:tcPr>
            <w:tcW w:w="581" w:type="pct"/>
            <w:noWrap/>
            <w:vAlign w:val="center"/>
            <w:hideMark/>
          </w:tcPr>
          <w:p w14:paraId="70525291"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$4.106.660.451 </w:t>
            </w:r>
          </w:p>
        </w:tc>
        <w:tc>
          <w:tcPr>
            <w:tcW w:w="682" w:type="pct"/>
            <w:noWrap/>
            <w:vAlign w:val="center"/>
            <w:hideMark/>
          </w:tcPr>
          <w:p w14:paraId="2136694F"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r w:rsidR="004F4BF7" w:rsidRPr="00985B01" w14:paraId="6593DC48"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2D66A6A4"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UNIDAD DE BUSQUEDA DE PERSONAS DADAS POR DESAPARECIDAS EN EL CONTEXTO Y </w:t>
            </w:r>
            <w:proofErr w:type="gramStart"/>
            <w:r w:rsidRPr="00985B01">
              <w:rPr>
                <w:rFonts w:ascii="Arial Narrow" w:eastAsia="Times New Roman" w:hAnsi="Arial Narrow" w:cs="Calibri"/>
                <w:sz w:val="14"/>
                <w:szCs w:val="14"/>
                <w:lang w:val="es-US"/>
              </w:rPr>
              <w:t>EN RAZÓN DEL</w:t>
            </w:r>
            <w:proofErr w:type="gramEnd"/>
            <w:r w:rsidRPr="00985B01">
              <w:rPr>
                <w:rFonts w:ascii="Arial Narrow" w:eastAsia="Times New Roman" w:hAnsi="Arial Narrow" w:cs="Calibri"/>
                <w:sz w:val="14"/>
                <w:szCs w:val="14"/>
                <w:lang w:val="es-US"/>
              </w:rPr>
              <w:t xml:space="preserve"> CONFLICTO ARMADO</w:t>
            </w:r>
          </w:p>
        </w:tc>
        <w:tc>
          <w:tcPr>
            <w:tcW w:w="2623" w:type="pct"/>
            <w:noWrap/>
            <w:hideMark/>
          </w:tcPr>
          <w:p w14:paraId="5613BB44"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Servicio de transporte público especial terrestre para la sede central y las sedes territoriales de la UBPD.</w:t>
            </w:r>
          </w:p>
        </w:tc>
        <w:tc>
          <w:tcPr>
            <w:tcW w:w="581" w:type="pct"/>
            <w:noWrap/>
            <w:vAlign w:val="center"/>
            <w:hideMark/>
          </w:tcPr>
          <w:p w14:paraId="4E0409CD"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$4.449.264.593 </w:t>
            </w:r>
          </w:p>
        </w:tc>
        <w:tc>
          <w:tcPr>
            <w:tcW w:w="682" w:type="pct"/>
            <w:noWrap/>
            <w:vAlign w:val="center"/>
            <w:hideMark/>
          </w:tcPr>
          <w:p w14:paraId="0BF8DF1C"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r w:rsidR="004F4BF7" w:rsidRPr="00985B01" w14:paraId="230F1F20"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7476AF50"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UNIDAD DE BUSQUEDA DE PERSONAS DADAS POR DESAPARECIDAS EN EL CONTEXTO Y </w:t>
            </w:r>
            <w:proofErr w:type="gramStart"/>
            <w:r w:rsidRPr="00985B01">
              <w:rPr>
                <w:rFonts w:ascii="Arial Narrow" w:eastAsia="Times New Roman" w:hAnsi="Arial Narrow" w:cs="Calibri"/>
                <w:sz w:val="14"/>
                <w:szCs w:val="14"/>
                <w:lang w:val="es-US"/>
              </w:rPr>
              <w:t>EN RAZÓN DEL</w:t>
            </w:r>
            <w:proofErr w:type="gramEnd"/>
            <w:r w:rsidRPr="00985B01">
              <w:rPr>
                <w:rFonts w:ascii="Arial Narrow" w:eastAsia="Times New Roman" w:hAnsi="Arial Narrow" w:cs="Calibri"/>
                <w:sz w:val="14"/>
                <w:szCs w:val="14"/>
                <w:lang w:val="es-US"/>
              </w:rPr>
              <w:t xml:space="preserve"> CONFLICTO ARMADO</w:t>
            </w:r>
          </w:p>
        </w:tc>
        <w:tc>
          <w:tcPr>
            <w:tcW w:w="2623" w:type="pct"/>
            <w:noWrap/>
            <w:hideMark/>
          </w:tcPr>
          <w:p w14:paraId="08308541"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Contratar el servicio de transporte público especial terrestre para la sede central y sedes territoriales y satélites de la UBPD</w:t>
            </w:r>
          </w:p>
        </w:tc>
        <w:tc>
          <w:tcPr>
            <w:tcW w:w="581" w:type="pct"/>
            <w:noWrap/>
            <w:vAlign w:val="center"/>
            <w:hideMark/>
          </w:tcPr>
          <w:p w14:paraId="4874C563"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$4.469.155.439 </w:t>
            </w:r>
          </w:p>
        </w:tc>
        <w:tc>
          <w:tcPr>
            <w:tcW w:w="682" w:type="pct"/>
            <w:noWrap/>
            <w:vAlign w:val="center"/>
            <w:hideMark/>
          </w:tcPr>
          <w:p w14:paraId="42C53856"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r w:rsidR="004F4BF7" w:rsidRPr="00985B01" w14:paraId="749AEAE8"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1629C6F9"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SECRETARÍA DISTRITAL DE MOVILIDAD</w:t>
            </w:r>
          </w:p>
        </w:tc>
        <w:tc>
          <w:tcPr>
            <w:tcW w:w="2623" w:type="pct"/>
            <w:noWrap/>
            <w:hideMark/>
          </w:tcPr>
          <w:p w14:paraId="5BC308B6"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Prestar el servicio integral del servicio de transporte público de transporte terrestre especial automotor para apoyar las actividades que se desarrollan fuera de las instalaciones de la secretaria distrital de movilidad, de conformidad con la ficha técnica.</w:t>
            </w:r>
          </w:p>
        </w:tc>
        <w:tc>
          <w:tcPr>
            <w:tcW w:w="581" w:type="pct"/>
            <w:noWrap/>
            <w:vAlign w:val="center"/>
            <w:hideMark/>
          </w:tcPr>
          <w:p w14:paraId="6432082E"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$5.266.292.012 </w:t>
            </w:r>
          </w:p>
        </w:tc>
        <w:tc>
          <w:tcPr>
            <w:tcW w:w="682" w:type="pct"/>
            <w:noWrap/>
            <w:vAlign w:val="center"/>
            <w:hideMark/>
          </w:tcPr>
          <w:p w14:paraId="6E70B349"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r w:rsidR="004F4BF7" w:rsidRPr="00985B01" w14:paraId="0CC1305F"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7632BBFE"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SUPERINTENDENCIA FINANCIERA DE COLOMBIA</w:t>
            </w:r>
          </w:p>
        </w:tc>
        <w:tc>
          <w:tcPr>
            <w:tcW w:w="2623" w:type="pct"/>
            <w:noWrap/>
            <w:hideMark/>
          </w:tcPr>
          <w:p w14:paraId="1362E6E7"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Prestar el servicio de transporte público especial para los funcionarios de la Superintendencia Financiera de Colombia.</w:t>
            </w:r>
          </w:p>
        </w:tc>
        <w:tc>
          <w:tcPr>
            <w:tcW w:w="581" w:type="pct"/>
            <w:noWrap/>
            <w:vAlign w:val="center"/>
            <w:hideMark/>
          </w:tcPr>
          <w:p w14:paraId="5440E77C"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$7.571.161.485 </w:t>
            </w:r>
          </w:p>
        </w:tc>
        <w:tc>
          <w:tcPr>
            <w:tcW w:w="682" w:type="pct"/>
            <w:noWrap/>
            <w:vAlign w:val="center"/>
            <w:hideMark/>
          </w:tcPr>
          <w:p w14:paraId="58FD6965"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r w:rsidR="004F4BF7" w:rsidRPr="00985B01" w14:paraId="524F9F63" w14:textId="77777777" w:rsidTr="004F4BF7">
        <w:trPr>
          <w:trHeight w:val="288"/>
        </w:trPr>
        <w:tc>
          <w:tcPr>
            <w:cnfStyle w:val="001000000000" w:firstRow="0" w:lastRow="0" w:firstColumn="1" w:lastColumn="0" w:oddVBand="0" w:evenVBand="0" w:oddHBand="0" w:evenHBand="0" w:firstRowFirstColumn="0" w:firstRowLastColumn="0" w:lastRowFirstColumn="0" w:lastRowLastColumn="0"/>
            <w:tcW w:w="1114" w:type="pct"/>
            <w:noWrap/>
            <w:vAlign w:val="center"/>
            <w:hideMark/>
          </w:tcPr>
          <w:p w14:paraId="6A695678" w14:textId="77777777" w:rsidR="004F4BF7" w:rsidRPr="00985B01" w:rsidRDefault="004F4BF7" w:rsidP="006924A2">
            <w:pPr>
              <w:spacing w:before="0" w:after="0" w:line="240" w:lineRule="auto"/>
              <w:jc w:val="center"/>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UNIDAD ADMINISTRATIVA ESPECIAL DE GESTION DE RESTITUCION DE TIERRAS DESPOJADAS</w:t>
            </w:r>
          </w:p>
        </w:tc>
        <w:tc>
          <w:tcPr>
            <w:tcW w:w="2623" w:type="pct"/>
            <w:noWrap/>
            <w:hideMark/>
          </w:tcPr>
          <w:p w14:paraId="66272F01" w14:textId="77777777" w:rsidR="004F4BF7" w:rsidRPr="00985B01" w:rsidRDefault="004F4BF7" w:rsidP="006924A2">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Contratar la prestación de los servicios de transporte público terrestre especial automotor en camioneta tipo doble cabina 4x4 con conductor en las diferentes sedes con las que cuenta la Unidad Administrativa Especial de Gestión de Restitución de Tierras Despojadas, incluidos todos los costos operacionales, con una disponibilidad de los vehículos de 24 x 30; así como vehículos adicionales con características diferentes en caso de requerirse, que garanticen el cumplimiento de los objetivos </w:t>
            </w:r>
            <w:r>
              <w:rPr>
                <w:rFonts w:ascii="Arial Narrow" w:eastAsia="Times New Roman" w:hAnsi="Arial Narrow" w:cs="Calibri"/>
                <w:sz w:val="14"/>
                <w:szCs w:val="14"/>
                <w:lang w:val="es-US"/>
              </w:rPr>
              <w:t>misión</w:t>
            </w:r>
          </w:p>
        </w:tc>
        <w:tc>
          <w:tcPr>
            <w:tcW w:w="581" w:type="pct"/>
            <w:noWrap/>
            <w:vAlign w:val="center"/>
            <w:hideMark/>
          </w:tcPr>
          <w:p w14:paraId="08432B68" w14:textId="77777777" w:rsidR="004F4BF7" w:rsidRPr="00985B01" w:rsidRDefault="004F4BF7" w:rsidP="006924A2">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 xml:space="preserve">$8.168.944.691 </w:t>
            </w:r>
          </w:p>
        </w:tc>
        <w:tc>
          <w:tcPr>
            <w:tcW w:w="682" w:type="pct"/>
            <w:noWrap/>
            <w:vAlign w:val="center"/>
            <w:hideMark/>
          </w:tcPr>
          <w:p w14:paraId="13E4F9CB" w14:textId="77777777" w:rsidR="004F4BF7" w:rsidRPr="00985B01" w:rsidRDefault="004F4BF7"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s-US"/>
              </w:rPr>
            </w:pPr>
            <w:r w:rsidRPr="00985B01">
              <w:rPr>
                <w:rFonts w:ascii="Arial Narrow" w:eastAsia="Times New Roman" w:hAnsi="Arial Narrow" w:cs="Calibri"/>
                <w:sz w:val="14"/>
                <w:szCs w:val="14"/>
                <w:lang w:val="es-US"/>
              </w:rPr>
              <w:t>Selección abreviada subasta inversa</w:t>
            </w:r>
          </w:p>
        </w:tc>
      </w:tr>
    </w:tbl>
    <w:p w14:paraId="63EE9E37" w14:textId="77777777" w:rsidR="004F4BF7" w:rsidRDefault="004F4BF7" w:rsidP="001855D1">
      <w:pPr>
        <w:tabs>
          <w:tab w:val="left" w:pos="2390"/>
        </w:tabs>
        <w:spacing w:line="276" w:lineRule="auto"/>
        <w:rPr>
          <w:rFonts w:ascii="Arial Narrow" w:hAnsi="Arial Narrow" w:cs="Arial"/>
          <w:lang w:val="es-US" w:eastAsia="es-ES"/>
        </w:rPr>
      </w:pPr>
    </w:p>
    <w:p w14:paraId="491CF913" w14:textId="1DC057B9" w:rsidR="00843FD2" w:rsidRDefault="001A6E1A" w:rsidP="001855D1">
      <w:pPr>
        <w:tabs>
          <w:tab w:val="left" w:pos="2390"/>
        </w:tabs>
        <w:spacing w:line="276" w:lineRule="auto"/>
        <w:rPr>
          <w:rFonts w:ascii="Arial Narrow" w:hAnsi="Arial Narrow" w:cs="Arial"/>
          <w:lang w:val="es-US" w:eastAsia="es-ES"/>
        </w:rPr>
      </w:pPr>
      <w:r w:rsidRPr="009832BA">
        <w:rPr>
          <w:rFonts w:ascii="Arial Narrow" w:hAnsi="Arial Narrow" w:cs="Arial"/>
          <w:lang w:val="es-US" w:eastAsia="es-ES"/>
        </w:rPr>
        <w:lastRenderedPageBreak/>
        <w:t xml:space="preserve">A </w:t>
      </w:r>
      <w:r w:rsidR="00561EF8" w:rsidRPr="009832BA">
        <w:rPr>
          <w:rFonts w:ascii="Arial Narrow" w:hAnsi="Arial Narrow" w:cs="Arial"/>
          <w:lang w:val="es-US" w:eastAsia="es-ES"/>
        </w:rPr>
        <w:t>continuación,</w:t>
      </w:r>
      <w:r w:rsidRPr="009832BA">
        <w:rPr>
          <w:rFonts w:ascii="Arial Narrow" w:hAnsi="Arial Narrow" w:cs="Arial"/>
          <w:lang w:val="es-US" w:eastAsia="es-ES"/>
        </w:rPr>
        <w:t xml:space="preserve"> se detallan los indicadores financieros solicitados en los procesos identificados.</w:t>
      </w:r>
    </w:p>
    <w:tbl>
      <w:tblPr>
        <w:tblStyle w:val="Tablaconcuadrcula1clara"/>
        <w:tblW w:w="5000" w:type="pct"/>
        <w:tblLook w:val="04A0" w:firstRow="1" w:lastRow="0" w:firstColumn="1" w:lastColumn="0" w:noHBand="0" w:noVBand="1"/>
      </w:tblPr>
      <w:tblGrid>
        <w:gridCol w:w="2873"/>
        <w:gridCol w:w="894"/>
        <w:gridCol w:w="1375"/>
        <w:gridCol w:w="808"/>
        <w:gridCol w:w="986"/>
        <w:gridCol w:w="1257"/>
        <w:gridCol w:w="984"/>
      </w:tblGrid>
      <w:tr w:rsidR="000022C7" w:rsidRPr="000022C7" w14:paraId="0E01E8E5" w14:textId="77777777" w:rsidTr="000022C7">
        <w:trPr>
          <w:cnfStyle w:val="100000000000" w:firstRow="1" w:lastRow="0" w:firstColumn="0" w:lastColumn="0" w:oddVBand="0" w:evenVBand="0" w:oddHBand="0"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24491B25" w14:textId="77777777" w:rsidR="003931A6" w:rsidRPr="000022C7" w:rsidRDefault="003931A6"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Nombre Entidad</w:t>
            </w:r>
          </w:p>
        </w:tc>
        <w:tc>
          <w:tcPr>
            <w:tcW w:w="487" w:type="pct"/>
            <w:vAlign w:val="center"/>
            <w:hideMark/>
          </w:tcPr>
          <w:p w14:paraId="23A317F6"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LIQUIDEZ</w:t>
            </w:r>
          </w:p>
        </w:tc>
        <w:tc>
          <w:tcPr>
            <w:tcW w:w="749" w:type="pct"/>
            <w:vAlign w:val="center"/>
            <w:hideMark/>
          </w:tcPr>
          <w:p w14:paraId="42DAF0B7"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ENDEUDAMIENTO</w:t>
            </w:r>
          </w:p>
        </w:tc>
        <w:tc>
          <w:tcPr>
            <w:tcW w:w="440" w:type="pct"/>
            <w:vAlign w:val="center"/>
            <w:hideMark/>
          </w:tcPr>
          <w:p w14:paraId="645166BC"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RCI</w:t>
            </w:r>
          </w:p>
        </w:tc>
        <w:tc>
          <w:tcPr>
            <w:tcW w:w="537" w:type="pct"/>
            <w:vAlign w:val="center"/>
            <w:hideMark/>
          </w:tcPr>
          <w:p w14:paraId="21DF145D"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C TRABAJO</w:t>
            </w:r>
          </w:p>
        </w:tc>
        <w:tc>
          <w:tcPr>
            <w:tcW w:w="685" w:type="pct"/>
            <w:vAlign w:val="center"/>
            <w:hideMark/>
          </w:tcPr>
          <w:p w14:paraId="061CF401"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R PATRIMONIO</w:t>
            </w:r>
          </w:p>
        </w:tc>
        <w:tc>
          <w:tcPr>
            <w:tcW w:w="537" w:type="pct"/>
            <w:vAlign w:val="center"/>
            <w:hideMark/>
          </w:tcPr>
          <w:p w14:paraId="1FC97107" w14:textId="77777777" w:rsidR="003931A6" w:rsidRPr="000022C7" w:rsidRDefault="003931A6" w:rsidP="000022C7">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color w:val="000000"/>
                <w:sz w:val="16"/>
                <w:szCs w:val="16"/>
                <w:lang w:eastAsia="es-CO"/>
              </w:rPr>
              <w:t>R ACTIVO</w:t>
            </w:r>
          </w:p>
        </w:tc>
      </w:tr>
      <w:tr w:rsidR="000022C7" w:rsidRPr="000022C7" w14:paraId="59EAF3A3" w14:textId="77777777" w:rsidTr="000022C7">
        <w:trPr>
          <w:trHeight w:val="373"/>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7A505A60" w14:textId="6765F0CC"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ANM</w:t>
            </w:r>
          </w:p>
        </w:tc>
        <w:tc>
          <w:tcPr>
            <w:tcW w:w="487" w:type="pct"/>
            <w:vAlign w:val="center"/>
            <w:hideMark/>
          </w:tcPr>
          <w:p w14:paraId="77A81620" w14:textId="4013E29D"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1,00</w:t>
            </w:r>
          </w:p>
        </w:tc>
        <w:tc>
          <w:tcPr>
            <w:tcW w:w="749" w:type="pct"/>
            <w:vAlign w:val="center"/>
            <w:hideMark/>
          </w:tcPr>
          <w:p w14:paraId="0665B035" w14:textId="7A594026"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0,65</w:t>
            </w:r>
          </w:p>
        </w:tc>
        <w:tc>
          <w:tcPr>
            <w:tcW w:w="440" w:type="pct"/>
            <w:vAlign w:val="center"/>
            <w:hideMark/>
          </w:tcPr>
          <w:p w14:paraId="062587FF" w14:textId="0BB3568A"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1,50</w:t>
            </w:r>
          </w:p>
        </w:tc>
        <w:tc>
          <w:tcPr>
            <w:tcW w:w="537" w:type="pct"/>
            <w:vAlign w:val="center"/>
            <w:hideMark/>
          </w:tcPr>
          <w:p w14:paraId="68DEF197"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36%</w:t>
            </w:r>
          </w:p>
        </w:tc>
        <w:tc>
          <w:tcPr>
            <w:tcW w:w="685" w:type="pct"/>
            <w:vAlign w:val="center"/>
            <w:hideMark/>
          </w:tcPr>
          <w:p w14:paraId="4BE71149" w14:textId="3B4A885A"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0,03</w:t>
            </w:r>
          </w:p>
        </w:tc>
        <w:tc>
          <w:tcPr>
            <w:tcW w:w="537" w:type="pct"/>
            <w:vAlign w:val="center"/>
            <w:hideMark/>
          </w:tcPr>
          <w:p w14:paraId="7A8EF8C7" w14:textId="5CCB2C8C"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0,02</w:t>
            </w:r>
          </w:p>
        </w:tc>
      </w:tr>
      <w:tr w:rsidR="000022C7" w:rsidRPr="000022C7" w14:paraId="7F1F968D" w14:textId="77777777" w:rsidTr="000022C7">
        <w:trPr>
          <w:trHeight w:val="304"/>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25918C1C" w14:textId="72E387F5"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SECRETARIA DISTRITAL DE GOBIERNO 1</w:t>
            </w:r>
          </w:p>
        </w:tc>
        <w:tc>
          <w:tcPr>
            <w:tcW w:w="487" w:type="pct"/>
            <w:vAlign w:val="center"/>
            <w:hideMark/>
          </w:tcPr>
          <w:p w14:paraId="5BB8C41E" w14:textId="6D1BF009"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1,40</w:t>
            </w:r>
          </w:p>
        </w:tc>
        <w:tc>
          <w:tcPr>
            <w:tcW w:w="749" w:type="pct"/>
            <w:vAlign w:val="center"/>
            <w:hideMark/>
          </w:tcPr>
          <w:p w14:paraId="5A48AAB5" w14:textId="4841108D"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0,64</w:t>
            </w:r>
          </w:p>
        </w:tc>
        <w:tc>
          <w:tcPr>
            <w:tcW w:w="440" w:type="pct"/>
            <w:vAlign w:val="center"/>
            <w:hideMark/>
          </w:tcPr>
          <w:p w14:paraId="30C9CC9A" w14:textId="07561A22"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1,60</w:t>
            </w:r>
          </w:p>
        </w:tc>
        <w:tc>
          <w:tcPr>
            <w:tcW w:w="537" w:type="pct"/>
            <w:vAlign w:val="center"/>
            <w:hideMark/>
          </w:tcPr>
          <w:p w14:paraId="48BB0A89"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58%</w:t>
            </w:r>
          </w:p>
        </w:tc>
        <w:tc>
          <w:tcPr>
            <w:tcW w:w="685" w:type="pct"/>
            <w:vAlign w:val="center"/>
            <w:hideMark/>
          </w:tcPr>
          <w:p w14:paraId="4A8FF466" w14:textId="1BD3908D"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0,01</w:t>
            </w:r>
          </w:p>
        </w:tc>
        <w:tc>
          <w:tcPr>
            <w:tcW w:w="537" w:type="pct"/>
            <w:vAlign w:val="center"/>
            <w:hideMark/>
          </w:tcPr>
          <w:p w14:paraId="0F9FC39A" w14:textId="3928AFAE"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0,00</w:t>
            </w:r>
          </w:p>
        </w:tc>
      </w:tr>
      <w:tr w:rsidR="000022C7" w:rsidRPr="000022C7" w14:paraId="69CBB286" w14:textId="77777777" w:rsidTr="000022C7">
        <w:trPr>
          <w:trHeight w:val="304"/>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79DF947B" w14:textId="41D86874"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UNIDAD DE BUSQUEDA DE PERSONAS DESAPARECIDAS</w:t>
            </w:r>
          </w:p>
        </w:tc>
        <w:tc>
          <w:tcPr>
            <w:tcW w:w="487" w:type="pct"/>
            <w:vAlign w:val="center"/>
            <w:hideMark/>
          </w:tcPr>
          <w:p w14:paraId="11503D3B" w14:textId="0B737A5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2,00</w:t>
            </w:r>
          </w:p>
        </w:tc>
        <w:tc>
          <w:tcPr>
            <w:tcW w:w="749" w:type="pct"/>
            <w:vAlign w:val="center"/>
            <w:hideMark/>
          </w:tcPr>
          <w:p w14:paraId="4E49AE5D" w14:textId="7365BACA"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0,50</w:t>
            </w:r>
          </w:p>
        </w:tc>
        <w:tc>
          <w:tcPr>
            <w:tcW w:w="440" w:type="pct"/>
            <w:vAlign w:val="center"/>
            <w:hideMark/>
          </w:tcPr>
          <w:p w14:paraId="7BB30CE2" w14:textId="3E67E95B"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2,00</w:t>
            </w:r>
          </w:p>
        </w:tc>
        <w:tc>
          <w:tcPr>
            <w:tcW w:w="537" w:type="pct"/>
            <w:vAlign w:val="center"/>
            <w:hideMark/>
          </w:tcPr>
          <w:p w14:paraId="1F0237E9"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50%</w:t>
            </w:r>
          </w:p>
        </w:tc>
        <w:tc>
          <w:tcPr>
            <w:tcW w:w="685" w:type="pct"/>
            <w:vAlign w:val="center"/>
            <w:hideMark/>
          </w:tcPr>
          <w:p w14:paraId="33279839" w14:textId="7706AEF4"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0,02</w:t>
            </w:r>
          </w:p>
        </w:tc>
        <w:tc>
          <w:tcPr>
            <w:tcW w:w="537" w:type="pct"/>
            <w:vAlign w:val="center"/>
            <w:hideMark/>
          </w:tcPr>
          <w:p w14:paraId="11078D7D" w14:textId="63B8530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0,04</w:t>
            </w:r>
          </w:p>
        </w:tc>
      </w:tr>
      <w:tr w:rsidR="000022C7" w:rsidRPr="000022C7" w14:paraId="2B39597B" w14:textId="77777777" w:rsidTr="000022C7">
        <w:trPr>
          <w:trHeight w:val="304"/>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468CAEC6" w14:textId="03259467"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SECRETARIA DISTRITAL DE GOBIERNO 1</w:t>
            </w:r>
          </w:p>
        </w:tc>
        <w:tc>
          <w:tcPr>
            <w:tcW w:w="487" w:type="pct"/>
            <w:vAlign w:val="center"/>
            <w:hideMark/>
          </w:tcPr>
          <w:p w14:paraId="1E19B195" w14:textId="429A7342"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1,70</w:t>
            </w:r>
          </w:p>
        </w:tc>
        <w:tc>
          <w:tcPr>
            <w:tcW w:w="749" w:type="pct"/>
            <w:vAlign w:val="center"/>
            <w:hideMark/>
          </w:tcPr>
          <w:p w14:paraId="5ABE57D3" w14:textId="44CE1930"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0,63</w:t>
            </w:r>
          </w:p>
        </w:tc>
        <w:tc>
          <w:tcPr>
            <w:tcW w:w="440" w:type="pct"/>
            <w:vAlign w:val="center"/>
            <w:hideMark/>
          </w:tcPr>
          <w:p w14:paraId="533C2A6B" w14:textId="0BD80294"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2,50</w:t>
            </w:r>
          </w:p>
        </w:tc>
        <w:tc>
          <w:tcPr>
            <w:tcW w:w="537" w:type="pct"/>
            <w:vAlign w:val="center"/>
            <w:hideMark/>
          </w:tcPr>
          <w:p w14:paraId="463432DF"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40%</w:t>
            </w:r>
          </w:p>
        </w:tc>
        <w:tc>
          <w:tcPr>
            <w:tcW w:w="685" w:type="pct"/>
            <w:vAlign w:val="center"/>
            <w:hideMark/>
          </w:tcPr>
          <w:p w14:paraId="5B907358" w14:textId="0E6183D0"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0,02</w:t>
            </w:r>
          </w:p>
        </w:tc>
        <w:tc>
          <w:tcPr>
            <w:tcW w:w="537" w:type="pct"/>
            <w:vAlign w:val="center"/>
            <w:hideMark/>
          </w:tcPr>
          <w:p w14:paraId="4FA5EB1B" w14:textId="4962FA99"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0,01</w:t>
            </w:r>
          </w:p>
        </w:tc>
      </w:tr>
      <w:tr w:rsidR="000022C7" w:rsidRPr="000022C7" w14:paraId="5B928C9E" w14:textId="77777777" w:rsidTr="000022C7">
        <w:trPr>
          <w:trHeight w:val="373"/>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522A8206" w14:textId="4144B2E1"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ANM</w:t>
            </w:r>
          </w:p>
        </w:tc>
        <w:tc>
          <w:tcPr>
            <w:tcW w:w="487" w:type="pct"/>
            <w:vAlign w:val="center"/>
            <w:hideMark/>
          </w:tcPr>
          <w:p w14:paraId="43CAFED0" w14:textId="0D090CEB"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1,50</w:t>
            </w:r>
          </w:p>
        </w:tc>
        <w:tc>
          <w:tcPr>
            <w:tcW w:w="749" w:type="pct"/>
            <w:vAlign w:val="center"/>
            <w:hideMark/>
          </w:tcPr>
          <w:p w14:paraId="5D9E5B36" w14:textId="34C5ACA1"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0,70</w:t>
            </w:r>
          </w:p>
        </w:tc>
        <w:tc>
          <w:tcPr>
            <w:tcW w:w="440" w:type="pct"/>
            <w:vAlign w:val="center"/>
            <w:hideMark/>
          </w:tcPr>
          <w:p w14:paraId="1F1E04CE" w14:textId="2F2A5349"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1,00</w:t>
            </w:r>
          </w:p>
        </w:tc>
        <w:tc>
          <w:tcPr>
            <w:tcW w:w="537" w:type="pct"/>
            <w:vAlign w:val="center"/>
            <w:hideMark/>
          </w:tcPr>
          <w:p w14:paraId="5DAB12AC"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22%</w:t>
            </w:r>
          </w:p>
        </w:tc>
        <w:tc>
          <w:tcPr>
            <w:tcW w:w="685" w:type="pct"/>
            <w:vAlign w:val="center"/>
            <w:hideMark/>
          </w:tcPr>
          <w:p w14:paraId="06F84766" w14:textId="3AA02749"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0,04</w:t>
            </w:r>
          </w:p>
        </w:tc>
        <w:tc>
          <w:tcPr>
            <w:tcW w:w="537" w:type="pct"/>
            <w:vAlign w:val="center"/>
            <w:hideMark/>
          </w:tcPr>
          <w:p w14:paraId="7DD7D1A4" w14:textId="39C488BC"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0,02</w:t>
            </w:r>
          </w:p>
        </w:tc>
      </w:tr>
      <w:tr w:rsidR="000022C7" w:rsidRPr="000022C7" w14:paraId="7A64DA8D" w14:textId="77777777" w:rsidTr="000022C7">
        <w:trPr>
          <w:trHeight w:val="304"/>
        </w:trPr>
        <w:tc>
          <w:tcPr>
            <w:cnfStyle w:val="001000000000" w:firstRow="0" w:lastRow="0" w:firstColumn="1" w:lastColumn="0" w:oddVBand="0" w:evenVBand="0" w:oddHBand="0" w:evenHBand="0" w:firstRowFirstColumn="0" w:firstRowLastColumn="0" w:lastRowFirstColumn="0" w:lastRowLastColumn="0"/>
            <w:tcW w:w="1566" w:type="pct"/>
            <w:vAlign w:val="center"/>
            <w:hideMark/>
          </w:tcPr>
          <w:p w14:paraId="202975F9" w14:textId="2801B90B" w:rsidR="003931A6" w:rsidRPr="000022C7" w:rsidRDefault="000022C7" w:rsidP="000022C7">
            <w:pPr>
              <w:spacing w:before="0" w:after="0" w:line="240" w:lineRule="auto"/>
              <w:jc w:val="center"/>
              <w:rPr>
                <w:rFonts w:ascii="Arial Narrow" w:eastAsia="Times New Roman" w:hAnsi="Arial Narrow" w:cs="Calibri"/>
                <w:b w:val="0"/>
                <w:bCs w:val="0"/>
                <w:color w:val="000000"/>
                <w:sz w:val="16"/>
                <w:szCs w:val="16"/>
                <w:lang w:eastAsia="es-CO"/>
              </w:rPr>
            </w:pPr>
            <w:r w:rsidRPr="000022C7">
              <w:rPr>
                <w:rFonts w:ascii="Arial Narrow" w:eastAsia="Times New Roman" w:hAnsi="Arial Narrow" w:cs="Calibri"/>
                <w:b w:val="0"/>
                <w:bCs w:val="0"/>
                <w:color w:val="000000"/>
                <w:sz w:val="16"/>
                <w:szCs w:val="16"/>
                <w:lang w:eastAsia="es-CO"/>
              </w:rPr>
              <w:t>AGENCIA NACIONAL DE TIERRAS - ANT</w:t>
            </w:r>
          </w:p>
        </w:tc>
        <w:tc>
          <w:tcPr>
            <w:tcW w:w="487" w:type="pct"/>
            <w:vAlign w:val="center"/>
            <w:hideMark/>
          </w:tcPr>
          <w:p w14:paraId="719F8C7F" w14:textId="0A668FCC"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1,80</w:t>
            </w:r>
          </w:p>
        </w:tc>
        <w:tc>
          <w:tcPr>
            <w:tcW w:w="749" w:type="pct"/>
            <w:vAlign w:val="center"/>
            <w:hideMark/>
          </w:tcPr>
          <w:p w14:paraId="10DDE970" w14:textId="001D6A2D"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0,60</w:t>
            </w:r>
          </w:p>
        </w:tc>
        <w:tc>
          <w:tcPr>
            <w:tcW w:w="440" w:type="pct"/>
            <w:vAlign w:val="center"/>
            <w:hideMark/>
          </w:tcPr>
          <w:p w14:paraId="2C51268F" w14:textId="265F2FAC"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4,00</w:t>
            </w:r>
          </w:p>
        </w:tc>
        <w:tc>
          <w:tcPr>
            <w:tcW w:w="537" w:type="pct"/>
            <w:vAlign w:val="center"/>
            <w:hideMark/>
          </w:tcPr>
          <w:p w14:paraId="4041109E" w14:textId="77777777"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40%</w:t>
            </w:r>
          </w:p>
        </w:tc>
        <w:tc>
          <w:tcPr>
            <w:tcW w:w="685" w:type="pct"/>
            <w:vAlign w:val="center"/>
            <w:hideMark/>
          </w:tcPr>
          <w:p w14:paraId="1B2760FB" w14:textId="1F27675A"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0,18</w:t>
            </w:r>
          </w:p>
        </w:tc>
        <w:tc>
          <w:tcPr>
            <w:tcW w:w="537" w:type="pct"/>
            <w:vAlign w:val="center"/>
            <w:hideMark/>
          </w:tcPr>
          <w:p w14:paraId="50C04005" w14:textId="033BCFD4" w:rsidR="003931A6" w:rsidRPr="000022C7" w:rsidRDefault="003931A6" w:rsidP="000022C7">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s-CO"/>
              </w:rPr>
            </w:pPr>
            <w:r w:rsidRPr="000022C7">
              <w:rPr>
                <w:rFonts w:ascii="Arial Narrow" w:eastAsia="Times New Roman" w:hAnsi="Arial Narrow" w:cs="Calibri"/>
                <w:color w:val="000000"/>
                <w:sz w:val="16"/>
                <w:szCs w:val="16"/>
                <w:lang w:eastAsia="es-CO"/>
              </w:rPr>
              <w:t>0,07</w:t>
            </w:r>
          </w:p>
        </w:tc>
      </w:tr>
    </w:tbl>
    <w:p w14:paraId="3B96F19C" w14:textId="77777777" w:rsidR="00A30259" w:rsidRDefault="00A30259" w:rsidP="00A30259">
      <w:pPr>
        <w:spacing w:before="0" w:after="0"/>
        <w:rPr>
          <w:lang w:val="es-US"/>
        </w:rPr>
      </w:pPr>
    </w:p>
    <w:tbl>
      <w:tblPr>
        <w:tblStyle w:val="Tablaconcuadrcula1clara"/>
        <w:tblW w:w="5000" w:type="pct"/>
        <w:tblLayout w:type="fixed"/>
        <w:tblLook w:val="04A0" w:firstRow="1" w:lastRow="0" w:firstColumn="1" w:lastColumn="0" w:noHBand="0" w:noVBand="1"/>
      </w:tblPr>
      <w:tblGrid>
        <w:gridCol w:w="4855"/>
        <w:gridCol w:w="630"/>
        <w:gridCol w:w="719"/>
        <w:gridCol w:w="809"/>
        <w:gridCol w:w="719"/>
        <w:gridCol w:w="718"/>
        <w:gridCol w:w="727"/>
      </w:tblGrid>
      <w:tr w:rsidR="00A30259" w:rsidRPr="002E66DC" w14:paraId="5B569E7D" w14:textId="77777777" w:rsidTr="006924A2">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2645" w:type="pct"/>
            <w:noWrap/>
            <w:hideMark/>
          </w:tcPr>
          <w:p w14:paraId="1EFE915E" w14:textId="77777777" w:rsidR="00A30259" w:rsidRPr="002E66DC" w:rsidRDefault="00A30259" w:rsidP="006924A2">
            <w:pPr>
              <w:spacing w:before="0" w:after="0" w:line="240" w:lineRule="auto"/>
              <w:jc w:val="left"/>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Descripción</w:t>
            </w:r>
            <w:proofErr w:type="spellEnd"/>
            <w:r w:rsidRPr="002E66DC">
              <w:rPr>
                <w:rFonts w:ascii="Arial Narrow" w:eastAsia="Times New Roman" w:hAnsi="Arial Narrow" w:cs="Calibri"/>
                <w:sz w:val="14"/>
                <w:szCs w:val="14"/>
                <w:lang w:val="en-US"/>
              </w:rPr>
              <w:t xml:space="preserve"> del </w:t>
            </w:r>
            <w:proofErr w:type="spellStart"/>
            <w:r w:rsidRPr="002E66DC">
              <w:rPr>
                <w:rFonts w:ascii="Arial Narrow" w:eastAsia="Times New Roman" w:hAnsi="Arial Narrow" w:cs="Calibri"/>
                <w:sz w:val="14"/>
                <w:szCs w:val="14"/>
                <w:lang w:val="en-US"/>
              </w:rPr>
              <w:t>Procedimiento</w:t>
            </w:r>
            <w:proofErr w:type="spellEnd"/>
          </w:p>
        </w:tc>
        <w:tc>
          <w:tcPr>
            <w:tcW w:w="343" w:type="pct"/>
            <w:hideMark/>
          </w:tcPr>
          <w:p w14:paraId="271B76ED"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Liquidez</w:t>
            </w:r>
            <w:proofErr w:type="spellEnd"/>
            <w:r w:rsidRPr="002E66DC">
              <w:rPr>
                <w:rFonts w:ascii="Arial Narrow" w:eastAsia="Times New Roman" w:hAnsi="Arial Narrow" w:cs="Calibri"/>
                <w:sz w:val="14"/>
                <w:szCs w:val="14"/>
                <w:lang w:val="en-US"/>
              </w:rPr>
              <w:t xml:space="preserve"> </w:t>
            </w:r>
          </w:p>
        </w:tc>
        <w:tc>
          <w:tcPr>
            <w:tcW w:w="392" w:type="pct"/>
            <w:hideMark/>
          </w:tcPr>
          <w:p w14:paraId="63AE2947"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Endeudamiento</w:t>
            </w:r>
            <w:proofErr w:type="spellEnd"/>
          </w:p>
        </w:tc>
        <w:tc>
          <w:tcPr>
            <w:tcW w:w="441" w:type="pct"/>
            <w:hideMark/>
          </w:tcPr>
          <w:p w14:paraId="2B727810"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RCI</w:t>
            </w:r>
          </w:p>
        </w:tc>
        <w:tc>
          <w:tcPr>
            <w:tcW w:w="392" w:type="pct"/>
            <w:hideMark/>
          </w:tcPr>
          <w:p w14:paraId="6174CD89"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Cápital</w:t>
            </w:r>
            <w:proofErr w:type="spellEnd"/>
            <w:r w:rsidRPr="002E66DC">
              <w:rPr>
                <w:rFonts w:ascii="Arial Narrow" w:eastAsia="Times New Roman" w:hAnsi="Arial Narrow" w:cs="Calibri"/>
                <w:sz w:val="14"/>
                <w:szCs w:val="14"/>
                <w:lang w:val="en-US"/>
              </w:rPr>
              <w:t xml:space="preserve"> del </w:t>
            </w:r>
            <w:proofErr w:type="spellStart"/>
            <w:r w:rsidRPr="002E66DC">
              <w:rPr>
                <w:rFonts w:ascii="Arial Narrow" w:eastAsia="Times New Roman" w:hAnsi="Arial Narrow" w:cs="Calibri"/>
                <w:sz w:val="14"/>
                <w:szCs w:val="14"/>
                <w:lang w:val="en-US"/>
              </w:rPr>
              <w:t>trabajo</w:t>
            </w:r>
            <w:proofErr w:type="spellEnd"/>
          </w:p>
        </w:tc>
        <w:tc>
          <w:tcPr>
            <w:tcW w:w="391" w:type="pct"/>
            <w:hideMark/>
          </w:tcPr>
          <w:p w14:paraId="58FDE4CC"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Rentabilidad</w:t>
            </w:r>
            <w:proofErr w:type="spellEnd"/>
            <w:r w:rsidRPr="002E66DC">
              <w:rPr>
                <w:rFonts w:ascii="Arial Narrow" w:eastAsia="Times New Roman" w:hAnsi="Arial Narrow" w:cs="Calibri"/>
                <w:sz w:val="14"/>
                <w:szCs w:val="14"/>
                <w:lang w:val="en-US"/>
              </w:rPr>
              <w:t xml:space="preserve"> </w:t>
            </w:r>
            <w:proofErr w:type="spellStart"/>
            <w:r w:rsidRPr="002E66DC">
              <w:rPr>
                <w:rFonts w:ascii="Arial Narrow" w:eastAsia="Times New Roman" w:hAnsi="Arial Narrow" w:cs="Calibri"/>
                <w:sz w:val="14"/>
                <w:szCs w:val="14"/>
                <w:lang w:val="en-US"/>
              </w:rPr>
              <w:t>activo</w:t>
            </w:r>
            <w:proofErr w:type="spellEnd"/>
          </w:p>
        </w:tc>
        <w:tc>
          <w:tcPr>
            <w:tcW w:w="396" w:type="pct"/>
            <w:hideMark/>
          </w:tcPr>
          <w:p w14:paraId="1F3F52C2" w14:textId="77777777" w:rsidR="00A30259" w:rsidRPr="002E66DC" w:rsidRDefault="00A30259" w:rsidP="006924A2">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proofErr w:type="spellStart"/>
            <w:r w:rsidRPr="002E66DC">
              <w:rPr>
                <w:rFonts w:ascii="Arial Narrow" w:eastAsia="Times New Roman" w:hAnsi="Arial Narrow" w:cs="Calibri"/>
                <w:sz w:val="14"/>
                <w:szCs w:val="14"/>
                <w:lang w:val="en-US"/>
              </w:rPr>
              <w:t>Rentabilidad</w:t>
            </w:r>
            <w:proofErr w:type="spellEnd"/>
            <w:r w:rsidRPr="002E66DC">
              <w:rPr>
                <w:rFonts w:ascii="Arial Narrow" w:eastAsia="Times New Roman" w:hAnsi="Arial Narrow" w:cs="Calibri"/>
                <w:sz w:val="14"/>
                <w:szCs w:val="14"/>
                <w:lang w:val="en-US"/>
              </w:rPr>
              <w:t xml:space="preserve"> Patrimonio</w:t>
            </w:r>
          </w:p>
        </w:tc>
      </w:tr>
      <w:tr w:rsidR="00A30259" w:rsidRPr="002E66DC" w14:paraId="772B51CE"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250AFC3A"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 xml:space="preserve">Contratar la prestación de los servicios de transporte público terrestre especial automotor en camioneta tipo doble cabina 4x4 con conductor en las diferentes sedes con las que cuenta la Unidad Administrativa Especial de Gestión de Restitución de Tierras Despojadas, incluidos todos los costos operacionales, con una disponibilidad de los vehículos de 24 x 30; así como vehículos adicionales en caso de requerirse, con características diferentes tales como </w:t>
            </w:r>
            <w:proofErr w:type="spellStart"/>
            <w:r w:rsidRPr="002E66DC">
              <w:rPr>
                <w:rFonts w:ascii="Arial Narrow" w:eastAsia="Times New Roman" w:hAnsi="Arial Narrow" w:cs="Calibri"/>
                <w:b w:val="0"/>
                <w:bCs w:val="0"/>
                <w:sz w:val="14"/>
                <w:szCs w:val="14"/>
                <w:lang w:val="es-US"/>
              </w:rPr>
              <w:t>vans</w:t>
            </w:r>
            <w:proofErr w:type="spellEnd"/>
            <w:r w:rsidRPr="002E66DC">
              <w:rPr>
                <w:rFonts w:ascii="Arial Narrow" w:eastAsia="Times New Roman" w:hAnsi="Arial Narrow" w:cs="Calibri"/>
                <w:b w:val="0"/>
                <w:bCs w:val="0"/>
                <w:sz w:val="14"/>
                <w:szCs w:val="14"/>
                <w:lang w:val="es-US"/>
              </w:rPr>
              <w:t xml:space="preserve">, buses, busetas y camiones que </w:t>
            </w:r>
            <w:proofErr w:type="spellStart"/>
            <w:r w:rsidRPr="002E66DC">
              <w:rPr>
                <w:rFonts w:ascii="Arial Narrow" w:eastAsia="Times New Roman" w:hAnsi="Arial Narrow" w:cs="Calibri"/>
                <w:b w:val="0"/>
                <w:bCs w:val="0"/>
                <w:sz w:val="14"/>
                <w:szCs w:val="14"/>
                <w:lang w:val="es-US"/>
              </w:rPr>
              <w:t>garanti</w:t>
            </w:r>
            <w:proofErr w:type="spellEnd"/>
          </w:p>
        </w:tc>
        <w:tc>
          <w:tcPr>
            <w:tcW w:w="343" w:type="pct"/>
            <w:noWrap/>
            <w:vAlign w:val="center"/>
            <w:hideMark/>
          </w:tcPr>
          <w:p w14:paraId="317AF63E"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1,60</w:t>
            </w:r>
          </w:p>
        </w:tc>
        <w:tc>
          <w:tcPr>
            <w:tcW w:w="392" w:type="pct"/>
            <w:noWrap/>
            <w:vAlign w:val="center"/>
            <w:hideMark/>
          </w:tcPr>
          <w:p w14:paraId="554572B4"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0,60</w:t>
            </w:r>
          </w:p>
        </w:tc>
        <w:tc>
          <w:tcPr>
            <w:tcW w:w="441" w:type="pct"/>
            <w:noWrap/>
            <w:vAlign w:val="center"/>
            <w:hideMark/>
          </w:tcPr>
          <w:p w14:paraId="644E367C"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3,00</w:t>
            </w:r>
          </w:p>
        </w:tc>
        <w:tc>
          <w:tcPr>
            <w:tcW w:w="392" w:type="pct"/>
            <w:noWrap/>
            <w:vAlign w:val="center"/>
            <w:hideMark/>
          </w:tcPr>
          <w:p w14:paraId="278D1DBF"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0,20</w:t>
            </w:r>
          </w:p>
        </w:tc>
        <w:tc>
          <w:tcPr>
            <w:tcW w:w="391" w:type="pct"/>
            <w:noWrap/>
            <w:vAlign w:val="center"/>
            <w:hideMark/>
          </w:tcPr>
          <w:p w14:paraId="6BBAF509"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0,13</w:t>
            </w:r>
          </w:p>
        </w:tc>
        <w:tc>
          <w:tcPr>
            <w:tcW w:w="396" w:type="pct"/>
            <w:noWrap/>
            <w:vAlign w:val="center"/>
            <w:hideMark/>
          </w:tcPr>
          <w:p w14:paraId="7E575380"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0,05</w:t>
            </w:r>
          </w:p>
        </w:tc>
      </w:tr>
      <w:tr w:rsidR="00A30259" w:rsidRPr="002E66DC" w14:paraId="68B6F8F4"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53EE32DD"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Servicio de transporte público especial terrestre para la sede central y las sedes territoriales de la UBPD.</w:t>
            </w:r>
          </w:p>
        </w:tc>
        <w:tc>
          <w:tcPr>
            <w:tcW w:w="343" w:type="pct"/>
            <w:noWrap/>
            <w:vAlign w:val="center"/>
            <w:hideMark/>
          </w:tcPr>
          <w:p w14:paraId="742218D5"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1,80</w:t>
            </w:r>
          </w:p>
        </w:tc>
        <w:tc>
          <w:tcPr>
            <w:tcW w:w="392" w:type="pct"/>
            <w:noWrap/>
            <w:vAlign w:val="center"/>
            <w:hideMark/>
          </w:tcPr>
          <w:p w14:paraId="5B1F8755"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0,60</w:t>
            </w:r>
          </w:p>
        </w:tc>
        <w:tc>
          <w:tcPr>
            <w:tcW w:w="441" w:type="pct"/>
            <w:noWrap/>
            <w:vAlign w:val="center"/>
            <w:hideMark/>
          </w:tcPr>
          <w:p w14:paraId="6397ADB4"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4,00</w:t>
            </w:r>
          </w:p>
        </w:tc>
        <w:tc>
          <w:tcPr>
            <w:tcW w:w="392" w:type="pct"/>
            <w:noWrap/>
            <w:vAlign w:val="center"/>
            <w:hideMark/>
          </w:tcPr>
          <w:p w14:paraId="4CEFCCD3"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0,20</w:t>
            </w:r>
          </w:p>
        </w:tc>
        <w:tc>
          <w:tcPr>
            <w:tcW w:w="391" w:type="pct"/>
            <w:noWrap/>
            <w:vAlign w:val="center"/>
            <w:hideMark/>
          </w:tcPr>
          <w:p w14:paraId="26918CDA"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0,18</w:t>
            </w:r>
          </w:p>
        </w:tc>
        <w:tc>
          <w:tcPr>
            <w:tcW w:w="396" w:type="pct"/>
            <w:noWrap/>
            <w:vAlign w:val="center"/>
            <w:hideMark/>
          </w:tcPr>
          <w:p w14:paraId="38D544A3"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0,07</w:t>
            </w:r>
          </w:p>
        </w:tc>
      </w:tr>
      <w:tr w:rsidR="00A30259" w:rsidRPr="002E66DC" w14:paraId="7CAA35C2"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4E799D61"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Contratar el servicio de transporte público especial terrestre para la sede central y sedes territoriales y satélites de la UBPD</w:t>
            </w:r>
          </w:p>
        </w:tc>
        <w:tc>
          <w:tcPr>
            <w:tcW w:w="343" w:type="pct"/>
            <w:noWrap/>
            <w:vAlign w:val="center"/>
            <w:hideMark/>
          </w:tcPr>
          <w:p w14:paraId="2A976BEE"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1,20</w:t>
            </w:r>
          </w:p>
        </w:tc>
        <w:tc>
          <w:tcPr>
            <w:tcW w:w="392" w:type="pct"/>
            <w:noWrap/>
            <w:vAlign w:val="center"/>
            <w:hideMark/>
          </w:tcPr>
          <w:p w14:paraId="0E144D33"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0,70</w:t>
            </w:r>
          </w:p>
        </w:tc>
        <w:tc>
          <w:tcPr>
            <w:tcW w:w="441" w:type="pct"/>
            <w:noWrap/>
            <w:vAlign w:val="center"/>
            <w:hideMark/>
          </w:tcPr>
          <w:p w14:paraId="3BE258CC"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1,20</w:t>
            </w:r>
          </w:p>
        </w:tc>
        <w:tc>
          <w:tcPr>
            <w:tcW w:w="392" w:type="pct"/>
            <w:noWrap/>
            <w:vAlign w:val="center"/>
            <w:hideMark/>
          </w:tcPr>
          <w:p w14:paraId="75755795"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0,25</w:t>
            </w:r>
          </w:p>
        </w:tc>
        <w:tc>
          <w:tcPr>
            <w:tcW w:w="391" w:type="pct"/>
            <w:noWrap/>
            <w:vAlign w:val="center"/>
            <w:hideMark/>
          </w:tcPr>
          <w:p w14:paraId="31ADE84A"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0,02</w:t>
            </w:r>
          </w:p>
        </w:tc>
        <w:tc>
          <w:tcPr>
            <w:tcW w:w="396" w:type="pct"/>
            <w:noWrap/>
            <w:vAlign w:val="center"/>
            <w:hideMark/>
          </w:tcPr>
          <w:p w14:paraId="77B52DC7"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0,04</w:t>
            </w:r>
          </w:p>
        </w:tc>
      </w:tr>
      <w:tr w:rsidR="00A30259" w:rsidRPr="002E66DC" w14:paraId="6EB601C0"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28DD4718"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Prestar el servicio integral del servicio de transporte público de transporte terrestre especial automotor para apoyar las actividades que se desarrollan fuera de las instalaciones de la secretaria distrital de movilidad, de conformidad con la ficha técnica.</w:t>
            </w:r>
          </w:p>
        </w:tc>
        <w:tc>
          <w:tcPr>
            <w:tcW w:w="343" w:type="pct"/>
            <w:noWrap/>
            <w:vAlign w:val="center"/>
            <w:hideMark/>
          </w:tcPr>
          <w:p w14:paraId="4BFD21AF"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1,20</w:t>
            </w:r>
          </w:p>
        </w:tc>
        <w:tc>
          <w:tcPr>
            <w:tcW w:w="392" w:type="pct"/>
            <w:noWrap/>
            <w:vAlign w:val="center"/>
            <w:hideMark/>
          </w:tcPr>
          <w:p w14:paraId="490218BB"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0,65</w:t>
            </w:r>
          </w:p>
        </w:tc>
        <w:tc>
          <w:tcPr>
            <w:tcW w:w="441" w:type="pct"/>
            <w:noWrap/>
            <w:vAlign w:val="center"/>
            <w:hideMark/>
          </w:tcPr>
          <w:p w14:paraId="707B95D2"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1,00</w:t>
            </w:r>
          </w:p>
        </w:tc>
        <w:tc>
          <w:tcPr>
            <w:tcW w:w="392" w:type="pct"/>
            <w:noWrap/>
            <w:vAlign w:val="center"/>
            <w:hideMark/>
          </w:tcPr>
          <w:p w14:paraId="502F9BF7"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0,20</w:t>
            </w:r>
          </w:p>
        </w:tc>
        <w:tc>
          <w:tcPr>
            <w:tcW w:w="391" w:type="pct"/>
            <w:noWrap/>
            <w:vAlign w:val="center"/>
            <w:hideMark/>
          </w:tcPr>
          <w:p w14:paraId="4D7F242D"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0,08</w:t>
            </w:r>
          </w:p>
        </w:tc>
        <w:tc>
          <w:tcPr>
            <w:tcW w:w="396" w:type="pct"/>
            <w:noWrap/>
            <w:vAlign w:val="center"/>
            <w:hideMark/>
          </w:tcPr>
          <w:p w14:paraId="219BBD33"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0,07</w:t>
            </w:r>
          </w:p>
        </w:tc>
      </w:tr>
      <w:tr w:rsidR="00A30259" w:rsidRPr="002E66DC" w14:paraId="0B54382F"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576E13BE"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Prestar el servicio de transporte público especial para los funcionarios de la Superintendencia Financiera de Colombia.</w:t>
            </w:r>
          </w:p>
        </w:tc>
        <w:tc>
          <w:tcPr>
            <w:tcW w:w="343" w:type="pct"/>
            <w:noWrap/>
            <w:vAlign w:val="center"/>
            <w:hideMark/>
          </w:tcPr>
          <w:p w14:paraId="34F83691"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1,50</w:t>
            </w:r>
          </w:p>
        </w:tc>
        <w:tc>
          <w:tcPr>
            <w:tcW w:w="392" w:type="pct"/>
            <w:noWrap/>
            <w:vAlign w:val="center"/>
            <w:hideMark/>
          </w:tcPr>
          <w:p w14:paraId="31522AA6"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0,66</w:t>
            </w:r>
          </w:p>
        </w:tc>
        <w:tc>
          <w:tcPr>
            <w:tcW w:w="441" w:type="pct"/>
            <w:noWrap/>
            <w:vAlign w:val="center"/>
            <w:hideMark/>
          </w:tcPr>
          <w:p w14:paraId="383AF134"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1,00</w:t>
            </w:r>
          </w:p>
        </w:tc>
        <w:tc>
          <w:tcPr>
            <w:tcW w:w="392" w:type="pct"/>
            <w:noWrap/>
            <w:vAlign w:val="center"/>
            <w:hideMark/>
          </w:tcPr>
          <w:p w14:paraId="48443BFF"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 xml:space="preserve">No </w:t>
            </w:r>
            <w:proofErr w:type="spellStart"/>
            <w:r w:rsidRPr="002E66DC">
              <w:rPr>
                <w:rFonts w:ascii="Arial Narrow" w:eastAsia="Times New Roman" w:hAnsi="Arial Narrow" w:cs="Calibri"/>
                <w:sz w:val="14"/>
                <w:szCs w:val="14"/>
                <w:lang w:val="en-US"/>
              </w:rPr>
              <w:t>requerido</w:t>
            </w:r>
            <w:proofErr w:type="spellEnd"/>
          </w:p>
        </w:tc>
        <w:tc>
          <w:tcPr>
            <w:tcW w:w="391" w:type="pct"/>
            <w:noWrap/>
            <w:vAlign w:val="center"/>
            <w:hideMark/>
          </w:tcPr>
          <w:p w14:paraId="7CBE72E2"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0,00</w:t>
            </w:r>
          </w:p>
        </w:tc>
        <w:tc>
          <w:tcPr>
            <w:tcW w:w="396" w:type="pct"/>
            <w:noWrap/>
            <w:vAlign w:val="center"/>
            <w:hideMark/>
          </w:tcPr>
          <w:p w14:paraId="314A52B8"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0,00</w:t>
            </w:r>
          </w:p>
        </w:tc>
      </w:tr>
      <w:tr w:rsidR="00A30259" w:rsidRPr="002E66DC" w14:paraId="3740A450" w14:textId="77777777" w:rsidTr="006924A2">
        <w:trPr>
          <w:trHeight w:val="264"/>
        </w:trPr>
        <w:tc>
          <w:tcPr>
            <w:cnfStyle w:val="001000000000" w:firstRow="0" w:lastRow="0" w:firstColumn="1" w:lastColumn="0" w:oddVBand="0" w:evenVBand="0" w:oddHBand="0" w:evenHBand="0" w:firstRowFirstColumn="0" w:firstRowLastColumn="0" w:lastRowFirstColumn="0" w:lastRowLastColumn="0"/>
            <w:tcW w:w="2645" w:type="pct"/>
            <w:noWrap/>
            <w:hideMark/>
          </w:tcPr>
          <w:p w14:paraId="38FC26A9" w14:textId="77777777" w:rsidR="00A30259" w:rsidRPr="002E66DC" w:rsidRDefault="00A30259" w:rsidP="006924A2">
            <w:pPr>
              <w:spacing w:before="0" w:after="0" w:line="240" w:lineRule="auto"/>
              <w:rPr>
                <w:rFonts w:ascii="Arial Narrow" w:eastAsia="Times New Roman" w:hAnsi="Arial Narrow" w:cs="Calibri"/>
                <w:b w:val="0"/>
                <w:bCs w:val="0"/>
                <w:sz w:val="14"/>
                <w:szCs w:val="14"/>
                <w:lang w:val="es-US"/>
              </w:rPr>
            </w:pPr>
            <w:r w:rsidRPr="002E66DC">
              <w:rPr>
                <w:rFonts w:ascii="Arial Narrow" w:eastAsia="Times New Roman" w:hAnsi="Arial Narrow" w:cs="Calibri"/>
                <w:b w:val="0"/>
                <w:bCs w:val="0"/>
                <w:sz w:val="14"/>
                <w:szCs w:val="14"/>
                <w:lang w:val="es-US"/>
              </w:rPr>
              <w:t xml:space="preserve">Contratar la prestación de los servicios de transporte público terrestre especial automotor en camioneta tipo doble cabina 4x4 con conductor en las diferentes sedes con las que cuenta la Unidad Administrativa Especial de Gestión de Restitución de Tierras Despojadas, incluidos todos los costos operacionales, con una disponibilidad de los vehículos de 24 x 30; así como vehículos adicionales con características diferentes en caso de requerirse, que garanticen el cumplimiento de los objetivos </w:t>
            </w:r>
            <w:proofErr w:type="spellStart"/>
            <w:r w:rsidRPr="002E66DC">
              <w:rPr>
                <w:rFonts w:ascii="Arial Narrow" w:eastAsia="Times New Roman" w:hAnsi="Arial Narrow" w:cs="Calibri"/>
                <w:b w:val="0"/>
                <w:bCs w:val="0"/>
                <w:sz w:val="14"/>
                <w:szCs w:val="14"/>
                <w:lang w:val="es-US"/>
              </w:rPr>
              <w:t>mision</w:t>
            </w:r>
            <w:proofErr w:type="spellEnd"/>
          </w:p>
        </w:tc>
        <w:tc>
          <w:tcPr>
            <w:tcW w:w="343" w:type="pct"/>
            <w:noWrap/>
            <w:vAlign w:val="center"/>
            <w:hideMark/>
          </w:tcPr>
          <w:p w14:paraId="3C63F517"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1,60</w:t>
            </w:r>
          </w:p>
        </w:tc>
        <w:tc>
          <w:tcPr>
            <w:tcW w:w="392" w:type="pct"/>
            <w:noWrap/>
            <w:vAlign w:val="center"/>
            <w:hideMark/>
          </w:tcPr>
          <w:p w14:paraId="61BE4912"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0,60</w:t>
            </w:r>
          </w:p>
        </w:tc>
        <w:tc>
          <w:tcPr>
            <w:tcW w:w="441" w:type="pct"/>
            <w:noWrap/>
            <w:vAlign w:val="center"/>
            <w:hideMark/>
          </w:tcPr>
          <w:p w14:paraId="5C062FF3"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2,50</w:t>
            </w:r>
          </w:p>
        </w:tc>
        <w:tc>
          <w:tcPr>
            <w:tcW w:w="392" w:type="pct"/>
            <w:noWrap/>
            <w:vAlign w:val="center"/>
            <w:hideMark/>
          </w:tcPr>
          <w:p w14:paraId="746A5324"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0,40</w:t>
            </w:r>
          </w:p>
        </w:tc>
        <w:tc>
          <w:tcPr>
            <w:tcW w:w="391" w:type="pct"/>
            <w:noWrap/>
            <w:vAlign w:val="center"/>
            <w:hideMark/>
          </w:tcPr>
          <w:p w14:paraId="2E04926D"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0,13</w:t>
            </w:r>
          </w:p>
        </w:tc>
        <w:tc>
          <w:tcPr>
            <w:tcW w:w="396" w:type="pct"/>
            <w:noWrap/>
            <w:vAlign w:val="center"/>
            <w:hideMark/>
          </w:tcPr>
          <w:p w14:paraId="00722D4D" w14:textId="77777777" w:rsidR="00A30259" w:rsidRPr="002E66DC" w:rsidRDefault="00A30259" w:rsidP="006924A2">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14"/>
                <w:szCs w:val="14"/>
                <w:lang w:val="en-US"/>
              </w:rPr>
            </w:pPr>
            <w:r w:rsidRPr="002E66DC">
              <w:rPr>
                <w:rFonts w:ascii="Arial Narrow" w:eastAsia="Times New Roman" w:hAnsi="Arial Narrow" w:cs="Calibri"/>
                <w:sz w:val="14"/>
                <w:szCs w:val="14"/>
                <w:lang w:val="en-US"/>
              </w:rPr>
              <w:t>0,06</w:t>
            </w:r>
          </w:p>
        </w:tc>
      </w:tr>
    </w:tbl>
    <w:p w14:paraId="6F17AE41" w14:textId="28D98383" w:rsidR="006756CC" w:rsidRPr="009832BA" w:rsidRDefault="006756CC" w:rsidP="0003622C">
      <w:pPr>
        <w:pStyle w:val="Ttulo1"/>
        <w:spacing w:after="0" w:line="276" w:lineRule="auto"/>
        <w:contextualSpacing/>
        <w:rPr>
          <w:rFonts w:ascii="Arial Narrow" w:hAnsi="Arial Narrow" w:cs="Arial"/>
          <w:sz w:val="22"/>
          <w:szCs w:val="22"/>
          <w:lang w:val="es-US" w:eastAsia="es-ES"/>
        </w:rPr>
      </w:pPr>
      <w:r w:rsidRPr="009832BA">
        <w:rPr>
          <w:rFonts w:ascii="Arial Narrow" w:hAnsi="Arial Narrow" w:cs="Arial"/>
          <w:sz w:val="22"/>
          <w:szCs w:val="22"/>
          <w:lang w:val="es-US"/>
        </w:rPr>
        <w:t>INDICADORES</w:t>
      </w:r>
      <w:r w:rsidRPr="009832BA">
        <w:rPr>
          <w:rFonts w:ascii="Arial Narrow" w:hAnsi="Arial Narrow" w:cs="Arial"/>
          <w:sz w:val="22"/>
          <w:szCs w:val="22"/>
          <w:lang w:val="es-US" w:eastAsia="es-ES"/>
        </w:rPr>
        <w:t xml:space="preserve"> </w:t>
      </w:r>
      <w:r w:rsidR="00D50256" w:rsidRPr="009832BA">
        <w:rPr>
          <w:rFonts w:ascii="Arial Narrow" w:hAnsi="Arial Narrow" w:cs="Arial"/>
          <w:sz w:val="22"/>
          <w:szCs w:val="22"/>
          <w:lang w:val="es-US" w:eastAsia="es-ES"/>
        </w:rPr>
        <w:t>DE CAPACIDAD FINANCIERA Y ORGANIZACIONAL REQUERIDOS PARA EL PROCESO</w:t>
      </w:r>
    </w:p>
    <w:p w14:paraId="1291B761" w14:textId="77777777" w:rsidR="0003622C" w:rsidRPr="009832BA" w:rsidRDefault="0003622C" w:rsidP="0003622C">
      <w:pPr>
        <w:spacing w:before="0" w:after="0"/>
        <w:rPr>
          <w:lang w:val="es-US" w:eastAsia="es-ES"/>
        </w:rPr>
      </w:pPr>
    </w:p>
    <w:p w14:paraId="41A2628C" w14:textId="6DACA062" w:rsidR="00B1137A" w:rsidRPr="009832BA" w:rsidRDefault="00B1137A" w:rsidP="0003622C">
      <w:pPr>
        <w:pStyle w:val="Ttulo1"/>
        <w:spacing w:before="0" w:after="0" w:line="276" w:lineRule="auto"/>
        <w:contextualSpacing/>
        <w:jc w:val="both"/>
        <w:rPr>
          <w:rFonts w:ascii="Arial Narrow" w:eastAsiaTheme="minorHAnsi" w:hAnsi="Arial Narrow" w:cs="Arial"/>
          <w:color w:val="auto"/>
          <w:sz w:val="22"/>
          <w:szCs w:val="22"/>
          <w:lang w:val="es-US" w:eastAsia="es-ES"/>
        </w:rPr>
      </w:pPr>
      <w:r w:rsidRPr="009832BA">
        <w:rPr>
          <w:rFonts w:ascii="Arial Narrow" w:eastAsiaTheme="minorHAnsi" w:hAnsi="Arial Narrow" w:cs="Arial"/>
          <w:color w:val="auto"/>
          <w:sz w:val="22"/>
          <w:szCs w:val="22"/>
          <w:lang w:val="es-US" w:eastAsia="es-ES"/>
        </w:rPr>
        <w:t>Con base en los análisis expuestos anteriormente, se establecen los indicadores de capacidad financiera y capacidad organizacional mínimos a ser acreditados por los proponentes, de acuerdo con lo establecido en el numeral 3 del artículo 2.2.1.1.1.5.3 del Decreto 1082 de 2015. Se considerarán habilitados financieramente los proponentes que cumplan con la totalidad de los parámetros definidos a continuación:</w:t>
      </w:r>
    </w:p>
    <w:p w14:paraId="7F82FB2F" w14:textId="77777777" w:rsidR="00272B1C" w:rsidRPr="009832BA" w:rsidRDefault="00272B1C" w:rsidP="0003622C">
      <w:pPr>
        <w:spacing w:before="0" w:after="0"/>
        <w:rPr>
          <w:lang w:val="es-US" w:eastAsia="es-ES"/>
        </w:rPr>
      </w:pPr>
    </w:p>
    <w:p w14:paraId="4C116061" w14:textId="0C53A238" w:rsidR="00D50256" w:rsidRPr="009832BA" w:rsidRDefault="00D50256" w:rsidP="0003622C">
      <w:pPr>
        <w:pStyle w:val="Ttulo1"/>
        <w:spacing w:before="0" w:after="100" w:afterAutospacing="1" w:line="276" w:lineRule="auto"/>
        <w:contextualSpacing/>
        <w:jc w:val="left"/>
        <w:rPr>
          <w:rFonts w:ascii="Arial Narrow" w:hAnsi="Arial Narrow" w:cs="Arial"/>
          <w:b/>
          <w:sz w:val="22"/>
          <w:szCs w:val="22"/>
          <w:u w:val="single"/>
          <w:lang w:val="es-US" w:eastAsia="es-ES"/>
        </w:rPr>
      </w:pPr>
      <w:r w:rsidRPr="009832BA">
        <w:rPr>
          <w:rFonts w:ascii="Arial Narrow" w:hAnsi="Arial Narrow" w:cs="Arial"/>
          <w:b/>
          <w:sz w:val="22"/>
          <w:szCs w:val="22"/>
          <w:u w:val="single"/>
          <w:lang w:val="es-US" w:eastAsia="es-ES"/>
        </w:rPr>
        <w:t>INDICADORES CAPACIDAD FINANCIERA:</w:t>
      </w:r>
    </w:p>
    <w:p w14:paraId="446D5F35" w14:textId="608E257B" w:rsidR="00DD77A3" w:rsidRPr="009832BA" w:rsidRDefault="006756CC" w:rsidP="001855D1">
      <w:pPr>
        <w:pStyle w:val="Prrafodelista"/>
        <w:numPr>
          <w:ilvl w:val="0"/>
          <w:numId w:val="4"/>
        </w:numPr>
        <w:tabs>
          <w:tab w:val="left" w:pos="2390"/>
        </w:tabs>
        <w:spacing w:line="276" w:lineRule="auto"/>
        <w:ind w:left="426"/>
        <w:rPr>
          <w:rFonts w:ascii="Arial Narrow" w:hAnsi="Arial Narrow" w:cs="Arial"/>
          <w:lang w:val="es-US"/>
        </w:rPr>
      </w:pPr>
      <w:r w:rsidRPr="009832BA">
        <w:rPr>
          <w:rFonts w:ascii="Arial Narrow" w:hAnsi="Arial Narrow" w:cs="Arial"/>
          <w:b/>
          <w:bCs/>
          <w:lang w:val="es-US"/>
        </w:rPr>
        <w:t>Índice de Liquidez</w:t>
      </w:r>
      <w:r w:rsidRPr="009832BA">
        <w:rPr>
          <w:rFonts w:ascii="Arial Narrow" w:hAnsi="Arial Narrow" w:cs="Arial"/>
          <w:lang w:val="es-US"/>
        </w:rPr>
        <w:t xml:space="preserve">. Activo Corriente / Pasivo Corriente. Este indicador determina la capacidad que tiene un proponente para cumplir con sus obligaciones de corto plazo. Cuanto mayor sea este indicador, menor es la </w:t>
      </w:r>
      <w:r w:rsidRPr="009832BA">
        <w:rPr>
          <w:rFonts w:ascii="Arial Narrow" w:hAnsi="Arial Narrow" w:cs="Arial"/>
          <w:lang w:val="es-US" w:eastAsia="es-ES"/>
        </w:rPr>
        <w:t>probabilidad</w:t>
      </w:r>
      <w:r w:rsidRPr="009832BA">
        <w:rPr>
          <w:rFonts w:ascii="Arial Narrow" w:hAnsi="Arial Narrow" w:cs="Arial"/>
          <w:lang w:val="es-US"/>
        </w:rPr>
        <w:t xml:space="preserve"> de que el proponente incumpla sus obligaciones en el corto plazo.</w:t>
      </w:r>
      <w:r w:rsidR="00DD77A3" w:rsidRPr="009832BA">
        <w:rPr>
          <w:rFonts w:ascii="Arial Narrow" w:hAnsi="Arial Narrow" w:cs="Arial"/>
          <w:lang w:val="es-US"/>
        </w:rPr>
        <w:t xml:space="preserve"> </w:t>
      </w:r>
      <w:r w:rsidRPr="009832BA">
        <w:rPr>
          <w:rFonts w:ascii="Arial Narrow" w:hAnsi="Arial Narrow" w:cs="Arial"/>
          <w:lang w:val="es-US" w:eastAsia="es-ES"/>
        </w:rPr>
        <w:t>Se sugiere solicitar el indicador de liquidez e</w:t>
      </w:r>
      <w:r w:rsidR="00B1137A" w:rsidRPr="009832BA">
        <w:rPr>
          <w:rFonts w:ascii="Arial Narrow" w:hAnsi="Arial Narrow" w:cs="Arial"/>
          <w:lang w:val="es-US" w:eastAsia="es-ES"/>
        </w:rPr>
        <w:t>s</w:t>
      </w:r>
      <w:r w:rsidRPr="009832BA">
        <w:rPr>
          <w:rFonts w:ascii="Arial Narrow" w:hAnsi="Arial Narrow" w:cs="Arial"/>
          <w:lang w:val="es-US" w:eastAsia="es-ES"/>
        </w:rPr>
        <w:t xml:space="preserve"> </w:t>
      </w:r>
      <w:r w:rsidR="00A078CD" w:rsidRPr="009832BA">
        <w:rPr>
          <w:rFonts w:ascii="Arial Narrow" w:hAnsi="Arial Narrow" w:cs="Arial"/>
          <w:b/>
          <w:bCs/>
          <w:lang w:val="es-US" w:eastAsia="es-ES"/>
        </w:rPr>
        <w:t xml:space="preserve">MAYOR O IGUAL A </w:t>
      </w:r>
      <w:r w:rsidR="00A078CD">
        <w:rPr>
          <w:rFonts w:ascii="Arial Narrow" w:hAnsi="Arial Narrow" w:cs="Arial"/>
          <w:b/>
          <w:bCs/>
          <w:lang w:val="es-US" w:eastAsia="es-ES"/>
        </w:rPr>
        <w:t>DOS</w:t>
      </w:r>
      <w:r w:rsidR="00A078CD" w:rsidRPr="009832BA">
        <w:rPr>
          <w:rFonts w:ascii="Arial Narrow" w:hAnsi="Arial Narrow" w:cs="Arial"/>
          <w:b/>
          <w:bCs/>
          <w:lang w:val="es-US" w:eastAsia="es-ES"/>
        </w:rPr>
        <w:t xml:space="preserve"> COMA </w:t>
      </w:r>
      <w:r w:rsidR="00A078CD">
        <w:rPr>
          <w:rFonts w:ascii="Arial Narrow" w:hAnsi="Arial Narrow" w:cs="Arial"/>
          <w:b/>
          <w:bCs/>
          <w:lang w:val="es-US" w:eastAsia="es-ES"/>
        </w:rPr>
        <w:t>CERO</w:t>
      </w:r>
      <w:r w:rsidR="00A078CD" w:rsidRPr="009832BA">
        <w:rPr>
          <w:rFonts w:ascii="Arial Narrow" w:hAnsi="Arial Narrow" w:cs="Arial"/>
          <w:b/>
          <w:bCs/>
          <w:lang w:val="es-US" w:eastAsia="es-ES"/>
        </w:rPr>
        <w:t xml:space="preserve"> </w:t>
      </w:r>
      <w:r w:rsidR="00CD6122" w:rsidRPr="009832BA">
        <w:rPr>
          <w:rFonts w:ascii="Arial Narrow" w:hAnsi="Arial Narrow" w:cs="Arial"/>
          <w:b/>
          <w:bCs/>
          <w:lang w:val="es-US" w:eastAsia="es-ES"/>
        </w:rPr>
        <w:t>(</w:t>
      </w:r>
      <w:r w:rsidR="00A078CD">
        <w:rPr>
          <w:rFonts w:ascii="Arial Narrow" w:hAnsi="Arial Narrow" w:cs="Arial"/>
          <w:b/>
          <w:bCs/>
          <w:lang w:val="es-US" w:eastAsia="es-ES"/>
        </w:rPr>
        <w:t>2</w:t>
      </w:r>
      <w:r w:rsidR="00CD6122" w:rsidRPr="009832BA">
        <w:rPr>
          <w:rFonts w:ascii="Arial Narrow" w:hAnsi="Arial Narrow" w:cs="Arial"/>
          <w:b/>
          <w:bCs/>
          <w:lang w:val="es-US" w:eastAsia="es-ES"/>
        </w:rPr>
        <w:t>,</w:t>
      </w:r>
      <w:r w:rsidR="00A078CD">
        <w:rPr>
          <w:rFonts w:ascii="Arial Narrow" w:hAnsi="Arial Narrow" w:cs="Arial"/>
          <w:b/>
          <w:bCs/>
          <w:lang w:val="es-US" w:eastAsia="es-ES"/>
        </w:rPr>
        <w:t>0</w:t>
      </w:r>
      <w:r w:rsidR="00CD6122" w:rsidRPr="009832BA">
        <w:rPr>
          <w:rFonts w:ascii="Arial Narrow" w:hAnsi="Arial Narrow" w:cs="Arial"/>
          <w:b/>
          <w:bCs/>
          <w:lang w:val="es-US" w:eastAsia="es-ES"/>
        </w:rPr>
        <w:t>0).</w:t>
      </w:r>
    </w:p>
    <w:p w14:paraId="3CDFC9E3" w14:textId="77777777" w:rsidR="00107FC4" w:rsidRPr="009832BA" w:rsidRDefault="00107FC4" w:rsidP="001855D1">
      <w:pPr>
        <w:pStyle w:val="Prrafodelista"/>
        <w:spacing w:after="100" w:afterAutospacing="1" w:line="276" w:lineRule="auto"/>
        <w:rPr>
          <w:rFonts w:ascii="Arial Narrow" w:hAnsi="Arial Narrow" w:cs="Arial"/>
          <w:lang w:val="es-US"/>
        </w:rPr>
      </w:pPr>
    </w:p>
    <w:p w14:paraId="697897EB" w14:textId="616A7EC9" w:rsidR="006756CC" w:rsidRPr="009832BA" w:rsidRDefault="006756CC" w:rsidP="001855D1">
      <w:pPr>
        <w:pStyle w:val="Prrafodelista"/>
        <w:numPr>
          <w:ilvl w:val="0"/>
          <w:numId w:val="4"/>
        </w:numPr>
        <w:tabs>
          <w:tab w:val="left" w:pos="2390"/>
        </w:tabs>
        <w:spacing w:line="276" w:lineRule="auto"/>
        <w:ind w:left="426"/>
        <w:rPr>
          <w:rFonts w:ascii="Arial Narrow" w:hAnsi="Arial Narrow" w:cs="Arial"/>
          <w:lang w:val="es-US" w:eastAsia="es-ES"/>
        </w:rPr>
      </w:pPr>
      <w:r w:rsidRPr="009832BA">
        <w:rPr>
          <w:rFonts w:ascii="Arial Narrow" w:hAnsi="Arial Narrow" w:cs="Arial"/>
          <w:b/>
          <w:bCs/>
          <w:lang w:val="es-US"/>
        </w:rPr>
        <w:t>Índice de endeudamiento.</w:t>
      </w:r>
      <w:r w:rsidRPr="009832BA">
        <w:rPr>
          <w:rFonts w:ascii="Arial Narrow" w:hAnsi="Arial Narrow" w:cs="Arial"/>
          <w:lang w:val="es-US"/>
        </w:rPr>
        <w:t xml:space="preserve"> Este indicador se obtiene del Pasivo Total / Activo Total y mide el grado de endeudamiento en la estructura de </w:t>
      </w:r>
      <w:r w:rsidRPr="009832BA">
        <w:rPr>
          <w:rFonts w:ascii="Arial Narrow" w:hAnsi="Arial Narrow" w:cs="Arial"/>
          <w:lang w:val="es-US" w:eastAsia="es-ES"/>
        </w:rPr>
        <w:t>financiación</w:t>
      </w:r>
      <w:r w:rsidRPr="009832BA">
        <w:rPr>
          <w:rFonts w:ascii="Arial Narrow" w:hAnsi="Arial Narrow" w:cs="Arial"/>
          <w:lang w:val="es-US"/>
        </w:rPr>
        <w:t xml:space="preserve"> de las empresas. Un alto índice de endeudamiento puede </w:t>
      </w:r>
      <w:r w:rsidRPr="009832BA">
        <w:rPr>
          <w:rFonts w:ascii="Arial Narrow" w:hAnsi="Arial Narrow" w:cs="Arial"/>
          <w:lang w:val="es-US"/>
        </w:rPr>
        <w:lastRenderedPageBreak/>
        <w:t>llegar a generar como resultado que la empresa no podrá cumplir con las obligaciones adquiridas.</w:t>
      </w:r>
      <w:r w:rsidR="00DD77A3" w:rsidRPr="009832BA">
        <w:rPr>
          <w:rFonts w:ascii="Arial Narrow" w:hAnsi="Arial Narrow" w:cs="Arial"/>
          <w:lang w:val="es-US"/>
        </w:rPr>
        <w:t xml:space="preserve"> </w:t>
      </w:r>
      <w:r w:rsidRPr="009832BA">
        <w:rPr>
          <w:rFonts w:ascii="Arial Narrow" w:hAnsi="Arial Narrow" w:cs="Arial"/>
          <w:lang w:val="es-US" w:eastAsia="es-ES"/>
        </w:rPr>
        <w:t xml:space="preserve">Se recomienda </w:t>
      </w:r>
      <w:r w:rsidR="00FF1DD7" w:rsidRPr="009832BA">
        <w:rPr>
          <w:rFonts w:ascii="Arial Narrow" w:hAnsi="Arial Narrow" w:cs="Arial"/>
          <w:lang w:val="es-US" w:eastAsia="es-ES"/>
        </w:rPr>
        <w:t>máximo d</w:t>
      </w:r>
      <w:r w:rsidRPr="009832BA">
        <w:rPr>
          <w:rFonts w:ascii="Arial Narrow" w:hAnsi="Arial Narrow" w:cs="Arial"/>
          <w:lang w:val="es-US" w:eastAsia="es-ES"/>
        </w:rPr>
        <w:t xml:space="preserve">el </w:t>
      </w:r>
      <w:r w:rsidR="00E23984" w:rsidRPr="009832BA">
        <w:rPr>
          <w:rFonts w:ascii="Arial Narrow" w:hAnsi="Arial Narrow" w:cs="Arial"/>
          <w:b/>
          <w:bCs/>
          <w:lang w:val="es-US" w:eastAsia="es-ES"/>
        </w:rPr>
        <w:t>CERO COMA</w:t>
      </w:r>
      <w:r w:rsidR="00A33137">
        <w:rPr>
          <w:rFonts w:ascii="Arial Narrow" w:hAnsi="Arial Narrow" w:cs="Arial"/>
          <w:b/>
          <w:bCs/>
          <w:lang w:val="es-US" w:eastAsia="es-ES"/>
        </w:rPr>
        <w:t xml:space="preserve"> SESENTA </w:t>
      </w:r>
      <w:r w:rsidR="00E23984" w:rsidRPr="009832BA">
        <w:rPr>
          <w:rFonts w:ascii="Arial Narrow" w:hAnsi="Arial Narrow" w:cs="Arial"/>
          <w:b/>
          <w:bCs/>
          <w:lang w:val="es-US" w:eastAsia="es-ES"/>
        </w:rPr>
        <w:t>(</w:t>
      </w:r>
      <w:r w:rsidR="00FF1DD7" w:rsidRPr="009832BA">
        <w:rPr>
          <w:rFonts w:ascii="Arial Narrow" w:hAnsi="Arial Narrow" w:cs="Arial"/>
          <w:b/>
          <w:bCs/>
          <w:lang w:val="es-US" w:eastAsia="es-ES"/>
        </w:rPr>
        <w:t>0,</w:t>
      </w:r>
      <w:r w:rsidR="00A33137">
        <w:rPr>
          <w:rFonts w:ascii="Arial Narrow" w:hAnsi="Arial Narrow" w:cs="Arial"/>
          <w:b/>
          <w:bCs/>
          <w:lang w:val="es-US" w:eastAsia="es-ES"/>
        </w:rPr>
        <w:t>6</w:t>
      </w:r>
      <w:r w:rsidR="00A73490">
        <w:rPr>
          <w:rFonts w:ascii="Arial Narrow" w:hAnsi="Arial Narrow" w:cs="Arial"/>
          <w:b/>
          <w:bCs/>
          <w:lang w:val="es-US" w:eastAsia="es-ES"/>
        </w:rPr>
        <w:t>0</w:t>
      </w:r>
      <w:r w:rsidR="00FF1DD7" w:rsidRPr="009832BA">
        <w:rPr>
          <w:rFonts w:ascii="Arial Narrow" w:hAnsi="Arial Narrow" w:cs="Arial"/>
          <w:b/>
          <w:bCs/>
          <w:lang w:val="es-US" w:eastAsia="es-ES"/>
        </w:rPr>
        <w:t>)</w:t>
      </w:r>
    </w:p>
    <w:p w14:paraId="5CBCF3C2" w14:textId="77777777" w:rsidR="00107FC4" w:rsidRPr="009832BA" w:rsidRDefault="00107FC4" w:rsidP="001855D1">
      <w:pPr>
        <w:pStyle w:val="Prrafodelista"/>
        <w:spacing w:after="100" w:afterAutospacing="1" w:line="276" w:lineRule="auto"/>
        <w:rPr>
          <w:rFonts w:ascii="Arial Narrow" w:hAnsi="Arial Narrow" w:cs="Arial"/>
          <w:lang w:val="es-US" w:eastAsia="es-ES"/>
        </w:rPr>
      </w:pPr>
    </w:p>
    <w:p w14:paraId="115CCF2A" w14:textId="0E3A2A44" w:rsidR="006756CC" w:rsidRPr="009832BA" w:rsidRDefault="006756CC" w:rsidP="001855D1">
      <w:pPr>
        <w:pStyle w:val="Prrafodelista"/>
        <w:numPr>
          <w:ilvl w:val="0"/>
          <w:numId w:val="4"/>
        </w:numPr>
        <w:tabs>
          <w:tab w:val="left" w:pos="2390"/>
        </w:tabs>
        <w:spacing w:line="276" w:lineRule="auto"/>
        <w:ind w:left="426"/>
        <w:rPr>
          <w:rFonts w:ascii="Arial Narrow" w:hAnsi="Arial Narrow" w:cs="Arial"/>
          <w:lang w:val="es-US" w:eastAsia="es-ES"/>
        </w:rPr>
      </w:pPr>
      <w:r w:rsidRPr="009832BA">
        <w:rPr>
          <w:rFonts w:ascii="Arial Narrow" w:hAnsi="Arial Narrow" w:cs="Arial"/>
          <w:b/>
          <w:bCs/>
          <w:lang w:val="es-US"/>
        </w:rPr>
        <w:t>Razón de cobertura de intereses.</w:t>
      </w:r>
      <w:r w:rsidRPr="009832BA">
        <w:rPr>
          <w:rFonts w:ascii="Arial Narrow" w:hAnsi="Arial Narrow" w:cs="Arial"/>
          <w:lang w:val="es-US"/>
        </w:rPr>
        <w:t xml:space="preserve"> Se calcula así: Utilidad Operacional / Gastos de intereses. Este indicador refleja la capacidad que tienen las </w:t>
      </w:r>
      <w:r w:rsidRPr="009832BA">
        <w:rPr>
          <w:rFonts w:ascii="Arial Narrow" w:hAnsi="Arial Narrow" w:cs="Arial"/>
          <w:lang w:val="es-US" w:eastAsia="es-ES"/>
        </w:rPr>
        <w:t>empresas</w:t>
      </w:r>
      <w:r w:rsidRPr="009832BA">
        <w:rPr>
          <w:rFonts w:ascii="Arial Narrow" w:hAnsi="Arial Narrow" w:cs="Arial"/>
          <w:lang w:val="es-US"/>
        </w:rPr>
        <w:t xml:space="preserve"> para cumplir con sus obligaciones financieras. A mayor cobertura de intereses, menor es la probabilidad de que las empresas incumplan sus obligaciones financieras.</w:t>
      </w:r>
      <w:r w:rsidR="00FF1DD7" w:rsidRPr="009832BA">
        <w:rPr>
          <w:rFonts w:ascii="Arial Narrow" w:hAnsi="Arial Narrow" w:cs="Arial"/>
          <w:lang w:val="es-US"/>
        </w:rPr>
        <w:t xml:space="preserve"> </w:t>
      </w:r>
      <w:r w:rsidRPr="009832BA">
        <w:rPr>
          <w:rFonts w:ascii="Arial Narrow" w:hAnsi="Arial Narrow" w:cs="Arial"/>
          <w:lang w:val="es-US" w:eastAsia="es-ES"/>
        </w:rPr>
        <w:t xml:space="preserve">se recomienda que la razón de cobertura de intereses se solicite como mínimo en </w:t>
      </w:r>
      <w:r w:rsidR="003931A6">
        <w:rPr>
          <w:rFonts w:ascii="Arial Narrow" w:hAnsi="Arial Narrow" w:cs="Arial"/>
          <w:b/>
          <w:bCs/>
          <w:lang w:val="es-US" w:eastAsia="es-ES"/>
        </w:rPr>
        <w:t>TRES</w:t>
      </w:r>
      <w:r w:rsidR="00397775" w:rsidRPr="009832BA">
        <w:rPr>
          <w:rFonts w:ascii="Arial Narrow" w:hAnsi="Arial Narrow" w:cs="Arial"/>
          <w:b/>
          <w:bCs/>
          <w:lang w:val="es-US" w:eastAsia="es-ES"/>
        </w:rPr>
        <w:t xml:space="preserve"> COMA </w:t>
      </w:r>
      <w:r w:rsidR="00A73490">
        <w:rPr>
          <w:rFonts w:ascii="Arial Narrow" w:hAnsi="Arial Narrow" w:cs="Arial"/>
          <w:b/>
          <w:bCs/>
          <w:lang w:val="es-US" w:eastAsia="es-ES"/>
        </w:rPr>
        <w:t>CERO</w:t>
      </w:r>
      <w:r w:rsidR="00397775">
        <w:rPr>
          <w:rFonts w:ascii="Arial Narrow" w:hAnsi="Arial Narrow" w:cs="Arial"/>
          <w:b/>
          <w:bCs/>
          <w:lang w:val="es-US" w:eastAsia="es-ES"/>
        </w:rPr>
        <w:t xml:space="preserve"> </w:t>
      </w:r>
      <w:r w:rsidRPr="009832BA">
        <w:rPr>
          <w:rFonts w:ascii="Arial Narrow" w:hAnsi="Arial Narrow" w:cs="Arial"/>
          <w:b/>
          <w:bCs/>
          <w:lang w:val="es-US" w:eastAsia="es-ES"/>
        </w:rPr>
        <w:t>(</w:t>
      </w:r>
      <w:r w:rsidR="003931A6">
        <w:rPr>
          <w:rFonts w:ascii="Arial Narrow" w:hAnsi="Arial Narrow" w:cs="Arial"/>
          <w:b/>
          <w:bCs/>
          <w:lang w:val="es-US" w:eastAsia="es-ES"/>
        </w:rPr>
        <w:t>3</w:t>
      </w:r>
      <w:r w:rsidR="00CD70DD" w:rsidRPr="009832BA">
        <w:rPr>
          <w:rFonts w:ascii="Arial Narrow" w:hAnsi="Arial Narrow" w:cs="Arial"/>
          <w:b/>
          <w:bCs/>
          <w:lang w:val="es-US" w:eastAsia="es-ES"/>
        </w:rPr>
        <w:t>,</w:t>
      </w:r>
      <w:r w:rsidR="00A73490">
        <w:rPr>
          <w:rFonts w:ascii="Arial Narrow" w:hAnsi="Arial Narrow" w:cs="Arial"/>
          <w:b/>
          <w:bCs/>
          <w:lang w:val="es-US" w:eastAsia="es-ES"/>
        </w:rPr>
        <w:t>0</w:t>
      </w:r>
      <w:r w:rsidR="0084000E" w:rsidRPr="009832BA">
        <w:rPr>
          <w:rFonts w:ascii="Arial Narrow" w:hAnsi="Arial Narrow" w:cs="Arial"/>
          <w:b/>
          <w:bCs/>
          <w:lang w:val="es-US" w:eastAsia="es-ES"/>
        </w:rPr>
        <w:t>0</w:t>
      </w:r>
      <w:r w:rsidRPr="009832BA">
        <w:rPr>
          <w:rFonts w:ascii="Arial Narrow" w:hAnsi="Arial Narrow" w:cs="Arial"/>
          <w:b/>
          <w:bCs/>
          <w:lang w:val="es-US" w:eastAsia="es-ES"/>
        </w:rPr>
        <w:t>).</w:t>
      </w:r>
    </w:p>
    <w:p w14:paraId="159B529C" w14:textId="77777777" w:rsidR="004010BA" w:rsidRPr="009832BA" w:rsidRDefault="004010BA" w:rsidP="004010BA">
      <w:pPr>
        <w:tabs>
          <w:tab w:val="left" w:pos="2390"/>
        </w:tabs>
        <w:spacing w:line="276" w:lineRule="auto"/>
        <w:rPr>
          <w:rFonts w:ascii="Arial Narrow" w:hAnsi="Arial Narrow" w:cs="Arial"/>
          <w:lang w:val="es-US" w:eastAsia="es-ES"/>
        </w:rPr>
      </w:pPr>
      <w:r w:rsidRPr="009832BA">
        <w:rPr>
          <w:rFonts w:ascii="Arial Narrow" w:hAnsi="Arial Narrow" w:cs="Arial"/>
          <w:lang w:val="es-US" w:eastAsia="es-ES"/>
        </w:rPr>
        <w:t>Las empresas que al cierre de su ejercicio económico no registren Gastos Financieros, y que el resultado del indicador de Cobertura de Intereses resulte indeterminado por la operación matemática de dividir entre cero (0), se considera que cumplen con el requisito y se habilitan dentro del proceso de verificación de requisitos habilitantes.</w:t>
      </w:r>
    </w:p>
    <w:p w14:paraId="02BCF202" w14:textId="77777777" w:rsidR="004010BA" w:rsidRDefault="004010BA" w:rsidP="004010BA">
      <w:pPr>
        <w:pStyle w:val="Prrafodelista"/>
        <w:numPr>
          <w:ilvl w:val="0"/>
          <w:numId w:val="4"/>
        </w:numPr>
        <w:tabs>
          <w:tab w:val="left" w:pos="2390"/>
        </w:tabs>
        <w:spacing w:line="276" w:lineRule="auto"/>
        <w:ind w:left="426"/>
        <w:rPr>
          <w:rFonts w:ascii="Arial Narrow" w:hAnsi="Arial Narrow" w:cs="Arial"/>
          <w:lang w:val="es-US"/>
        </w:rPr>
      </w:pPr>
      <w:r w:rsidRPr="009832BA">
        <w:rPr>
          <w:rFonts w:ascii="Arial Narrow" w:hAnsi="Arial Narrow" w:cs="Arial"/>
          <w:b/>
          <w:bCs/>
          <w:lang w:val="es-US"/>
        </w:rPr>
        <w:t>Capital de Trabajo</w:t>
      </w:r>
      <w:r w:rsidRPr="009832BA">
        <w:rPr>
          <w:rFonts w:ascii="Arial Narrow" w:hAnsi="Arial Narrow" w:cs="Arial"/>
          <w:lang w:val="es-US"/>
        </w:rPr>
        <w:t xml:space="preserve">. Este indicador se obtiene del resultado de la fórmula: Activo Corriente – Pasivo Corriente y muestra aquellos recursos que requiere la empresa para poder operar. Es importante tener en cuenta que los recursos deben estar disponibles a corto plazo para cubrir las necesidades del objeto en tiempo. La Entidad debe garantizar que la totalidad de los recursos que se utilicen al momento de contratar, cuenten con el respaldo financiero suficiente para una debida ejecución. Adicionalmente, debe prever potenciales imprevistos y/o factores externos que pueden llegar a afectar la debida ejecución en forma regular, motivo por el cual es importante que las empresas cuenten con recursos suficientes que permitan demostrar su solvencia económica en el corto plazo. </w:t>
      </w:r>
    </w:p>
    <w:p w14:paraId="73BA59C9" w14:textId="77777777" w:rsidR="005C2BE3" w:rsidRPr="005C2BE3" w:rsidRDefault="005C2BE3" w:rsidP="005C2BE3">
      <w:pPr>
        <w:tabs>
          <w:tab w:val="left" w:pos="2390"/>
        </w:tabs>
        <w:spacing w:before="0" w:after="0" w:line="276" w:lineRule="auto"/>
        <w:rPr>
          <w:rFonts w:ascii="Arial Narrow" w:hAnsi="Arial Narrow" w:cs="Arial"/>
          <w:lang w:val="es-US"/>
        </w:rPr>
      </w:pPr>
      <w:r w:rsidRPr="005C2BE3">
        <w:rPr>
          <w:rFonts w:ascii="Arial Narrow" w:hAnsi="Arial Narrow" w:cs="Arial"/>
          <w:lang w:val="es-US"/>
        </w:rPr>
        <w:t xml:space="preserve">En tal sentido, se recomienda la exigencia de un capital de trabajo, cuya estimación proyecte un soporte de liquidez, que se debe ajustar en todo caso, a la forma de pago establecida, minimizando el riesgo hasta la terminación de la ejecución del contrato que resulte. Por lo anterior, teniendo en cuenta la modalidad de contratación y de acuerdo con las variables y características del proceso, en especial el plazo de ejecución y la forma de pago, se recomienda solicitar un capital de trabajo del </w:t>
      </w:r>
      <w:r w:rsidRPr="005C2BE3">
        <w:rPr>
          <w:rFonts w:ascii="Arial Narrow" w:hAnsi="Arial Narrow" w:cs="Arial"/>
          <w:b/>
          <w:bCs/>
          <w:lang w:val="es-US"/>
        </w:rPr>
        <w:t>CIEN POR CIENTO (100%)</w:t>
      </w:r>
      <w:r w:rsidRPr="005C2BE3">
        <w:rPr>
          <w:rFonts w:ascii="Arial Narrow" w:hAnsi="Arial Narrow" w:cs="Arial"/>
          <w:lang w:val="es-US"/>
        </w:rPr>
        <w:t xml:space="preserve"> del presupuesto oficial.</w:t>
      </w:r>
    </w:p>
    <w:p w14:paraId="6F167A5D" w14:textId="77777777" w:rsidR="005C2BE3" w:rsidRPr="005C2BE3" w:rsidRDefault="005C2BE3" w:rsidP="005C2BE3">
      <w:pPr>
        <w:tabs>
          <w:tab w:val="left" w:pos="2390"/>
        </w:tabs>
        <w:spacing w:before="0" w:after="0" w:line="276" w:lineRule="auto"/>
        <w:rPr>
          <w:rFonts w:ascii="Arial Narrow" w:hAnsi="Arial Narrow" w:cs="Arial"/>
          <w:sz w:val="20"/>
          <w:szCs w:val="20"/>
          <w:lang w:val="es-US" w:eastAsia="es-ES"/>
        </w:rPr>
      </w:pPr>
    </w:p>
    <w:tbl>
      <w:tblPr>
        <w:tblStyle w:val="Tablanormal2"/>
        <w:tblW w:w="9336" w:type="dxa"/>
        <w:tblLook w:val="04A0" w:firstRow="1" w:lastRow="0" w:firstColumn="1" w:lastColumn="0" w:noHBand="0" w:noVBand="1"/>
      </w:tblPr>
      <w:tblGrid>
        <w:gridCol w:w="2346"/>
        <w:gridCol w:w="3750"/>
        <w:gridCol w:w="3240"/>
      </w:tblGrid>
      <w:tr w:rsidR="0085153B" w:rsidRPr="009832BA" w14:paraId="2DEF9DD6" w14:textId="77777777" w:rsidTr="00C70467">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346" w:type="dxa"/>
            <w:vAlign w:val="center"/>
            <w:hideMark/>
          </w:tcPr>
          <w:p w14:paraId="20541BE4" w14:textId="77777777" w:rsidR="0085153B" w:rsidRPr="009832BA" w:rsidRDefault="0085153B" w:rsidP="00C70467">
            <w:pPr>
              <w:spacing w:before="0" w:after="0" w:line="276" w:lineRule="auto"/>
              <w:jc w:val="center"/>
              <w:rPr>
                <w:rFonts w:ascii="Arial Narrow" w:eastAsia="Times New Roman" w:hAnsi="Arial Narrow" w:cs="Arial"/>
                <w:b w:val="0"/>
                <w:bCs w:val="0"/>
                <w:color w:val="000000"/>
                <w:sz w:val="18"/>
                <w:szCs w:val="18"/>
                <w:lang w:val="es-US" w:eastAsia="es-CO"/>
              </w:rPr>
            </w:pPr>
            <w:r w:rsidRPr="009832BA">
              <w:rPr>
                <w:rFonts w:ascii="Arial Narrow" w:eastAsia="Times New Roman" w:hAnsi="Arial Narrow" w:cs="Arial"/>
                <w:color w:val="000000"/>
                <w:sz w:val="18"/>
                <w:szCs w:val="18"/>
                <w:lang w:val="es-US" w:eastAsia="es-CO"/>
              </w:rPr>
              <w:t>INDICADOR</w:t>
            </w:r>
          </w:p>
        </w:tc>
        <w:tc>
          <w:tcPr>
            <w:tcW w:w="3750" w:type="dxa"/>
            <w:vAlign w:val="center"/>
            <w:hideMark/>
          </w:tcPr>
          <w:p w14:paraId="55BEAF8D" w14:textId="77777777" w:rsidR="0085153B" w:rsidRPr="009832BA" w:rsidRDefault="0085153B" w:rsidP="00C70467">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18"/>
                <w:szCs w:val="18"/>
                <w:lang w:val="es-US" w:eastAsia="es-CO"/>
              </w:rPr>
            </w:pPr>
            <w:r w:rsidRPr="009832BA">
              <w:rPr>
                <w:rFonts w:ascii="Arial Narrow" w:eastAsia="Times New Roman" w:hAnsi="Arial Narrow" w:cs="Arial"/>
                <w:color w:val="000000"/>
                <w:sz w:val="18"/>
                <w:szCs w:val="18"/>
                <w:lang w:val="es-US" w:eastAsia="es-CO"/>
              </w:rPr>
              <w:t>FORMULA</w:t>
            </w:r>
          </w:p>
        </w:tc>
        <w:tc>
          <w:tcPr>
            <w:tcW w:w="3240" w:type="dxa"/>
            <w:vAlign w:val="center"/>
            <w:hideMark/>
          </w:tcPr>
          <w:p w14:paraId="0F619722" w14:textId="77777777" w:rsidR="0085153B" w:rsidRPr="009832BA" w:rsidRDefault="0085153B" w:rsidP="00C70467">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18"/>
                <w:szCs w:val="18"/>
                <w:lang w:val="es-US" w:eastAsia="es-CO"/>
              </w:rPr>
            </w:pPr>
            <w:r w:rsidRPr="009832BA">
              <w:rPr>
                <w:rFonts w:ascii="Arial Narrow" w:eastAsia="Times New Roman" w:hAnsi="Arial Narrow" w:cs="Arial"/>
                <w:color w:val="000000"/>
                <w:sz w:val="18"/>
                <w:szCs w:val="18"/>
                <w:lang w:val="es-US" w:eastAsia="es-CO"/>
              </w:rPr>
              <w:t>MARGEN SOLICITADO</w:t>
            </w:r>
          </w:p>
        </w:tc>
      </w:tr>
      <w:tr w:rsidR="0085153B" w:rsidRPr="009832BA" w14:paraId="1635D980" w14:textId="77777777" w:rsidTr="00C70467">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346" w:type="dxa"/>
            <w:vAlign w:val="center"/>
            <w:hideMark/>
          </w:tcPr>
          <w:p w14:paraId="5C86F435" w14:textId="77777777" w:rsidR="0085153B" w:rsidRPr="009832BA" w:rsidRDefault="0085153B" w:rsidP="00C70467">
            <w:pPr>
              <w:spacing w:before="0" w:after="0" w:line="276" w:lineRule="auto"/>
              <w:jc w:val="center"/>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Liquidez</w:t>
            </w:r>
          </w:p>
        </w:tc>
        <w:tc>
          <w:tcPr>
            <w:tcW w:w="3750" w:type="dxa"/>
            <w:vAlign w:val="center"/>
            <w:hideMark/>
          </w:tcPr>
          <w:p w14:paraId="40536A73" w14:textId="77777777" w:rsidR="0085153B" w:rsidRPr="009832BA" w:rsidRDefault="0085153B" w:rsidP="00C70467">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Activo corriente sobre pasivo corriente</w:t>
            </w:r>
          </w:p>
        </w:tc>
        <w:tc>
          <w:tcPr>
            <w:tcW w:w="3240" w:type="dxa"/>
            <w:noWrap/>
            <w:vAlign w:val="center"/>
            <w:hideMark/>
          </w:tcPr>
          <w:p w14:paraId="5B278568" w14:textId="1A0156C1" w:rsidR="0085153B" w:rsidRPr="009832BA" w:rsidRDefault="0085153B" w:rsidP="00C70467">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 xml:space="preserve">Mayor o igual a </w:t>
            </w:r>
            <w:r w:rsidR="009323B5">
              <w:rPr>
                <w:rFonts w:ascii="Arial Narrow" w:eastAsia="Times New Roman" w:hAnsi="Arial Narrow" w:cs="Arial"/>
                <w:b/>
                <w:bCs/>
                <w:color w:val="000000"/>
                <w:sz w:val="18"/>
                <w:szCs w:val="18"/>
                <w:lang w:val="es-US" w:eastAsia="es-CO"/>
              </w:rPr>
              <w:t>2</w:t>
            </w:r>
            <w:r w:rsidR="009A1E96" w:rsidRPr="009832BA">
              <w:rPr>
                <w:rFonts w:ascii="Arial Narrow" w:eastAsia="Times New Roman" w:hAnsi="Arial Narrow" w:cs="Arial"/>
                <w:b/>
                <w:bCs/>
                <w:color w:val="000000"/>
                <w:sz w:val="18"/>
                <w:szCs w:val="18"/>
                <w:lang w:val="es-US" w:eastAsia="es-CO"/>
              </w:rPr>
              <w:t>,</w:t>
            </w:r>
            <w:r w:rsidR="009323B5">
              <w:rPr>
                <w:rFonts w:ascii="Arial Narrow" w:eastAsia="Times New Roman" w:hAnsi="Arial Narrow" w:cs="Arial"/>
                <w:b/>
                <w:bCs/>
                <w:color w:val="000000"/>
                <w:sz w:val="18"/>
                <w:szCs w:val="18"/>
                <w:lang w:val="es-US" w:eastAsia="es-CO"/>
              </w:rPr>
              <w:t>0</w:t>
            </w:r>
            <w:r w:rsidR="00812451" w:rsidRPr="009832BA">
              <w:rPr>
                <w:rFonts w:ascii="Arial Narrow" w:eastAsia="Times New Roman" w:hAnsi="Arial Narrow" w:cs="Arial"/>
                <w:b/>
                <w:bCs/>
                <w:color w:val="000000"/>
                <w:sz w:val="18"/>
                <w:szCs w:val="18"/>
                <w:lang w:val="es-US" w:eastAsia="es-CO"/>
              </w:rPr>
              <w:t>0</w:t>
            </w:r>
            <w:r w:rsidRPr="009832BA">
              <w:rPr>
                <w:rFonts w:ascii="Arial Narrow" w:eastAsia="Times New Roman" w:hAnsi="Arial Narrow" w:cs="Arial"/>
                <w:color w:val="808080"/>
                <w:sz w:val="18"/>
                <w:szCs w:val="18"/>
                <w:lang w:val="es-US" w:eastAsia="es-CO"/>
              </w:rPr>
              <w:t xml:space="preserve"> </w:t>
            </w:r>
            <w:r w:rsidRPr="009832BA">
              <w:rPr>
                <w:rFonts w:ascii="Arial Narrow" w:eastAsia="Times New Roman" w:hAnsi="Arial Narrow" w:cs="Arial"/>
                <w:color w:val="000000"/>
                <w:sz w:val="18"/>
                <w:szCs w:val="18"/>
                <w:lang w:val="es-US" w:eastAsia="es-CO"/>
              </w:rPr>
              <w:t>veces</w:t>
            </w:r>
          </w:p>
        </w:tc>
      </w:tr>
      <w:tr w:rsidR="0085153B" w:rsidRPr="00DD37A2" w14:paraId="46ADD803" w14:textId="77777777" w:rsidTr="00C70467">
        <w:trPr>
          <w:trHeight w:val="453"/>
        </w:trPr>
        <w:tc>
          <w:tcPr>
            <w:cnfStyle w:val="001000000000" w:firstRow="0" w:lastRow="0" w:firstColumn="1" w:lastColumn="0" w:oddVBand="0" w:evenVBand="0" w:oddHBand="0" w:evenHBand="0" w:firstRowFirstColumn="0" w:firstRowLastColumn="0" w:lastRowFirstColumn="0" w:lastRowLastColumn="0"/>
            <w:tcW w:w="2346" w:type="dxa"/>
            <w:vAlign w:val="center"/>
            <w:hideMark/>
          </w:tcPr>
          <w:p w14:paraId="2AE5BA80" w14:textId="77777777" w:rsidR="0085153B" w:rsidRPr="009832BA" w:rsidRDefault="0085153B" w:rsidP="00C70467">
            <w:pPr>
              <w:spacing w:before="0" w:after="0" w:line="276" w:lineRule="auto"/>
              <w:jc w:val="center"/>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Nivel de endeudamiento</w:t>
            </w:r>
          </w:p>
        </w:tc>
        <w:tc>
          <w:tcPr>
            <w:tcW w:w="3750" w:type="dxa"/>
            <w:vAlign w:val="center"/>
            <w:hideMark/>
          </w:tcPr>
          <w:p w14:paraId="4A30806A" w14:textId="77777777" w:rsidR="0085153B" w:rsidRPr="009832BA" w:rsidRDefault="0085153B" w:rsidP="00C70467">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Pasivo total sobre activo total</w:t>
            </w:r>
          </w:p>
        </w:tc>
        <w:tc>
          <w:tcPr>
            <w:tcW w:w="3240" w:type="dxa"/>
            <w:noWrap/>
            <w:vAlign w:val="center"/>
            <w:hideMark/>
          </w:tcPr>
          <w:p w14:paraId="41BB3A06" w14:textId="27DE9FE0" w:rsidR="0085153B" w:rsidRPr="00F700F6" w:rsidRDefault="0085153B" w:rsidP="00C70467">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8"/>
                <w:szCs w:val="18"/>
                <w:lang w:val="pt-PT" w:eastAsia="es-CO"/>
              </w:rPr>
            </w:pPr>
            <w:r w:rsidRPr="00F700F6">
              <w:rPr>
                <w:rFonts w:ascii="Arial Narrow" w:eastAsia="Times New Roman" w:hAnsi="Arial Narrow" w:cs="Arial"/>
                <w:color w:val="000000"/>
                <w:sz w:val="18"/>
                <w:szCs w:val="18"/>
                <w:lang w:val="pt-PT" w:eastAsia="es-CO"/>
              </w:rPr>
              <w:t xml:space="preserve">Menor o igual a </w:t>
            </w:r>
            <w:r w:rsidRPr="00F700F6">
              <w:rPr>
                <w:rFonts w:ascii="Arial Narrow" w:eastAsia="Times New Roman" w:hAnsi="Arial Narrow" w:cs="Arial"/>
                <w:b/>
                <w:bCs/>
                <w:color w:val="000000"/>
                <w:sz w:val="18"/>
                <w:szCs w:val="18"/>
                <w:lang w:val="pt-PT" w:eastAsia="es-CO"/>
              </w:rPr>
              <w:t>0</w:t>
            </w:r>
            <w:r w:rsidR="00733B6E" w:rsidRPr="00F700F6">
              <w:rPr>
                <w:rFonts w:ascii="Arial Narrow" w:eastAsia="Times New Roman" w:hAnsi="Arial Narrow" w:cs="Arial"/>
                <w:b/>
                <w:bCs/>
                <w:color w:val="000000"/>
                <w:sz w:val="18"/>
                <w:szCs w:val="18"/>
                <w:lang w:val="pt-PT" w:eastAsia="es-CO"/>
              </w:rPr>
              <w:t>,</w:t>
            </w:r>
            <w:r w:rsidR="006E00A1" w:rsidRPr="00F700F6">
              <w:rPr>
                <w:rFonts w:ascii="Arial Narrow" w:eastAsia="Times New Roman" w:hAnsi="Arial Narrow" w:cs="Arial"/>
                <w:b/>
                <w:bCs/>
                <w:color w:val="000000"/>
                <w:sz w:val="18"/>
                <w:szCs w:val="18"/>
                <w:lang w:val="pt-PT" w:eastAsia="es-CO"/>
              </w:rPr>
              <w:t>6</w:t>
            </w:r>
            <w:r w:rsidR="00A73490" w:rsidRPr="00F700F6">
              <w:rPr>
                <w:rFonts w:ascii="Arial Narrow" w:eastAsia="Times New Roman" w:hAnsi="Arial Narrow" w:cs="Arial"/>
                <w:b/>
                <w:bCs/>
                <w:color w:val="000000"/>
                <w:sz w:val="18"/>
                <w:szCs w:val="18"/>
                <w:lang w:val="pt-PT" w:eastAsia="es-CO"/>
              </w:rPr>
              <w:t>0</w:t>
            </w:r>
            <w:r w:rsidR="00EA0DA3" w:rsidRPr="00F700F6">
              <w:rPr>
                <w:rFonts w:ascii="Arial Narrow" w:eastAsia="Times New Roman" w:hAnsi="Arial Narrow" w:cs="Arial"/>
                <w:b/>
                <w:bCs/>
                <w:color w:val="000000"/>
                <w:sz w:val="18"/>
                <w:szCs w:val="18"/>
                <w:lang w:val="pt-PT" w:eastAsia="es-CO"/>
              </w:rPr>
              <w:t xml:space="preserve"> </w:t>
            </w:r>
            <w:r w:rsidRPr="00F700F6">
              <w:rPr>
                <w:rFonts w:ascii="Arial Narrow" w:hAnsi="Arial Narrow" w:cs="Arial"/>
                <w:bCs/>
                <w:sz w:val="18"/>
                <w:szCs w:val="18"/>
                <w:lang w:val="pt-PT"/>
              </w:rPr>
              <w:t>(valor absoluto)</w:t>
            </w:r>
          </w:p>
        </w:tc>
      </w:tr>
      <w:tr w:rsidR="0085153B" w:rsidRPr="009832BA" w14:paraId="1120154D" w14:textId="77777777" w:rsidTr="00C70467">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346" w:type="dxa"/>
            <w:vAlign w:val="center"/>
            <w:hideMark/>
          </w:tcPr>
          <w:p w14:paraId="1644D125" w14:textId="77777777" w:rsidR="0085153B" w:rsidRPr="009832BA" w:rsidRDefault="0085153B" w:rsidP="00C70467">
            <w:pPr>
              <w:spacing w:before="0" w:after="0" w:line="276" w:lineRule="auto"/>
              <w:jc w:val="center"/>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Razón de Cobertura de intereses.</w:t>
            </w:r>
          </w:p>
        </w:tc>
        <w:tc>
          <w:tcPr>
            <w:tcW w:w="3750" w:type="dxa"/>
            <w:noWrap/>
            <w:vAlign w:val="center"/>
            <w:hideMark/>
          </w:tcPr>
          <w:p w14:paraId="69183B0D" w14:textId="77777777" w:rsidR="0085153B" w:rsidRPr="009832BA" w:rsidRDefault="0085153B" w:rsidP="00C70467">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Utilidad operacional dividida por los gastos de intereses</w:t>
            </w:r>
          </w:p>
        </w:tc>
        <w:tc>
          <w:tcPr>
            <w:tcW w:w="3240" w:type="dxa"/>
            <w:vAlign w:val="center"/>
            <w:hideMark/>
          </w:tcPr>
          <w:p w14:paraId="619E4DEB" w14:textId="601A5998" w:rsidR="0085153B" w:rsidRPr="009832BA" w:rsidRDefault="0085153B" w:rsidP="00C70467">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eastAsia="Times New Roman" w:hAnsi="Arial Narrow" w:cs="Arial"/>
                <w:bCs/>
                <w:color w:val="000000"/>
                <w:sz w:val="18"/>
                <w:szCs w:val="18"/>
                <w:lang w:val="es-US" w:eastAsia="es-CO"/>
              </w:rPr>
              <w:t>Mayor o Igual a</w:t>
            </w:r>
            <w:r w:rsidR="00AB4E80" w:rsidRPr="009832BA">
              <w:rPr>
                <w:rFonts w:ascii="Arial Narrow" w:eastAsia="Times New Roman" w:hAnsi="Arial Narrow" w:cs="Arial"/>
                <w:bCs/>
                <w:color w:val="000000"/>
                <w:sz w:val="18"/>
                <w:szCs w:val="18"/>
                <w:lang w:val="es-US" w:eastAsia="es-CO"/>
              </w:rPr>
              <w:t xml:space="preserve"> </w:t>
            </w:r>
            <w:r w:rsidR="00F20B23">
              <w:rPr>
                <w:rFonts w:ascii="Arial Narrow" w:eastAsia="Times New Roman" w:hAnsi="Arial Narrow" w:cs="Arial"/>
                <w:b/>
                <w:bCs/>
                <w:color w:val="000000"/>
                <w:sz w:val="18"/>
                <w:szCs w:val="18"/>
                <w:lang w:val="es-US" w:eastAsia="es-CO"/>
              </w:rPr>
              <w:t>3</w:t>
            </w:r>
            <w:r w:rsidRPr="009832BA">
              <w:rPr>
                <w:rFonts w:ascii="Arial Narrow" w:eastAsia="Times New Roman" w:hAnsi="Arial Narrow" w:cs="Arial"/>
                <w:b/>
                <w:color w:val="000000"/>
                <w:sz w:val="18"/>
                <w:szCs w:val="18"/>
                <w:lang w:val="es-US" w:eastAsia="es-CO"/>
              </w:rPr>
              <w:t>,</w:t>
            </w:r>
            <w:r w:rsidR="00A73490">
              <w:rPr>
                <w:rFonts w:ascii="Arial Narrow" w:eastAsia="Times New Roman" w:hAnsi="Arial Narrow" w:cs="Arial"/>
                <w:b/>
                <w:color w:val="000000"/>
                <w:sz w:val="18"/>
                <w:szCs w:val="18"/>
                <w:lang w:val="es-US" w:eastAsia="es-CO"/>
              </w:rPr>
              <w:t>0</w:t>
            </w:r>
            <w:r w:rsidR="00D679A7" w:rsidRPr="009832BA">
              <w:rPr>
                <w:rFonts w:ascii="Arial Narrow" w:eastAsia="Times New Roman" w:hAnsi="Arial Narrow" w:cs="Arial"/>
                <w:b/>
                <w:color w:val="000000"/>
                <w:sz w:val="18"/>
                <w:szCs w:val="18"/>
                <w:lang w:val="es-US" w:eastAsia="es-CO"/>
              </w:rPr>
              <w:t>0</w:t>
            </w:r>
            <w:r w:rsidRPr="009832BA">
              <w:rPr>
                <w:rFonts w:ascii="Arial Narrow" w:eastAsia="Times New Roman" w:hAnsi="Arial Narrow" w:cs="Arial"/>
                <w:bCs/>
                <w:color w:val="000000"/>
                <w:sz w:val="18"/>
                <w:szCs w:val="18"/>
                <w:lang w:val="es-US" w:eastAsia="es-CO"/>
              </w:rPr>
              <w:t xml:space="preserve"> veces</w:t>
            </w:r>
          </w:p>
        </w:tc>
      </w:tr>
      <w:tr w:rsidR="00C70467" w:rsidRPr="009832BA" w14:paraId="29529A2D" w14:textId="77777777" w:rsidTr="00C70467">
        <w:trPr>
          <w:trHeight w:val="453"/>
        </w:trPr>
        <w:tc>
          <w:tcPr>
            <w:cnfStyle w:val="001000000000" w:firstRow="0" w:lastRow="0" w:firstColumn="1" w:lastColumn="0" w:oddVBand="0" w:evenVBand="0" w:oddHBand="0" w:evenHBand="0" w:firstRowFirstColumn="0" w:firstRowLastColumn="0" w:lastRowFirstColumn="0" w:lastRowLastColumn="0"/>
            <w:tcW w:w="2346" w:type="dxa"/>
            <w:vAlign w:val="center"/>
          </w:tcPr>
          <w:p w14:paraId="30F7F26B" w14:textId="1B7F95D8" w:rsidR="00C70467" w:rsidRPr="009832BA" w:rsidRDefault="00C70467" w:rsidP="00C70467">
            <w:pPr>
              <w:spacing w:before="0" w:after="0" w:line="276" w:lineRule="auto"/>
              <w:jc w:val="center"/>
              <w:rPr>
                <w:rFonts w:ascii="Arial Narrow" w:eastAsia="Times New Roman" w:hAnsi="Arial Narrow" w:cs="Arial"/>
                <w:color w:val="000000"/>
                <w:sz w:val="18"/>
                <w:szCs w:val="18"/>
                <w:lang w:val="es-US" w:eastAsia="es-CO"/>
              </w:rPr>
            </w:pPr>
            <w:r w:rsidRPr="009832BA">
              <w:rPr>
                <w:rFonts w:ascii="Arial Narrow" w:eastAsia="Times New Roman" w:hAnsi="Arial Narrow" w:cs="Arial"/>
                <w:color w:val="000000"/>
                <w:sz w:val="18"/>
                <w:szCs w:val="18"/>
                <w:lang w:val="es-US" w:eastAsia="es-CO"/>
              </w:rPr>
              <w:t>Capital de Trabajo</w:t>
            </w:r>
          </w:p>
        </w:tc>
        <w:tc>
          <w:tcPr>
            <w:tcW w:w="3750" w:type="dxa"/>
            <w:noWrap/>
            <w:vAlign w:val="center"/>
          </w:tcPr>
          <w:p w14:paraId="331BC179" w14:textId="5A6E691C" w:rsidR="00C70467" w:rsidRPr="009832BA" w:rsidRDefault="00C70467" w:rsidP="00C70467">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8"/>
                <w:szCs w:val="18"/>
                <w:lang w:val="es-US" w:eastAsia="es-CO"/>
              </w:rPr>
            </w:pPr>
            <w:r w:rsidRPr="009832BA">
              <w:rPr>
                <w:rFonts w:ascii="Arial Narrow" w:hAnsi="Arial Narrow"/>
                <w:sz w:val="18"/>
                <w:szCs w:val="18"/>
                <w:lang w:val="es-US"/>
              </w:rPr>
              <w:t>Activo Corriente – Pasivo Corriente</w:t>
            </w:r>
          </w:p>
        </w:tc>
        <w:tc>
          <w:tcPr>
            <w:tcW w:w="3240" w:type="dxa"/>
            <w:vAlign w:val="center"/>
          </w:tcPr>
          <w:p w14:paraId="4ADA0730" w14:textId="7FA40352" w:rsidR="00C70467" w:rsidRPr="009832BA" w:rsidRDefault="005C2BE3" w:rsidP="00C70467">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color w:val="000000"/>
                <w:sz w:val="18"/>
                <w:szCs w:val="18"/>
                <w:lang w:val="es-US" w:eastAsia="es-CO"/>
              </w:rPr>
            </w:pPr>
            <w:r w:rsidRPr="008C0F0E">
              <w:rPr>
                <w:rFonts w:ascii="Arial Narrow" w:hAnsi="Arial Narrow"/>
                <w:b/>
                <w:bCs/>
                <w:sz w:val="18"/>
                <w:szCs w:val="18"/>
                <w:lang w:val="es-US"/>
              </w:rPr>
              <w:t xml:space="preserve">100% </w:t>
            </w:r>
            <w:r w:rsidRPr="008C0F0E">
              <w:rPr>
                <w:rFonts w:ascii="Arial Narrow" w:hAnsi="Arial Narrow"/>
                <w:sz w:val="18"/>
                <w:szCs w:val="18"/>
                <w:lang w:val="es-US"/>
              </w:rPr>
              <w:t xml:space="preserve">del presupuesto </w:t>
            </w:r>
            <w:r w:rsidRPr="008C0F0E">
              <w:rPr>
                <w:rFonts w:ascii="Arial Narrow" w:hAnsi="Arial Narrow"/>
                <w:sz w:val="18"/>
                <w:szCs w:val="18"/>
                <w:lang w:val="es-US"/>
              </w:rPr>
              <w:t>oficial.</w:t>
            </w:r>
          </w:p>
        </w:tc>
      </w:tr>
    </w:tbl>
    <w:p w14:paraId="1D3CB7A1" w14:textId="77777777" w:rsidR="008641DE" w:rsidRDefault="0085153B" w:rsidP="001855D1">
      <w:pPr>
        <w:autoSpaceDE w:val="0"/>
        <w:autoSpaceDN w:val="0"/>
        <w:adjustRightInd w:val="0"/>
        <w:spacing w:line="276" w:lineRule="auto"/>
        <w:rPr>
          <w:rFonts w:ascii="Arial Narrow" w:hAnsi="Arial Narrow" w:cs="Arial"/>
          <w:lang w:val="es-US"/>
        </w:rPr>
      </w:pPr>
      <w:r w:rsidRPr="009832BA">
        <w:rPr>
          <w:rFonts w:ascii="Arial Narrow" w:hAnsi="Arial Narrow" w:cs="Arial"/>
          <w:lang w:val="es-US"/>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19A52DE6" w14:textId="77777777" w:rsidR="003A6BE2" w:rsidRDefault="003A6BE2" w:rsidP="001855D1">
      <w:pPr>
        <w:autoSpaceDE w:val="0"/>
        <w:autoSpaceDN w:val="0"/>
        <w:adjustRightInd w:val="0"/>
        <w:spacing w:line="276" w:lineRule="auto"/>
        <w:rPr>
          <w:rFonts w:ascii="Arial Narrow" w:hAnsi="Arial Narrow" w:cs="Arial"/>
          <w:lang w:val="es-US"/>
        </w:rPr>
      </w:pPr>
    </w:p>
    <w:p w14:paraId="2644D882" w14:textId="77777777" w:rsidR="003A6BE2" w:rsidRDefault="003A6BE2" w:rsidP="001855D1">
      <w:pPr>
        <w:autoSpaceDE w:val="0"/>
        <w:autoSpaceDN w:val="0"/>
        <w:adjustRightInd w:val="0"/>
        <w:spacing w:line="276" w:lineRule="auto"/>
        <w:rPr>
          <w:rFonts w:ascii="Arial Narrow" w:hAnsi="Arial Narrow" w:cs="Arial"/>
          <w:lang w:val="es-US"/>
        </w:rPr>
      </w:pPr>
    </w:p>
    <w:p w14:paraId="51FB06CB" w14:textId="77777777" w:rsidR="0085153B" w:rsidRPr="009832BA" w:rsidRDefault="0085153B" w:rsidP="001855D1">
      <w:pPr>
        <w:tabs>
          <w:tab w:val="left" w:pos="2390"/>
        </w:tabs>
        <w:spacing w:line="276" w:lineRule="auto"/>
        <w:rPr>
          <w:rFonts w:ascii="Arial Narrow" w:hAnsi="Arial Narrow" w:cs="Arial"/>
          <w:b/>
          <w:bCs/>
          <w:lang w:val="es-US" w:eastAsia="es-ES"/>
        </w:rPr>
      </w:pPr>
      <w:r w:rsidRPr="009832BA">
        <w:rPr>
          <w:rFonts w:ascii="Arial Narrow" w:hAnsi="Arial Narrow" w:cs="Arial"/>
          <w:b/>
          <w:bCs/>
          <w:lang w:val="es-US" w:eastAsia="es-ES"/>
        </w:rPr>
        <w:lastRenderedPageBreak/>
        <w:t>CONSORCIOS O UNIONES TEMPORALES</w:t>
      </w:r>
    </w:p>
    <w:p w14:paraId="145993BE" w14:textId="27FEA3E0" w:rsidR="0085153B" w:rsidRPr="009832BA" w:rsidRDefault="0085153B" w:rsidP="001855D1">
      <w:pPr>
        <w:tabs>
          <w:tab w:val="left" w:pos="2390"/>
        </w:tabs>
        <w:spacing w:line="276" w:lineRule="auto"/>
        <w:rPr>
          <w:rFonts w:ascii="Arial Narrow" w:hAnsi="Arial Narrow" w:cs="Arial"/>
          <w:lang w:val="es-US" w:eastAsia="es-ES"/>
        </w:rPr>
      </w:pPr>
      <w:r w:rsidRPr="009832BA">
        <w:rPr>
          <w:rFonts w:ascii="Arial Narrow" w:hAnsi="Arial Narrow" w:cs="Arial"/>
          <w:lang w:val="es-US" w:eastAsia="es-ES"/>
        </w:rPr>
        <w:t>El proponente que presente propuesta debe cumplir por igual, con los indicadores mínimos. Los indicadores se calculan de acuerdo con la participación porcentual de cada uno de los integrantes del consorcio o unión temporal.</w:t>
      </w:r>
      <w:r w:rsidR="00327821" w:rsidRPr="009832BA">
        <w:rPr>
          <w:rFonts w:ascii="Arial Narrow" w:hAnsi="Arial Narrow" w:cs="Arial"/>
          <w:lang w:val="es-US" w:eastAsia="es-ES"/>
        </w:rPr>
        <w:t xml:space="preserve"> E</w:t>
      </w:r>
      <w:r w:rsidRPr="009832BA">
        <w:rPr>
          <w:rFonts w:ascii="Arial Narrow" w:hAnsi="Arial Narrow" w:cs="Arial"/>
          <w:lang w:val="es-US" w:eastAsia="es-ES"/>
        </w:rPr>
        <w:t>l capital de trabajo se determinará con base en la sumatoria de los valores absolutos de cada uno de los integrantes de la UT o consorcio.</w:t>
      </w:r>
    </w:p>
    <w:p w14:paraId="3CB8751B" w14:textId="4887FA40" w:rsidR="00744FFB" w:rsidRPr="009832BA" w:rsidRDefault="00744FFB" w:rsidP="001855D1">
      <w:pPr>
        <w:pStyle w:val="Ttulo1"/>
        <w:spacing w:after="100" w:afterAutospacing="1" w:line="276" w:lineRule="auto"/>
        <w:contextualSpacing/>
        <w:jc w:val="left"/>
        <w:rPr>
          <w:rFonts w:ascii="Arial Narrow" w:hAnsi="Arial Narrow" w:cs="Arial"/>
          <w:b/>
          <w:sz w:val="22"/>
          <w:szCs w:val="22"/>
          <w:u w:val="single"/>
          <w:lang w:val="es-US" w:eastAsia="es-ES"/>
        </w:rPr>
      </w:pPr>
      <w:r w:rsidRPr="009832BA">
        <w:rPr>
          <w:rFonts w:ascii="Arial Narrow" w:hAnsi="Arial Narrow" w:cs="Arial"/>
          <w:b/>
          <w:sz w:val="22"/>
          <w:szCs w:val="22"/>
          <w:u w:val="single"/>
          <w:lang w:val="es-US" w:eastAsia="es-ES"/>
        </w:rPr>
        <w:t>INDICADORES CAPACIDAD ORGANIZACIONAL:</w:t>
      </w:r>
    </w:p>
    <w:p w14:paraId="329D89D3" w14:textId="77777777" w:rsidR="006756CC" w:rsidRPr="009832BA" w:rsidRDefault="006756CC" w:rsidP="001855D1">
      <w:pPr>
        <w:pStyle w:val="Prrafodelista"/>
        <w:numPr>
          <w:ilvl w:val="0"/>
          <w:numId w:val="4"/>
        </w:numPr>
        <w:tabs>
          <w:tab w:val="left" w:pos="2390"/>
        </w:tabs>
        <w:spacing w:line="276" w:lineRule="auto"/>
        <w:ind w:left="426"/>
        <w:rPr>
          <w:rFonts w:ascii="Arial Narrow" w:hAnsi="Arial Narrow" w:cs="Arial"/>
          <w:lang w:val="es-US"/>
        </w:rPr>
      </w:pPr>
      <w:r w:rsidRPr="009832BA">
        <w:rPr>
          <w:rFonts w:ascii="Arial Narrow" w:hAnsi="Arial Narrow" w:cs="Arial"/>
          <w:b/>
          <w:bCs/>
          <w:lang w:val="es-US"/>
        </w:rPr>
        <w:t>Rentabilidad del Patrimonio</w:t>
      </w:r>
      <w:r w:rsidRPr="009832BA">
        <w:rPr>
          <w:rFonts w:ascii="Arial Narrow" w:hAnsi="Arial Narrow" w:cs="Arial"/>
          <w:lang w:val="es-US"/>
        </w:rPr>
        <w:t xml:space="preserve">. Este indicador corresponde a la Utilidad Operacional / Patrimonio: Determina la rentabilidad del patrimonio del proponente, es decir, la capacidad de generación de utilidad operacional por cada peso </w:t>
      </w:r>
      <w:r w:rsidRPr="009832BA">
        <w:rPr>
          <w:rFonts w:ascii="Arial Narrow" w:hAnsi="Arial Narrow" w:cs="Arial"/>
          <w:lang w:val="es-US" w:eastAsia="es-ES"/>
        </w:rPr>
        <w:t>invertido</w:t>
      </w:r>
      <w:r w:rsidRPr="009832BA">
        <w:rPr>
          <w:rFonts w:ascii="Arial Narrow" w:hAnsi="Arial Narrow" w:cs="Arial"/>
          <w:lang w:val="es-US"/>
        </w:rPr>
        <w:t xml:space="preserve"> en el patrimonio. Cuanto mayor sea la rentabilidad sobre el patrimonio, mayor es la rentabilidad de los accionistas y mejor la capacidad organizacional del proponente.</w:t>
      </w:r>
    </w:p>
    <w:p w14:paraId="2EAE74FD" w14:textId="77777777" w:rsidR="00EF6A30" w:rsidRPr="009832BA" w:rsidRDefault="00EF6A30" w:rsidP="001855D1">
      <w:pPr>
        <w:pStyle w:val="Prrafodelista"/>
        <w:tabs>
          <w:tab w:val="left" w:pos="2390"/>
        </w:tabs>
        <w:spacing w:line="276" w:lineRule="auto"/>
        <w:ind w:left="426"/>
        <w:rPr>
          <w:rFonts w:ascii="Arial Narrow" w:hAnsi="Arial Narrow" w:cs="Arial"/>
          <w:lang w:val="es-US" w:eastAsia="es-ES"/>
        </w:rPr>
      </w:pPr>
    </w:p>
    <w:p w14:paraId="60BD3F96" w14:textId="39D31776" w:rsidR="006756CC" w:rsidRPr="009832BA" w:rsidRDefault="00744FFB" w:rsidP="001855D1">
      <w:pPr>
        <w:pStyle w:val="Prrafodelista"/>
        <w:tabs>
          <w:tab w:val="left" w:pos="2390"/>
        </w:tabs>
        <w:spacing w:line="276" w:lineRule="auto"/>
        <w:ind w:left="426"/>
        <w:rPr>
          <w:rFonts w:ascii="Arial Narrow" w:hAnsi="Arial Narrow" w:cs="Arial"/>
          <w:lang w:val="es-US" w:eastAsia="es-ES"/>
        </w:rPr>
      </w:pPr>
      <w:r w:rsidRPr="009832BA">
        <w:rPr>
          <w:rFonts w:ascii="Arial Narrow" w:hAnsi="Arial Narrow" w:cs="Arial"/>
          <w:lang w:val="es-US" w:eastAsia="es-ES"/>
        </w:rPr>
        <w:t>En conclusión, un porcentaje considerable de</w:t>
      </w:r>
      <w:r w:rsidR="006756CC" w:rsidRPr="009832BA">
        <w:rPr>
          <w:rFonts w:ascii="Arial Narrow" w:hAnsi="Arial Narrow" w:cs="Arial"/>
          <w:lang w:val="es-US" w:eastAsia="es-ES"/>
        </w:rPr>
        <w:t xml:space="preserve"> empresas del sector son aptas para el presente proceso, en tanto registran un indicador de rentabilidad del patrimonio positivo y</w:t>
      </w:r>
      <w:r w:rsidR="00CD70DD" w:rsidRPr="009832BA">
        <w:rPr>
          <w:rFonts w:ascii="Arial Narrow" w:hAnsi="Arial Narrow" w:cs="Arial"/>
          <w:lang w:val="es-US" w:eastAsia="es-ES"/>
        </w:rPr>
        <w:t>,</w:t>
      </w:r>
      <w:r w:rsidR="006756CC" w:rsidRPr="009832BA">
        <w:rPr>
          <w:rFonts w:ascii="Arial Narrow" w:hAnsi="Arial Narrow" w:cs="Arial"/>
          <w:lang w:val="es-US" w:eastAsia="es-ES"/>
        </w:rPr>
        <w:t xml:space="preserve"> en consecuencia, cuentan con adecuada capacidad organizacional para cumplir con sus actividades frente a terceros, recomendando para el INDICADOR DE RENTABILIDAD DEL PATRIMONIO, como resultado que es incluyente, pero suficiente para las características del objeto, un mínimo de </w:t>
      </w:r>
      <w:r w:rsidR="0050224D" w:rsidRPr="009832BA">
        <w:rPr>
          <w:rFonts w:ascii="Arial Narrow" w:hAnsi="Arial Narrow" w:cs="Arial"/>
          <w:b/>
          <w:bCs/>
          <w:lang w:val="es-US" w:eastAsia="es-ES"/>
        </w:rPr>
        <w:t>CERO COM</w:t>
      </w:r>
      <w:r w:rsidR="0050224D">
        <w:rPr>
          <w:rFonts w:ascii="Arial Narrow" w:hAnsi="Arial Narrow" w:cs="Arial"/>
          <w:b/>
          <w:bCs/>
          <w:lang w:val="es-US" w:eastAsia="es-ES"/>
        </w:rPr>
        <w:t>A DIECIOCHO</w:t>
      </w:r>
      <w:r w:rsidR="00EE2C69" w:rsidRPr="009832BA">
        <w:rPr>
          <w:rFonts w:ascii="Arial Narrow" w:hAnsi="Arial Narrow" w:cs="Arial"/>
          <w:b/>
          <w:bCs/>
          <w:lang w:val="es-US" w:eastAsia="es-ES"/>
        </w:rPr>
        <w:t xml:space="preserve"> </w:t>
      </w:r>
      <w:r w:rsidR="006756CC" w:rsidRPr="009832BA">
        <w:rPr>
          <w:rFonts w:ascii="Arial Narrow" w:hAnsi="Arial Narrow" w:cs="Arial"/>
          <w:b/>
          <w:bCs/>
          <w:lang w:val="es-US" w:eastAsia="es-ES"/>
        </w:rPr>
        <w:t>(0,</w:t>
      </w:r>
      <w:r w:rsidR="00A73490">
        <w:rPr>
          <w:rFonts w:ascii="Arial Narrow" w:hAnsi="Arial Narrow" w:cs="Arial"/>
          <w:b/>
          <w:bCs/>
          <w:lang w:val="es-US" w:eastAsia="es-ES"/>
        </w:rPr>
        <w:t>1</w:t>
      </w:r>
      <w:r w:rsidR="0050224D">
        <w:rPr>
          <w:rFonts w:ascii="Arial Narrow" w:hAnsi="Arial Narrow" w:cs="Arial"/>
          <w:b/>
          <w:bCs/>
          <w:lang w:val="es-US" w:eastAsia="es-ES"/>
        </w:rPr>
        <w:t>8</w:t>
      </w:r>
      <w:r w:rsidR="006756CC" w:rsidRPr="009832BA">
        <w:rPr>
          <w:rFonts w:ascii="Arial Narrow" w:hAnsi="Arial Narrow" w:cs="Arial"/>
          <w:b/>
          <w:bCs/>
          <w:lang w:val="es-US" w:eastAsia="es-ES"/>
        </w:rPr>
        <w:t>).</w:t>
      </w:r>
    </w:p>
    <w:p w14:paraId="73F23A2B" w14:textId="77777777" w:rsidR="00EF6A30" w:rsidRPr="009832BA" w:rsidRDefault="00EF6A30" w:rsidP="001855D1">
      <w:pPr>
        <w:pStyle w:val="Prrafodelista"/>
        <w:tabs>
          <w:tab w:val="left" w:pos="2390"/>
        </w:tabs>
        <w:spacing w:line="276" w:lineRule="auto"/>
        <w:ind w:left="426"/>
        <w:rPr>
          <w:rFonts w:ascii="Arial Narrow" w:hAnsi="Arial Narrow" w:cs="Arial"/>
          <w:lang w:val="es-US" w:eastAsia="es-ES"/>
        </w:rPr>
      </w:pPr>
    </w:p>
    <w:p w14:paraId="573D58D3" w14:textId="73AEC7B2" w:rsidR="006756CC" w:rsidRPr="009832BA" w:rsidRDefault="006756CC" w:rsidP="001855D1">
      <w:pPr>
        <w:pStyle w:val="Prrafodelista"/>
        <w:numPr>
          <w:ilvl w:val="0"/>
          <w:numId w:val="4"/>
        </w:numPr>
        <w:tabs>
          <w:tab w:val="left" w:pos="2390"/>
        </w:tabs>
        <w:spacing w:line="276" w:lineRule="auto"/>
        <w:ind w:left="426"/>
        <w:rPr>
          <w:rFonts w:ascii="Arial Narrow" w:hAnsi="Arial Narrow" w:cs="Arial"/>
          <w:lang w:val="es-US"/>
        </w:rPr>
      </w:pPr>
      <w:r w:rsidRPr="009832BA">
        <w:rPr>
          <w:rFonts w:ascii="Arial Narrow" w:hAnsi="Arial Narrow" w:cs="Arial"/>
          <w:b/>
          <w:bCs/>
          <w:lang w:val="es-US"/>
        </w:rPr>
        <w:t>Rentabilidad del activo</w:t>
      </w:r>
      <w:r w:rsidRPr="009832BA">
        <w:rPr>
          <w:rFonts w:ascii="Arial Narrow" w:hAnsi="Arial Narrow" w:cs="Arial"/>
          <w:lang w:val="es-US"/>
        </w:rPr>
        <w:t>. Rentabilidad del Activo. Utilidad Operacional / Activo total. Este indicador determina la rentabilidad de los activos del proponente, es decir, la capacidad de generación de utilidad operacional por cada peso invertido en activo. Cuanto mayor sea la rentabilidad sobre los activos, mayor es la rentabilidad del negocio y mejor la capacidad organizacional del proponente.</w:t>
      </w:r>
    </w:p>
    <w:p w14:paraId="71AE223C" w14:textId="77777777" w:rsidR="00EF6A30" w:rsidRPr="009832BA" w:rsidRDefault="00EF6A30" w:rsidP="001855D1">
      <w:pPr>
        <w:pStyle w:val="Prrafodelista"/>
        <w:tabs>
          <w:tab w:val="left" w:pos="2390"/>
        </w:tabs>
        <w:spacing w:line="276" w:lineRule="auto"/>
        <w:ind w:left="426"/>
        <w:rPr>
          <w:rFonts w:ascii="Arial Narrow" w:hAnsi="Arial Narrow" w:cs="Arial"/>
          <w:lang w:val="es-US" w:eastAsia="es-ES"/>
        </w:rPr>
      </w:pPr>
    </w:p>
    <w:p w14:paraId="051CA4BE" w14:textId="16944442" w:rsidR="006756CC" w:rsidRPr="009832BA" w:rsidRDefault="00744FFB" w:rsidP="001855D1">
      <w:pPr>
        <w:pStyle w:val="Prrafodelista"/>
        <w:tabs>
          <w:tab w:val="left" w:pos="2390"/>
        </w:tabs>
        <w:spacing w:line="276" w:lineRule="auto"/>
        <w:ind w:left="426"/>
        <w:rPr>
          <w:rFonts w:ascii="Arial Narrow" w:hAnsi="Arial Narrow" w:cs="Arial"/>
          <w:lang w:val="es-US" w:eastAsia="es-ES"/>
        </w:rPr>
      </w:pPr>
      <w:r w:rsidRPr="009832BA">
        <w:rPr>
          <w:rFonts w:ascii="Arial Narrow" w:hAnsi="Arial Narrow" w:cs="Arial"/>
          <w:lang w:val="es-US" w:eastAsia="es-ES"/>
        </w:rPr>
        <w:t>En conclusión, un porcentaje considerable de empresas del sector son aptas para el presente proceso</w:t>
      </w:r>
      <w:r w:rsidR="006756CC" w:rsidRPr="009832BA">
        <w:rPr>
          <w:rFonts w:ascii="Arial Narrow" w:hAnsi="Arial Narrow" w:cs="Arial"/>
          <w:lang w:val="es-US" w:eastAsia="es-ES"/>
        </w:rPr>
        <w:t xml:space="preserve">, en tanto registran un indicador de rentabilidad del activo positivo, en consecuencia, cuentan con adecuada capacidad organizacional para cumplir con sus actividades frente a servicios que </w:t>
      </w:r>
      <w:r w:rsidR="00444162" w:rsidRPr="009832BA">
        <w:rPr>
          <w:rFonts w:ascii="Arial Narrow" w:hAnsi="Arial Narrow" w:cs="Arial"/>
          <w:lang w:val="es-US" w:eastAsia="es-ES"/>
        </w:rPr>
        <w:t>les</w:t>
      </w:r>
      <w:r w:rsidR="006756CC" w:rsidRPr="009832BA">
        <w:rPr>
          <w:rFonts w:ascii="Arial Narrow" w:hAnsi="Arial Narrow" w:cs="Arial"/>
          <w:lang w:val="es-US" w:eastAsia="es-ES"/>
        </w:rPr>
        <w:t xml:space="preserve"> presten a terceros. El indicador promedio de referencia para la rentabilidad del activo, en coherencia con los valores del promedio general de la muestra, un mínimo de </w:t>
      </w:r>
      <w:r w:rsidR="00BF7F35" w:rsidRPr="009832BA">
        <w:rPr>
          <w:rFonts w:ascii="Arial Narrow" w:hAnsi="Arial Narrow" w:cs="Arial"/>
          <w:b/>
          <w:bCs/>
          <w:lang w:val="es-US" w:eastAsia="es-ES"/>
        </w:rPr>
        <w:t>CERO COMO CERO</w:t>
      </w:r>
      <w:r w:rsidR="00A8781C" w:rsidRPr="009832BA">
        <w:rPr>
          <w:rFonts w:ascii="Arial Narrow" w:hAnsi="Arial Narrow" w:cs="Arial"/>
          <w:b/>
          <w:bCs/>
          <w:lang w:val="es-US" w:eastAsia="es-ES"/>
        </w:rPr>
        <w:t xml:space="preserve"> </w:t>
      </w:r>
      <w:r w:rsidR="00A73490">
        <w:rPr>
          <w:rFonts w:ascii="Arial Narrow" w:hAnsi="Arial Narrow" w:cs="Arial"/>
          <w:b/>
          <w:bCs/>
          <w:lang w:val="es-US" w:eastAsia="es-ES"/>
        </w:rPr>
        <w:t>SIETE</w:t>
      </w:r>
      <w:r w:rsidR="00BF7F35" w:rsidRPr="009832BA">
        <w:rPr>
          <w:rFonts w:ascii="Arial Narrow" w:hAnsi="Arial Narrow" w:cs="Arial"/>
          <w:b/>
          <w:bCs/>
          <w:lang w:val="es-US" w:eastAsia="es-ES"/>
        </w:rPr>
        <w:t xml:space="preserve"> </w:t>
      </w:r>
      <w:r w:rsidR="00B1137A" w:rsidRPr="009832BA">
        <w:rPr>
          <w:rFonts w:ascii="Arial Narrow" w:hAnsi="Arial Narrow" w:cs="Arial"/>
          <w:b/>
          <w:bCs/>
          <w:lang w:val="es-US" w:eastAsia="es-ES"/>
        </w:rPr>
        <w:t>(</w:t>
      </w:r>
      <w:r w:rsidR="00BF7F35" w:rsidRPr="009832BA">
        <w:rPr>
          <w:rFonts w:ascii="Arial Narrow" w:hAnsi="Arial Narrow" w:cs="Arial"/>
          <w:b/>
          <w:bCs/>
          <w:lang w:val="es-US" w:eastAsia="es-ES"/>
        </w:rPr>
        <w:t>0,0</w:t>
      </w:r>
      <w:r w:rsidR="00A73490">
        <w:rPr>
          <w:rFonts w:ascii="Arial Narrow" w:hAnsi="Arial Narrow" w:cs="Arial"/>
          <w:b/>
          <w:bCs/>
          <w:lang w:val="es-US" w:eastAsia="es-ES"/>
        </w:rPr>
        <w:t>7</w:t>
      </w:r>
      <w:r w:rsidR="00B1137A" w:rsidRPr="009832BA">
        <w:rPr>
          <w:rFonts w:ascii="Arial Narrow" w:hAnsi="Arial Narrow" w:cs="Arial"/>
          <w:b/>
          <w:bCs/>
          <w:lang w:val="es-US" w:eastAsia="es-ES"/>
        </w:rPr>
        <w:t>)</w:t>
      </w:r>
      <w:r w:rsidR="006756CC" w:rsidRPr="009832BA">
        <w:rPr>
          <w:rFonts w:ascii="Arial Narrow" w:hAnsi="Arial Narrow" w:cs="Arial"/>
          <w:lang w:val="es-US" w:eastAsia="es-ES"/>
        </w:rPr>
        <w:t>, resultado que es incluyente, pero suficiente para las características del objeto.</w:t>
      </w:r>
    </w:p>
    <w:tbl>
      <w:tblPr>
        <w:tblStyle w:val="Tablanormal2"/>
        <w:tblW w:w="5050" w:type="pct"/>
        <w:tblLook w:val="04A0" w:firstRow="1" w:lastRow="0" w:firstColumn="1" w:lastColumn="0" w:noHBand="0" w:noVBand="1"/>
      </w:tblPr>
      <w:tblGrid>
        <w:gridCol w:w="3033"/>
        <w:gridCol w:w="3340"/>
        <w:gridCol w:w="2906"/>
      </w:tblGrid>
      <w:tr w:rsidR="0085153B" w:rsidRPr="009832BA" w14:paraId="735299F9" w14:textId="77777777" w:rsidTr="00BA734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34" w:type="pct"/>
            <w:vAlign w:val="center"/>
            <w:hideMark/>
          </w:tcPr>
          <w:p w14:paraId="5E389BCA" w14:textId="77777777" w:rsidR="0085153B" w:rsidRPr="009832BA" w:rsidRDefault="0085153B" w:rsidP="001855D1">
            <w:pPr>
              <w:spacing w:before="0" w:after="0" w:line="276" w:lineRule="auto"/>
              <w:jc w:val="center"/>
              <w:rPr>
                <w:rFonts w:ascii="Arial Narrow" w:eastAsia="Times New Roman" w:hAnsi="Arial Narrow" w:cs="Arial"/>
                <w:b w:val="0"/>
                <w:bCs w:val="0"/>
                <w:color w:val="000000"/>
                <w:sz w:val="20"/>
                <w:szCs w:val="20"/>
                <w:lang w:val="es-US" w:eastAsia="es-CO"/>
              </w:rPr>
            </w:pPr>
            <w:r w:rsidRPr="009832BA">
              <w:rPr>
                <w:rFonts w:ascii="Arial Narrow" w:eastAsia="Times New Roman" w:hAnsi="Arial Narrow" w:cs="Arial"/>
                <w:color w:val="000000"/>
                <w:sz w:val="20"/>
                <w:szCs w:val="20"/>
                <w:lang w:val="es-US" w:eastAsia="es-CO"/>
              </w:rPr>
              <w:t>INDICADOR</w:t>
            </w:r>
          </w:p>
        </w:tc>
        <w:tc>
          <w:tcPr>
            <w:tcW w:w="1800" w:type="pct"/>
            <w:vAlign w:val="center"/>
            <w:hideMark/>
          </w:tcPr>
          <w:p w14:paraId="3CBD7843" w14:textId="77777777" w:rsidR="0085153B" w:rsidRPr="009832BA" w:rsidRDefault="0085153B" w:rsidP="001855D1">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lang w:val="es-US" w:eastAsia="es-CO"/>
              </w:rPr>
            </w:pPr>
            <w:r w:rsidRPr="009832BA">
              <w:rPr>
                <w:rFonts w:ascii="Arial Narrow" w:eastAsia="Times New Roman" w:hAnsi="Arial Narrow" w:cs="Arial"/>
                <w:color w:val="000000"/>
                <w:sz w:val="20"/>
                <w:szCs w:val="20"/>
                <w:lang w:val="es-US" w:eastAsia="es-CO"/>
              </w:rPr>
              <w:t>FORMULA</w:t>
            </w:r>
          </w:p>
        </w:tc>
        <w:tc>
          <w:tcPr>
            <w:tcW w:w="1566" w:type="pct"/>
            <w:vAlign w:val="center"/>
            <w:hideMark/>
          </w:tcPr>
          <w:p w14:paraId="4BBB810C" w14:textId="77777777" w:rsidR="0085153B" w:rsidRPr="009832BA" w:rsidRDefault="0085153B" w:rsidP="001855D1">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lang w:val="es-US" w:eastAsia="es-CO"/>
              </w:rPr>
            </w:pPr>
            <w:r w:rsidRPr="009832BA">
              <w:rPr>
                <w:rFonts w:ascii="Arial Narrow" w:eastAsia="Times New Roman" w:hAnsi="Arial Narrow" w:cs="Arial"/>
                <w:color w:val="000000"/>
                <w:sz w:val="20"/>
                <w:szCs w:val="20"/>
                <w:lang w:val="es-US" w:eastAsia="es-CO"/>
              </w:rPr>
              <w:t>MARGEN SOLICITADO</w:t>
            </w:r>
          </w:p>
        </w:tc>
      </w:tr>
      <w:tr w:rsidR="0085153B" w:rsidRPr="009832BA" w14:paraId="7CE7844A" w14:textId="77777777" w:rsidTr="00BA734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34" w:type="pct"/>
            <w:vAlign w:val="center"/>
            <w:hideMark/>
          </w:tcPr>
          <w:p w14:paraId="42E9E5E2" w14:textId="77777777" w:rsidR="0085153B" w:rsidRPr="009832BA" w:rsidRDefault="0085153B" w:rsidP="001855D1">
            <w:pPr>
              <w:spacing w:before="0" w:after="0" w:line="276" w:lineRule="auto"/>
              <w:jc w:val="center"/>
              <w:rPr>
                <w:rFonts w:ascii="Arial Narrow" w:hAnsi="Arial Narrow" w:cs="Arial"/>
                <w:sz w:val="20"/>
                <w:szCs w:val="20"/>
                <w:lang w:val="es-US" w:eastAsia="es-CO"/>
              </w:rPr>
            </w:pPr>
            <w:r w:rsidRPr="009832BA">
              <w:rPr>
                <w:rFonts w:ascii="Arial Narrow" w:hAnsi="Arial Narrow" w:cs="Arial"/>
                <w:sz w:val="20"/>
                <w:szCs w:val="20"/>
                <w:lang w:val="es-US" w:eastAsia="es-CO"/>
              </w:rPr>
              <w:t>Rentabilidad del Patrimonio (RP)</w:t>
            </w:r>
          </w:p>
        </w:tc>
        <w:tc>
          <w:tcPr>
            <w:tcW w:w="1800" w:type="pct"/>
            <w:vAlign w:val="center"/>
            <w:hideMark/>
          </w:tcPr>
          <w:p w14:paraId="2224F5D5" w14:textId="77777777" w:rsidR="0085153B" w:rsidRPr="009832BA" w:rsidRDefault="0085153B" w:rsidP="001855D1">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US" w:eastAsia="es-CO"/>
              </w:rPr>
            </w:pPr>
            <w:r w:rsidRPr="009832BA">
              <w:rPr>
                <w:rFonts w:ascii="Arial Narrow" w:hAnsi="Arial Narrow" w:cs="Arial"/>
                <w:sz w:val="20"/>
                <w:szCs w:val="20"/>
                <w:lang w:val="es-US" w:eastAsia="es-CO"/>
              </w:rPr>
              <w:t>Utilidad Operacional / Patrimonio</w:t>
            </w:r>
          </w:p>
        </w:tc>
        <w:tc>
          <w:tcPr>
            <w:tcW w:w="1566" w:type="pct"/>
            <w:noWrap/>
            <w:vAlign w:val="center"/>
            <w:hideMark/>
          </w:tcPr>
          <w:p w14:paraId="7EF7A0FA" w14:textId="37F3390A" w:rsidR="0085153B" w:rsidRPr="009832BA" w:rsidRDefault="0085153B" w:rsidP="00660643">
            <w:pPr>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US" w:eastAsia="es-CO"/>
              </w:rPr>
            </w:pPr>
            <w:r w:rsidRPr="009832BA">
              <w:rPr>
                <w:rFonts w:ascii="Arial Narrow" w:hAnsi="Arial Narrow" w:cs="Arial"/>
                <w:sz w:val="20"/>
                <w:szCs w:val="20"/>
                <w:lang w:val="es-US" w:eastAsia="es-CO"/>
              </w:rPr>
              <w:t xml:space="preserve">Mayor o igual a </w:t>
            </w:r>
            <w:r w:rsidR="00BF7F35" w:rsidRPr="009832BA">
              <w:rPr>
                <w:rFonts w:ascii="Arial Narrow" w:hAnsi="Arial Narrow" w:cs="Arial"/>
                <w:b/>
                <w:bCs/>
                <w:sz w:val="20"/>
                <w:szCs w:val="20"/>
                <w:lang w:val="es-US" w:eastAsia="es-CO"/>
              </w:rPr>
              <w:t>0,</w:t>
            </w:r>
            <w:r w:rsidR="00A73490">
              <w:rPr>
                <w:rFonts w:ascii="Arial Narrow" w:hAnsi="Arial Narrow" w:cs="Arial"/>
                <w:b/>
                <w:bCs/>
                <w:sz w:val="20"/>
                <w:szCs w:val="20"/>
                <w:lang w:val="es-US" w:eastAsia="es-CO"/>
              </w:rPr>
              <w:t>1</w:t>
            </w:r>
            <w:r w:rsidR="00523140">
              <w:rPr>
                <w:rFonts w:ascii="Arial Narrow" w:hAnsi="Arial Narrow" w:cs="Arial"/>
                <w:b/>
                <w:bCs/>
                <w:sz w:val="20"/>
                <w:szCs w:val="20"/>
                <w:lang w:val="es-US" w:eastAsia="es-CO"/>
              </w:rPr>
              <w:t>8</w:t>
            </w:r>
            <w:r w:rsidR="00E55DE0" w:rsidRPr="009832BA">
              <w:rPr>
                <w:rFonts w:ascii="Arial Narrow" w:hAnsi="Arial Narrow" w:cs="Arial"/>
                <w:b/>
                <w:bCs/>
                <w:sz w:val="20"/>
                <w:szCs w:val="20"/>
                <w:lang w:val="es-US" w:eastAsia="es-CO"/>
              </w:rPr>
              <w:t xml:space="preserve"> </w:t>
            </w:r>
            <w:r w:rsidRPr="009832BA">
              <w:rPr>
                <w:rFonts w:ascii="Arial Narrow" w:hAnsi="Arial Narrow" w:cs="Arial"/>
                <w:bCs/>
                <w:sz w:val="20"/>
                <w:szCs w:val="20"/>
                <w:lang w:val="es-US"/>
              </w:rPr>
              <w:t>(valor absoluto)</w:t>
            </w:r>
          </w:p>
        </w:tc>
      </w:tr>
      <w:tr w:rsidR="0085153B" w:rsidRPr="009832BA" w14:paraId="336A6C71" w14:textId="77777777" w:rsidTr="00BA7348">
        <w:trPr>
          <w:trHeight w:val="395"/>
        </w:trPr>
        <w:tc>
          <w:tcPr>
            <w:cnfStyle w:val="001000000000" w:firstRow="0" w:lastRow="0" w:firstColumn="1" w:lastColumn="0" w:oddVBand="0" w:evenVBand="0" w:oddHBand="0" w:evenHBand="0" w:firstRowFirstColumn="0" w:firstRowLastColumn="0" w:lastRowFirstColumn="0" w:lastRowLastColumn="0"/>
            <w:tcW w:w="1634" w:type="pct"/>
            <w:vAlign w:val="center"/>
            <w:hideMark/>
          </w:tcPr>
          <w:p w14:paraId="58CAF342" w14:textId="77777777" w:rsidR="0085153B" w:rsidRPr="009832BA" w:rsidRDefault="0085153B" w:rsidP="001855D1">
            <w:pPr>
              <w:spacing w:before="0" w:after="0" w:line="276" w:lineRule="auto"/>
              <w:jc w:val="center"/>
              <w:rPr>
                <w:rFonts w:ascii="Arial Narrow" w:hAnsi="Arial Narrow" w:cs="Arial"/>
                <w:sz w:val="20"/>
                <w:szCs w:val="20"/>
                <w:lang w:val="es-US" w:eastAsia="es-CO"/>
              </w:rPr>
            </w:pPr>
            <w:r w:rsidRPr="009832BA">
              <w:rPr>
                <w:rFonts w:ascii="Arial Narrow" w:hAnsi="Arial Narrow" w:cs="Arial"/>
                <w:sz w:val="20"/>
                <w:szCs w:val="20"/>
                <w:lang w:val="es-US" w:eastAsia="es-CO"/>
              </w:rPr>
              <w:t>Rentabilidad del Activo (RA)</w:t>
            </w:r>
          </w:p>
        </w:tc>
        <w:tc>
          <w:tcPr>
            <w:tcW w:w="1800" w:type="pct"/>
            <w:vAlign w:val="center"/>
            <w:hideMark/>
          </w:tcPr>
          <w:p w14:paraId="7CE305DC" w14:textId="77777777" w:rsidR="0085153B" w:rsidRPr="009832BA" w:rsidRDefault="0085153B" w:rsidP="001855D1">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US" w:eastAsia="es-CO"/>
              </w:rPr>
            </w:pPr>
            <w:r w:rsidRPr="009832BA">
              <w:rPr>
                <w:rFonts w:ascii="Arial Narrow" w:hAnsi="Arial Narrow" w:cs="Arial"/>
                <w:sz w:val="20"/>
                <w:szCs w:val="20"/>
                <w:lang w:val="es-US" w:eastAsia="es-CO"/>
              </w:rPr>
              <w:t>Utilidad Operacional / Activo Total</w:t>
            </w:r>
          </w:p>
        </w:tc>
        <w:tc>
          <w:tcPr>
            <w:tcW w:w="1566" w:type="pct"/>
            <w:noWrap/>
            <w:vAlign w:val="center"/>
            <w:hideMark/>
          </w:tcPr>
          <w:p w14:paraId="2C64D5CA" w14:textId="3ACA6242" w:rsidR="0085153B" w:rsidRPr="009832BA" w:rsidRDefault="0085153B" w:rsidP="001855D1">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US" w:eastAsia="es-CO"/>
              </w:rPr>
            </w:pPr>
            <w:r w:rsidRPr="009832BA">
              <w:rPr>
                <w:rFonts w:ascii="Arial Narrow" w:hAnsi="Arial Narrow" w:cs="Arial"/>
                <w:sz w:val="20"/>
                <w:szCs w:val="20"/>
                <w:lang w:val="es-US" w:eastAsia="es-CO"/>
              </w:rPr>
              <w:t xml:space="preserve">Mayor o igual a </w:t>
            </w:r>
            <w:r w:rsidR="00BF7F35" w:rsidRPr="009832BA">
              <w:rPr>
                <w:rFonts w:ascii="Arial Narrow" w:hAnsi="Arial Narrow" w:cs="Arial"/>
                <w:b/>
                <w:bCs/>
                <w:sz w:val="20"/>
                <w:szCs w:val="20"/>
                <w:lang w:val="es-US" w:eastAsia="es-CO"/>
              </w:rPr>
              <w:t>0,0</w:t>
            </w:r>
            <w:r w:rsidR="00A73490">
              <w:rPr>
                <w:rFonts w:ascii="Arial Narrow" w:hAnsi="Arial Narrow" w:cs="Arial"/>
                <w:b/>
                <w:bCs/>
                <w:sz w:val="20"/>
                <w:szCs w:val="20"/>
                <w:lang w:val="es-US" w:eastAsia="es-CO"/>
              </w:rPr>
              <w:t>7</w:t>
            </w:r>
            <w:r w:rsidRPr="009832BA">
              <w:rPr>
                <w:rFonts w:ascii="Arial Narrow" w:hAnsi="Arial Narrow" w:cs="Arial"/>
                <w:color w:val="808080"/>
                <w:sz w:val="20"/>
                <w:szCs w:val="20"/>
                <w:lang w:val="es-US" w:eastAsia="es-CO"/>
              </w:rPr>
              <w:t xml:space="preserve"> </w:t>
            </w:r>
            <w:r w:rsidRPr="009832BA">
              <w:rPr>
                <w:rFonts w:ascii="Arial Narrow" w:hAnsi="Arial Narrow" w:cs="Arial"/>
                <w:bCs/>
                <w:sz w:val="20"/>
                <w:szCs w:val="20"/>
                <w:lang w:val="es-US"/>
              </w:rPr>
              <w:t>(valor absoluto)</w:t>
            </w:r>
          </w:p>
        </w:tc>
      </w:tr>
    </w:tbl>
    <w:p w14:paraId="50C6DB64" w14:textId="1BEFA0D2" w:rsidR="00327821" w:rsidRPr="009832BA" w:rsidRDefault="00327821" w:rsidP="001855D1">
      <w:pPr>
        <w:tabs>
          <w:tab w:val="left" w:pos="2390"/>
        </w:tabs>
        <w:spacing w:line="276" w:lineRule="auto"/>
        <w:rPr>
          <w:rFonts w:ascii="Arial Narrow" w:hAnsi="Arial Narrow" w:cs="Arial"/>
          <w:b/>
          <w:bCs/>
          <w:lang w:val="es-US" w:eastAsia="es-ES"/>
        </w:rPr>
      </w:pPr>
      <w:r w:rsidRPr="009832BA">
        <w:rPr>
          <w:rFonts w:ascii="Arial Narrow" w:hAnsi="Arial Narrow" w:cs="Arial"/>
          <w:b/>
          <w:bCs/>
          <w:lang w:val="es-US" w:eastAsia="es-ES"/>
        </w:rPr>
        <w:t>CONSORCIOS O UNIONES TEMPORALES</w:t>
      </w:r>
    </w:p>
    <w:p w14:paraId="7B6500B0" w14:textId="77DB7C64" w:rsidR="00B541A3" w:rsidRPr="009832BA" w:rsidRDefault="00327821" w:rsidP="003878C7">
      <w:pPr>
        <w:spacing w:line="276" w:lineRule="auto"/>
        <w:rPr>
          <w:rFonts w:ascii="Arial Narrow" w:hAnsi="Arial Narrow" w:cs="Arial"/>
          <w:lang w:val="es-US" w:eastAsia="es-ES"/>
        </w:rPr>
      </w:pPr>
      <w:r w:rsidRPr="009832BA">
        <w:rPr>
          <w:rFonts w:ascii="Arial Narrow" w:hAnsi="Arial Narrow" w:cs="Arial"/>
          <w:lang w:val="es-US" w:eastAsia="es-ES"/>
        </w:rPr>
        <w:t>El proponente que presente propuesta debe cumplir por igual, con los indicadores mínimos. Los indicadores se calculan de acuerdo con la participación porcentual de cada uno de los integrantes del consorcio o unión temporal</w:t>
      </w:r>
    </w:p>
    <w:p w14:paraId="002959B3" w14:textId="77777777" w:rsidR="00A91833" w:rsidRDefault="00A91833" w:rsidP="001855D1">
      <w:pPr>
        <w:pStyle w:val="Ttulo1"/>
        <w:spacing w:after="100" w:afterAutospacing="1" w:line="276" w:lineRule="auto"/>
        <w:contextualSpacing/>
        <w:jc w:val="both"/>
        <w:rPr>
          <w:rFonts w:ascii="Arial Narrow" w:hAnsi="Arial Narrow" w:cs="Arial"/>
          <w:sz w:val="22"/>
          <w:szCs w:val="22"/>
          <w:lang w:val="es-US" w:eastAsia="es-ES"/>
        </w:rPr>
      </w:pPr>
      <w:r w:rsidRPr="008030F9">
        <w:rPr>
          <w:rFonts w:ascii="Arial Narrow" w:hAnsi="Arial Narrow" w:cs="Arial"/>
          <w:sz w:val="22"/>
          <w:szCs w:val="22"/>
          <w:lang w:val="es-US" w:eastAsia="es-ES"/>
        </w:rPr>
        <w:lastRenderedPageBreak/>
        <w:t>CRITERIOS DE VERIFICACIÓN DE LA CAPACIDAD FINANCIERA Y ORGANIZACIONAL (CUMPLE – NO CUMPLE)</w:t>
      </w:r>
    </w:p>
    <w:p w14:paraId="2C892B16" w14:textId="3A8D5EB1" w:rsidR="00134285" w:rsidRPr="008030F9" w:rsidRDefault="00134285" w:rsidP="00134285">
      <w:pPr>
        <w:spacing w:after="0"/>
        <w:rPr>
          <w:rFonts w:ascii="Arial Narrow" w:hAnsi="Arial Narrow" w:cs="Arial"/>
          <w:lang w:val="es-MX"/>
        </w:rPr>
      </w:pPr>
      <w:r w:rsidRPr="008030F9">
        <w:rPr>
          <w:rFonts w:ascii="Arial Narrow" w:hAnsi="Arial Narrow" w:cs="Arial"/>
          <w:lang w:val="es-MX"/>
        </w:rPr>
        <w:t>En consonancia con los artículos 2.2.1.1.1.5.2, 2.2.1.1.1.5.3. y 2.2.1.1.1.5.6. del decreto 1082 de 2015, se indica a los proponentes que el años que se tomará de referencia para realizar la evaluación financiera será la del último año que se encuentre en el RUP es decir 202</w:t>
      </w:r>
      <w:r w:rsidR="000022C7">
        <w:rPr>
          <w:rFonts w:ascii="Arial Narrow" w:hAnsi="Arial Narrow" w:cs="Arial"/>
          <w:lang w:val="es-MX"/>
        </w:rPr>
        <w:t>4</w:t>
      </w:r>
      <w:r>
        <w:rPr>
          <w:rFonts w:ascii="Arial Narrow" w:hAnsi="Arial Narrow" w:cs="Arial"/>
          <w:lang w:val="es-MX"/>
        </w:rPr>
        <w:t>, lo anterior en consonancia con el plazo establecido para actualizar la información financiera establecido en el citado decreto y que se expone a continuación:</w:t>
      </w:r>
    </w:p>
    <w:p w14:paraId="2546B566" w14:textId="77777777" w:rsidR="00134285" w:rsidRPr="008030F9" w:rsidRDefault="00134285" w:rsidP="00134285">
      <w:pPr>
        <w:spacing w:after="0"/>
        <w:rPr>
          <w:rFonts w:ascii="Arial Narrow" w:hAnsi="Arial Narrow" w:cs="Arial"/>
          <w:i/>
          <w:iCs/>
          <w:lang w:val="es-MX"/>
        </w:rPr>
      </w:pPr>
      <w:r w:rsidRPr="008030F9">
        <w:rPr>
          <w:rFonts w:ascii="Arial Narrow" w:hAnsi="Arial Narrow" w:cs="Arial"/>
          <w:i/>
          <w:iCs/>
          <w:lang w:val="es-MX"/>
        </w:rPr>
        <w:t>ARTÍCULO 2.2.1.1.1.5.1. Inscripción, renovación, actualización y cancelación del RUP.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4A9CBB2" w14:textId="77777777" w:rsidR="00134285" w:rsidRPr="008030F9" w:rsidRDefault="00134285" w:rsidP="00134285">
      <w:pPr>
        <w:spacing w:after="0"/>
        <w:rPr>
          <w:rFonts w:ascii="Arial Narrow" w:hAnsi="Arial Narrow" w:cs="Arial"/>
          <w:i/>
          <w:iCs/>
          <w:lang w:val="es-MX"/>
        </w:rPr>
      </w:pPr>
      <w:r w:rsidRPr="008030F9">
        <w:rPr>
          <w:rFonts w:ascii="Arial Narrow" w:hAnsi="Arial Narrow" w:cs="Arial"/>
          <w:i/>
          <w:iCs/>
          <w:u w:val="single"/>
          <w:lang w:val="es-MX"/>
        </w:rPr>
        <w:t>La persona inscrita en el RUP debe presentar la información para renovar su registro a más tardar el quinto día hábil del mes de abril de cada año</w:t>
      </w:r>
      <w:r w:rsidRPr="008030F9">
        <w:rPr>
          <w:rFonts w:ascii="Arial Narrow" w:hAnsi="Arial Narrow" w:cs="Arial"/>
          <w:i/>
          <w:iCs/>
          <w:lang w:val="es-MX"/>
        </w:rPr>
        <w:t>. De lo contrario cesan los efectos del RUP. La persona inscrita en el RUP puede actualizar la información registrada relativa a su experiencia y capacidad jurídica en cualquier momento.</w:t>
      </w:r>
    </w:p>
    <w:p w14:paraId="20F823A3" w14:textId="77777777" w:rsidR="00134285" w:rsidRDefault="00134285" w:rsidP="00134285">
      <w:pPr>
        <w:spacing w:after="0"/>
        <w:rPr>
          <w:rFonts w:ascii="Arial Narrow" w:hAnsi="Arial Narrow" w:cs="Arial"/>
          <w:i/>
          <w:iCs/>
          <w:lang w:val="es-MX"/>
        </w:rPr>
      </w:pPr>
      <w:r w:rsidRPr="008030F9">
        <w:rPr>
          <w:rFonts w:ascii="Arial Narrow" w:hAnsi="Arial Narrow" w:cs="Arial"/>
          <w:i/>
          <w:iCs/>
          <w:lang w:val="es-MX"/>
        </w:rPr>
        <w:t>Los inscritos en el RUP pueden en cualquier momento solicitar a la cámara de comercio cancelar su inscripción.</w:t>
      </w:r>
    </w:p>
    <w:p w14:paraId="169A86D0" w14:textId="77777777" w:rsidR="001E48B1" w:rsidRDefault="00134285" w:rsidP="00134285">
      <w:pPr>
        <w:spacing w:after="0"/>
        <w:rPr>
          <w:rFonts w:ascii="Arial Narrow" w:hAnsi="Arial Narrow" w:cs="Arial"/>
          <w:lang w:val="es-MX"/>
        </w:rPr>
      </w:pPr>
      <w:r w:rsidRPr="00813C97">
        <w:rPr>
          <w:rFonts w:ascii="Arial Narrow" w:hAnsi="Arial Narrow" w:cs="Arial"/>
          <w:lang w:val="es-MX"/>
        </w:rPr>
        <w:t>Tratándose</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trámite</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renovación,</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persona</w:t>
      </w:r>
      <w:r>
        <w:rPr>
          <w:rFonts w:ascii="Arial Narrow" w:hAnsi="Arial Narrow" w:cs="Arial"/>
          <w:lang w:val="es-MX"/>
        </w:rPr>
        <w:t xml:space="preserve"> </w:t>
      </w:r>
      <w:r w:rsidRPr="00813C97">
        <w:rPr>
          <w:rFonts w:ascii="Arial Narrow" w:hAnsi="Arial Narrow" w:cs="Arial"/>
          <w:lang w:val="es-MX"/>
        </w:rPr>
        <w:t>que</w:t>
      </w:r>
      <w:r>
        <w:rPr>
          <w:rFonts w:ascii="Arial Narrow" w:hAnsi="Arial Narrow" w:cs="Arial"/>
          <w:lang w:val="es-MX"/>
        </w:rPr>
        <w:t xml:space="preserve"> </w:t>
      </w:r>
      <w:r w:rsidRPr="00813C97">
        <w:rPr>
          <w:rFonts w:ascii="Arial Narrow" w:hAnsi="Arial Narrow" w:cs="Arial"/>
          <w:lang w:val="es-MX"/>
        </w:rPr>
        <w:t>haya</w:t>
      </w:r>
      <w:r>
        <w:rPr>
          <w:rFonts w:ascii="Arial Narrow" w:hAnsi="Arial Narrow" w:cs="Arial"/>
          <w:lang w:val="es-MX"/>
        </w:rPr>
        <w:t xml:space="preserve"> </w:t>
      </w:r>
      <w:r w:rsidRPr="00813C97">
        <w:rPr>
          <w:rFonts w:ascii="Arial Narrow" w:hAnsi="Arial Narrow" w:cs="Arial"/>
          <w:lang w:val="es-MX"/>
        </w:rPr>
        <w:t>presentado</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información</w:t>
      </w:r>
      <w:r>
        <w:rPr>
          <w:rFonts w:ascii="Arial Narrow" w:hAnsi="Arial Narrow" w:cs="Arial"/>
          <w:lang w:val="es-MX"/>
        </w:rPr>
        <w:t xml:space="preserve"> </w:t>
      </w:r>
      <w:r w:rsidRPr="00813C97">
        <w:rPr>
          <w:rFonts w:ascii="Arial Narrow" w:hAnsi="Arial Narrow" w:cs="Arial"/>
          <w:lang w:val="es-MX"/>
        </w:rPr>
        <w:t>para</w:t>
      </w:r>
      <w:r>
        <w:rPr>
          <w:rFonts w:ascii="Arial Narrow" w:hAnsi="Arial Narrow" w:cs="Arial"/>
          <w:lang w:val="es-MX"/>
        </w:rPr>
        <w:t xml:space="preserve"> </w:t>
      </w:r>
      <w:r w:rsidRPr="00813C97">
        <w:rPr>
          <w:rFonts w:ascii="Arial Narrow" w:hAnsi="Arial Narrow" w:cs="Arial"/>
          <w:lang w:val="es-MX"/>
        </w:rPr>
        <w:t>renovar</w:t>
      </w:r>
      <w:r>
        <w:rPr>
          <w:rFonts w:ascii="Arial Narrow" w:hAnsi="Arial Narrow" w:cs="Arial"/>
          <w:lang w:val="es-MX"/>
        </w:rPr>
        <w:t xml:space="preserve"> </w:t>
      </w:r>
      <w:r w:rsidRPr="00813C97">
        <w:rPr>
          <w:rFonts w:ascii="Arial Narrow" w:hAnsi="Arial Narrow" w:cs="Arial"/>
          <w:lang w:val="es-MX"/>
        </w:rPr>
        <w:t>su</w:t>
      </w:r>
      <w:r>
        <w:rPr>
          <w:rFonts w:ascii="Arial Narrow" w:hAnsi="Arial Narrow" w:cs="Arial"/>
          <w:lang w:val="es-MX"/>
        </w:rPr>
        <w:t xml:space="preserve"> </w:t>
      </w:r>
      <w:r w:rsidRPr="00813C97">
        <w:rPr>
          <w:rFonts w:ascii="Arial Narrow" w:hAnsi="Arial Narrow" w:cs="Arial"/>
          <w:lang w:val="es-MX"/>
        </w:rPr>
        <w:t>registro</w:t>
      </w:r>
      <w:r>
        <w:rPr>
          <w:rFonts w:ascii="Arial Narrow" w:hAnsi="Arial Narrow" w:cs="Arial"/>
          <w:lang w:val="es-MX"/>
        </w:rPr>
        <w:t xml:space="preserve"> </w:t>
      </w:r>
      <w:r w:rsidRPr="00813C97">
        <w:rPr>
          <w:rFonts w:ascii="Arial Narrow" w:hAnsi="Arial Narrow" w:cs="Arial"/>
          <w:lang w:val="es-MX"/>
        </w:rPr>
        <w:t>a</w:t>
      </w:r>
      <w:r>
        <w:rPr>
          <w:rFonts w:ascii="Arial Narrow" w:hAnsi="Arial Narrow" w:cs="Arial"/>
          <w:lang w:val="es-MX"/>
        </w:rPr>
        <w:t xml:space="preserve"> </w:t>
      </w:r>
      <w:r w:rsidRPr="00813C97">
        <w:rPr>
          <w:rFonts w:ascii="Arial Narrow" w:hAnsi="Arial Narrow" w:cs="Arial"/>
          <w:lang w:val="es-MX"/>
        </w:rPr>
        <w:t>más</w:t>
      </w:r>
      <w:r>
        <w:rPr>
          <w:rFonts w:ascii="Arial Narrow" w:hAnsi="Arial Narrow" w:cs="Arial"/>
          <w:lang w:val="es-MX"/>
        </w:rPr>
        <w:t xml:space="preserve"> </w:t>
      </w:r>
      <w:r w:rsidRPr="00813C97">
        <w:rPr>
          <w:rFonts w:ascii="Arial Narrow" w:hAnsi="Arial Narrow" w:cs="Arial"/>
          <w:lang w:val="es-MX"/>
        </w:rPr>
        <w:t>tardar</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quinto</w:t>
      </w:r>
      <w:r>
        <w:rPr>
          <w:rFonts w:ascii="Arial Narrow" w:hAnsi="Arial Narrow" w:cs="Arial"/>
          <w:lang w:val="es-MX"/>
        </w:rPr>
        <w:t xml:space="preserve"> </w:t>
      </w:r>
      <w:r w:rsidRPr="00813C97">
        <w:rPr>
          <w:rFonts w:ascii="Arial Narrow" w:hAnsi="Arial Narrow" w:cs="Arial"/>
          <w:lang w:val="es-MX"/>
        </w:rPr>
        <w:t>día</w:t>
      </w:r>
      <w:r>
        <w:rPr>
          <w:rFonts w:ascii="Arial Narrow" w:hAnsi="Arial Narrow" w:cs="Arial"/>
          <w:lang w:val="es-MX"/>
        </w:rPr>
        <w:t xml:space="preserve"> </w:t>
      </w:r>
      <w:r w:rsidRPr="00813C97">
        <w:rPr>
          <w:rFonts w:ascii="Arial Narrow" w:hAnsi="Arial Narrow" w:cs="Arial"/>
          <w:lang w:val="es-MX"/>
        </w:rPr>
        <w:t>hábil</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mes</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abril,</w:t>
      </w:r>
      <w:r>
        <w:rPr>
          <w:rFonts w:ascii="Arial Narrow" w:hAnsi="Arial Narrow" w:cs="Arial"/>
          <w:lang w:val="es-MX"/>
        </w:rPr>
        <w:t xml:space="preserve"> </w:t>
      </w:r>
      <w:r w:rsidRPr="00813C97">
        <w:rPr>
          <w:rFonts w:ascii="Arial Narrow" w:hAnsi="Arial Narrow" w:cs="Arial"/>
          <w:lang w:val="es-MX"/>
        </w:rPr>
        <w:t>cumpliendo</w:t>
      </w:r>
      <w:r>
        <w:rPr>
          <w:rFonts w:ascii="Arial Narrow" w:hAnsi="Arial Narrow" w:cs="Arial"/>
          <w:lang w:val="es-MX"/>
        </w:rPr>
        <w:t xml:space="preserve"> </w:t>
      </w:r>
      <w:r w:rsidRPr="00813C97">
        <w:rPr>
          <w:rFonts w:ascii="Arial Narrow" w:hAnsi="Arial Narrow" w:cs="Arial"/>
          <w:lang w:val="es-MX"/>
        </w:rPr>
        <w:t>con</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requisito</w:t>
      </w:r>
      <w:r>
        <w:rPr>
          <w:rFonts w:ascii="Arial Narrow" w:hAnsi="Arial Narrow" w:cs="Arial"/>
          <w:lang w:val="es-MX"/>
        </w:rPr>
        <w:t xml:space="preserve"> </w:t>
      </w:r>
      <w:r w:rsidRPr="00813C97">
        <w:rPr>
          <w:rFonts w:ascii="Arial Narrow" w:hAnsi="Arial Narrow" w:cs="Arial"/>
          <w:lang w:val="es-MX"/>
        </w:rPr>
        <w:t>exigido</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artículo</w:t>
      </w:r>
      <w:r>
        <w:rPr>
          <w:rFonts w:ascii="Arial Narrow" w:hAnsi="Arial Narrow" w:cs="Arial"/>
          <w:lang w:val="es-MX"/>
        </w:rPr>
        <w:t xml:space="preserve"> </w:t>
      </w:r>
      <w:r w:rsidRPr="00813C97">
        <w:rPr>
          <w:rFonts w:ascii="Arial Narrow" w:hAnsi="Arial Narrow" w:cs="Arial"/>
          <w:lang w:val="es-MX"/>
        </w:rPr>
        <w:t>2.2.1.1.1.5.1.</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Decreto</w:t>
      </w:r>
      <w:r>
        <w:rPr>
          <w:rFonts w:ascii="Arial Narrow" w:hAnsi="Arial Narrow" w:cs="Arial"/>
          <w:lang w:val="es-MX"/>
        </w:rPr>
        <w:t xml:space="preserve"> </w:t>
      </w:r>
      <w:r w:rsidRPr="00813C97">
        <w:rPr>
          <w:rFonts w:ascii="Arial Narrow" w:hAnsi="Arial Narrow" w:cs="Arial"/>
          <w:lang w:val="es-MX"/>
        </w:rPr>
        <w:t>1082</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2015,</w:t>
      </w:r>
      <w:r>
        <w:rPr>
          <w:rFonts w:ascii="Arial Narrow" w:hAnsi="Arial Narrow" w:cs="Arial"/>
          <w:lang w:val="es-MX"/>
        </w:rPr>
        <w:t xml:space="preserve"> </w:t>
      </w:r>
      <w:r w:rsidRPr="00813C97">
        <w:rPr>
          <w:rFonts w:ascii="Arial Narrow" w:hAnsi="Arial Narrow" w:cs="Arial"/>
          <w:lang w:val="es-MX"/>
        </w:rPr>
        <w:t>puede</w:t>
      </w:r>
      <w:r>
        <w:rPr>
          <w:rFonts w:ascii="Arial Narrow" w:hAnsi="Arial Narrow" w:cs="Arial"/>
          <w:lang w:val="es-MX"/>
        </w:rPr>
        <w:t xml:space="preserve"> </w:t>
      </w:r>
      <w:r w:rsidRPr="00813C97">
        <w:rPr>
          <w:rFonts w:ascii="Arial Narrow" w:hAnsi="Arial Narrow" w:cs="Arial"/>
          <w:lang w:val="es-MX"/>
        </w:rPr>
        <w:t>participar</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los</w:t>
      </w:r>
      <w:r>
        <w:rPr>
          <w:rFonts w:ascii="Arial Narrow" w:hAnsi="Arial Narrow" w:cs="Arial"/>
          <w:lang w:val="es-MX"/>
        </w:rPr>
        <w:t xml:space="preserve"> </w:t>
      </w:r>
      <w:r w:rsidRPr="00813C97">
        <w:rPr>
          <w:rFonts w:ascii="Arial Narrow" w:hAnsi="Arial Narrow" w:cs="Arial"/>
          <w:lang w:val="es-MX"/>
        </w:rPr>
        <w:t>procedimientos</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selección,</w:t>
      </w:r>
      <w:r>
        <w:rPr>
          <w:rFonts w:ascii="Arial Narrow" w:hAnsi="Arial Narrow" w:cs="Arial"/>
          <w:lang w:val="es-MX"/>
        </w:rPr>
        <w:t xml:space="preserve"> </w:t>
      </w:r>
      <w:r w:rsidRPr="00813C97">
        <w:rPr>
          <w:rFonts w:ascii="Arial Narrow" w:hAnsi="Arial Narrow" w:cs="Arial"/>
          <w:lang w:val="es-MX"/>
        </w:rPr>
        <w:t>debiéndose</w:t>
      </w:r>
      <w:r>
        <w:rPr>
          <w:rFonts w:ascii="Arial Narrow" w:hAnsi="Arial Narrow" w:cs="Arial"/>
          <w:lang w:val="es-MX"/>
        </w:rPr>
        <w:t xml:space="preserve"> </w:t>
      </w:r>
      <w:r w:rsidRPr="00813C97">
        <w:rPr>
          <w:rFonts w:ascii="Arial Narrow" w:hAnsi="Arial Narrow" w:cs="Arial"/>
          <w:lang w:val="es-MX"/>
        </w:rPr>
        <w:t>tener</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cuenta</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información</w:t>
      </w:r>
      <w:r>
        <w:rPr>
          <w:rFonts w:ascii="Arial Narrow" w:hAnsi="Arial Narrow" w:cs="Arial"/>
          <w:lang w:val="es-MX"/>
        </w:rPr>
        <w:t xml:space="preserve"> </w:t>
      </w:r>
      <w:r w:rsidRPr="00813C97">
        <w:rPr>
          <w:rFonts w:ascii="Arial Narrow" w:hAnsi="Arial Narrow" w:cs="Arial"/>
          <w:lang w:val="es-MX"/>
        </w:rPr>
        <w:t>antigua,</w:t>
      </w:r>
      <w:r>
        <w:rPr>
          <w:rFonts w:ascii="Arial Narrow" w:hAnsi="Arial Narrow" w:cs="Arial"/>
          <w:lang w:val="es-MX"/>
        </w:rPr>
        <w:t xml:space="preserve"> </w:t>
      </w:r>
      <w:r w:rsidRPr="00813C97">
        <w:rPr>
          <w:rFonts w:ascii="Arial Narrow" w:hAnsi="Arial Narrow" w:cs="Arial"/>
          <w:lang w:val="es-MX"/>
        </w:rPr>
        <w:t>esto</w:t>
      </w:r>
      <w:r>
        <w:rPr>
          <w:rFonts w:ascii="Arial Narrow" w:hAnsi="Arial Narrow" w:cs="Arial"/>
          <w:lang w:val="es-MX"/>
        </w:rPr>
        <w:t xml:space="preserve"> </w:t>
      </w:r>
      <w:r w:rsidRPr="00813C97">
        <w:rPr>
          <w:rFonts w:ascii="Arial Narrow" w:hAnsi="Arial Narrow" w:cs="Arial"/>
          <w:lang w:val="es-MX"/>
        </w:rPr>
        <w:t>es,</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que</w:t>
      </w:r>
      <w:r>
        <w:rPr>
          <w:rFonts w:ascii="Arial Narrow" w:hAnsi="Arial Narrow" w:cs="Arial"/>
          <w:lang w:val="es-MX"/>
        </w:rPr>
        <w:t xml:space="preserve"> </w:t>
      </w:r>
      <w:r w:rsidRPr="00813C97">
        <w:rPr>
          <w:rFonts w:ascii="Arial Narrow" w:hAnsi="Arial Narrow" w:cs="Arial"/>
          <w:lang w:val="es-MX"/>
        </w:rPr>
        <w:t>estuviera</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firme</w:t>
      </w:r>
      <w:r>
        <w:rPr>
          <w:rFonts w:ascii="Arial Narrow" w:hAnsi="Arial Narrow" w:cs="Arial"/>
          <w:lang w:val="es-MX"/>
        </w:rPr>
        <w:t xml:space="preserve"> </w:t>
      </w:r>
      <w:r w:rsidRPr="00813C97">
        <w:rPr>
          <w:rFonts w:ascii="Arial Narrow" w:hAnsi="Arial Narrow" w:cs="Arial"/>
          <w:lang w:val="es-MX"/>
        </w:rPr>
        <w:t>antes</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cierre</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proceso.</w:t>
      </w:r>
      <w:r>
        <w:rPr>
          <w:rFonts w:ascii="Arial Narrow" w:hAnsi="Arial Narrow" w:cs="Arial"/>
          <w:lang w:val="es-MX"/>
        </w:rPr>
        <w:t xml:space="preserve"> </w:t>
      </w:r>
      <w:r w:rsidRPr="00813C97">
        <w:rPr>
          <w:rFonts w:ascii="Arial Narrow" w:hAnsi="Arial Narrow" w:cs="Arial"/>
          <w:lang w:val="es-MX"/>
        </w:rPr>
        <w:t>Así,</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periodo</w:t>
      </w:r>
      <w:r>
        <w:rPr>
          <w:rFonts w:ascii="Arial Narrow" w:hAnsi="Arial Narrow" w:cs="Arial"/>
          <w:lang w:val="es-MX"/>
        </w:rPr>
        <w:t xml:space="preserve"> </w:t>
      </w:r>
      <w:r w:rsidRPr="00813C97">
        <w:rPr>
          <w:rFonts w:ascii="Arial Narrow" w:hAnsi="Arial Narrow" w:cs="Arial"/>
          <w:lang w:val="es-MX"/>
        </w:rPr>
        <w:t>comprendido</w:t>
      </w:r>
      <w:r>
        <w:rPr>
          <w:rFonts w:ascii="Arial Narrow" w:hAnsi="Arial Narrow" w:cs="Arial"/>
          <w:lang w:val="es-MX"/>
        </w:rPr>
        <w:t xml:space="preserve"> </w:t>
      </w:r>
      <w:r w:rsidRPr="00813C97">
        <w:rPr>
          <w:rFonts w:ascii="Arial Narrow" w:hAnsi="Arial Narrow" w:cs="Arial"/>
          <w:lang w:val="es-MX"/>
        </w:rPr>
        <w:t>entre</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momento</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solicitud</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renovación</w:t>
      </w:r>
      <w:r>
        <w:rPr>
          <w:rFonts w:ascii="Arial Narrow" w:hAnsi="Arial Narrow" w:cs="Arial"/>
          <w:lang w:val="es-MX"/>
        </w:rPr>
        <w:t xml:space="preserve"> </w:t>
      </w:r>
      <w:r w:rsidRPr="00813C97">
        <w:rPr>
          <w:rFonts w:ascii="Arial Narrow" w:hAnsi="Arial Narrow" w:cs="Arial"/>
          <w:lang w:val="es-MX"/>
        </w:rPr>
        <w:t>y</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momento</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que</w:t>
      </w:r>
      <w:r>
        <w:rPr>
          <w:rFonts w:ascii="Arial Narrow" w:hAnsi="Arial Narrow" w:cs="Arial"/>
          <w:lang w:val="es-MX"/>
        </w:rPr>
        <w:t xml:space="preserve"> </w:t>
      </w:r>
      <w:r w:rsidRPr="00813C97">
        <w:rPr>
          <w:rFonts w:ascii="Arial Narrow" w:hAnsi="Arial Narrow" w:cs="Arial"/>
          <w:lang w:val="es-MX"/>
        </w:rPr>
        <w:t>adquiera</w:t>
      </w:r>
      <w:r>
        <w:rPr>
          <w:rFonts w:ascii="Arial Narrow" w:hAnsi="Arial Narrow" w:cs="Arial"/>
          <w:lang w:val="es-MX"/>
        </w:rPr>
        <w:t xml:space="preserve"> </w:t>
      </w:r>
      <w:r w:rsidRPr="00813C97">
        <w:rPr>
          <w:rFonts w:ascii="Arial Narrow" w:hAnsi="Arial Narrow" w:cs="Arial"/>
          <w:lang w:val="es-MX"/>
        </w:rPr>
        <w:t>firmeza</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información</w:t>
      </w:r>
      <w:r>
        <w:rPr>
          <w:rFonts w:ascii="Arial Narrow" w:hAnsi="Arial Narrow" w:cs="Arial"/>
          <w:lang w:val="es-MX"/>
        </w:rPr>
        <w:t xml:space="preserve"> </w:t>
      </w:r>
      <w:r w:rsidRPr="00813C97">
        <w:rPr>
          <w:rFonts w:ascii="Arial Narrow" w:hAnsi="Arial Narrow" w:cs="Arial"/>
          <w:lang w:val="es-MX"/>
        </w:rPr>
        <w:t>renovada,</w:t>
      </w:r>
      <w:r>
        <w:rPr>
          <w:rFonts w:ascii="Arial Narrow" w:hAnsi="Arial Narrow" w:cs="Arial"/>
          <w:lang w:val="es-MX"/>
        </w:rPr>
        <w:t xml:space="preserve"> </w:t>
      </w:r>
      <w:r w:rsidRPr="00813C97">
        <w:rPr>
          <w:rFonts w:ascii="Arial Narrow" w:hAnsi="Arial Narrow" w:cs="Arial"/>
          <w:lang w:val="es-MX"/>
        </w:rPr>
        <w:t>debe</w:t>
      </w:r>
      <w:r>
        <w:rPr>
          <w:rFonts w:ascii="Arial Narrow" w:hAnsi="Arial Narrow" w:cs="Arial"/>
          <w:lang w:val="es-MX"/>
        </w:rPr>
        <w:t xml:space="preserve"> </w:t>
      </w:r>
      <w:r w:rsidRPr="00813C97">
        <w:rPr>
          <w:rFonts w:ascii="Arial Narrow" w:hAnsi="Arial Narrow" w:cs="Arial"/>
          <w:lang w:val="es-MX"/>
        </w:rPr>
        <w:t>emplearse</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información</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RUP</w:t>
      </w:r>
      <w:r>
        <w:rPr>
          <w:rFonts w:ascii="Arial Narrow" w:hAnsi="Arial Narrow" w:cs="Arial"/>
          <w:lang w:val="es-MX"/>
        </w:rPr>
        <w:t xml:space="preserve"> </w:t>
      </w:r>
      <w:r w:rsidRPr="00813C97">
        <w:rPr>
          <w:rFonts w:ascii="Arial Narrow" w:hAnsi="Arial Narrow" w:cs="Arial"/>
          <w:lang w:val="es-MX"/>
        </w:rPr>
        <w:t>que</w:t>
      </w:r>
      <w:r>
        <w:rPr>
          <w:rFonts w:ascii="Arial Narrow" w:hAnsi="Arial Narrow" w:cs="Arial"/>
          <w:lang w:val="es-MX"/>
        </w:rPr>
        <w:t xml:space="preserve"> </w:t>
      </w:r>
      <w:r w:rsidRPr="00813C97">
        <w:rPr>
          <w:rFonts w:ascii="Arial Narrow" w:hAnsi="Arial Narrow" w:cs="Arial"/>
          <w:lang w:val="es-MX"/>
        </w:rPr>
        <w:t>está</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firme</w:t>
      </w:r>
      <w:r>
        <w:rPr>
          <w:rFonts w:ascii="Arial Narrow" w:hAnsi="Arial Narrow" w:cs="Arial"/>
          <w:lang w:val="es-MX"/>
        </w:rPr>
        <w:t xml:space="preserve"> </w:t>
      </w:r>
      <w:r w:rsidRPr="00813C97">
        <w:rPr>
          <w:rFonts w:ascii="Arial Narrow" w:hAnsi="Arial Narrow" w:cs="Arial"/>
          <w:lang w:val="es-MX"/>
        </w:rPr>
        <w:t>antes</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iniciar</w:t>
      </w:r>
      <w:r>
        <w:rPr>
          <w:rFonts w:ascii="Arial Narrow" w:hAnsi="Arial Narrow" w:cs="Arial"/>
          <w:lang w:val="es-MX"/>
        </w:rPr>
        <w:t xml:space="preserve"> </w:t>
      </w:r>
      <w:r w:rsidRPr="00813C97">
        <w:rPr>
          <w:rFonts w:ascii="Arial Narrow" w:hAnsi="Arial Narrow" w:cs="Arial"/>
          <w:lang w:val="es-MX"/>
        </w:rPr>
        <w:t>el</w:t>
      </w:r>
      <w:r>
        <w:rPr>
          <w:rFonts w:ascii="Arial Narrow" w:hAnsi="Arial Narrow" w:cs="Arial"/>
          <w:lang w:val="es-MX"/>
        </w:rPr>
        <w:t xml:space="preserve"> </w:t>
      </w:r>
      <w:r w:rsidRPr="00813C97">
        <w:rPr>
          <w:rFonts w:ascii="Arial Narrow" w:hAnsi="Arial Narrow" w:cs="Arial"/>
          <w:lang w:val="es-MX"/>
        </w:rPr>
        <w:t>trámite</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renovación,</w:t>
      </w:r>
      <w:r>
        <w:rPr>
          <w:rFonts w:ascii="Arial Narrow" w:hAnsi="Arial Narrow" w:cs="Arial"/>
          <w:lang w:val="es-MX"/>
        </w:rPr>
        <w:t xml:space="preserve"> </w:t>
      </w:r>
      <w:r w:rsidRPr="00813C97">
        <w:rPr>
          <w:rFonts w:ascii="Arial Narrow" w:hAnsi="Arial Narrow" w:cs="Arial"/>
          <w:lang w:val="es-MX"/>
        </w:rPr>
        <w:t>cuyos</w:t>
      </w:r>
      <w:r>
        <w:rPr>
          <w:rFonts w:ascii="Arial Narrow" w:hAnsi="Arial Narrow" w:cs="Arial"/>
          <w:lang w:val="es-MX"/>
        </w:rPr>
        <w:t xml:space="preserve"> </w:t>
      </w:r>
      <w:r w:rsidRPr="00813C97">
        <w:rPr>
          <w:rFonts w:ascii="Arial Narrow" w:hAnsi="Arial Narrow" w:cs="Arial"/>
          <w:lang w:val="es-MX"/>
        </w:rPr>
        <w:t>efectos</w:t>
      </w:r>
      <w:r>
        <w:rPr>
          <w:rFonts w:ascii="Arial Narrow" w:hAnsi="Arial Narrow" w:cs="Arial"/>
          <w:lang w:val="es-MX"/>
        </w:rPr>
        <w:t xml:space="preserve"> </w:t>
      </w:r>
      <w:r w:rsidRPr="00813C97">
        <w:rPr>
          <w:rFonts w:ascii="Arial Narrow" w:hAnsi="Arial Narrow" w:cs="Arial"/>
          <w:lang w:val="es-MX"/>
        </w:rPr>
        <w:t>no</w:t>
      </w:r>
      <w:r>
        <w:rPr>
          <w:rFonts w:ascii="Arial Narrow" w:hAnsi="Arial Narrow" w:cs="Arial"/>
          <w:lang w:val="es-MX"/>
        </w:rPr>
        <w:t xml:space="preserve"> </w:t>
      </w:r>
      <w:r w:rsidRPr="00813C97">
        <w:rPr>
          <w:rFonts w:ascii="Arial Narrow" w:hAnsi="Arial Narrow" w:cs="Arial"/>
          <w:lang w:val="es-MX"/>
        </w:rPr>
        <w:t>habrían</w:t>
      </w:r>
      <w:r>
        <w:rPr>
          <w:rFonts w:ascii="Arial Narrow" w:hAnsi="Arial Narrow" w:cs="Arial"/>
          <w:lang w:val="es-MX"/>
        </w:rPr>
        <w:t xml:space="preserve"> </w:t>
      </w:r>
      <w:r w:rsidRPr="00813C97">
        <w:rPr>
          <w:rFonts w:ascii="Arial Narrow" w:hAnsi="Arial Narrow" w:cs="Arial"/>
          <w:lang w:val="es-MX"/>
        </w:rPr>
        <w:t>cesado</w:t>
      </w:r>
      <w:r>
        <w:rPr>
          <w:rFonts w:ascii="Arial Narrow" w:hAnsi="Arial Narrow" w:cs="Arial"/>
          <w:lang w:val="es-MX"/>
        </w:rPr>
        <w:t xml:space="preserve"> </w:t>
      </w:r>
      <w:r w:rsidRPr="00813C97">
        <w:rPr>
          <w:rFonts w:ascii="Arial Narrow" w:hAnsi="Arial Narrow" w:cs="Arial"/>
          <w:lang w:val="es-MX"/>
        </w:rPr>
        <w:t>y</w:t>
      </w:r>
      <w:r>
        <w:rPr>
          <w:rFonts w:ascii="Arial Narrow" w:hAnsi="Arial Narrow" w:cs="Arial"/>
          <w:lang w:val="es-MX"/>
        </w:rPr>
        <w:t xml:space="preserve"> </w:t>
      </w:r>
      <w:r w:rsidRPr="00813C97">
        <w:rPr>
          <w:rFonts w:ascii="Arial Narrow" w:hAnsi="Arial Narrow" w:cs="Arial"/>
          <w:lang w:val="es-MX"/>
        </w:rPr>
        <w:t>se</w:t>
      </w:r>
      <w:r>
        <w:rPr>
          <w:rFonts w:ascii="Arial Narrow" w:hAnsi="Arial Narrow" w:cs="Arial"/>
          <w:lang w:val="es-MX"/>
        </w:rPr>
        <w:t xml:space="preserve"> </w:t>
      </w:r>
      <w:r w:rsidRPr="00813C97">
        <w:rPr>
          <w:rFonts w:ascii="Arial Narrow" w:hAnsi="Arial Narrow" w:cs="Arial"/>
          <w:lang w:val="es-MX"/>
        </w:rPr>
        <w:t>encontraría</w:t>
      </w:r>
      <w:r>
        <w:rPr>
          <w:rFonts w:ascii="Arial Narrow" w:hAnsi="Arial Narrow" w:cs="Arial"/>
          <w:lang w:val="es-MX"/>
        </w:rPr>
        <w:t xml:space="preserve"> </w:t>
      </w:r>
      <w:r w:rsidRPr="00813C97">
        <w:rPr>
          <w:rFonts w:ascii="Arial Narrow" w:hAnsi="Arial Narrow" w:cs="Arial"/>
          <w:lang w:val="es-MX"/>
        </w:rPr>
        <w:t>vigente.</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todo</w:t>
      </w:r>
      <w:r>
        <w:rPr>
          <w:rFonts w:ascii="Arial Narrow" w:hAnsi="Arial Narrow" w:cs="Arial"/>
          <w:lang w:val="es-MX"/>
        </w:rPr>
        <w:t xml:space="preserve"> </w:t>
      </w:r>
      <w:r w:rsidRPr="00813C97">
        <w:rPr>
          <w:rFonts w:ascii="Arial Narrow" w:hAnsi="Arial Narrow" w:cs="Arial"/>
          <w:lang w:val="es-MX"/>
        </w:rPr>
        <w:t>caso,</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evaluación</w:t>
      </w:r>
      <w:r>
        <w:rPr>
          <w:rFonts w:ascii="Arial Narrow" w:hAnsi="Arial Narrow" w:cs="Arial"/>
          <w:lang w:val="es-MX"/>
        </w:rPr>
        <w:t xml:space="preserve"> </w:t>
      </w:r>
      <w:r w:rsidRPr="00813C97">
        <w:rPr>
          <w:rFonts w:ascii="Arial Narrow" w:hAnsi="Arial Narrow" w:cs="Arial"/>
          <w:lang w:val="es-MX"/>
        </w:rPr>
        <w:t>de</w:t>
      </w:r>
      <w:r>
        <w:rPr>
          <w:rFonts w:ascii="Arial Narrow" w:hAnsi="Arial Narrow" w:cs="Arial"/>
          <w:lang w:val="es-MX"/>
        </w:rPr>
        <w:t xml:space="preserve"> </w:t>
      </w:r>
      <w:r w:rsidRPr="00813C97">
        <w:rPr>
          <w:rFonts w:ascii="Arial Narrow" w:hAnsi="Arial Narrow" w:cs="Arial"/>
          <w:lang w:val="es-MX"/>
        </w:rPr>
        <w:t>las</w:t>
      </w:r>
      <w:r>
        <w:rPr>
          <w:rFonts w:ascii="Arial Narrow" w:hAnsi="Arial Narrow" w:cs="Arial"/>
          <w:lang w:val="es-MX"/>
        </w:rPr>
        <w:t xml:space="preserve"> </w:t>
      </w:r>
      <w:r w:rsidRPr="00813C97">
        <w:rPr>
          <w:rFonts w:ascii="Arial Narrow" w:hAnsi="Arial Narrow" w:cs="Arial"/>
          <w:lang w:val="es-MX"/>
        </w:rPr>
        <w:t>ofertas</w:t>
      </w:r>
      <w:r>
        <w:rPr>
          <w:rFonts w:ascii="Arial Narrow" w:hAnsi="Arial Narrow" w:cs="Arial"/>
          <w:lang w:val="es-MX"/>
        </w:rPr>
        <w:t xml:space="preserve"> </w:t>
      </w:r>
      <w:r w:rsidRPr="00813C97">
        <w:rPr>
          <w:rFonts w:ascii="Arial Narrow" w:hAnsi="Arial Narrow" w:cs="Arial"/>
          <w:lang w:val="es-MX"/>
        </w:rPr>
        <w:t>se</w:t>
      </w:r>
      <w:r>
        <w:rPr>
          <w:rFonts w:ascii="Arial Narrow" w:hAnsi="Arial Narrow" w:cs="Arial"/>
          <w:lang w:val="es-MX"/>
        </w:rPr>
        <w:t xml:space="preserve"> </w:t>
      </w:r>
      <w:r w:rsidRPr="00813C97">
        <w:rPr>
          <w:rFonts w:ascii="Arial Narrow" w:hAnsi="Arial Narrow" w:cs="Arial"/>
          <w:lang w:val="es-MX"/>
        </w:rPr>
        <w:t>realizará</w:t>
      </w:r>
      <w:r>
        <w:rPr>
          <w:rFonts w:ascii="Arial Narrow" w:hAnsi="Arial Narrow" w:cs="Arial"/>
          <w:lang w:val="es-MX"/>
        </w:rPr>
        <w:t xml:space="preserve"> </w:t>
      </w:r>
      <w:r w:rsidRPr="00813C97">
        <w:rPr>
          <w:rFonts w:ascii="Arial Narrow" w:hAnsi="Arial Narrow" w:cs="Arial"/>
          <w:lang w:val="es-MX"/>
        </w:rPr>
        <w:t>con</w:t>
      </w:r>
      <w:r>
        <w:rPr>
          <w:rFonts w:ascii="Arial Narrow" w:hAnsi="Arial Narrow" w:cs="Arial"/>
          <w:lang w:val="es-MX"/>
        </w:rPr>
        <w:t xml:space="preserve"> </w:t>
      </w:r>
      <w:r w:rsidRPr="00813C97">
        <w:rPr>
          <w:rFonts w:ascii="Arial Narrow" w:hAnsi="Arial Narrow" w:cs="Arial"/>
          <w:lang w:val="es-MX"/>
        </w:rPr>
        <w:t>la</w:t>
      </w:r>
      <w:r>
        <w:rPr>
          <w:rFonts w:ascii="Arial Narrow" w:hAnsi="Arial Narrow" w:cs="Arial"/>
          <w:lang w:val="es-MX"/>
        </w:rPr>
        <w:t xml:space="preserve"> </w:t>
      </w:r>
      <w:r w:rsidRPr="00813C97">
        <w:rPr>
          <w:rFonts w:ascii="Arial Narrow" w:hAnsi="Arial Narrow" w:cs="Arial"/>
          <w:lang w:val="es-MX"/>
        </w:rPr>
        <w:t>información</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RUP</w:t>
      </w:r>
      <w:r>
        <w:rPr>
          <w:rFonts w:ascii="Arial Narrow" w:hAnsi="Arial Narrow" w:cs="Arial"/>
          <w:lang w:val="es-MX"/>
        </w:rPr>
        <w:t xml:space="preserve"> </w:t>
      </w:r>
      <w:r w:rsidRPr="00813C97">
        <w:rPr>
          <w:rFonts w:ascii="Arial Narrow" w:hAnsi="Arial Narrow" w:cs="Arial"/>
          <w:lang w:val="es-MX"/>
        </w:rPr>
        <w:t>en</w:t>
      </w:r>
      <w:r>
        <w:rPr>
          <w:rFonts w:ascii="Arial Narrow" w:hAnsi="Arial Narrow" w:cs="Arial"/>
          <w:lang w:val="es-MX"/>
        </w:rPr>
        <w:t xml:space="preserve"> </w:t>
      </w:r>
      <w:r w:rsidRPr="00813C97">
        <w:rPr>
          <w:rFonts w:ascii="Arial Narrow" w:hAnsi="Arial Narrow" w:cs="Arial"/>
          <w:lang w:val="es-MX"/>
        </w:rPr>
        <w:t>firme</w:t>
      </w:r>
      <w:r>
        <w:rPr>
          <w:rFonts w:ascii="Arial Narrow" w:hAnsi="Arial Narrow" w:cs="Arial"/>
          <w:lang w:val="es-MX"/>
        </w:rPr>
        <w:t xml:space="preserve"> </w:t>
      </w:r>
      <w:r w:rsidRPr="00813C97">
        <w:rPr>
          <w:rFonts w:ascii="Arial Narrow" w:hAnsi="Arial Narrow" w:cs="Arial"/>
          <w:lang w:val="es-MX"/>
        </w:rPr>
        <w:t>antes</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cierre</w:t>
      </w:r>
      <w:r>
        <w:rPr>
          <w:rFonts w:ascii="Arial Narrow" w:hAnsi="Arial Narrow" w:cs="Arial"/>
          <w:lang w:val="es-MX"/>
        </w:rPr>
        <w:t xml:space="preserve"> </w:t>
      </w:r>
      <w:r w:rsidRPr="00813C97">
        <w:rPr>
          <w:rFonts w:ascii="Arial Narrow" w:hAnsi="Arial Narrow" w:cs="Arial"/>
          <w:lang w:val="es-MX"/>
        </w:rPr>
        <w:t>del</w:t>
      </w:r>
      <w:r>
        <w:rPr>
          <w:rFonts w:ascii="Arial Narrow" w:hAnsi="Arial Narrow" w:cs="Arial"/>
          <w:lang w:val="es-MX"/>
        </w:rPr>
        <w:t xml:space="preserve"> </w:t>
      </w:r>
      <w:r w:rsidRPr="00813C97">
        <w:rPr>
          <w:rFonts w:ascii="Arial Narrow" w:hAnsi="Arial Narrow" w:cs="Arial"/>
          <w:lang w:val="es-MX"/>
        </w:rPr>
        <w:t>proceso</w:t>
      </w:r>
      <w:r>
        <w:rPr>
          <w:rFonts w:ascii="Arial Narrow" w:hAnsi="Arial Narrow" w:cs="Arial"/>
          <w:lang w:val="es-MX"/>
        </w:rPr>
        <w:t xml:space="preserve"> </w:t>
      </w:r>
    </w:p>
    <w:p w14:paraId="6A7BF1FD" w14:textId="4132A2EB" w:rsidR="00134285" w:rsidRPr="00DA7E26" w:rsidRDefault="00134285" w:rsidP="00134285">
      <w:pPr>
        <w:spacing w:after="0"/>
        <w:rPr>
          <w:rFonts w:ascii="Arial Narrow" w:hAnsi="Arial Narrow" w:cs="Arial"/>
          <w:lang w:val="es-MX"/>
        </w:rPr>
      </w:pPr>
      <w:r w:rsidRPr="009C180E">
        <w:rPr>
          <w:rFonts w:ascii="Arial Narrow" w:hAnsi="Arial Narrow" w:cs="Arial"/>
          <w:lang w:val="es-MX"/>
        </w:rPr>
        <w:t>Para</w:t>
      </w:r>
      <w:r>
        <w:rPr>
          <w:rFonts w:ascii="Arial Narrow" w:hAnsi="Arial Narrow" w:cs="Arial"/>
          <w:lang w:val="es-MX"/>
        </w:rPr>
        <w:t xml:space="preserve"> </w:t>
      </w:r>
      <w:r w:rsidRPr="009C180E">
        <w:rPr>
          <w:rFonts w:ascii="Arial Narrow" w:hAnsi="Arial Narrow" w:cs="Arial"/>
          <w:lang w:val="es-MX"/>
        </w:rPr>
        <w:t>verificar</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los</w:t>
      </w:r>
      <w:r>
        <w:rPr>
          <w:rFonts w:ascii="Arial Narrow" w:hAnsi="Arial Narrow" w:cs="Arial"/>
          <w:lang w:val="es-MX"/>
        </w:rPr>
        <w:t xml:space="preserve"> </w:t>
      </w:r>
      <w:r w:rsidRPr="009C180E">
        <w:rPr>
          <w:rFonts w:ascii="Arial Narrow" w:hAnsi="Arial Narrow" w:cs="Arial"/>
          <w:lang w:val="es-MX"/>
        </w:rPr>
        <w:t>efectos</w:t>
      </w:r>
      <w:r>
        <w:rPr>
          <w:rFonts w:ascii="Arial Narrow" w:hAnsi="Arial Narrow" w:cs="Arial"/>
          <w:lang w:val="es-MX"/>
        </w:rPr>
        <w:t xml:space="preserve"> </w:t>
      </w:r>
      <w:r w:rsidRPr="009C180E">
        <w:rPr>
          <w:rFonts w:ascii="Arial Narrow" w:hAnsi="Arial Narrow" w:cs="Arial"/>
          <w:lang w:val="es-MX"/>
        </w:rPr>
        <w:t>del</w:t>
      </w:r>
      <w:r>
        <w:rPr>
          <w:rFonts w:ascii="Arial Narrow" w:hAnsi="Arial Narrow" w:cs="Arial"/>
          <w:lang w:val="es-MX"/>
        </w:rPr>
        <w:t xml:space="preserve"> </w:t>
      </w:r>
      <w:r w:rsidRPr="009C180E">
        <w:rPr>
          <w:rFonts w:ascii="Arial Narrow" w:hAnsi="Arial Narrow" w:cs="Arial"/>
          <w:lang w:val="es-MX"/>
        </w:rPr>
        <w:t>RUP</w:t>
      </w:r>
      <w:r>
        <w:rPr>
          <w:rFonts w:ascii="Arial Narrow" w:hAnsi="Arial Narrow" w:cs="Arial"/>
          <w:lang w:val="es-MX"/>
        </w:rPr>
        <w:t xml:space="preserve"> </w:t>
      </w:r>
      <w:r w:rsidRPr="009C180E">
        <w:rPr>
          <w:rFonts w:ascii="Arial Narrow" w:hAnsi="Arial Narrow" w:cs="Arial"/>
          <w:lang w:val="es-MX"/>
        </w:rPr>
        <w:t>no</w:t>
      </w:r>
      <w:r>
        <w:rPr>
          <w:rFonts w:ascii="Arial Narrow" w:hAnsi="Arial Narrow" w:cs="Arial"/>
          <w:lang w:val="es-MX"/>
        </w:rPr>
        <w:t xml:space="preserve"> </w:t>
      </w:r>
      <w:r w:rsidRPr="009C180E">
        <w:rPr>
          <w:rFonts w:ascii="Arial Narrow" w:hAnsi="Arial Narrow" w:cs="Arial"/>
          <w:lang w:val="es-MX"/>
        </w:rPr>
        <w:t>han</w:t>
      </w:r>
      <w:r>
        <w:rPr>
          <w:rFonts w:ascii="Arial Narrow" w:hAnsi="Arial Narrow" w:cs="Arial"/>
          <w:lang w:val="es-MX"/>
        </w:rPr>
        <w:t xml:space="preserve"> </w:t>
      </w:r>
      <w:r w:rsidRPr="009C180E">
        <w:rPr>
          <w:rFonts w:ascii="Arial Narrow" w:hAnsi="Arial Narrow" w:cs="Arial"/>
          <w:lang w:val="es-MX"/>
        </w:rPr>
        <w:t>cesado,</w:t>
      </w:r>
      <w:r>
        <w:rPr>
          <w:rFonts w:ascii="Arial Narrow" w:hAnsi="Arial Narrow" w:cs="Arial"/>
          <w:lang w:val="es-MX"/>
        </w:rPr>
        <w:t xml:space="preserve"> </w:t>
      </w:r>
      <w:r w:rsidRPr="009C180E">
        <w:rPr>
          <w:rFonts w:ascii="Arial Narrow" w:hAnsi="Arial Narrow" w:cs="Arial"/>
          <w:lang w:val="es-MX"/>
        </w:rPr>
        <w:t>en</w:t>
      </w:r>
      <w:r>
        <w:rPr>
          <w:rFonts w:ascii="Arial Narrow" w:hAnsi="Arial Narrow" w:cs="Arial"/>
          <w:lang w:val="es-MX"/>
        </w:rPr>
        <w:t xml:space="preserve"> </w:t>
      </w:r>
      <w:r w:rsidRPr="009C180E">
        <w:rPr>
          <w:rFonts w:ascii="Arial Narrow" w:hAnsi="Arial Narrow" w:cs="Arial"/>
          <w:lang w:val="es-MX"/>
        </w:rPr>
        <w:t>los</w:t>
      </w:r>
      <w:r>
        <w:rPr>
          <w:rFonts w:ascii="Arial Narrow" w:hAnsi="Arial Narrow" w:cs="Arial"/>
          <w:lang w:val="es-MX"/>
        </w:rPr>
        <w:t xml:space="preserve"> </w:t>
      </w:r>
      <w:r w:rsidRPr="009C180E">
        <w:rPr>
          <w:rFonts w:ascii="Arial Narrow" w:hAnsi="Arial Narrow" w:cs="Arial"/>
          <w:lang w:val="es-MX"/>
        </w:rPr>
        <w:t>eventos</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proponente</w:t>
      </w:r>
      <w:r>
        <w:rPr>
          <w:rFonts w:ascii="Arial Narrow" w:hAnsi="Arial Narrow" w:cs="Arial"/>
          <w:lang w:val="es-MX"/>
        </w:rPr>
        <w:t xml:space="preserve"> </w:t>
      </w:r>
      <w:r w:rsidRPr="009C180E">
        <w:rPr>
          <w:rFonts w:ascii="Arial Narrow" w:hAnsi="Arial Narrow" w:cs="Arial"/>
          <w:lang w:val="es-MX"/>
        </w:rPr>
        <w:t>presentó</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información</w:t>
      </w:r>
      <w:r>
        <w:rPr>
          <w:rFonts w:ascii="Arial Narrow" w:hAnsi="Arial Narrow" w:cs="Arial"/>
          <w:lang w:val="es-MX"/>
        </w:rPr>
        <w:t xml:space="preserve"> </w:t>
      </w:r>
      <w:r w:rsidRPr="009C180E">
        <w:rPr>
          <w:rFonts w:ascii="Arial Narrow" w:hAnsi="Arial Narrow" w:cs="Arial"/>
          <w:lang w:val="es-MX"/>
        </w:rPr>
        <w:t>para</w:t>
      </w:r>
      <w:r>
        <w:rPr>
          <w:rFonts w:ascii="Arial Narrow" w:hAnsi="Arial Narrow" w:cs="Arial"/>
          <w:lang w:val="es-MX"/>
        </w:rPr>
        <w:t xml:space="preserve"> </w:t>
      </w:r>
      <w:r w:rsidRPr="009C180E">
        <w:rPr>
          <w:rFonts w:ascii="Arial Narrow" w:hAnsi="Arial Narrow" w:cs="Arial"/>
          <w:lang w:val="es-MX"/>
        </w:rPr>
        <w:t>renovar</w:t>
      </w:r>
      <w:r>
        <w:rPr>
          <w:rFonts w:ascii="Arial Narrow" w:hAnsi="Arial Narrow" w:cs="Arial"/>
          <w:lang w:val="es-MX"/>
        </w:rPr>
        <w:t xml:space="preserve"> </w:t>
      </w:r>
      <w:r w:rsidRPr="009C180E">
        <w:rPr>
          <w:rFonts w:ascii="Arial Narrow" w:hAnsi="Arial Narrow" w:cs="Arial"/>
          <w:lang w:val="es-MX"/>
        </w:rPr>
        <w:t>su</w:t>
      </w:r>
      <w:r>
        <w:rPr>
          <w:rFonts w:ascii="Arial Narrow" w:hAnsi="Arial Narrow" w:cs="Arial"/>
          <w:lang w:val="es-MX"/>
        </w:rPr>
        <w:t xml:space="preserve"> </w:t>
      </w:r>
      <w:r w:rsidRPr="009C180E">
        <w:rPr>
          <w:rFonts w:ascii="Arial Narrow" w:hAnsi="Arial Narrow" w:cs="Arial"/>
          <w:lang w:val="es-MX"/>
        </w:rPr>
        <w:t>registro,</w:t>
      </w:r>
      <w:r>
        <w:rPr>
          <w:rFonts w:ascii="Arial Narrow" w:hAnsi="Arial Narrow" w:cs="Arial"/>
          <w:lang w:val="es-MX"/>
        </w:rPr>
        <w:t xml:space="preserve"> </w:t>
      </w:r>
      <w:r w:rsidRPr="009C180E">
        <w:rPr>
          <w:rFonts w:ascii="Arial Narrow" w:hAnsi="Arial Narrow" w:cs="Arial"/>
          <w:lang w:val="es-MX"/>
        </w:rPr>
        <w:t>es</w:t>
      </w:r>
      <w:r>
        <w:rPr>
          <w:rFonts w:ascii="Arial Narrow" w:hAnsi="Arial Narrow" w:cs="Arial"/>
          <w:lang w:val="es-MX"/>
        </w:rPr>
        <w:t xml:space="preserve"> </w:t>
      </w:r>
      <w:r w:rsidRPr="009C180E">
        <w:rPr>
          <w:rFonts w:ascii="Arial Narrow" w:hAnsi="Arial Narrow" w:cs="Arial"/>
          <w:lang w:val="es-MX"/>
        </w:rPr>
        <w:t>necesario</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certificado</w:t>
      </w:r>
      <w:r>
        <w:rPr>
          <w:rFonts w:ascii="Arial Narrow" w:hAnsi="Arial Narrow" w:cs="Arial"/>
          <w:lang w:val="es-MX"/>
        </w:rPr>
        <w:t xml:space="preserve"> </w:t>
      </w:r>
      <w:r w:rsidRPr="009C180E">
        <w:rPr>
          <w:rFonts w:ascii="Arial Narrow" w:hAnsi="Arial Narrow" w:cs="Arial"/>
          <w:lang w:val="es-MX"/>
        </w:rPr>
        <w:t>contenga</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anotación</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inscrito,</w:t>
      </w:r>
      <w:r>
        <w:rPr>
          <w:rFonts w:ascii="Arial Narrow" w:hAnsi="Arial Narrow" w:cs="Arial"/>
          <w:lang w:val="es-MX"/>
        </w:rPr>
        <w:t xml:space="preserve"> </w:t>
      </w:r>
      <w:r w:rsidRPr="009C180E">
        <w:rPr>
          <w:rFonts w:ascii="Arial Narrow" w:hAnsi="Arial Narrow" w:cs="Arial"/>
          <w:lang w:val="es-MX"/>
        </w:rPr>
        <w:t>a</w:t>
      </w:r>
      <w:r>
        <w:rPr>
          <w:rFonts w:ascii="Arial Narrow" w:hAnsi="Arial Narrow" w:cs="Arial"/>
          <w:lang w:val="es-MX"/>
        </w:rPr>
        <w:t xml:space="preserve"> </w:t>
      </w:r>
      <w:r w:rsidRPr="009C180E">
        <w:rPr>
          <w:rFonts w:ascii="Arial Narrow" w:hAnsi="Arial Narrow" w:cs="Arial"/>
          <w:lang w:val="es-MX"/>
        </w:rPr>
        <w:t>más</w:t>
      </w:r>
      <w:r>
        <w:rPr>
          <w:rFonts w:ascii="Arial Narrow" w:hAnsi="Arial Narrow" w:cs="Arial"/>
          <w:lang w:val="es-MX"/>
        </w:rPr>
        <w:t xml:space="preserve"> </w:t>
      </w:r>
      <w:r w:rsidRPr="009C180E">
        <w:rPr>
          <w:rFonts w:ascii="Arial Narrow" w:hAnsi="Arial Narrow" w:cs="Arial"/>
          <w:lang w:val="es-MX"/>
        </w:rPr>
        <w:t>tardar</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quinto</w:t>
      </w:r>
      <w:r>
        <w:rPr>
          <w:rFonts w:ascii="Arial Narrow" w:hAnsi="Arial Narrow" w:cs="Arial"/>
          <w:lang w:val="es-MX"/>
        </w:rPr>
        <w:t xml:space="preserve"> </w:t>
      </w:r>
      <w:r w:rsidRPr="009C180E">
        <w:rPr>
          <w:rFonts w:ascii="Arial Narrow" w:hAnsi="Arial Narrow" w:cs="Arial"/>
          <w:lang w:val="es-MX"/>
        </w:rPr>
        <w:t>día</w:t>
      </w:r>
      <w:r>
        <w:rPr>
          <w:rFonts w:ascii="Arial Narrow" w:hAnsi="Arial Narrow" w:cs="Arial"/>
          <w:lang w:val="es-MX"/>
        </w:rPr>
        <w:t xml:space="preserve"> </w:t>
      </w:r>
      <w:r w:rsidRPr="009C180E">
        <w:rPr>
          <w:rFonts w:ascii="Arial Narrow" w:hAnsi="Arial Narrow" w:cs="Arial"/>
          <w:lang w:val="es-MX"/>
        </w:rPr>
        <w:t>hábil</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abril</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cada</w:t>
      </w:r>
      <w:r>
        <w:rPr>
          <w:rFonts w:ascii="Arial Narrow" w:hAnsi="Arial Narrow" w:cs="Arial"/>
          <w:lang w:val="es-MX"/>
        </w:rPr>
        <w:t xml:space="preserve"> </w:t>
      </w:r>
      <w:r w:rsidRPr="009C180E">
        <w:rPr>
          <w:rFonts w:ascii="Arial Narrow" w:hAnsi="Arial Narrow" w:cs="Arial"/>
          <w:lang w:val="es-MX"/>
        </w:rPr>
        <w:t>año,</w:t>
      </w:r>
      <w:r>
        <w:rPr>
          <w:rFonts w:ascii="Arial Narrow" w:hAnsi="Arial Narrow" w:cs="Arial"/>
          <w:lang w:val="es-MX"/>
        </w:rPr>
        <w:t xml:space="preserve"> </w:t>
      </w:r>
      <w:r w:rsidRPr="009C180E">
        <w:rPr>
          <w:rFonts w:ascii="Arial Narrow" w:hAnsi="Arial Narrow" w:cs="Arial"/>
          <w:lang w:val="es-MX"/>
        </w:rPr>
        <w:t>radicó</w:t>
      </w:r>
      <w:r>
        <w:rPr>
          <w:rFonts w:ascii="Arial Narrow" w:hAnsi="Arial Narrow" w:cs="Arial"/>
          <w:lang w:val="es-MX"/>
        </w:rPr>
        <w:t xml:space="preserve"> </w:t>
      </w:r>
      <w:r w:rsidRPr="009C180E">
        <w:rPr>
          <w:rFonts w:ascii="Arial Narrow" w:hAnsi="Arial Narrow" w:cs="Arial"/>
          <w:lang w:val="es-MX"/>
        </w:rPr>
        <w:t>ante</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cámara</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comercio</w:t>
      </w:r>
      <w:r>
        <w:rPr>
          <w:rFonts w:ascii="Arial Narrow" w:hAnsi="Arial Narrow" w:cs="Arial"/>
          <w:lang w:val="es-MX"/>
        </w:rPr>
        <w:t xml:space="preserve"> </w:t>
      </w:r>
      <w:r w:rsidRPr="009C180E">
        <w:rPr>
          <w:rFonts w:ascii="Arial Narrow" w:hAnsi="Arial Narrow" w:cs="Arial"/>
          <w:lang w:val="es-MX"/>
        </w:rPr>
        <w:t>los</w:t>
      </w:r>
      <w:r>
        <w:rPr>
          <w:rFonts w:ascii="Arial Narrow" w:hAnsi="Arial Narrow" w:cs="Arial"/>
          <w:lang w:val="es-MX"/>
        </w:rPr>
        <w:t xml:space="preserve"> </w:t>
      </w:r>
      <w:r w:rsidRPr="009C180E">
        <w:rPr>
          <w:rFonts w:ascii="Arial Narrow" w:hAnsi="Arial Narrow" w:cs="Arial"/>
          <w:lang w:val="es-MX"/>
        </w:rPr>
        <w:t>documentos</w:t>
      </w:r>
      <w:r>
        <w:rPr>
          <w:rFonts w:ascii="Arial Narrow" w:hAnsi="Arial Narrow" w:cs="Arial"/>
          <w:lang w:val="es-MX"/>
        </w:rPr>
        <w:t xml:space="preserve"> </w:t>
      </w:r>
      <w:r w:rsidRPr="009C180E">
        <w:rPr>
          <w:rFonts w:ascii="Arial Narrow" w:hAnsi="Arial Narrow" w:cs="Arial"/>
          <w:lang w:val="es-MX"/>
        </w:rPr>
        <w:t>para</w:t>
      </w:r>
      <w:r>
        <w:rPr>
          <w:rFonts w:ascii="Arial Narrow" w:hAnsi="Arial Narrow" w:cs="Arial"/>
          <w:lang w:val="es-MX"/>
        </w:rPr>
        <w:t xml:space="preserve"> </w:t>
      </w:r>
      <w:r w:rsidRPr="009C180E">
        <w:rPr>
          <w:rFonts w:ascii="Arial Narrow" w:hAnsi="Arial Narrow" w:cs="Arial"/>
          <w:lang w:val="es-MX"/>
        </w:rPr>
        <w:t>su</w:t>
      </w:r>
      <w:r>
        <w:rPr>
          <w:rFonts w:ascii="Arial Narrow" w:hAnsi="Arial Narrow" w:cs="Arial"/>
          <w:lang w:val="es-MX"/>
        </w:rPr>
        <w:t xml:space="preserve"> </w:t>
      </w:r>
      <w:r w:rsidRPr="009C180E">
        <w:rPr>
          <w:rFonts w:ascii="Arial Narrow" w:hAnsi="Arial Narrow" w:cs="Arial"/>
          <w:lang w:val="es-MX"/>
        </w:rPr>
        <w:t>renovación.</w:t>
      </w:r>
      <w:r>
        <w:rPr>
          <w:rFonts w:ascii="Arial Narrow" w:hAnsi="Arial Narrow" w:cs="Arial"/>
          <w:lang w:val="es-MX"/>
        </w:rPr>
        <w:t xml:space="preserve"> </w:t>
      </w:r>
      <w:r w:rsidRPr="009C180E">
        <w:rPr>
          <w:rFonts w:ascii="Arial Narrow" w:hAnsi="Arial Narrow" w:cs="Arial"/>
          <w:lang w:val="es-MX"/>
        </w:rPr>
        <w:t>En</w:t>
      </w:r>
      <w:r>
        <w:rPr>
          <w:rFonts w:ascii="Arial Narrow" w:hAnsi="Arial Narrow" w:cs="Arial"/>
          <w:lang w:val="es-MX"/>
        </w:rPr>
        <w:t xml:space="preserve"> </w:t>
      </w:r>
      <w:r w:rsidRPr="009C180E">
        <w:rPr>
          <w:rFonts w:ascii="Arial Narrow" w:hAnsi="Arial Narrow" w:cs="Arial"/>
          <w:lang w:val="es-MX"/>
        </w:rPr>
        <w:t>todo</w:t>
      </w:r>
      <w:r>
        <w:rPr>
          <w:rFonts w:ascii="Arial Narrow" w:hAnsi="Arial Narrow" w:cs="Arial"/>
          <w:lang w:val="es-MX"/>
        </w:rPr>
        <w:t xml:space="preserve"> </w:t>
      </w:r>
      <w:r w:rsidRPr="009C180E">
        <w:rPr>
          <w:rFonts w:ascii="Arial Narrow" w:hAnsi="Arial Narrow" w:cs="Arial"/>
          <w:lang w:val="es-MX"/>
        </w:rPr>
        <w:t>caso,</w:t>
      </w:r>
      <w:r>
        <w:rPr>
          <w:rFonts w:ascii="Arial Narrow" w:hAnsi="Arial Narrow" w:cs="Arial"/>
          <w:lang w:val="es-MX"/>
        </w:rPr>
        <w:t xml:space="preserve"> </w:t>
      </w:r>
      <w:r w:rsidRPr="009C180E">
        <w:rPr>
          <w:rFonts w:ascii="Arial Narrow" w:hAnsi="Arial Narrow" w:cs="Arial"/>
          <w:lang w:val="es-MX"/>
        </w:rPr>
        <w:t>si</w:t>
      </w:r>
      <w:r>
        <w:rPr>
          <w:rFonts w:ascii="Arial Narrow" w:hAnsi="Arial Narrow" w:cs="Arial"/>
          <w:lang w:val="es-MX"/>
        </w:rPr>
        <w:t xml:space="preserve"> </w:t>
      </w:r>
      <w:r w:rsidRPr="009C180E">
        <w:rPr>
          <w:rFonts w:ascii="Arial Narrow" w:hAnsi="Arial Narrow" w:cs="Arial"/>
          <w:lang w:val="es-MX"/>
        </w:rPr>
        <w:t>tal</w:t>
      </w:r>
      <w:r>
        <w:rPr>
          <w:rFonts w:ascii="Arial Narrow" w:hAnsi="Arial Narrow" w:cs="Arial"/>
          <w:lang w:val="es-MX"/>
        </w:rPr>
        <w:t xml:space="preserve"> </w:t>
      </w:r>
      <w:r w:rsidRPr="009C180E">
        <w:rPr>
          <w:rFonts w:ascii="Arial Narrow" w:hAnsi="Arial Narrow" w:cs="Arial"/>
          <w:lang w:val="es-MX"/>
        </w:rPr>
        <w:t>circunstancia</w:t>
      </w:r>
      <w:r>
        <w:rPr>
          <w:rFonts w:ascii="Arial Narrow" w:hAnsi="Arial Narrow" w:cs="Arial"/>
          <w:lang w:val="es-MX"/>
        </w:rPr>
        <w:t xml:space="preserve"> </w:t>
      </w:r>
      <w:r w:rsidRPr="009C180E">
        <w:rPr>
          <w:rFonts w:ascii="Arial Narrow" w:hAnsi="Arial Narrow" w:cs="Arial"/>
          <w:lang w:val="es-MX"/>
        </w:rPr>
        <w:t>no</w:t>
      </w:r>
      <w:r>
        <w:rPr>
          <w:rFonts w:ascii="Arial Narrow" w:hAnsi="Arial Narrow" w:cs="Arial"/>
          <w:lang w:val="es-MX"/>
        </w:rPr>
        <w:t xml:space="preserve"> </w:t>
      </w:r>
      <w:r w:rsidRPr="009C180E">
        <w:rPr>
          <w:rFonts w:ascii="Arial Narrow" w:hAnsi="Arial Narrow" w:cs="Arial"/>
          <w:lang w:val="es-MX"/>
        </w:rPr>
        <w:t>estuviese</w:t>
      </w:r>
      <w:r>
        <w:rPr>
          <w:rFonts w:ascii="Arial Narrow" w:hAnsi="Arial Narrow" w:cs="Arial"/>
          <w:lang w:val="es-MX"/>
        </w:rPr>
        <w:t xml:space="preserve"> </w:t>
      </w:r>
      <w:r w:rsidRPr="009C180E">
        <w:rPr>
          <w:rFonts w:ascii="Arial Narrow" w:hAnsi="Arial Narrow" w:cs="Arial"/>
          <w:lang w:val="es-MX"/>
        </w:rPr>
        <w:t>inscrita</w:t>
      </w:r>
      <w:r>
        <w:rPr>
          <w:rFonts w:ascii="Arial Narrow" w:hAnsi="Arial Narrow" w:cs="Arial"/>
          <w:lang w:val="es-MX"/>
        </w:rPr>
        <w:t xml:space="preserve"> </w:t>
      </w:r>
      <w:r w:rsidRPr="009C180E">
        <w:rPr>
          <w:rFonts w:ascii="Arial Narrow" w:hAnsi="Arial Narrow" w:cs="Arial"/>
          <w:lang w:val="es-MX"/>
        </w:rPr>
        <w:t>en</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certificado,</w:t>
      </w:r>
      <w:r>
        <w:rPr>
          <w:rFonts w:ascii="Arial Narrow" w:hAnsi="Arial Narrow" w:cs="Arial"/>
          <w:lang w:val="es-MX"/>
        </w:rPr>
        <w:t xml:space="preserve"> </w:t>
      </w:r>
      <w:r w:rsidRPr="009C180E">
        <w:rPr>
          <w:rFonts w:ascii="Arial Narrow" w:hAnsi="Arial Narrow" w:cs="Arial"/>
          <w:lang w:val="es-MX"/>
        </w:rPr>
        <w:t>podrá</w:t>
      </w:r>
      <w:r>
        <w:rPr>
          <w:rFonts w:ascii="Arial Narrow" w:hAnsi="Arial Narrow" w:cs="Arial"/>
          <w:lang w:val="es-MX"/>
        </w:rPr>
        <w:t xml:space="preserve"> </w:t>
      </w:r>
      <w:r w:rsidRPr="009C180E">
        <w:rPr>
          <w:rFonts w:ascii="Arial Narrow" w:hAnsi="Arial Narrow" w:cs="Arial"/>
          <w:lang w:val="es-MX"/>
        </w:rPr>
        <w:t>acreditarse</w:t>
      </w:r>
      <w:r>
        <w:rPr>
          <w:rFonts w:ascii="Arial Narrow" w:hAnsi="Arial Narrow" w:cs="Arial"/>
          <w:lang w:val="es-MX"/>
        </w:rPr>
        <w:t xml:space="preserve"> </w:t>
      </w:r>
      <w:r w:rsidRPr="009C180E">
        <w:rPr>
          <w:rFonts w:ascii="Arial Narrow" w:hAnsi="Arial Narrow" w:cs="Arial"/>
          <w:lang w:val="es-MX"/>
        </w:rPr>
        <w:t>mediante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medio</w:t>
      </w:r>
      <w:r>
        <w:rPr>
          <w:rFonts w:ascii="Arial Narrow" w:hAnsi="Arial Narrow" w:cs="Arial"/>
          <w:lang w:val="es-MX"/>
        </w:rPr>
        <w:t xml:space="preserve"> </w:t>
      </w:r>
      <w:r w:rsidRPr="009C180E">
        <w:rPr>
          <w:rFonts w:ascii="Arial Narrow" w:hAnsi="Arial Narrow" w:cs="Arial"/>
          <w:lang w:val="es-MX"/>
        </w:rPr>
        <w:t>documental</w:t>
      </w:r>
      <w:r>
        <w:rPr>
          <w:rFonts w:ascii="Arial Narrow" w:hAnsi="Arial Narrow" w:cs="Arial"/>
          <w:lang w:val="es-MX"/>
        </w:rPr>
        <w:t xml:space="preserve"> </w:t>
      </w:r>
      <w:r w:rsidRPr="009C180E">
        <w:rPr>
          <w:rFonts w:ascii="Arial Narrow" w:hAnsi="Arial Narrow" w:cs="Arial"/>
          <w:lang w:val="es-MX"/>
        </w:rPr>
        <w:t>expedido</w:t>
      </w:r>
      <w:r>
        <w:rPr>
          <w:rFonts w:ascii="Arial Narrow" w:hAnsi="Arial Narrow" w:cs="Arial"/>
          <w:lang w:val="es-MX"/>
        </w:rPr>
        <w:t xml:space="preserve"> </w:t>
      </w:r>
      <w:r w:rsidRPr="009C180E">
        <w:rPr>
          <w:rFonts w:ascii="Arial Narrow" w:hAnsi="Arial Narrow" w:cs="Arial"/>
          <w:lang w:val="es-MX"/>
        </w:rPr>
        <w:t>por</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cámara</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comercio</w:t>
      </w:r>
      <w:r>
        <w:rPr>
          <w:rFonts w:ascii="Arial Narrow" w:hAnsi="Arial Narrow" w:cs="Arial"/>
          <w:lang w:val="es-MX"/>
        </w:rPr>
        <w:t xml:space="preserve"> </w:t>
      </w:r>
      <w:r w:rsidRPr="009C180E">
        <w:rPr>
          <w:rFonts w:ascii="Arial Narrow" w:hAnsi="Arial Narrow" w:cs="Arial"/>
          <w:lang w:val="es-MX"/>
        </w:rPr>
        <w:t>correspondiente.</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este</w:t>
      </w:r>
      <w:r>
        <w:rPr>
          <w:rFonts w:ascii="Arial Narrow" w:hAnsi="Arial Narrow" w:cs="Arial"/>
          <w:lang w:val="es-MX"/>
        </w:rPr>
        <w:t xml:space="preserve"> </w:t>
      </w:r>
      <w:r w:rsidRPr="009C180E">
        <w:rPr>
          <w:rFonts w:ascii="Arial Narrow" w:hAnsi="Arial Narrow" w:cs="Arial"/>
          <w:lang w:val="es-MX"/>
        </w:rPr>
        <w:t>modo,</w:t>
      </w:r>
      <w:r>
        <w:rPr>
          <w:rFonts w:ascii="Arial Narrow" w:hAnsi="Arial Narrow" w:cs="Arial"/>
          <w:lang w:val="es-MX"/>
        </w:rPr>
        <w:t xml:space="preserve"> </w:t>
      </w:r>
      <w:r w:rsidRPr="009C180E">
        <w:rPr>
          <w:rFonts w:ascii="Arial Narrow" w:hAnsi="Arial Narrow" w:cs="Arial"/>
          <w:lang w:val="es-MX"/>
        </w:rPr>
        <w:t>al</w:t>
      </w:r>
      <w:r>
        <w:rPr>
          <w:rFonts w:ascii="Arial Narrow" w:hAnsi="Arial Narrow" w:cs="Arial"/>
          <w:lang w:val="es-MX"/>
        </w:rPr>
        <w:t xml:space="preserve"> </w:t>
      </w:r>
      <w:r w:rsidRPr="009C180E">
        <w:rPr>
          <w:rFonts w:ascii="Arial Narrow" w:hAnsi="Arial Narrow" w:cs="Arial"/>
          <w:lang w:val="es-MX"/>
        </w:rPr>
        <w:t>no</w:t>
      </w:r>
      <w:r>
        <w:rPr>
          <w:rFonts w:ascii="Arial Narrow" w:hAnsi="Arial Narrow" w:cs="Arial"/>
          <w:lang w:val="es-MX"/>
        </w:rPr>
        <w:t xml:space="preserve"> </w:t>
      </w:r>
      <w:r w:rsidRPr="009C180E">
        <w:rPr>
          <w:rFonts w:ascii="Arial Narrow" w:hAnsi="Arial Narrow" w:cs="Arial"/>
          <w:lang w:val="es-MX"/>
        </w:rPr>
        <w:t>existir</w:t>
      </w:r>
      <w:r>
        <w:rPr>
          <w:rFonts w:ascii="Arial Narrow" w:hAnsi="Arial Narrow" w:cs="Arial"/>
          <w:lang w:val="es-MX"/>
        </w:rPr>
        <w:t xml:space="preserve"> </w:t>
      </w:r>
      <w:r w:rsidRPr="009C180E">
        <w:rPr>
          <w:rFonts w:ascii="Arial Narrow" w:hAnsi="Arial Narrow" w:cs="Arial"/>
          <w:lang w:val="es-MX"/>
        </w:rPr>
        <w:t>tarifa</w:t>
      </w:r>
      <w:r>
        <w:rPr>
          <w:rFonts w:ascii="Arial Narrow" w:hAnsi="Arial Narrow" w:cs="Arial"/>
          <w:lang w:val="es-MX"/>
        </w:rPr>
        <w:t xml:space="preserve"> </w:t>
      </w:r>
      <w:r w:rsidRPr="009C180E">
        <w:rPr>
          <w:rFonts w:ascii="Arial Narrow" w:hAnsi="Arial Narrow" w:cs="Arial"/>
          <w:lang w:val="es-MX"/>
        </w:rPr>
        <w:t>legal</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permita</w:t>
      </w:r>
      <w:r>
        <w:rPr>
          <w:rFonts w:ascii="Arial Narrow" w:hAnsi="Arial Narrow" w:cs="Arial"/>
          <w:lang w:val="es-MX"/>
        </w:rPr>
        <w:t xml:space="preserve"> </w:t>
      </w:r>
      <w:r w:rsidRPr="009C180E">
        <w:rPr>
          <w:rFonts w:ascii="Arial Narrow" w:hAnsi="Arial Narrow" w:cs="Arial"/>
          <w:lang w:val="es-MX"/>
        </w:rPr>
        <w:t>establecer</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forma</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acreditar</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trámite</w:t>
      </w:r>
      <w:r>
        <w:rPr>
          <w:rFonts w:ascii="Arial Narrow" w:hAnsi="Arial Narrow" w:cs="Arial"/>
          <w:lang w:val="es-MX"/>
        </w:rPr>
        <w:t xml:space="preserve"> </w:t>
      </w:r>
      <w:r w:rsidRPr="009C180E">
        <w:rPr>
          <w:rFonts w:ascii="Arial Narrow" w:hAnsi="Arial Narrow" w:cs="Arial"/>
          <w:lang w:val="es-MX"/>
        </w:rPr>
        <w:t>de</w:t>
      </w:r>
      <w:r>
        <w:rPr>
          <w:rFonts w:ascii="Arial Narrow" w:hAnsi="Arial Narrow" w:cs="Arial"/>
          <w:lang w:val="es-MX"/>
        </w:rPr>
        <w:t xml:space="preserve"> </w:t>
      </w:r>
      <w:r w:rsidRPr="009C180E">
        <w:rPr>
          <w:rFonts w:ascii="Arial Narrow" w:hAnsi="Arial Narrow" w:cs="Arial"/>
          <w:lang w:val="es-MX"/>
        </w:rPr>
        <w:t>renovación,</w:t>
      </w:r>
      <w:r>
        <w:rPr>
          <w:rFonts w:ascii="Arial Narrow" w:hAnsi="Arial Narrow" w:cs="Arial"/>
          <w:lang w:val="es-MX"/>
        </w:rPr>
        <w:t xml:space="preserve"> </w:t>
      </w:r>
      <w:r w:rsidRPr="009C180E">
        <w:rPr>
          <w:rFonts w:ascii="Arial Narrow" w:hAnsi="Arial Narrow" w:cs="Arial"/>
          <w:lang w:val="es-MX"/>
        </w:rPr>
        <w:t>la</w:t>
      </w:r>
      <w:r>
        <w:rPr>
          <w:rFonts w:ascii="Arial Narrow" w:hAnsi="Arial Narrow" w:cs="Arial"/>
          <w:lang w:val="es-MX"/>
        </w:rPr>
        <w:t xml:space="preserve"> </w:t>
      </w:r>
      <w:r w:rsidRPr="009C180E">
        <w:rPr>
          <w:rFonts w:ascii="Arial Narrow" w:hAnsi="Arial Narrow" w:cs="Arial"/>
          <w:lang w:val="es-MX"/>
        </w:rPr>
        <w:t>entidad</w:t>
      </w:r>
      <w:r>
        <w:rPr>
          <w:rFonts w:ascii="Arial Narrow" w:hAnsi="Arial Narrow" w:cs="Arial"/>
          <w:lang w:val="es-MX"/>
        </w:rPr>
        <w:t xml:space="preserve"> </w:t>
      </w:r>
      <w:r w:rsidRPr="009C180E">
        <w:rPr>
          <w:rFonts w:ascii="Arial Narrow" w:hAnsi="Arial Narrow" w:cs="Arial"/>
          <w:lang w:val="es-MX"/>
        </w:rPr>
        <w:t>estatal</w:t>
      </w:r>
      <w:r>
        <w:rPr>
          <w:rFonts w:ascii="Arial Narrow" w:hAnsi="Arial Narrow" w:cs="Arial"/>
          <w:lang w:val="es-MX"/>
        </w:rPr>
        <w:t xml:space="preserve"> </w:t>
      </w:r>
      <w:r w:rsidRPr="009C180E">
        <w:rPr>
          <w:rFonts w:ascii="Arial Narrow" w:hAnsi="Arial Narrow" w:cs="Arial"/>
          <w:lang w:val="es-MX"/>
        </w:rPr>
        <w:t>debe</w:t>
      </w:r>
      <w:r>
        <w:rPr>
          <w:rFonts w:ascii="Arial Narrow" w:hAnsi="Arial Narrow" w:cs="Arial"/>
          <w:lang w:val="es-MX"/>
        </w:rPr>
        <w:t xml:space="preserve"> </w:t>
      </w:r>
      <w:r w:rsidRPr="009C180E">
        <w:rPr>
          <w:rFonts w:ascii="Arial Narrow" w:hAnsi="Arial Narrow" w:cs="Arial"/>
          <w:lang w:val="es-MX"/>
        </w:rPr>
        <w:t>verificar</w:t>
      </w:r>
      <w:r>
        <w:rPr>
          <w:rFonts w:ascii="Arial Narrow" w:hAnsi="Arial Narrow" w:cs="Arial"/>
          <w:lang w:val="es-MX"/>
        </w:rPr>
        <w:t xml:space="preserve"> </w:t>
      </w:r>
      <w:r w:rsidRPr="009C180E">
        <w:rPr>
          <w:rFonts w:ascii="Arial Narrow" w:hAnsi="Arial Narrow" w:cs="Arial"/>
          <w:lang w:val="es-MX"/>
        </w:rPr>
        <w:t>que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documento</w:t>
      </w:r>
      <w:r>
        <w:rPr>
          <w:rFonts w:ascii="Arial Narrow" w:hAnsi="Arial Narrow" w:cs="Arial"/>
          <w:lang w:val="es-MX"/>
        </w:rPr>
        <w:t xml:space="preserve"> </w:t>
      </w:r>
      <w:r w:rsidRPr="009C180E">
        <w:rPr>
          <w:rFonts w:ascii="Arial Narrow" w:hAnsi="Arial Narrow" w:cs="Arial"/>
          <w:lang w:val="es-MX"/>
        </w:rPr>
        <w:t>aportado</w:t>
      </w:r>
      <w:r>
        <w:rPr>
          <w:rFonts w:ascii="Arial Narrow" w:hAnsi="Arial Narrow" w:cs="Arial"/>
          <w:lang w:val="es-MX"/>
        </w:rPr>
        <w:t xml:space="preserve"> </w:t>
      </w:r>
      <w:r w:rsidRPr="009C180E">
        <w:rPr>
          <w:rFonts w:ascii="Arial Narrow" w:hAnsi="Arial Narrow" w:cs="Arial"/>
          <w:lang w:val="es-MX"/>
        </w:rPr>
        <w:t>por</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proponente</w:t>
      </w:r>
      <w:r>
        <w:rPr>
          <w:rFonts w:ascii="Arial Narrow" w:hAnsi="Arial Narrow" w:cs="Arial"/>
          <w:lang w:val="es-MX"/>
        </w:rPr>
        <w:t xml:space="preserve"> </w:t>
      </w:r>
      <w:r w:rsidRPr="009C180E">
        <w:rPr>
          <w:rFonts w:ascii="Arial Narrow" w:hAnsi="Arial Narrow" w:cs="Arial"/>
          <w:lang w:val="es-MX"/>
        </w:rPr>
        <w:t>ofrezca</w:t>
      </w:r>
      <w:r>
        <w:rPr>
          <w:rFonts w:ascii="Arial Narrow" w:hAnsi="Arial Narrow" w:cs="Arial"/>
          <w:lang w:val="es-MX"/>
        </w:rPr>
        <w:t xml:space="preserve"> </w:t>
      </w:r>
      <w:r w:rsidRPr="009C180E">
        <w:rPr>
          <w:rFonts w:ascii="Arial Narrow" w:hAnsi="Arial Narrow" w:cs="Arial"/>
          <w:lang w:val="es-MX"/>
        </w:rPr>
        <w:t>certeza</w:t>
      </w:r>
      <w:r>
        <w:rPr>
          <w:rFonts w:ascii="Arial Narrow" w:hAnsi="Arial Narrow" w:cs="Arial"/>
          <w:lang w:val="es-MX"/>
        </w:rPr>
        <w:t xml:space="preserve"> </w:t>
      </w:r>
      <w:r w:rsidRPr="009C180E">
        <w:rPr>
          <w:rFonts w:ascii="Arial Narrow" w:hAnsi="Arial Narrow" w:cs="Arial"/>
          <w:lang w:val="es-MX"/>
        </w:rPr>
        <w:t>sobre</w:t>
      </w:r>
      <w:r>
        <w:rPr>
          <w:rFonts w:ascii="Arial Narrow" w:hAnsi="Arial Narrow" w:cs="Arial"/>
          <w:lang w:val="es-MX"/>
        </w:rPr>
        <w:t xml:space="preserve"> </w:t>
      </w:r>
      <w:r w:rsidRPr="009C180E">
        <w:rPr>
          <w:rFonts w:ascii="Arial Narrow" w:hAnsi="Arial Narrow" w:cs="Arial"/>
          <w:lang w:val="es-MX"/>
        </w:rPr>
        <w:t>el</w:t>
      </w:r>
      <w:r>
        <w:rPr>
          <w:rFonts w:ascii="Arial Narrow" w:hAnsi="Arial Narrow" w:cs="Arial"/>
          <w:lang w:val="es-MX"/>
        </w:rPr>
        <w:t xml:space="preserve"> </w:t>
      </w:r>
      <w:r w:rsidRPr="009C180E">
        <w:rPr>
          <w:rFonts w:ascii="Arial Narrow" w:hAnsi="Arial Narrow" w:cs="Arial"/>
          <w:lang w:val="es-MX"/>
        </w:rPr>
        <w:t>estado</w:t>
      </w:r>
      <w:r>
        <w:rPr>
          <w:rFonts w:ascii="Arial Narrow" w:hAnsi="Arial Narrow" w:cs="Arial"/>
          <w:lang w:val="es-MX"/>
        </w:rPr>
        <w:t xml:space="preserve"> </w:t>
      </w:r>
      <w:r w:rsidRPr="009C180E">
        <w:rPr>
          <w:rFonts w:ascii="Arial Narrow" w:hAnsi="Arial Narrow" w:cs="Arial"/>
          <w:lang w:val="es-MX"/>
        </w:rPr>
        <w:t>del</w:t>
      </w:r>
      <w:r>
        <w:rPr>
          <w:rFonts w:ascii="Arial Narrow" w:hAnsi="Arial Narrow" w:cs="Arial"/>
          <w:lang w:val="es-MX"/>
        </w:rPr>
        <w:t xml:space="preserve"> </w:t>
      </w:r>
      <w:r w:rsidRPr="009C180E">
        <w:rPr>
          <w:rFonts w:ascii="Arial Narrow" w:hAnsi="Arial Narrow" w:cs="Arial"/>
          <w:lang w:val="es-MX"/>
        </w:rPr>
        <w:t>trámite.</w:t>
      </w:r>
      <w:r w:rsidRPr="009C180E">
        <w:rPr>
          <w:rFonts w:ascii="Arial Narrow" w:hAnsi="Arial Narrow" w:cs="Arial"/>
          <w:lang w:val="es-MX"/>
        </w:rPr>
        <w:tab/>
      </w:r>
    </w:p>
    <w:p w14:paraId="2FFF6595" w14:textId="77777777" w:rsidR="00134285" w:rsidRPr="008030F9" w:rsidRDefault="00134285" w:rsidP="00134285">
      <w:pPr>
        <w:rPr>
          <w:rFonts w:ascii="Arial Narrow" w:hAnsi="Arial Narrow" w:cs="Arial"/>
          <w:b/>
          <w:bCs/>
          <w:lang w:val="es-MX"/>
        </w:rPr>
      </w:pPr>
      <w:r w:rsidRPr="008030F9">
        <w:rPr>
          <w:rFonts w:ascii="Arial Narrow" w:hAnsi="Arial Narrow" w:cs="Arial"/>
          <w:lang w:val="es-MX"/>
        </w:rPr>
        <w:t>Si el proponente presenta la información financiera en la forma exigida y cuenta con los indicadores de capacidad financiera y capacidad organizacional requeridos, la propuesta será calificada con CUMPLE y estará habilitado financiera y organizacionalmente. En el caso que el proponente presente información que no sea clara o no allegara la documentación exigida completa, la entidad podrá solicitarla para que sea aportada durante el término del traslado del informe de evaluación.</w:t>
      </w:r>
    </w:p>
    <w:p w14:paraId="73E8C377" w14:textId="77777777" w:rsidR="00134285" w:rsidRPr="008030F9" w:rsidRDefault="00134285" w:rsidP="00134285">
      <w:pPr>
        <w:pStyle w:val="Ttulo2"/>
        <w:spacing w:after="100" w:afterAutospacing="1" w:line="276" w:lineRule="auto"/>
        <w:contextualSpacing/>
        <w:rPr>
          <w:rFonts w:ascii="Arial Narrow" w:hAnsi="Arial Narrow" w:cs="Arial"/>
          <w:sz w:val="22"/>
          <w:szCs w:val="22"/>
          <w:lang w:val="es-US" w:eastAsia="es-ES"/>
        </w:rPr>
      </w:pPr>
      <w:r w:rsidRPr="008030F9">
        <w:rPr>
          <w:rFonts w:ascii="Arial Narrow" w:hAnsi="Arial Narrow" w:cs="Arial"/>
          <w:sz w:val="22"/>
          <w:szCs w:val="22"/>
          <w:lang w:val="es-US" w:eastAsia="es-ES"/>
        </w:rPr>
        <w:lastRenderedPageBreak/>
        <w:t xml:space="preserve">DOCUMENTOS Y CONSIDERACIONES PARA ACREDITAR LA CAPACIDAD FINANCIERA Y ORGANIZACIONAL (CUMPLE – NO CUMPLE). </w:t>
      </w:r>
    </w:p>
    <w:p w14:paraId="439FB13A"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Teniendo en cuenta la normatividad vigente, la fecha de recepción de propuestas y la diligencia de cierre establecida en el cronograma del proceso de selección, así como lo señalado en los Documentos Jurídicos, en especial sobre el Registro Único de Proponentes, para la verificación y cumplimiento de la capacidad financiera exigida, se deben adjuntar los siguientes documentos, según aplique:</w:t>
      </w:r>
    </w:p>
    <w:p w14:paraId="605EE7CB" w14:textId="18BEAB8D" w:rsidR="00134285" w:rsidRDefault="00134285" w:rsidP="00134285">
      <w:pPr>
        <w:pStyle w:val="Prrafodelista"/>
        <w:numPr>
          <w:ilvl w:val="0"/>
          <w:numId w:val="4"/>
        </w:numPr>
        <w:spacing w:before="0" w:after="0" w:line="276" w:lineRule="auto"/>
        <w:ind w:left="284" w:hanging="284"/>
        <w:rPr>
          <w:rFonts w:ascii="Arial Narrow" w:hAnsi="Arial Narrow" w:cs="Arial"/>
          <w:lang w:val="es-MX"/>
        </w:rPr>
      </w:pPr>
      <w:r w:rsidRPr="008030F9">
        <w:rPr>
          <w:rFonts w:ascii="Arial Narrow" w:hAnsi="Arial Narrow" w:cs="Arial"/>
          <w:lang w:val="es-MX"/>
        </w:rPr>
        <w:t>De conformidad con lo consagrado en el artículo 221 del Decreto Ley 019 de 2012 y el artículo 2.2.1.1.1.5.1 del Decreto 1082 de 2015, los proponentes, personas naturales y jurídicas nacionales y, personas naturales extranjeras con domicilio en Colombia o jurídicas extranjeras que tengan sucursal en Colombia deben presentar el Certificado de Inscripción y Clasificación – RUP, en el que se certifique la capacidad financiera con corte al 31/12/2</w:t>
      </w:r>
      <w:r w:rsidR="00365F74">
        <w:rPr>
          <w:rFonts w:ascii="Arial Narrow" w:hAnsi="Arial Narrow" w:cs="Arial"/>
          <w:lang w:val="es-MX"/>
        </w:rPr>
        <w:t>4</w:t>
      </w:r>
      <w:r w:rsidRPr="008030F9">
        <w:rPr>
          <w:rFonts w:ascii="Arial Narrow" w:hAnsi="Arial Narrow" w:cs="Arial"/>
          <w:lang w:val="es-MX"/>
        </w:rPr>
        <w:t xml:space="preserve">. La inscripción del proponente debe encontrarse vigente a la fecha de cierre del proceso. La agencia no puede considerar que el oferente está habilitado y evaluar su oferta mientras el RUP no esté en firme. (Circular Única Externa de Colombia Compra Eficiente). </w:t>
      </w:r>
    </w:p>
    <w:p w14:paraId="33EF3BE6" w14:textId="4213B4C1" w:rsidR="00134285" w:rsidRPr="008030F9" w:rsidRDefault="00134285" w:rsidP="00134285">
      <w:pPr>
        <w:pStyle w:val="Prrafodelista"/>
        <w:numPr>
          <w:ilvl w:val="0"/>
          <w:numId w:val="4"/>
        </w:numPr>
        <w:spacing w:before="0" w:after="0" w:line="276" w:lineRule="auto"/>
        <w:ind w:left="284" w:hanging="284"/>
        <w:rPr>
          <w:rFonts w:ascii="Arial Narrow" w:hAnsi="Arial Narrow" w:cs="Arial"/>
          <w:lang w:val="es-MX"/>
        </w:rPr>
      </w:pPr>
      <w:r w:rsidRPr="008030F9">
        <w:rPr>
          <w:rFonts w:ascii="Arial Narrow" w:hAnsi="Arial Narrow" w:cs="Arial"/>
          <w:lang w:val="es-MX"/>
        </w:rPr>
        <w:t>Así mismo, los proponentes constituidos como consorcios e integrados por personas naturales o jurídicas nacionales y/o personas naturales extranjeras con domicilio en Colombia o jurídicas extranjeras que tengan establecida sucursal en Colombia, deben presentar por cada integrante y en forma independiente, el Certificado de Inscripción y Clasificación – RUP, en el que se certifique la capacidad financiera con corte 31/12/2</w:t>
      </w:r>
      <w:r w:rsidR="00365F74">
        <w:rPr>
          <w:rFonts w:ascii="Arial Narrow" w:hAnsi="Arial Narrow" w:cs="Arial"/>
          <w:lang w:val="es-MX"/>
        </w:rPr>
        <w:t>4</w:t>
      </w:r>
      <w:r w:rsidRPr="008030F9">
        <w:rPr>
          <w:rFonts w:ascii="Arial Narrow" w:hAnsi="Arial Narrow" w:cs="Arial"/>
          <w:lang w:val="es-MX"/>
        </w:rPr>
        <w:t xml:space="preserve">. La inscripción del proponente debe encontrarse vigente a la fecha de cierre del proceso. La Agencia no puede considerar que el oferente está habilitado y evaluar su oferta mientras el RUP no esté en firme. (Circular Única Externa de Colombia Compra Eficiente). </w:t>
      </w:r>
    </w:p>
    <w:p w14:paraId="7BD9C8A2" w14:textId="77777777" w:rsidR="00134285" w:rsidRPr="008030F9" w:rsidRDefault="00134285" w:rsidP="00134285">
      <w:pPr>
        <w:pStyle w:val="Prrafodelista"/>
        <w:spacing w:before="0" w:after="0" w:line="276" w:lineRule="auto"/>
        <w:rPr>
          <w:rFonts w:ascii="Arial Narrow" w:eastAsia="Calibri" w:hAnsi="Arial Narrow" w:cs="Arial"/>
          <w:lang w:val="es-MX"/>
        </w:rPr>
      </w:pPr>
    </w:p>
    <w:p w14:paraId="6CF2E623" w14:textId="77777777" w:rsidR="00134285" w:rsidRPr="008030F9" w:rsidRDefault="00134285" w:rsidP="00134285">
      <w:pPr>
        <w:spacing w:before="0"/>
        <w:rPr>
          <w:rFonts w:ascii="Arial Narrow" w:hAnsi="Arial Narrow" w:cs="Arial"/>
          <w:lang w:val="es-MX"/>
        </w:rPr>
      </w:pPr>
      <w:r w:rsidRPr="008030F9">
        <w:rPr>
          <w:rFonts w:ascii="Arial Narrow" w:hAnsi="Arial Narrow" w:cs="Arial"/>
          <w:lang w:val="es-MX"/>
        </w:rPr>
        <w:t>Por lo anterior, la información de capacidad financiera se verificará directamente del certificado RUP, sin perjuicio de que la entidad pueda solicitar la información financiera adicional que requiera, así como lo precedente, según Decreto 1082 de 2015.</w:t>
      </w:r>
    </w:p>
    <w:p w14:paraId="3D73AD26"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El cálculo del capital de trabajo para proponentes plurales se evaluará teniendo en cuenta la siguiente fórmula:</w:t>
      </w:r>
    </w:p>
    <w:p w14:paraId="19C65BF4" w14:textId="77777777" w:rsidR="00134285" w:rsidRPr="008030F9" w:rsidRDefault="00134285" w:rsidP="00134285">
      <w:pPr>
        <w:tabs>
          <w:tab w:val="left" w:pos="9356"/>
        </w:tabs>
        <w:adjustRightInd w:val="0"/>
        <w:ind w:left="709" w:right="429"/>
        <w:contextualSpacing/>
        <w:jc w:val="center"/>
        <w:rPr>
          <w:rFonts w:ascii="Arial Narrow" w:hAnsi="Arial Narrow" w:cs="Arial"/>
          <w:lang w:val="es-MX"/>
        </w:rPr>
      </w:pPr>
      <w:r w:rsidRPr="008030F9">
        <w:rPr>
          <w:rFonts w:ascii="Arial Narrow" w:hAnsi="Arial Narrow" w:cs="Arial"/>
          <w:noProof/>
          <w:lang w:val="en-US"/>
        </w:rPr>
        <w:drawing>
          <wp:inline distT="0" distB="0" distL="0" distR="0" wp14:anchorId="56A9054F" wp14:editId="2D3D842A">
            <wp:extent cx="3532457" cy="406267"/>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37308" cy="418326"/>
                    </a:xfrm>
                    <a:prstGeom prst="rect">
                      <a:avLst/>
                    </a:prstGeom>
                  </pic:spPr>
                </pic:pic>
              </a:graphicData>
            </a:graphic>
          </wp:inline>
        </w:drawing>
      </w:r>
    </w:p>
    <w:p w14:paraId="69C26E9D"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Donde n es el número de integrantes del oferente plural (unión temporal, consorcio o promesa de sociedad futura). No se aceptarán inscripciones y/o renovaciones y/o actualizaciones del RUP, en el que se certifique la capacidad financiera con estados financieros intermedios.</w:t>
      </w:r>
    </w:p>
    <w:p w14:paraId="631A681B"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Para determinar la capacidad financiera (excepto capital de trabajo) y capacidad organizacional del proponente plural se tomará la opción de ponderación de los componentes de los indicadores, en esta opción cada uno de los integrantes del oferente aporta al valor total de cada componente del indicador de acuerdo con su participación en la figura del oferente plural (unión temporal, consorcio o promesa de sociedad futura).</w:t>
      </w:r>
    </w:p>
    <w:p w14:paraId="0718C34E" w14:textId="77777777" w:rsidR="00134285" w:rsidRPr="008030F9" w:rsidRDefault="00134285" w:rsidP="00134285">
      <w:pPr>
        <w:pStyle w:val="Prrafodelista"/>
        <w:tabs>
          <w:tab w:val="left" w:pos="2390"/>
        </w:tabs>
        <w:spacing w:after="0" w:line="276" w:lineRule="auto"/>
        <w:rPr>
          <w:rFonts w:ascii="Arial Narrow" w:hAnsi="Arial Narrow" w:cs="Arial"/>
          <w:lang w:val="es-MX"/>
        </w:rPr>
      </w:pPr>
      <w:r w:rsidRPr="008030F9">
        <w:rPr>
          <w:rFonts w:ascii="Arial Narrow" w:hAnsi="Arial Narrow" w:cs="Arial"/>
          <w:noProof/>
          <w:lang w:val="en-US"/>
        </w:rPr>
        <w:lastRenderedPageBreak/>
        <w:drawing>
          <wp:inline distT="0" distB="0" distL="0" distR="0" wp14:anchorId="2C03F848" wp14:editId="2F589E66">
            <wp:extent cx="3526127" cy="684826"/>
            <wp:effectExtent l="0" t="0" r="0" b="1270"/>
            <wp:docPr id="13" name="Imagen 13"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Text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5403" cy="688570"/>
                    </a:xfrm>
                    <a:prstGeom prst="rect">
                      <a:avLst/>
                    </a:prstGeom>
                    <a:noFill/>
                  </pic:spPr>
                </pic:pic>
              </a:graphicData>
            </a:graphic>
          </wp:inline>
        </w:drawing>
      </w:r>
    </w:p>
    <w:p w14:paraId="5C09459A"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Para acreditar la capacidad financiera y la capacidad organizacional de personas naturales sin domicilio en Colombia o jurídicas extranjeras sin sucursal en Colombia se debe diligenciar el ANEXO INDICADORES DE LA CAPACIDAD FINANCIERA Y ORGANIZACIONAL, acompañado del Balance General y Estado de Resultados con corte a la fecha más reciente, establecida en los países de origen o en sus estatutos sociales y en la moneda legal del país en el cual fueron emitidos y adicionalmente también en pesos colombianos, firmados por el revisor fiscal o auditor del proponente, y si el proponente no está obligado a tener revisor fiscal, por su contador, anexando con la oferta fotocopia de la respectiva tarjeta profesional y la certificación de antecedentes profesionales vigente expedida por la Junta Central de Contadores.</w:t>
      </w:r>
    </w:p>
    <w:p w14:paraId="6ABFFC9C" w14:textId="77777777" w:rsidR="00134285" w:rsidRPr="008030F9" w:rsidRDefault="00134285" w:rsidP="00134285">
      <w:pPr>
        <w:tabs>
          <w:tab w:val="left" w:pos="2390"/>
        </w:tabs>
        <w:rPr>
          <w:rFonts w:ascii="Arial Narrow" w:hAnsi="Arial Narrow" w:cs="Arial"/>
          <w:lang w:val="es-MX"/>
        </w:rPr>
      </w:pPr>
      <w:r w:rsidRPr="008030F9">
        <w:rPr>
          <w:rFonts w:ascii="Arial Narrow" w:hAnsi="Arial Narrow" w:cs="Arial"/>
          <w:lang w:val="es-MX"/>
        </w:rPr>
        <w:t xml:space="preserve">Si el proponente extranjero es plural, cada uno de los integrantes deberá presentar los requisitos antes citados de forma independiente indicando el porcentaje de participación. </w:t>
      </w:r>
    </w:p>
    <w:p w14:paraId="624ADA71"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 xml:space="preserve">El proponente y la Agencia para efectos de acreditar y verificar los requisitos habilitantes tendrán en cuenta la TRM vigente en la fecha en la cual los estados financieros fueron expedidos. Para el efecto, el proponente y la Agencia tendrán en cuenta las tasas de cambio certificadas por la Superintendencia Financiera de Colombia. </w:t>
      </w:r>
    </w:p>
    <w:p w14:paraId="6CAAFEDC"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 xml:space="preserve"> Las disposiciones del presente proceso de selección, en cuanto a proponentes extranjeros se refiere, regirán sin perjuicio de lo pactado en tratados o convenios internacionales.   </w:t>
      </w:r>
    </w:p>
    <w:p w14:paraId="770027A5"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En caso de empresas cuya fecha de constitución sea posterior al 31 de diciembre de 202</w:t>
      </w:r>
      <w:r>
        <w:rPr>
          <w:rFonts w:ascii="Arial Narrow" w:hAnsi="Arial Narrow" w:cs="Arial"/>
          <w:lang w:val="es-MX"/>
        </w:rPr>
        <w:t>3</w:t>
      </w:r>
      <w:r w:rsidRPr="008030F9">
        <w:rPr>
          <w:rFonts w:ascii="Arial Narrow" w:hAnsi="Arial Narrow" w:cs="Arial"/>
          <w:lang w:val="es-MX"/>
        </w:rPr>
        <w:t xml:space="preserve">, los estados financieros que se verificarán serán los del balance de apertura que estén reportados en el RUP. Sin perjuicio de lo anteriormente mencionado el proponente individual o proponente plural deben cumplir con la capacidad financiera y capacidad organizacional establecida en los pliegos de condiciones. </w:t>
      </w:r>
    </w:p>
    <w:p w14:paraId="5BFDCA2B"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En todo caso, la proponente persona natural extranjera sin domicilio en Colombia o jurídica extranjera que no tenga establecida sucursal en Colombia aceptará las condiciones establecidas en el Pliego de condiciones. En el evento de resultar favorecido con la adjudicación, deberá someterse a los procedimientos y exigencias contempladas por la ley colombiana para las personas extranjeras naturales o jurídicas que establecen negocios permanentes en el país.</w:t>
      </w:r>
    </w:p>
    <w:p w14:paraId="3241BCBF"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 xml:space="preserve">Cuando el contador público, revisor fiscal y/o auditor, según corresponda, certifique los indicadores de capacidad financiera del ANEXO INDICADORES DE CAPACIDAD FINANCIERA Y ORGANIZACIONAL, debe registrar en forma clara el nombre, firma y número de su tarjeta profesional o del documento que acredite su condición, según la legislación del país de origen. Así mismo, deberán anexar copia de la tarjeta profesional o, del documento que lo acredite, según la legislación del país de origen y, del certificado de antecedentes disciplinarios expedido por la Junta Central de Contadores (no mayor a 3 meses de expedición) o, de aquel que aplique según la legislación del país de origen. En todo caso, estos certificados deben estar vigentes para la fecha de presentación de la propuesta.  </w:t>
      </w:r>
    </w:p>
    <w:p w14:paraId="1EF2BF29" w14:textId="77777777" w:rsidR="00134285" w:rsidRPr="008030F9" w:rsidRDefault="00134285" w:rsidP="00134285">
      <w:pPr>
        <w:rPr>
          <w:rFonts w:ascii="Arial Narrow" w:hAnsi="Arial Narrow" w:cs="Arial"/>
          <w:lang w:val="es-MX"/>
        </w:rPr>
      </w:pPr>
      <w:r w:rsidRPr="008030F9">
        <w:rPr>
          <w:rFonts w:ascii="Arial Narrow" w:hAnsi="Arial Narrow" w:cs="Arial"/>
          <w:lang w:val="es-MX"/>
        </w:rPr>
        <w:lastRenderedPageBreak/>
        <w:t>Las cifras contables de los indicadores financieros que se certifican en el ANEXO INDICADORES DE CAPACIDAD FINANCIERA Y ORGANIZACIONAL (para las personas no obligadas a estar inscritas en el RUP) que forma parte integral del Pliego de Condiciones, deben presentarse y desagregarse en forma coincidente, con relación a las cifras contables de los estados financieros solicitados</w:t>
      </w:r>
      <w:r w:rsidRPr="008030F9">
        <w:rPr>
          <w:rStyle w:val="Refdenotaalpie"/>
          <w:rFonts w:ascii="Arial Narrow" w:hAnsi="Arial Narrow" w:cs="Arial"/>
          <w:lang w:val="es-MX"/>
        </w:rPr>
        <w:footnoteReference w:id="4"/>
      </w:r>
      <w:r w:rsidRPr="008030F9">
        <w:rPr>
          <w:rFonts w:ascii="Arial Narrow" w:hAnsi="Arial Narrow" w:cs="Arial"/>
          <w:lang w:val="es-MX"/>
        </w:rPr>
        <w:t>.</w:t>
      </w:r>
    </w:p>
    <w:p w14:paraId="619C3E37"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Si el proponente presenta la información financiera en la forma exigida, CUMPLE con los documentos financieros. De lo contrario, se solicitarán los documentos y/o aclaraciones para que, dentro del plazo establecido por la Entidad, los aporte y/o aclare.</w:t>
      </w:r>
    </w:p>
    <w:p w14:paraId="420BB845" w14:textId="77777777" w:rsidR="00134285" w:rsidRPr="008030F9" w:rsidRDefault="00134285" w:rsidP="00134285">
      <w:pPr>
        <w:rPr>
          <w:rFonts w:ascii="Arial Narrow" w:hAnsi="Arial Narrow" w:cs="Arial"/>
          <w:lang w:val="es-MX"/>
        </w:rPr>
      </w:pPr>
      <w:r w:rsidRPr="008030F9">
        <w:rPr>
          <w:rFonts w:ascii="Arial Narrow" w:hAnsi="Arial Narrow" w:cs="Arial"/>
          <w:lang w:val="es-MX"/>
        </w:rPr>
        <w:t>Si el proponente no presenta los documentos o las aclaraciones solicitadas o, no son satisfactorias o, no se presentan dentro del plazo establecido para tal fin, la propuesta será evaluada desde el punto de vista de los documentos financieros como NO CUMPLE.</w:t>
      </w:r>
    </w:p>
    <w:sectPr w:rsidR="00134285" w:rsidRPr="008030F9" w:rsidSect="00DB00E4">
      <w:headerReference w:type="default" r:id="rId16"/>
      <w:pgSz w:w="12240" w:h="15840"/>
      <w:pgMar w:top="1728" w:right="1613"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54ED9" w14:textId="77777777" w:rsidR="00C4754C" w:rsidRDefault="00C4754C" w:rsidP="00A61CD1">
      <w:pPr>
        <w:spacing w:after="0"/>
      </w:pPr>
      <w:r>
        <w:separator/>
      </w:r>
    </w:p>
  </w:endnote>
  <w:endnote w:type="continuationSeparator" w:id="0">
    <w:p w14:paraId="60343C4D" w14:textId="77777777" w:rsidR="00C4754C" w:rsidRDefault="00C4754C" w:rsidP="00A61C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18975" w14:textId="77777777" w:rsidR="00C4754C" w:rsidRDefault="00C4754C" w:rsidP="00A61CD1">
      <w:pPr>
        <w:spacing w:after="0"/>
      </w:pPr>
      <w:r>
        <w:separator/>
      </w:r>
    </w:p>
  </w:footnote>
  <w:footnote w:type="continuationSeparator" w:id="0">
    <w:p w14:paraId="5CFBCC32" w14:textId="77777777" w:rsidR="00C4754C" w:rsidRDefault="00C4754C" w:rsidP="00A61CD1">
      <w:pPr>
        <w:spacing w:after="0"/>
      </w:pPr>
      <w:r>
        <w:continuationSeparator/>
      </w:r>
    </w:p>
  </w:footnote>
  <w:footnote w:id="1">
    <w:p w14:paraId="2D0F0D84" w14:textId="77777777" w:rsidR="0069557F" w:rsidRPr="00B1137A" w:rsidRDefault="0069557F" w:rsidP="00B1137A">
      <w:pPr>
        <w:pStyle w:val="Textonotapie"/>
        <w:spacing w:before="0" w:line="240" w:lineRule="auto"/>
        <w:rPr>
          <w:rFonts w:ascii="Arial Narrow" w:hAnsi="Arial Narrow" w:cs="Arial"/>
          <w:i/>
          <w:sz w:val="18"/>
          <w:szCs w:val="18"/>
        </w:rPr>
      </w:pPr>
      <w:r w:rsidRPr="00B1137A">
        <w:rPr>
          <w:rStyle w:val="Refdenotaalpie"/>
          <w:rFonts w:ascii="Arial Narrow" w:hAnsi="Arial Narrow" w:cs="Arial"/>
          <w:sz w:val="18"/>
          <w:szCs w:val="18"/>
        </w:rPr>
        <w:footnoteRef/>
      </w:r>
      <w:r w:rsidRPr="00B1137A">
        <w:rPr>
          <w:rFonts w:ascii="Arial Narrow" w:hAnsi="Arial Narrow" w:cs="Arial"/>
          <w:sz w:val="18"/>
          <w:szCs w:val="18"/>
        </w:rPr>
        <w:t xml:space="preserve"> Ortiz Anaya, </w:t>
      </w:r>
      <w:proofErr w:type="spellStart"/>
      <w:r w:rsidRPr="00B1137A">
        <w:rPr>
          <w:rFonts w:ascii="Arial Narrow" w:hAnsi="Arial Narrow" w:cs="Arial"/>
          <w:sz w:val="18"/>
          <w:szCs w:val="18"/>
        </w:rPr>
        <w:t>Hector</w:t>
      </w:r>
      <w:proofErr w:type="spellEnd"/>
      <w:r w:rsidRPr="00B1137A">
        <w:rPr>
          <w:rFonts w:ascii="Arial Narrow" w:hAnsi="Arial Narrow" w:cs="Arial"/>
          <w:sz w:val="18"/>
          <w:szCs w:val="18"/>
        </w:rPr>
        <w:t xml:space="preserve">. </w:t>
      </w:r>
      <w:r w:rsidRPr="00B1137A">
        <w:rPr>
          <w:rFonts w:ascii="Arial Narrow" w:hAnsi="Arial Narrow" w:cs="Arial"/>
          <w:i/>
          <w:sz w:val="18"/>
          <w:szCs w:val="18"/>
        </w:rPr>
        <w:t>Análisis Financiero Aplicado, 2000, pág. 147</w:t>
      </w:r>
    </w:p>
  </w:footnote>
  <w:footnote w:id="2">
    <w:p w14:paraId="35864969" w14:textId="77777777" w:rsidR="0069557F" w:rsidRPr="00B1137A" w:rsidRDefault="0069557F" w:rsidP="00B1137A">
      <w:pPr>
        <w:pStyle w:val="Textonotapie"/>
        <w:spacing w:before="0" w:line="276" w:lineRule="auto"/>
        <w:rPr>
          <w:rFonts w:ascii="Arial Narrow" w:hAnsi="Arial Narrow" w:cs="Arial"/>
          <w:sz w:val="18"/>
          <w:szCs w:val="18"/>
        </w:rPr>
      </w:pPr>
      <w:r w:rsidRPr="00B1137A">
        <w:rPr>
          <w:rStyle w:val="Refdenotaalpie"/>
          <w:rFonts w:ascii="Arial Narrow" w:hAnsi="Arial Narrow" w:cs="Arial"/>
          <w:sz w:val="18"/>
          <w:szCs w:val="18"/>
        </w:rPr>
        <w:footnoteRef/>
      </w:r>
      <w:r w:rsidRPr="00B1137A">
        <w:rPr>
          <w:rFonts w:ascii="Arial Narrow" w:hAnsi="Arial Narrow" w:cs="Arial"/>
          <w:sz w:val="18"/>
          <w:szCs w:val="18"/>
        </w:rPr>
        <w:t xml:space="preserve"> Disponible en internet: </w:t>
      </w:r>
      <w:hyperlink r:id="rId1" w:history="1">
        <w:r w:rsidRPr="00B1137A">
          <w:rPr>
            <w:rStyle w:val="Hipervnculo"/>
            <w:rFonts w:ascii="Arial Narrow" w:hAnsi="Arial Narrow" w:cs="Arial"/>
            <w:sz w:val="18"/>
            <w:szCs w:val="18"/>
          </w:rPr>
          <w:t>http://www.slideshare.net/Solfin/tablas-frmulas-y-conceptos-financieros</w:t>
        </w:r>
      </w:hyperlink>
    </w:p>
  </w:footnote>
  <w:footnote w:id="3">
    <w:p w14:paraId="7BBB0D6B" w14:textId="77777777" w:rsidR="0069557F" w:rsidRPr="00CF0170" w:rsidRDefault="0069557F" w:rsidP="00B1137A">
      <w:pPr>
        <w:pStyle w:val="Textonotapie"/>
        <w:spacing w:before="0" w:line="276" w:lineRule="auto"/>
        <w:rPr>
          <w:rFonts w:cs="Arial"/>
          <w:sz w:val="16"/>
          <w:szCs w:val="16"/>
        </w:rPr>
      </w:pPr>
      <w:r w:rsidRPr="00B1137A">
        <w:rPr>
          <w:rStyle w:val="Refdenotaalpie"/>
          <w:rFonts w:ascii="Arial Narrow" w:hAnsi="Arial Narrow" w:cs="Arial"/>
          <w:sz w:val="18"/>
          <w:szCs w:val="18"/>
        </w:rPr>
        <w:footnoteRef/>
      </w:r>
      <w:r w:rsidRPr="00B1137A">
        <w:rPr>
          <w:rFonts w:ascii="Arial Narrow" w:hAnsi="Arial Narrow" w:cs="Arial"/>
          <w:sz w:val="18"/>
          <w:szCs w:val="18"/>
        </w:rPr>
        <w:t xml:space="preserve"> Disponible en internet en </w:t>
      </w:r>
      <w:hyperlink r:id="rId2" w:history="1">
        <w:r w:rsidRPr="00B1137A">
          <w:rPr>
            <w:rStyle w:val="Hipervnculo"/>
            <w:rFonts w:ascii="Arial Narrow" w:hAnsi="Arial Narrow" w:cs="Arial"/>
            <w:sz w:val="18"/>
            <w:szCs w:val="18"/>
          </w:rPr>
          <w:t>http://descuadrando.com/Rentabilidad_econ%C3%B3mica</w:t>
        </w:r>
      </w:hyperlink>
    </w:p>
  </w:footnote>
  <w:footnote w:id="4">
    <w:p w14:paraId="75C18A64" w14:textId="77777777" w:rsidR="00134285" w:rsidRPr="00AC6FF6" w:rsidRDefault="00134285" w:rsidP="00134285">
      <w:pPr>
        <w:pStyle w:val="Textonotapie"/>
        <w:rPr>
          <w:rFonts w:ascii="Arial Narrow" w:hAnsi="Arial Narrow"/>
        </w:rPr>
      </w:pPr>
      <w:r w:rsidRPr="00AC6FF6">
        <w:rPr>
          <w:rStyle w:val="Refdenotaalpie"/>
          <w:rFonts w:ascii="Arial Narrow" w:hAnsi="Arial Narrow"/>
          <w:b/>
          <w:bCs/>
        </w:rPr>
        <w:footnoteRef/>
      </w:r>
      <w:r w:rsidRPr="00AC6FF6">
        <w:rPr>
          <w:rFonts w:ascii="Arial Narrow" w:hAnsi="Arial Narrow"/>
          <w:b/>
          <w:bCs/>
        </w:rPr>
        <w:t xml:space="preserve"> NOTA</w:t>
      </w:r>
      <w:r w:rsidRPr="00AC6FF6">
        <w:rPr>
          <w:rFonts w:ascii="Arial Narrow" w:hAnsi="Arial Narrow"/>
        </w:rPr>
        <w:t>: Los proponentes plurales deberán presentar el anexo por cada uno de sus integrantes y estar suscrito por el REVISOR FISCAL (si está obligado a tenerlo), o CONTADOR PÚBLICO o AUDITOR (según aplique).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98A61" w14:textId="49F349AF" w:rsidR="00FC171B" w:rsidRDefault="00932A84">
    <w:pPr>
      <w:pStyle w:val="Encabezado"/>
    </w:pPr>
    <w:r>
      <w:rPr>
        <w:noProof/>
        <w:lang w:val="en-US"/>
      </w:rPr>
      <w:drawing>
        <wp:anchor distT="0" distB="0" distL="114300" distR="114300" simplePos="0" relativeHeight="251659264" behindDoc="1" locked="0" layoutInCell="1" allowOverlap="1" wp14:anchorId="155EA933" wp14:editId="14ACCB84">
          <wp:simplePos x="0" y="0"/>
          <wp:positionH relativeFrom="page">
            <wp:align>right</wp:align>
          </wp:positionH>
          <wp:positionV relativeFrom="paragraph">
            <wp:posOffset>-340315</wp:posOffset>
          </wp:positionV>
          <wp:extent cx="7765319" cy="10048875"/>
          <wp:effectExtent l="0" t="0" r="7620" b="0"/>
          <wp:wrapNone/>
          <wp:docPr id="446219294" name="Picture 446219294"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19294" name="Picture 446219294"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65319" cy="100488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3515"/>
    <w:multiLevelType w:val="hybridMultilevel"/>
    <w:tmpl w:val="63F046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F662CB"/>
    <w:multiLevelType w:val="hybridMultilevel"/>
    <w:tmpl w:val="DEA28526"/>
    <w:lvl w:ilvl="0" w:tplc="5C42CF5E">
      <w:numFmt w:val="bullet"/>
      <w:lvlText w:val="-"/>
      <w:lvlJc w:val="left"/>
      <w:pPr>
        <w:ind w:left="1068" w:hanging="360"/>
      </w:pPr>
      <w:rPr>
        <w:rFonts w:ascii="Arial" w:eastAsia="Calibri" w:hAnsi="Arial" w:cs="Arial" w:hint="default"/>
        <w:color w:val="auto"/>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 w15:restartNumberingAfterBreak="0">
    <w:nsid w:val="19406E27"/>
    <w:multiLevelType w:val="hybridMultilevel"/>
    <w:tmpl w:val="583C5134"/>
    <w:lvl w:ilvl="0" w:tplc="BDC6DCC4">
      <w:start w:val="1"/>
      <w:numFmt w:val="lowerRoman"/>
      <w:pStyle w:val="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7AF00FB"/>
    <w:multiLevelType w:val="hybridMultilevel"/>
    <w:tmpl w:val="251CF0D4"/>
    <w:lvl w:ilvl="0" w:tplc="4BC67A54">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91575A1"/>
    <w:multiLevelType w:val="hybridMultilevel"/>
    <w:tmpl w:val="096A81CA"/>
    <w:lvl w:ilvl="0" w:tplc="4BC67A54">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147B13"/>
    <w:multiLevelType w:val="multilevel"/>
    <w:tmpl w:val="BDB6A6D6"/>
    <w:lvl w:ilvl="0">
      <w:start w:val="1"/>
      <w:numFmt w:val="bullet"/>
      <w:lvlText w:val="o"/>
      <w:lvlJc w:val="left"/>
      <w:pPr>
        <w:ind w:left="720" w:hanging="360"/>
      </w:pPr>
      <w:rPr>
        <w:rFonts w:ascii="Courier New" w:hAnsi="Courier New" w:cs="Courier New"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82118526">
    <w:abstractNumId w:val="2"/>
  </w:num>
  <w:num w:numId="2" w16cid:durableId="1586718174">
    <w:abstractNumId w:val="3"/>
  </w:num>
  <w:num w:numId="3" w16cid:durableId="352656409">
    <w:abstractNumId w:val="4"/>
  </w:num>
  <w:num w:numId="4" w16cid:durableId="1636334403">
    <w:abstractNumId w:val="0"/>
  </w:num>
  <w:num w:numId="5" w16cid:durableId="1451707374">
    <w:abstractNumId w:val="1"/>
  </w:num>
  <w:num w:numId="6" w16cid:durableId="157293162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E3B"/>
    <w:rsid w:val="000022C7"/>
    <w:rsid w:val="000045F1"/>
    <w:rsid w:val="000126E7"/>
    <w:rsid w:val="00012FFA"/>
    <w:rsid w:val="00017569"/>
    <w:rsid w:val="00023F8E"/>
    <w:rsid w:val="00034299"/>
    <w:rsid w:val="0003622C"/>
    <w:rsid w:val="000374DD"/>
    <w:rsid w:val="0004661B"/>
    <w:rsid w:val="000472A8"/>
    <w:rsid w:val="00051B0F"/>
    <w:rsid w:val="0005351E"/>
    <w:rsid w:val="00054D51"/>
    <w:rsid w:val="00060F96"/>
    <w:rsid w:val="00063CE0"/>
    <w:rsid w:val="00066CBD"/>
    <w:rsid w:val="00067856"/>
    <w:rsid w:val="00070FCF"/>
    <w:rsid w:val="00073D81"/>
    <w:rsid w:val="00075998"/>
    <w:rsid w:val="00076B6A"/>
    <w:rsid w:val="00076BFF"/>
    <w:rsid w:val="00083C0A"/>
    <w:rsid w:val="00090285"/>
    <w:rsid w:val="000953AB"/>
    <w:rsid w:val="00095685"/>
    <w:rsid w:val="000965EB"/>
    <w:rsid w:val="000A57AE"/>
    <w:rsid w:val="000A5A2C"/>
    <w:rsid w:val="000A756B"/>
    <w:rsid w:val="000A7B8F"/>
    <w:rsid w:val="000B1D5D"/>
    <w:rsid w:val="000B43F3"/>
    <w:rsid w:val="000C2189"/>
    <w:rsid w:val="000C30C4"/>
    <w:rsid w:val="000C50DB"/>
    <w:rsid w:val="000C6A31"/>
    <w:rsid w:val="000C707E"/>
    <w:rsid w:val="000D21AD"/>
    <w:rsid w:val="000D2F75"/>
    <w:rsid w:val="000E195D"/>
    <w:rsid w:val="000E4EED"/>
    <w:rsid w:val="000E7CA8"/>
    <w:rsid w:val="000F07DD"/>
    <w:rsid w:val="000F3FF5"/>
    <w:rsid w:val="000F66FD"/>
    <w:rsid w:val="000F70A1"/>
    <w:rsid w:val="00107E7E"/>
    <w:rsid w:val="00107FC4"/>
    <w:rsid w:val="001279A5"/>
    <w:rsid w:val="00131622"/>
    <w:rsid w:val="00131775"/>
    <w:rsid w:val="00131D32"/>
    <w:rsid w:val="00134285"/>
    <w:rsid w:val="001344B1"/>
    <w:rsid w:val="00141394"/>
    <w:rsid w:val="00142280"/>
    <w:rsid w:val="00142DBC"/>
    <w:rsid w:val="001447C3"/>
    <w:rsid w:val="00152C04"/>
    <w:rsid w:val="001557DD"/>
    <w:rsid w:val="00156DFE"/>
    <w:rsid w:val="00160737"/>
    <w:rsid w:val="00162220"/>
    <w:rsid w:val="001674A5"/>
    <w:rsid w:val="0016792A"/>
    <w:rsid w:val="00174F27"/>
    <w:rsid w:val="00176B24"/>
    <w:rsid w:val="001855D1"/>
    <w:rsid w:val="001879A2"/>
    <w:rsid w:val="00192FBD"/>
    <w:rsid w:val="001937E3"/>
    <w:rsid w:val="001A1EBF"/>
    <w:rsid w:val="001A2509"/>
    <w:rsid w:val="001A6E1A"/>
    <w:rsid w:val="001B279E"/>
    <w:rsid w:val="001B28C6"/>
    <w:rsid w:val="001B3CF4"/>
    <w:rsid w:val="001B4DB9"/>
    <w:rsid w:val="001C4237"/>
    <w:rsid w:val="001C4952"/>
    <w:rsid w:val="001D389A"/>
    <w:rsid w:val="001D51C8"/>
    <w:rsid w:val="001D5481"/>
    <w:rsid w:val="001E10F8"/>
    <w:rsid w:val="001E14FF"/>
    <w:rsid w:val="001E48B1"/>
    <w:rsid w:val="001E6EE0"/>
    <w:rsid w:val="001E7CE6"/>
    <w:rsid w:val="001F0B0E"/>
    <w:rsid w:val="001F4091"/>
    <w:rsid w:val="001F429E"/>
    <w:rsid w:val="001F764E"/>
    <w:rsid w:val="00200D2F"/>
    <w:rsid w:val="0020186D"/>
    <w:rsid w:val="002025C1"/>
    <w:rsid w:val="00203510"/>
    <w:rsid w:val="002036DF"/>
    <w:rsid w:val="00222822"/>
    <w:rsid w:val="0022301D"/>
    <w:rsid w:val="002234F5"/>
    <w:rsid w:val="00226C3C"/>
    <w:rsid w:val="00230554"/>
    <w:rsid w:val="0024065B"/>
    <w:rsid w:val="00243870"/>
    <w:rsid w:val="0025036A"/>
    <w:rsid w:val="00255959"/>
    <w:rsid w:val="00260A7F"/>
    <w:rsid w:val="0026321F"/>
    <w:rsid w:val="0026354C"/>
    <w:rsid w:val="0026395E"/>
    <w:rsid w:val="002639A0"/>
    <w:rsid w:val="0026590B"/>
    <w:rsid w:val="002725E4"/>
    <w:rsid w:val="00272B1C"/>
    <w:rsid w:val="00274839"/>
    <w:rsid w:val="002771F7"/>
    <w:rsid w:val="00280CEC"/>
    <w:rsid w:val="00282CF1"/>
    <w:rsid w:val="002833DD"/>
    <w:rsid w:val="00284BDE"/>
    <w:rsid w:val="0028798B"/>
    <w:rsid w:val="002912F5"/>
    <w:rsid w:val="002916DE"/>
    <w:rsid w:val="00296F49"/>
    <w:rsid w:val="002A11B1"/>
    <w:rsid w:val="002A1F31"/>
    <w:rsid w:val="002A2068"/>
    <w:rsid w:val="002A6238"/>
    <w:rsid w:val="002A6A76"/>
    <w:rsid w:val="002B0FFA"/>
    <w:rsid w:val="002B1752"/>
    <w:rsid w:val="002B1825"/>
    <w:rsid w:val="002B45E7"/>
    <w:rsid w:val="002B6EAD"/>
    <w:rsid w:val="002B74E8"/>
    <w:rsid w:val="002C5B6A"/>
    <w:rsid w:val="002C5B89"/>
    <w:rsid w:val="002D029D"/>
    <w:rsid w:val="002D07FA"/>
    <w:rsid w:val="002D10D0"/>
    <w:rsid w:val="002D23F3"/>
    <w:rsid w:val="002D2BC0"/>
    <w:rsid w:val="002E327A"/>
    <w:rsid w:val="002E367C"/>
    <w:rsid w:val="002E47F1"/>
    <w:rsid w:val="002E5A94"/>
    <w:rsid w:val="002E66DC"/>
    <w:rsid w:val="002F19AC"/>
    <w:rsid w:val="002F268A"/>
    <w:rsid w:val="00310C66"/>
    <w:rsid w:val="003119A1"/>
    <w:rsid w:val="003129DD"/>
    <w:rsid w:val="003133B8"/>
    <w:rsid w:val="00320B3A"/>
    <w:rsid w:val="00321B99"/>
    <w:rsid w:val="00327821"/>
    <w:rsid w:val="00330235"/>
    <w:rsid w:val="003329BD"/>
    <w:rsid w:val="003340B3"/>
    <w:rsid w:val="00335C77"/>
    <w:rsid w:val="00342033"/>
    <w:rsid w:val="00347CCA"/>
    <w:rsid w:val="00353F59"/>
    <w:rsid w:val="00356ECA"/>
    <w:rsid w:val="00357EDD"/>
    <w:rsid w:val="00365F74"/>
    <w:rsid w:val="003661B7"/>
    <w:rsid w:val="00366460"/>
    <w:rsid w:val="00366FE6"/>
    <w:rsid w:val="00370AEC"/>
    <w:rsid w:val="00373F54"/>
    <w:rsid w:val="00374C5C"/>
    <w:rsid w:val="00382B08"/>
    <w:rsid w:val="00386116"/>
    <w:rsid w:val="003878C7"/>
    <w:rsid w:val="003931A6"/>
    <w:rsid w:val="00397775"/>
    <w:rsid w:val="003A3B4E"/>
    <w:rsid w:val="003A6A39"/>
    <w:rsid w:val="003A6BE2"/>
    <w:rsid w:val="003A7A22"/>
    <w:rsid w:val="003B0526"/>
    <w:rsid w:val="003B4D1F"/>
    <w:rsid w:val="003C08BA"/>
    <w:rsid w:val="003C2DFE"/>
    <w:rsid w:val="003D0BAD"/>
    <w:rsid w:val="003D21CC"/>
    <w:rsid w:val="003D2911"/>
    <w:rsid w:val="003D35BD"/>
    <w:rsid w:val="003D5811"/>
    <w:rsid w:val="003D7AE9"/>
    <w:rsid w:val="003E208B"/>
    <w:rsid w:val="003E5C83"/>
    <w:rsid w:val="003E65ED"/>
    <w:rsid w:val="003E7374"/>
    <w:rsid w:val="003E7E55"/>
    <w:rsid w:val="003F6B06"/>
    <w:rsid w:val="004010BA"/>
    <w:rsid w:val="00401C3F"/>
    <w:rsid w:val="00407F8A"/>
    <w:rsid w:val="00424911"/>
    <w:rsid w:val="0043435A"/>
    <w:rsid w:val="00444162"/>
    <w:rsid w:val="00447605"/>
    <w:rsid w:val="00454057"/>
    <w:rsid w:val="004540AC"/>
    <w:rsid w:val="004568D8"/>
    <w:rsid w:val="00463927"/>
    <w:rsid w:val="00464EDA"/>
    <w:rsid w:val="00466239"/>
    <w:rsid w:val="004670D4"/>
    <w:rsid w:val="00470CF7"/>
    <w:rsid w:val="00472C60"/>
    <w:rsid w:val="0047412A"/>
    <w:rsid w:val="00476481"/>
    <w:rsid w:val="00481045"/>
    <w:rsid w:val="0048479A"/>
    <w:rsid w:val="00486352"/>
    <w:rsid w:val="00486A82"/>
    <w:rsid w:val="00496593"/>
    <w:rsid w:val="004A0C93"/>
    <w:rsid w:val="004A1423"/>
    <w:rsid w:val="004A3725"/>
    <w:rsid w:val="004A4591"/>
    <w:rsid w:val="004A4EAF"/>
    <w:rsid w:val="004A784D"/>
    <w:rsid w:val="004B5CE2"/>
    <w:rsid w:val="004B73DA"/>
    <w:rsid w:val="004B7C6B"/>
    <w:rsid w:val="004C5F1B"/>
    <w:rsid w:val="004D5B96"/>
    <w:rsid w:val="004D6B38"/>
    <w:rsid w:val="004E13D2"/>
    <w:rsid w:val="004E33A7"/>
    <w:rsid w:val="004E45F3"/>
    <w:rsid w:val="004E4642"/>
    <w:rsid w:val="004E468C"/>
    <w:rsid w:val="004E4A31"/>
    <w:rsid w:val="004E65DF"/>
    <w:rsid w:val="004E6CCC"/>
    <w:rsid w:val="004F19C4"/>
    <w:rsid w:val="004F2F12"/>
    <w:rsid w:val="004F4BF7"/>
    <w:rsid w:val="004F6B92"/>
    <w:rsid w:val="0050064B"/>
    <w:rsid w:val="0050224D"/>
    <w:rsid w:val="005202B3"/>
    <w:rsid w:val="00523140"/>
    <w:rsid w:val="00534504"/>
    <w:rsid w:val="0054647C"/>
    <w:rsid w:val="0054795E"/>
    <w:rsid w:val="00552797"/>
    <w:rsid w:val="005576F2"/>
    <w:rsid w:val="00560FB0"/>
    <w:rsid w:val="00561C4D"/>
    <w:rsid w:val="00561EF8"/>
    <w:rsid w:val="00562029"/>
    <w:rsid w:val="00564B34"/>
    <w:rsid w:val="0057190E"/>
    <w:rsid w:val="005744E2"/>
    <w:rsid w:val="00577FFA"/>
    <w:rsid w:val="005858FC"/>
    <w:rsid w:val="005955A7"/>
    <w:rsid w:val="005976DF"/>
    <w:rsid w:val="005A4581"/>
    <w:rsid w:val="005B0D83"/>
    <w:rsid w:val="005B23E8"/>
    <w:rsid w:val="005B3053"/>
    <w:rsid w:val="005C2483"/>
    <w:rsid w:val="005C28B8"/>
    <w:rsid w:val="005C2BE3"/>
    <w:rsid w:val="005C3FE5"/>
    <w:rsid w:val="005C4660"/>
    <w:rsid w:val="005D561C"/>
    <w:rsid w:val="005D7379"/>
    <w:rsid w:val="005E015E"/>
    <w:rsid w:val="005E0CC3"/>
    <w:rsid w:val="005E28CD"/>
    <w:rsid w:val="005E5B12"/>
    <w:rsid w:val="005F1CBE"/>
    <w:rsid w:val="005F4F32"/>
    <w:rsid w:val="005F5BF8"/>
    <w:rsid w:val="005F5F5B"/>
    <w:rsid w:val="005F658A"/>
    <w:rsid w:val="005F7016"/>
    <w:rsid w:val="006048E3"/>
    <w:rsid w:val="00604DC1"/>
    <w:rsid w:val="00606CE7"/>
    <w:rsid w:val="00620D93"/>
    <w:rsid w:val="00621DF0"/>
    <w:rsid w:val="00621E5B"/>
    <w:rsid w:val="00622C08"/>
    <w:rsid w:val="00623EE2"/>
    <w:rsid w:val="006252A6"/>
    <w:rsid w:val="00633AD3"/>
    <w:rsid w:val="00636545"/>
    <w:rsid w:val="006445C1"/>
    <w:rsid w:val="00651950"/>
    <w:rsid w:val="00651FBF"/>
    <w:rsid w:val="00652F30"/>
    <w:rsid w:val="00660643"/>
    <w:rsid w:val="00664ACD"/>
    <w:rsid w:val="006655D8"/>
    <w:rsid w:val="006706CB"/>
    <w:rsid w:val="00670CD3"/>
    <w:rsid w:val="00672236"/>
    <w:rsid w:val="006735DA"/>
    <w:rsid w:val="00673D7D"/>
    <w:rsid w:val="006756CC"/>
    <w:rsid w:val="00676B48"/>
    <w:rsid w:val="00690336"/>
    <w:rsid w:val="00690F87"/>
    <w:rsid w:val="006946DE"/>
    <w:rsid w:val="0069557F"/>
    <w:rsid w:val="006A156C"/>
    <w:rsid w:val="006A1FA6"/>
    <w:rsid w:val="006A4213"/>
    <w:rsid w:val="006A6510"/>
    <w:rsid w:val="006B301F"/>
    <w:rsid w:val="006B684E"/>
    <w:rsid w:val="006B6F15"/>
    <w:rsid w:val="006B788A"/>
    <w:rsid w:val="006C5223"/>
    <w:rsid w:val="006C7368"/>
    <w:rsid w:val="006C73B2"/>
    <w:rsid w:val="006D0619"/>
    <w:rsid w:val="006D3FD6"/>
    <w:rsid w:val="006D421A"/>
    <w:rsid w:val="006E00A1"/>
    <w:rsid w:val="006E1158"/>
    <w:rsid w:val="006E284D"/>
    <w:rsid w:val="006E5A2A"/>
    <w:rsid w:val="006E7014"/>
    <w:rsid w:val="006F4FA5"/>
    <w:rsid w:val="006F6C06"/>
    <w:rsid w:val="00706E47"/>
    <w:rsid w:val="007205E7"/>
    <w:rsid w:val="0072153F"/>
    <w:rsid w:val="00725125"/>
    <w:rsid w:val="007302D7"/>
    <w:rsid w:val="007316F4"/>
    <w:rsid w:val="0073225A"/>
    <w:rsid w:val="007330BF"/>
    <w:rsid w:val="00733B6E"/>
    <w:rsid w:val="00734A87"/>
    <w:rsid w:val="007356DF"/>
    <w:rsid w:val="00742154"/>
    <w:rsid w:val="00743F70"/>
    <w:rsid w:val="00744FFB"/>
    <w:rsid w:val="00753F2D"/>
    <w:rsid w:val="007572D0"/>
    <w:rsid w:val="00757FDB"/>
    <w:rsid w:val="00760511"/>
    <w:rsid w:val="0076364A"/>
    <w:rsid w:val="00764C45"/>
    <w:rsid w:val="00781407"/>
    <w:rsid w:val="00782407"/>
    <w:rsid w:val="007835E7"/>
    <w:rsid w:val="0079099E"/>
    <w:rsid w:val="007930EA"/>
    <w:rsid w:val="007964A6"/>
    <w:rsid w:val="007A2217"/>
    <w:rsid w:val="007A56FD"/>
    <w:rsid w:val="007A6816"/>
    <w:rsid w:val="007B02B1"/>
    <w:rsid w:val="007B4CBB"/>
    <w:rsid w:val="007C5905"/>
    <w:rsid w:val="007D53EB"/>
    <w:rsid w:val="007E0A60"/>
    <w:rsid w:val="007E1BCE"/>
    <w:rsid w:val="007E4606"/>
    <w:rsid w:val="007E5A95"/>
    <w:rsid w:val="007E641A"/>
    <w:rsid w:val="007E69FA"/>
    <w:rsid w:val="007F0FCE"/>
    <w:rsid w:val="007F3E3B"/>
    <w:rsid w:val="007F547A"/>
    <w:rsid w:val="00801F23"/>
    <w:rsid w:val="008026FB"/>
    <w:rsid w:val="008030F9"/>
    <w:rsid w:val="00805D11"/>
    <w:rsid w:val="00807851"/>
    <w:rsid w:val="00812451"/>
    <w:rsid w:val="008168B7"/>
    <w:rsid w:val="00816A00"/>
    <w:rsid w:val="00817F84"/>
    <w:rsid w:val="00820A40"/>
    <w:rsid w:val="00822BEC"/>
    <w:rsid w:val="00822D1E"/>
    <w:rsid w:val="008230A1"/>
    <w:rsid w:val="00827DB8"/>
    <w:rsid w:val="008302D1"/>
    <w:rsid w:val="00835B98"/>
    <w:rsid w:val="0084000E"/>
    <w:rsid w:val="00842B80"/>
    <w:rsid w:val="00843FD2"/>
    <w:rsid w:val="00844DA9"/>
    <w:rsid w:val="00850DDC"/>
    <w:rsid w:val="0085153B"/>
    <w:rsid w:val="00853632"/>
    <w:rsid w:val="008641DE"/>
    <w:rsid w:val="008658C1"/>
    <w:rsid w:val="00867678"/>
    <w:rsid w:val="00873B65"/>
    <w:rsid w:val="00875EAC"/>
    <w:rsid w:val="008764B8"/>
    <w:rsid w:val="008859C4"/>
    <w:rsid w:val="008902AB"/>
    <w:rsid w:val="0089120E"/>
    <w:rsid w:val="0089226B"/>
    <w:rsid w:val="008A1E38"/>
    <w:rsid w:val="008A2665"/>
    <w:rsid w:val="008A4AC2"/>
    <w:rsid w:val="008A514A"/>
    <w:rsid w:val="008B583A"/>
    <w:rsid w:val="008B6B7B"/>
    <w:rsid w:val="008C223F"/>
    <w:rsid w:val="008C2E40"/>
    <w:rsid w:val="008D218B"/>
    <w:rsid w:val="008D29D0"/>
    <w:rsid w:val="008D6087"/>
    <w:rsid w:val="008E21A9"/>
    <w:rsid w:val="008E36D1"/>
    <w:rsid w:val="008E36E7"/>
    <w:rsid w:val="008E6B39"/>
    <w:rsid w:val="00900D02"/>
    <w:rsid w:val="00900F94"/>
    <w:rsid w:val="00901C75"/>
    <w:rsid w:val="0090462B"/>
    <w:rsid w:val="009108A5"/>
    <w:rsid w:val="00920ECB"/>
    <w:rsid w:val="00924F4F"/>
    <w:rsid w:val="0092578B"/>
    <w:rsid w:val="00927C8A"/>
    <w:rsid w:val="00930A01"/>
    <w:rsid w:val="009323B5"/>
    <w:rsid w:val="00932A84"/>
    <w:rsid w:val="00937E7B"/>
    <w:rsid w:val="00941B2C"/>
    <w:rsid w:val="00942001"/>
    <w:rsid w:val="009447E6"/>
    <w:rsid w:val="00947928"/>
    <w:rsid w:val="009604C7"/>
    <w:rsid w:val="00961526"/>
    <w:rsid w:val="0096460D"/>
    <w:rsid w:val="00964CBB"/>
    <w:rsid w:val="00965191"/>
    <w:rsid w:val="00970267"/>
    <w:rsid w:val="00970BB8"/>
    <w:rsid w:val="00972EC5"/>
    <w:rsid w:val="00980A24"/>
    <w:rsid w:val="009816F0"/>
    <w:rsid w:val="009832BA"/>
    <w:rsid w:val="00983A88"/>
    <w:rsid w:val="00983DD3"/>
    <w:rsid w:val="00985B01"/>
    <w:rsid w:val="00986B4C"/>
    <w:rsid w:val="009934EF"/>
    <w:rsid w:val="009A0E16"/>
    <w:rsid w:val="009A1E96"/>
    <w:rsid w:val="009A4595"/>
    <w:rsid w:val="009A4BE6"/>
    <w:rsid w:val="009A78BE"/>
    <w:rsid w:val="009B1A1B"/>
    <w:rsid w:val="009B6053"/>
    <w:rsid w:val="009C5A9B"/>
    <w:rsid w:val="009D0D12"/>
    <w:rsid w:val="009D2C14"/>
    <w:rsid w:val="009D2D48"/>
    <w:rsid w:val="009E0F49"/>
    <w:rsid w:val="009E320B"/>
    <w:rsid w:val="009E7C70"/>
    <w:rsid w:val="009F6DA4"/>
    <w:rsid w:val="00A0626A"/>
    <w:rsid w:val="00A069CE"/>
    <w:rsid w:val="00A0743C"/>
    <w:rsid w:val="00A07531"/>
    <w:rsid w:val="00A078CD"/>
    <w:rsid w:val="00A2397C"/>
    <w:rsid w:val="00A30259"/>
    <w:rsid w:val="00A329BA"/>
    <w:rsid w:val="00A33137"/>
    <w:rsid w:val="00A4097A"/>
    <w:rsid w:val="00A45FFF"/>
    <w:rsid w:val="00A47858"/>
    <w:rsid w:val="00A55B0D"/>
    <w:rsid w:val="00A56E4C"/>
    <w:rsid w:val="00A61CD1"/>
    <w:rsid w:val="00A62E11"/>
    <w:rsid w:val="00A73490"/>
    <w:rsid w:val="00A75915"/>
    <w:rsid w:val="00A841A6"/>
    <w:rsid w:val="00A8781C"/>
    <w:rsid w:val="00A91833"/>
    <w:rsid w:val="00A92F08"/>
    <w:rsid w:val="00AA29D7"/>
    <w:rsid w:val="00AB4E80"/>
    <w:rsid w:val="00AB6336"/>
    <w:rsid w:val="00AC2D00"/>
    <w:rsid w:val="00AC4A87"/>
    <w:rsid w:val="00AC6FF6"/>
    <w:rsid w:val="00AD34EC"/>
    <w:rsid w:val="00AD5E53"/>
    <w:rsid w:val="00AD604C"/>
    <w:rsid w:val="00AD68BD"/>
    <w:rsid w:val="00AD7096"/>
    <w:rsid w:val="00AE4D16"/>
    <w:rsid w:val="00AF4217"/>
    <w:rsid w:val="00B02992"/>
    <w:rsid w:val="00B1137A"/>
    <w:rsid w:val="00B12481"/>
    <w:rsid w:val="00B21CC6"/>
    <w:rsid w:val="00B264DB"/>
    <w:rsid w:val="00B34432"/>
    <w:rsid w:val="00B357DB"/>
    <w:rsid w:val="00B37A4E"/>
    <w:rsid w:val="00B428EA"/>
    <w:rsid w:val="00B42BF3"/>
    <w:rsid w:val="00B45F2A"/>
    <w:rsid w:val="00B541A3"/>
    <w:rsid w:val="00B57EBA"/>
    <w:rsid w:val="00B62219"/>
    <w:rsid w:val="00B71653"/>
    <w:rsid w:val="00B72DD0"/>
    <w:rsid w:val="00B7749A"/>
    <w:rsid w:val="00B774F6"/>
    <w:rsid w:val="00B815AA"/>
    <w:rsid w:val="00B81FEB"/>
    <w:rsid w:val="00B82445"/>
    <w:rsid w:val="00B85575"/>
    <w:rsid w:val="00B92351"/>
    <w:rsid w:val="00B9405F"/>
    <w:rsid w:val="00B961FE"/>
    <w:rsid w:val="00B963D8"/>
    <w:rsid w:val="00B970A4"/>
    <w:rsid w:val="00BA032A"/>
    <w:rsid w:val="00BA0ABF"/>
    <w:rsid w:val="00BA12BB"/>
    <w:rsid w:val="00BA5E21"/>
    <w:rsid w:val="00BA7348"/>
    <w:rsid w:val="00BA7CDE"/>
    <w:rsid w:val="00BB04CE"/>
    <w:rsid w:val="00BB71A1"/>
    <w:rsid w:val="00BB7D41"/>
    <w:rsid w:val="00BC14B0"/>
    <w:rsid w:val="00BC1AC5"/>
    <w:rsid w:val="00BC6B09"/>
    <w:rsid w:val="00BD0D20"/>
    <w:rsid w:val="00BD304C"/>
    <w:rsid w:val="00BD4B58"/>
    <w:rsid w:val="00BD593F"/>
    <w:rsid w:val="00BE277A"/>
    <w:rsid w:val="00BF33A2"/>
    <w:rsid w:val="00BF4A2D"/>
    <w:rsid w:val="00BF63E0"/>
    <w:rsid w:val="00BF7F35"/>
    <w:rsid w:val="00C0645C"/>
    <w:rsid w:val="00C06BB1"/>
    <w:rsid w:val="00C206EE"/>
    <w:rsid w:val="00C27225"/>
    <w:rsid w:val="00C27D4F"/>
    <w:rsid w:val="00C31FD6"/>
    <w:rsid w:val="00C327D9"/>
    <w:rsid w:val="00C33FCC"/>
    <w:rsid w:val="00C34714"/>
    <w:rsid w:val="00C34978"/>
    <w:rsid w:val="00C4754C"/>
    <w:rsid w:val="00C50416"/>
    <w:rsid w:val="00C51F53"/>
    <w:rsid w:val="00C55ABA"/>
    <w:rsid w:val="00C571A2"/>
    <w:rsid w:val="00C60ACD"/>
    <w:rsid w:val="00C615EB"/>
    <w:rsid w:val="00C61E18"/>
    <w:rsid w:val="00C6358F"/>
    <w:rsid w:val="00C64479"/>
    <w:rsid w:val="00C70467"/>
    <w:rsid w:val="00C704A5"/>
    <w:rsid w:val="00C71D74"/>
    <w:rsid w:val="00C774A8"/>
    <w:rsid w:val="00C827AE"/>
    <w:rsid w:val="00C91C1A"/>
    <w:rsid w:val="00C92D17"/>
    <w:rsid w:val="00C92EB2"/>
    <w:rsid w:val="00C96B00"/>
    <w:rsid w:val="00CA1130"/>
    <w:rsid w:val="00CA61DB"/>
    <w:rsid w:val="00CB3748"/>
    <w:rsid w:val="00CB7DA1"/>
    <w:rsid w:val="00CC0842"/>
    <w:rsid w:val="00CC0EB3"/>
    <w:rsid w:val="00CC3249"/>
    <w:rsid w:val="00CD1424"/>
    <w:rsid w:val="00CD6122"/>
    <w:rsid w:val="00CD64B3"/>
    <w:rsid w:val="00CD70DD"/>
    <w:rsid w:val="00CE5D31"/>
    <w:rsid w:val="00CE6C16"/>
    <w:rsid w:val="00CF1573"/>
    <w:rsid w:val="00CF1724"/>
    <w:rsid w:val="00CF546C"/>
    <w:rsid w:val="00CF683B"/>
    <w:rsid w:val="00CF71ED"/>
    <w:rsid w:val="00D100C1"/>
    <w:rsid w:val="00D14BBE"/>
    <w:rsid w:val="00D24E00"/>
    <w:rsid w:val="00D253C7"/>
    <w:rsid w:val="00D33ACA"/>
    <w:rsid w:val="00D40946"/>
    <w:rsid w:val="00D409E3"/>
    <w:rsid w:val="00D42214"/>
    <w:rsid w:val="00D4294D"/>
    <w:rsid w:val="00D50256"/>
    <w:rsid w:val="00D510E0"/>
    <w:rsid w:val="00D52B45"/>
    <w:rsid w:val="00D52E5E"/>
    <w:rsid w:val="00D53E9B"/>
    <w:rsid w:val="00D5770A"/>
    <w:rsid w:val="00D62016"/>
    <w:rsid w:val="00D662C3"/>
    <w:rsid w:val="00D6641B"/>
    <w:rsid w:val="00D679A7"/>
    <w:rsid w:val="00D80E00"/>
    <w:rsid w:val="00D82498"/>
    <w:rsid w:val="00D851F1"/>
    <w:rsid w:val="00D8708D"/>
    <w:rsid w:val="00D91A4B"/>
    <w:rsid w:val="00D93727"/>
    <w:rsid w:val="00D9379C"/>
    <w:rsid w:val="00DA1DD4"/>
    <w:rsid w:val="00DA7CBE"/>
    <w:rsid w:val="00DA7F5A"/>
    <w:rsid w:val="00DB00E4"/>
    <w:rsid w:val="00DB17CF"/>
    <w:rsid w:val="00DB1A4A"/>
    <w:rsid w:val="00DB35D7"/>
    <w:rsid w:val="00DB4141"/>
    <w:rsid w:val="00DB4E98"/>
    <w:rsid w:val="00DB601F"/>
    <w:rsid w:val="00DC3289"/>
    <w:rsid w:val="00DC33EA"/>
    <w:rsid w:val="00DD1452"/>
    <w:rsid w:val="00DD37A2"/>
    <w:rsid w:val="00DD77A3"/>
    <w:rsid w:val="00DF5CAF"/>
    <w:rsid w:val="00DF6184"/>
    <w:rsid w:val="00DF771B"/>
    <w:rsid w:val="00DF7A98"/>
    <w:rsid w:val="00E014B0"/>
    <w:rsid w:val="00E02170"/>
    <w:rsid w:val="00E04D2A"/>
    <w:rsid w:val="00E04FD5"/>
    <w:rsid w:val="00E06EAF"/>
    <w:rsid w:val="00E07FB7"/>
    <w:rsid w:val="00E10673"/>
    <w:rsid w:val="00E15D18"/>
    <w:rsid w:val="00E165CE"/>
    <w:rsid w:val="00E23589"/>
    <w:rsid w:val="00E23984"/>
    <w:rsid w:val="00E37602"/>
    <w:rsid w:val="00E4183D"/>
    <w:rsid w:val="00E4404D"/>
    <w:rsid w:val="00E454AF"/>
    <w:rsid w:val="00E46AE5"/>
    <w:rsid w:val="00E50FBE"/>
    <w:rsid w:val="00E51E3A"/>
    <w:rsid w:val="00E55DE0"/>
    <w:rsid w:val="00E63F2E"/>
    <w:rsid w:val="00E649E6"/>
    <w:rsid w:val="00E65883"/>
    <w:rsid w:val="00E665CF"/>
    <w:rsid w:val="00E7155F"/>
    <w:rsid w:val="00E72B9C"/>
    <w:rsid w:val="00E84F0C"/>
    <w:rsid w:val="00E8604A"/>
    <w:rsid w:val="00EA0DA3"/>
    <w:rsid w:val="00EA48C8"/>
    <w:rsid w:val="00EB6759"/>
    <w:rsid w:val="00ED10A8"/>
    <w:rsid w:val="00ED11AE"/>
    <w:rsid w:val="00ED4174"/>
    <w:rsid w:val="00ED75C5"/>
    <w:rsid w:val="00EE13C5"/>
    <w:rsid w:val="00EE2C69"/>
    <w:rsid w:val="00EE39CD"/>
    <w:rsid w:val="00EF559E"/>
    <w:rsid w:val="00EF5769"/>
    <w:rsid w:val="00EF6A30"/>
    <w:rsid w:val="00F06F0A"/>
    <w:rsid w:val="00F07D49"/>
    <w:rsid w:val="00F102E7"/>
    <w:rsid w:val="00F1132E"/>
    <w:rsid w:val="00F20B23"/>
    <w:rsid w:val="00F20E5A"/>
    <w:rsid w:val="00F254A7"/>
    <w:rsid w:val="00F26B52"/>
    <w:rsid w:val="00F31D1F"/>
    <w:rsid w:val="00F37030"/>
    <w:rsid w:val="00F426CD"/>
    <w:rsid w:val="00F4580A"/>
    <w:rsid w:val="00F5203F"/>
    <w:rsid w:val="00F52743"/>
    <w:rsid w:val="00F5557B"/>
    <w:rsid w:val="00F57A7A"/>
    <w:rsid w:val="00F6160E"/>
    <w:rsid w:val="00F61B85"/>
    <w:rsid w:val="00F641E3"/>
    <w:rsid w:val="00F64A35"/>
    <w:rsid w:val="00F67857"/>
    <w:rsid w:val="00F6797F"/>
    <w:rsid w:val="00F700F6"/>
    <w:rsid w:val="00F74592"/>
    <w:rsid w:val="00F7534E"/>
    <w:rsid w:val="00F8374B"/>
    <w:rsid w:val="00F8448D"/>
    <w:rsid w:val="00F90E51"/>
    <w:rsid w:val="00F9249F"/>
    <w:rsid w:val="00F94C6D"/>
    <w:rsid w:val="00F94F19"/>
    <w:rsid w:val="00F97048"/>
    <w:rsid w:val="00FA0FC9"/>
    <w:rsid w:val="00FA55AD"/>
    <w:rsid w:val="00FA62DA"/>
    <w:rsid w:val="00FB15E9"/>
    <w:rsid w:val="00FC171B"/>
    <w:rsid w:val="00FC3B31"/>
    <w:rsid w:val="00FC575B"/>
    <w:rsid w:val="00FC5A65"/>
    <w:rsid w:val="00FC6895"/>
    <w:rsid w:val="00FD02CA"/>
    <w:rsid w:val="00FD1A28"/>
    <w:rsid w:val="00FD2D62"/>
    <w:rsid w:val="00FD3A1E"/>
    <w:rsid w:val="00FD3E07"/>
    <w:rsid w:val="00FE0F05"/>
    <w:rsid w:val="00FE1F9A"/>
    <w:rsid w:val="00FE3169"/>
    <w:rsid w:val="00FE65BF"/>
    <w:rsid w:val="00FE6BE1"/>
    <w:rsid w:val="00FF1702"/>
    <w:rsid w:val="00FF1DD7"/>
    <w:rsid w:val="00FF39DD"/>
    <w:rsid w:val="00FF3D6B"/>
    <w:rsid w:val="39DC9DCA"/>
    <w:rsid w:val="63848E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F1E69"/>
  <w15:chartTrackingRefBased/>
  <w15:docId w15:val="{AFC9C30B-670F-4186-BACF-5862697E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895"/>
    <w:pPr>
      <w:spacing w:before="240" w:after="240" w:line="288" w:lineRule="auto"/>
      <w:jc w:val="both"/>
    </w:pPr>
  </w:style>
  <w:style w:type="paragraph" w:styleId="Ttulo1">
    <w:name w:val="heading 1"/>
    <w:basedOn w:val="Normal"/>
    <w:next w:val="Normal"/>
    <w:link w:val="Ttulo1Car"/>
    <w:uiPriority w:val="9"/>
    <w:qFormat/>
    <w:rsid w:val="001E7CE6"/>
    <w:pPr>
      <w:keepNext/>
      <w:keepLines/>
      <w:jc w:val="center"/>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E7CE6"/>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7CE6"/>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1E7CE6"/>
    <w:rPr>
      <w:rFonts w:asciiTheme="majorHAnsi" w:eastAsiaTheme="majorEastAsia" w:hAnsiTheme="majorHAnsi" w:cstheme="majorBidi"/>
      <w:color w:val="2F5496" w:themeColor="accent1" w:themeShade="BF"/>
      <w:sz w:val="26"/>
      <w:szCs w:val="26"/>
    </w:rPr>
  </w:style>
  <w:style w:type="paragraph" w:styleId="Prrafodelista">
    <w:name w:val="List Paragraph"/>
    <w:aliases w:val="FooterTe,Foot,List Paragraph2,List Paragraph21,リスト段落1,Párrafo de lista21,Nivel 1 OS,Paragraphe de liste1,列出段落,Párrafo de lista3,Segundo nivel de viñetas,List Paragraph,List Paragraph1,Segundo nivel de vi–etas,Segundo nivel de vi_etas,Ha"/>
    <w:basedOn w:val="Normal"/>
    <w:link w:val="PrrafodelistaCar"/>
    <w:uiPriority w:val="34"/>
    <w:qFormat/>
    <w:rsid w:val="007F3E3B"/>
    <w:pPr>
      <w:ind w:left="720"/>
      <w:contextualSpacing/>
    </w:pPr>
  </w:style>
  <w:style w:type="paragraph" w:styleId="Textodeglobo">
    <w:name w:val="Balloon Text"/>
    <w:basedOn w:val="Normal"/>
    <w:link w:val="TextodegloboCar"/>
    <w:uiPriority w:val="99"/>
    <w:semiHidden/>
    <w:unhideWhenUsed/>
    <w:rsid w:val="008A1E38"/>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1E38"/>
    <w:rPr>
      <w:rFonts w:ascii="Segoe UI" w:hAnsi="Segoe UI" w:cs="Segoe UI"/>
      <w:sz w:val="18"/>
      <w:szCs w:val="18"/>
    </w:rPr>
  </w:style>
  <w:style w:type="character" w:styleId="Hipervnculo">
    <w:name w:val="Hyperlink"/>
    <w:basedOn w:val="Fuentedeprrafopredeter"/>
    <w:uiPriority w:val="99"/>
    <w:unhideWhenUsed/>
    <w:rsid w:val="003D7AE9"/>
    <w:rPr>
      <w:color w:val="0563C1"/>
      <w:u w:val="single"/>
    </w:rPr>
  </w:style>
  <w:style w:type="character" w:styleId="Hipervnculovisitado">
    <w:name w:val="FollowedHyperlink"/>
    <w:basedOn w:val="Fuentedeprrafopredeter"/>
    <w:uiPriority w:val="99"/>
    <w:semiHidden/>
    <w:unhideWhenUsed/>
    <w:rsid w:val="003D7AE9"/>
    <w:rPr>
      <w:color w:val="954F72"/>
      <w:u w:val="single"/>
    </w:rPr>
  </w:style>
  <w:style w:type="paragraph" w:customStyle="1" w:styleId="msonormal0">
    <w:name w:val="msonormal"/>
    <w:basedOn w:val="Normal"/>
    <w:rsid w:val="003D7AE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5">
    <w:name w:val="xl65"/>
    <w:basedOn w:val="Normal"/>
    <w:rsid w:val="003D7A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66">
    <w:name w:val="xl66"/>
    <w:basedOn w:val="Normal"/>
    <w:rsid w:val="003D7A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67">
    <w:name w:val="xl67"/>
    <w:basedOn w:val="Normal"/>
    <w:rsid w:val="003D7A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68">
    <w:name w:val="xl68"/>
    <w:basedOn w:val="Normal"/>
    <w:rsid w:val="003D7A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69">
    <w:name w:val="xl69"/>
    <w:basedOn w:val="Normal"/>
    <w:rsid w:val="003D7A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0">
    <w:name w:val="xl70"/>
    <w:basedOn w:val="Normal"/>
    <w:rsid w:val="003D7A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1">
    <w:name w:val="xl71"/>
    <w:basedOn w:val="Normal"/>
    <w:rsid w:val="003D7AE9"/>
    <w:pP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2">
    <w:name w:val="xl72"/>
    <w:basedOn w:val="Normal"/>
    <w:rsid w:val="003D7A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eastAsia="es-CO"/>
    </w:rPr>
  </w:style>
  <w:style w:type="paragraph" w:customStyle="1" w:styleId="xl73">
    <w:name w:val="xl73"/>
    <w:basedOn w:val="Normal"/>
    <w:rsid w:val="003D7A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eastAsia="es-CO"/>
    </w:rPr>
  </w:style>
  <w:style w:type="paragraph" w:customStyle="1" w:styleId="xl74">
    <w:name w:val="xl74"/>
    <w:basedOn w:val="Normal"/>
    <w:rsid w:val="003D7AE9"/>
    <w:pPr>
      <w:shd w:val="clear" w:color="000000" w:fill="FFFFFF"/>
      <w:spacing w:before="100" w:beforeAutospacing="1" w:after="100" w:afterAutospacing="1"/>
    </w:pPr>
    <w:rPr>
      <w:rFonts w:ascii="Times New Roman" w:eastAsia="Times New Roman" w:hAnsi="Times New Roman" w:cs="Times New Roman"/>
      <w:sz w:val="16"/>
      <w:szCs w:val="16"/>
      <w:lang w:eastAsia="es-CO"/>
    </w:rPr>
  </w:style>
  <w:style w:type="paragraph" w:customStyle="1" w:styleId="xl75">
    <w:name w:val="xl75"/>
    <w:basedOn w:val="Normal"/>
    <w:rsid w:val="003D7A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6">
    <w:name w:val="xl76"/>
    <w:basedOn w:val="Normal"/>
    <w:rsid w:val="003D7AE9"/>
    <w:pPr>
      <w:shd w:val="clear" w:color="000000" w:fill="FCE4D6"/>
      <w:spacing w:before="100" w:beforeAutospacing="1" w:after="100" w:afterAutospacing="1"/>
    </w:pPr>
    <w:rPr>
      <w:rFonts w:ascii="Times New Roman" w:eastAsia="Times New Roman" w:hAnsi="Times New Roman" w:cs="Times New Roman"/>
      <w:sz w:val="16"/>
      <w:szCs w:val="16"/>
      <w:lang w:eastAsia="es-CO"/>
    </w:rPr>
  </w:style>
  <w:style w:type="paragraph" w:customStyle="1" w:styleId="xl77">
    <w:name w:val="xl77"/>
    <w:basedOn w:val="Normal"/>
    <w:rsid w:val="003D7AE9"/>
    <w:pPr>
      <w:shd w:val="clear" w:color="000000" w:fill="FCE4D6"/>
      <w:spacing w:before="100" w:beforeAutospacing="1" w:after="100" w:afterAutospacing="1"/>
    </w:pPr>
    <w:rPr>
      <w:rFonts w:ascii="Times New Roman" w:eastAsia="Times New Roman" w:hAnsi="Times New Roman" w:cs="Times New Roman"/>
      <w:sz w:val="16"/>
      <w:szCs w:val="16"/>
      <w:lang w:eastAsia="es-CO"/>
    </w:rPr>
  </w:style>
  <w:style w:type="paragraph" w:customStyle="1" w:styleId="xl78">
    <w:name w:val="xl78"/>
    <w:basedOn w:val="Normal"/>
    <w:rsid w:val="003D7A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Times New Roman" w:eastAsia="Times New Roman" w:hAnsi="Times New Roman" w:cs="Times New Roman"/>
      <w:sz w:val="16"/>
      <w:szCs w:val="16"/>
      <w:lang w:eastAsia="es-CO"/>
    </w:rPr>
  </w:style>
  <w:style w:type="paragraph" w:customStyle="1" w:styleId="xl79">
    <w:name w:val="xl79"/>
    <w:basedOn w:val="Normal"/>
    <w:rsid w:val="003D7A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Times New Roman" w:eastAsia="Times New Roman" w:hAnsi="Times New Roman" w:cs="Times New Roman"/>
      <w:sz w:val="16"/>
      <w:szCs w:val="16"/>
      <w:lang w:eastAsia="es-CO"/>
    </w:rPr>
  </w:style>
  <w:style w:type="paragraph" w:customStyle="1" w:styleId="xl80">
    <w:name w:val="xl80"/>
    <w:basedOn w:val="Normal"/>
    <w:rsid w:val="003D7AE9"/>
    <w:pPr>
      <w:spacing w:before="100" w:beforeAutospacing="1" w:after="100" w:afterAutospacing="1"/>
    </w:pPr>
    <w:rPr>
      <w:rFonts w:ascii="Times New Roman" w:eastAsia="Times New Roman" w:hAnsi="Times New Roman" w:cs="Times New Roman"/>
      <w:sz w:val="16"/>
      <w:szCs w:val="16"/>
      <w:lang w:eastAsia="es-CO"/>
    </w:rPr>
  </w:style>
  <w:style w:type="paragraph" w:customStyle="1" w:styleId="xl81">
    <w:name w:val="xl81"/>
    <w:basedOn w:val="Normal"/>
    <w:rsid w:val="003D7AE9"/>
    <w:pPr>
      <w:spacing w:before="100" w:beforeAutospacing="1" w:after="100" w:afterAutospacing="1"/>
    </w:pPr>
    <w:rPr>
      <w:rFonts w:ascii="Times New Roman" w:eastAsia="Times New Roman" w:hAnsi="Times New Roman" w:cs="Times New Roman"/>
      <w:sz w:val="16"/>
      <w:szCs w:val="16"/>
      <w:lang w:eastAsia="es-CO"/>
    </w:rPr>
  </w:style>
  <w:style w:type="paragraph" w:customStyle="1" w:styleId="xl82">
    <w:name w:val="xl82"/>
    <w:basedOn w:val="Normal"/>
    <w:rsid w:val="003D7AE9"/>
    <w:pPr>
      <w:pBdr>
        <w:bottom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83">
    <w:name w:val="xl83"/>
    <w:basedOn w:val="Normal"/>
    <w:rsid w:val="003D7AE9"/>
    <w:pPr>
      <w:pBdr>
        <w:bottom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84">
    <w:name w:val="xl84"/>
    <w:basedOn w:val="Normal"/>
    <w:rsid w:val="003D7A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character" w:styleId="Refdecomentario">
    <w:name w:val="annotation reference"/>
    <w:basedOn w:val="Fuentedeprrafopredeter"/>
    <w:uiPriority w:val="99"/>
    <w:unhideWhenUsed/>
    <w:rsid w:val="001E6EE0"/>
    <w:rPr>
      <w:sz w:val="16"/>
      <w:szCs w:val="16"/>
    </w:rPr>
  </w:style>
  <w:style w:type="paragraph" w:styleId="Textocomentario">
    <w:name w:val="annotation text"/>
    <w:aliases w:val="Comment Text"/>
    <w:basedOn w:val="Normal"/>
    <w:link w:val="TextocomentarioCar"/>
    <w:uiPriority w:val="99"/>
    <w:unhideWhenUsed/>
    <w:qFormat/>
    <w:rsid w:val="001E6EE0"/>
    <w:rPr>
      <w:sz w:val="20"/>
      <w:szCs w:val="20"/>
    </w:rPr>
  </w:style>
  <w:style w:type="character" w:customStyle="1" w:styleId="TextocomentarioCar">
    <w:name w:val="Texto comentario Car"/>
    <w:aliases w:val="Comment Text Car"/>
    <w:basedOn w:val="Fuentedeprrafopredeter"/>
    <w:link w:val="Textocomentario"/>
    <w:uiPriority w:val="99"/>
    <w:rsid w:val="001E6EE0"/>
    <w:rPr>
      <w:sz w:val="20"/>
      <w:szCs w:val="20"/>
    </w:rPr>
  </w:style>
  <w:style w:type="paragraph" w:styleId="Asuntodelcomentario">
    <w:name w:val="annotation subject"/>
    <w:basedOn w:val="Textocomentario"/>
    <w:next w:val="Textocomentario"/>
    <w:link w:val="AsuntodelcomentarioCar"/>
    <w:uiPriority w:val="99"/>
    <w:semiHidden/>
    <w:unhideWhenUsed/>
    <w:rsid w:val="001E6EE0"/>
    <w:rPr>
      <w:b/>
      <w:bCs/>
    </w:rPr>
  </w:style>
  <w:style w:type="character" w:customStyle="1" w:styleId="AsuntodelcomentarioCar">
    <w:name w:val="Asunto del comentario Car"/>
    <w:basedOn w:val="TextocomentarioCar"/>
    <w:link w:val="Asuntodelcomentario"/>
    <w:uiPriority w:val="99"/>
    <w:semiHidden/>
    <w:rsid w:val="001E6EE0"/>
    <w:rPr>
      <w:b/>
      <w:bCs/>
      <w:sz w:val="20"/>
      <w:szCs w:val="20"/>
    </w:rPr>
  </w:style>
  <w:style w:type="paragraph" w:styleId="Sinespaciado">
    <w:name w:val="No Spacing"/>
    <w:link w:val="SinespaciadoCar"/>
    <w:uiPriority w:val="1"/>
    <w:qFormat/>
    <w:rsid w:val="00C64479"/>
    <w:pPr>
      <w:spacing w:after="0" w:line="240" w:lineRule="auto"/>
      <w:jc w:val="both"/>
    </w:pPr>
    <w:rPr>
      <w:sz w:val="18"/>
      <w:szCs w:val="18"/>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A61CD1"/>
    <w:pPr>
      <w:spacing w:after="0"/>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A61CD1"/>
    <w:rPr>
      <w:sz w:val="20"/>
      <w:szCs w:val="20"/>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basedOn w:val="Fuentedeprrafopredeter"/>
    <w:link w:val="Refdenotaalpie0"/>
    <w:uiPriority w:val="99"/>
    <w:unhideWhenUsed/>
    <w:qFormat/>
    <w:rsid w:val="00A61CD1"/>
    <w:rPr>
      <w:vertAlign w:val="superscript"/>
    </w:rPr>
  </w:style>
  <w:style w:type="paragraph" w:styleId="Ttulo">
    <w:name w:val="Title"/>
    <w:basedOn w:val="Normal"/>
    <w:next w:val="Normal"/>
    <w:link w:val="TtuloCar"/>
    <w:uiPriority w:val="10"/>
    <w:qFormat/>
    <w:rsid w:val="001E7CE6"/>
    <w:pPr>
      <w:spacing w:before="120" w:after="120"/>
      <w:ind w:firstLine="708"/>
      <w:jc w:val="center"/>
    </w:pPr>
    <w:rPr>
      <w:rFonts w:ascii="Arial" w:hAnsi="Arial" w:cs="Arial"/>
      <w:b/>
      <w:bCs/>
    </w:rPr>
  </w:style>
  <w:style w:type="character" w:customStyle="1" w:styleId="TtuloCar">
    <w:name w:val="Título Car"/>
    <w:basedOn w:val="Fuentedeprrafopredeter"/>
    <w:link w:val="Ttulo"/>
    <w:uiPriority w:val="10"/>
    <w:rsid w:val="001E7CE6"/>
    <w:rPr>
      <w:rFonts w:ascii="Arial" w:hAnsi="Arial" w:cs="Arial"/>
      <w:b/>
      <w:bCs/>
    </w:rPr>
  </w:style>
  <w:style w:type="character" w:customStyle="1" w:styleId="PrrafodelistaCar">
    <w:name w:val="Párrafo de lista Car"/>
    <w:aliases w:val="FooterTe Car,Foot Car,List Paragraph2 Car,List Paragraph21 Car,リスト段落1 Car,Párrafo de lista21 Car,Nivel 1 OS Car,Paragraphe de liste1 Car,列出段落 Car,Párrafo de lista3 Car,Segundo nivel de viñetas Car,List Paragraph Car,Ha Car"/>
    <w:link w:val="Prrafodelista"/>
    <w:uiPriority w:val="34"/>
    <w:qFormat/>
    <w:locked/>
    <w:rsid w:val="006756CC"/>
  </w:style>
  <w:style w:type="paragraph" w:customStyle="1" w:styleId="1">
    <w:name w:val="1"/>
    <w:basedOn w:val="Prrafodelista"/>
    <w:next w:val="Sangradetextonormal"/>
    <w:rsid w:val="006756CC"/>
    <w:pPr>
      <w:numPr>
        <w:numId w:val="1"/>
      </w:numPr>
      <w:autoSpaceDE w:val="0"/>
      <w:autoSpaceDN w:val="0"/>
      <w:adjustRightInd w:val="0"/>
      <w:spacing w:before="120" w:after="120"/>
      <w:ind w:left="709"/>
      <w:contextualSpacing w:val="0"/>
    </w:pPr>
    <w:rPr>
      <w:rFonts w:ascii="Arial" w:eastAsia="Times New Roman" w:hAnsi="Arial" w:cs="Arial"/>
      <w:bCs/>
      <w:sz w:val="24"/>
      <w:szCs w:val="24"/>
      <w:lang w:val="es-ES" w:eastAsia="es-ES"/>
    </w:rPr>
  </w:style>
  <w:style w:type="paragraph" w:styleId="Piedepgina">
    <w:name w:val="footer"/>
    <w:basedOn w:val="Normal"/>
    <w:link w:val="PiedepginaCar"/>
    <w:uiPriority w:val="99"/>
    <w:unhideWhenUsed/>
    <w:rsid w:val="006756CC"/>
    <w:pPr>
      <w:tabs>
        <w:tab w:val="center" w:pos="4680"/>
        <w:tab w:val="right" w:pos="9360"/>
      </w:tabs>
      <w:spacing w:before="120" w:after="120"/>
    </w:pPr>
    <w:rPr>
      <w:rFonts w:ascii="Arial" w:eastAsia="Calibri" w:hAnsi="Arial" w:cs="Times New Roman"/>
      <w:sz w:val="24"/>
    </w:rPr>
  </w:style>
  <w:style w:type="character" w:customStyle="1" w:styleId="PiedepginaCar">
    <w:name w:val="Pie de página Car"/>
    <w:basedOn w:val="Fuentedeprrafopredeter"/>
    <w:link w:val="Piedepgina"/>
    <w:uiPriority w:val="99"/>
    <w:rsid w:val="006756CC"/>
    <w:rPr>
      <w:rFonts w:ascii="Arial" w:eastAsia="Calibri" w:hAnsi="Arial" w:cs="Times New Roman"/>
      <w:sz w:val="24"/>
    </w:rPr>
  </w:style>
  <w:style w:type="paragraph" w:styleId="Sangradetextonormal">
    <w:name w:val="Body Text Indent"/>
    <w:basedOn w:val="Normal"/>
    <w:link w:val="SangradetextonormalCar"/>
    <w:uiPriority w:val="99"/>
    <w:semiHidden/>
    <w:unhideWhenUsed/>
    <w:rsid w:val="006756CC"/>
    <w:pPr>
      <w:spacing w:after="120"/>
      <w:ind w:left="283"/>
    </w:pPr>
  </w:style>
  <w:style w:type="character" w:customStyle="1" w:styleId="SangradetextonormalCar">
    <w:name w:val="Sangría de texto normal Car"/>
    <w:basedOn w:val="Fuentedeprrafopredeter"/>
    <w:link w:val="Sangradetextonormal"/>
    <w:uiPriority w:val="99"/>
    <w:semiHidden/>
    <w:rsid w:val="006756CC"/>
  </w:style>
  <w:style w:type="paragraph" w:styleId="Encabezado">
    <w:name w:val="header"/>
    <w:basedOn w:val="Normal"/>
    <w:link w:val="EncabezadoCar"/>
    <w:uiPriority w:val="99"/>
    <w:unhideWhenUsed/>
    <w:rsid w:val="00A0626A"/>
    <w:pPr>
      <w:tabs>
        <w:tab w:val="center" w:pos="4419"/>
        <w:tab w:val="right" w:pos="8838"/>
      </w:tabs>
      <w:spacing w:before="0" w:after="0"/>
    </w:pPr>
  </w:style>
  <w:style w:type="character" w:customStyle="1" w:styleId="EncabezadoCar">
    <w:name w:val="Encabezado Car"/>
    <w:basedOn w:val="Fuentedeprrafopredeter"/>
    <w:link w:val="Encabezado"/>
    <w:uiPriority w:val="99"/>
    <w:rsid w:val="00A0626A"/>
  </w:style>
  <w:style w:type="paragraph" w:styleId="Textoindependiente">
    <w:name w:val="Body Text"/>
    <w:basedOn w:val="Normal"/>
    <w:link w:val="TextoindependienteCar"/>
    <w:unhideWhenUsed/>
    <w:rsid w:val="00CC0842"/>
    <w:pPr>
      <w:spacing w:before="0" w:after="120" w:line="240" w:lineRule="auto"/>
      <w:jc w:val="left"/>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CC0842"/>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F7534E"/>
    <w:pPr>
      <w:widowControl w:val="0"/>
      <w:autoSpaceDE w:val="0"/>
      <w:autoSpaceDN w:val="0"/>
      <w:spacing w:before="0" w:after="0" w:line="240" w:lineRule="auto"/>
      <w:jc w:val="left"/>
    </w:pPr>
    <w:rPr>
      <w:rFonts w:ascii="Arial MT" w:eastAsia="Arial MT" w:hAnsi="Arial MT" w:cs="Arial MT"/>
      <w:lang w:val="es-ES"/>
    </w:rPr>
  </w:style>
  <w:style w:type="character" w:customStyle="1" w:styleId="SinespaciadoCar">
    <w:name w:val="Sin espaciado Car"/>
    <w:link w:val="Sinespaciado"/>
    <w:uiPriority w:val="1"/>
    <w:rsid w:val="0069557F"/>
    <w:rPr>
      <w:sz w:val="18"/>
      <w:szCs w:val="18"/>
    </w:rPr>
  </w:style>
  <w:style w:type="paragraph" w:customStyle="1" w:styleId="m5644901651972901150msonospacing">
    <w:name w:val="m_5644901651972901150msonospacing"/>
    <w:basedOn w:val="Normal"/>
    <w:rsid w:val="00B541A3"/>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table" w:styleId="Tablaconcuadrcula1clara">
    <w:name w:val="Grid Table 1 Light"/>
    <w:basedOn w:val="Tablanormal"/>
    <w:uiPriority w:val="46"/>
    <w:rsid w:val="003278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69033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6903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BF4A2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3">
    <w:name w:val="Grid Table 1 Light Accent 3"/>
    <w:basedOn w:val="Tablanormal"/>
    <w:uiPriority w:val="46"/>
    <w:rsid w:val="00D80E0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03622C"/>
    <w:rPr>
      <w:color w:val="605E5C"/>
      <w:shd w:val="clear" w:color="auto" w:fill="E1DFDD"/>
    </w:rPr>
  </w:style>
  <w:style w:type="paragraph" w:customStyle="1" w:styleId="Refdenotaalpie0">
    <w:name w:val="Ref. de nota al pie."/>
    <w:aliases w:val="Appel note de bas de..."/>
    <w:basedOn w:val="Normal"/>
    <w:link w:val="Refdenotaalpie"/>
    <w:uiPriority w:val="99"/>
    <w:rsid w:val="00076B6A"/>
    <w:pPr>
      <w:spacing w:before="120" w:after="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4375">
      <w:bodyDiv w:val="1"/>
      <w:marLeft w:val="0"/>
      <w:marRight w:val="0"/>
      <w:marTop w:val="0"/>
      <w:marBottom w:val="0"/>
      <w:divBdr>
        <w:top w:val="none" w:sz="0" w:space="0" w:color="auto"/>
        <w:left w:val="none" w:sz="0" w:space="0" w:color="auto"/>
        <w:bottom w:val="none" w:sz="0" w:space="0" w:color="auto"/>
        <w:right w:val="none" w:sz="0" w:space="0" w:color="auto"/>
      </w:divBdr>
    </w:div>
    <w:div w:id="23405045">
      <w:bodyDiv w:val="1"/>
      <w:marLeft w:val="0"/>
      <w:marRight w:val="0"/>
      <w:marTop w:val="0"/>
      <w:marBottom w:val="0"/>
      <w:divBdr>
        <w:top w:val="none" w:sz="0" w:space="0" w:color="auto"/>
        <w:left w:val="none" w:sz="0" w:space="0" w:color="auto"/>
        <w:bottom w:val="none" w:sz="0" w:space="0" w:color="auto"/>
        <w:right w:val="none" w:sz="0" w:space="0" w:color="auto"/>
      </w:divBdr>
    </w:div>
    <w:div w:id="53352614">
      <w:bodyDiv w:val="1"/>
      <w:marLeft w:val="0"/>
      <w:marRight w:val="0"/>
      <w:marTop w:val="0"/>
      <w:marBottom w:val="0"/>
      <w:divBdr>
        <w:top w:val="none" w:sz="0" w:space="0" w:color="auto"/>
        <w:left w:val="none" w:sz="0" w:space="0" w:color="auto"/>
        <w:bottom w:val="none" w:sz="0" w:space="0" w:color="auto"/>
        <w:right w:val="none" w:sz="0" w:space="0" w:color="auto"/>
      </w:divBdr>
    </w:div>
    <w:div w:id="95709894">
      <w:bodyDiv w:val="1"/>
      <w:marLeft w:val="0"/>
      <w:marRight w:val="0"/>
      <w:marTop w:val="0"/>
      <w:marBottom w:val="0"/>
      <w:divBdr>
        <w:top w:val="none" w:sz="0" w:space="0" w:color="auto"/>
        <w:left w:val="none" w:sz="0" w:space="0" w:color="auto"/>
        <w:bottom w:val="none" w:sz="0" w:space="0" w:color="auto"/>
        <w:right w:val="none" w:sz="0" w:space="0" w:color="auto"/>
      </w:divBdr>
    </w:div>
    <w:div w:id="120196268">
      <w:bodyDiv w:val="1"/>
      <w:marLeft w:val="0"/>
      <w:marRight w:val="0"/>
      <w:marTop w:val="0"/>
      <w:marBottom w:val="0"/>
      <w:divBdr>
        <w:top w:val="none" w:sz="0" w:space="0" w:color="auto"/>
        <w:left w:val="none" w:sz="0" w:space="0" w:color="auto"/>
        <w:bottom w:val="none" w:sz="0" w:space="0" w:color="auto"/>
        <w:right w:val="none" w:sz="0" w:space="0" w:color="auto"/>
      </w:divBdr>
    </w:div>
    <w:div w:id="125198643">
      <w:bodyDiv w:val="1"/>
      <w:marLeft w:val="0"/>
      <w:marRight w:val="0"/>
      <w:marTop w:val="0"/>
      <w:marBottom w:val="0"/>
      <w:divBdr>
        <w:top w:val="none" w:sz="0" w:space="0" w:color="auto"/>
        <w:left w:val="none" w:sz="0" w:space="0" w:color="auto"/>
        <w:bottom w:val="none" w:sz="0" w:space="0" w:color="auto"/>
        <w:right w:val="none" w:sz="0" w:space="0" w:color="auto"/>
      </w:divBdr>
    </w:div>
    <w:div w:id="138960638">
      <w:bodyDiv w:val="1"/>
      <w:marLeft w:val="0"/>
      <w:marRight w:val="0"/>
      <w:marTop w:val="0"/>
      <w:marBottom w:val="0"/>
      <w:divBdr>
        <w:top w:val="none" w:sz="0" w:space="0" w:color="auto"/>
        <w:left w:val="none" w:sz="0" w:space="0" w:color="auto"/>
        <w:bottom w:val="none" w:sz="0" w:space="0" w:color="auto"/>
        <w:right w:val="none" w:sz="0" w:space="0" w:color="auto"/>
      </w:divBdr>
    </w:div>
    <w:div w:id="157772035">
      <w:bodyDiv w:val="1"/>
      <w:marLeft w:val="0"/>
      <w:marRight w:val="0"/>
      <w:marTop w:val="0"/>
      <w:marBottom w:val="0"/>
      <w:divBdr>
        <w:top w:val="none" w:sz="0" w:space="0" w:color="auto"/>
        <w:left w:val="none" w:sz="0" w:space="0" w:color="auto"/>
        <w:bottom w:val="none" w:sz="0" w:space="0" w:color="auto"/>
        <w:right w:val="none" w:sz="0" w:space="0" w:color="auto"/>
      </w:divBdr>
    </w:div>
    <w:div w:id="158817364">
      <w:bodyDiv w:val="1"/>
      <w:marLeft w:val="0"/>
      <w:marRight w:val="0"/>
      <w:marTop w:val="0"/>
      <w:marBottom w:val="0"/>
      <w:divBdr>
        <w:top w:val="none" w:sz="0" w:space="0" w:color="auto"/>
        <w:left w:val="none" w:sz="0" w:space="0" w:color="auto"/>
        <w:bottom w:val="none" w:sz="0" w:space="0" w:color="auto"/>
        <w:right w:val="none" w:sz="0" w:space="0" w:color="auto"/>
      </w:divBdr>
    </w:div>
    <w:div w:id="174734043">
      <w:bodyDiv w:val="1"/>
      <w:marLeft w:val="0"/>
      <w:marRight w:val="0"/>
      <w:marTop w:val="0"/>
      <w:marBottom w:val="0"/>
      <w:divBdr>
        <w:top w:val="none" w:sz="0" w:space="0" w:color="auto"/>
        <w:left w:val="none" w:sz="0" w:space="0" w:color="auto"/>
        <w:bottom w:val="none" w:sz="0" w:space="0" w:color="auto"/>
        <w:right w:val="none" w:sz="0" w:space="0" w:color="auto"/>
      </w:divBdr>
    </w:div>
    <w:div w:id="230847648">
      <w:bodyDiv w:val="1"/>
      <w:marLeft w:val="0"/>
      <w:marRight w:val="0"/>
      <w:marTop w:val="0"/>
      <w:marBottom w:val="0"/>
      <w:divBdr>
        <w:top w:val="none" w:sz="0" w:space="0" w:color="auto"/>
        <w:left w:val="none" w:sz="0" w:space="0" w:color="auto"/>
        <w:bottom w:val="none" w:sz="0" w:space="0" w:color="auto"/>
        <w:right w:val="none" w:sz="0" w:space="0" w:color="auto"/>
      </w:divBdr>
    </w:div>
    <w:div w:id="239216706">
      <w:bodyDiv w:val="1"/>
      <w:marLeft w:val="0"/>
      <w:marRight w:val="0"/>
      <w:marTop w:val="0"/>
      <w:marBottom w:val="0"/>
      <w:divBdr>
        <w:top w:val="none" w:sz="0" w:space="0" w:color="auto"/>
        <w:left w:val="none" w:sz="0" w:space="0" w:color="auto"/>
        <w:bottom w:val="none" w:sz="0" w:space="0" w:color="auto"/>
        <w:right w:val="none" w:sz="0" w:space="0" w:color="auto"/>
      </w:divBdr>
    </w:div>
    <w:div w:id="267392415">
      <w:bodyDiv w:val="1"/>
      <w:marLeft w:val="0"/>
      <w:marRight w:val="0"/>
      <w:marTop w:val="0"/>
      <w:marBottom w:val="0"/>
      <w:divBdr>
        <w:top w:val="none" w:sz="0" w:space="0" w:color="auto"/>
        <w:left w:val="none" w:sz="0" w:space="0" w:color="auto"/>
        <w:bottom w:val="none" w:sz="0" w:space="0" w:color="auto"/>
        <w:right w:val="none" w:sz="0" w:space="0" w:color="auto"/>
      </w:divBdr>
    </w:div>
    <w:div w:id="275992573">
      <w:bodyDiv w:val="1"/>
      <w:marLeft w:val="0"/>
      <w:marRight w:val="0"/>
      <w:marTop w:val="0"/>
      <w:marBottom w:val="0"/>
      <w:divBdr>
        <w:top w:val="none" w:sz="0" w:space="0" w:color="auto"/>
        <w:left w:val="none" w:sz="0" w:space="0" w:color="auto"/>
        <w:bottom w:val="none" w:sz="0" w:space="0" w:color="auto"/>
        <w:right w:val="none" w:sz="0" w:space="0" w:color="auto"/>
      </w:divBdr>
    </w:div>
    <w:div w:id="278924310">
      <w:bodyDiv w:val="1"/>
      <w:marLeft w:val="0"/>
      <w:marRight w:val="0"/>
      <w:marTop w:val="0"/>
      <w:marBottom w:val="0"/>
      <w:divBdr>
        <w:top w:val="none" w:sz="0" w:space="0" w:color="auto"/>
        <w:left w:val="none" w:sz="0" w:space="0" w:color="auto"/>
        <w:bottom w:val="none" w:sz="0" w:space="0" w:color="auto"/>
        <w:right w:val="none" w:sz="0" w:space="0" w:color="auto"/>
      </w:divBdr>
    </w:div>
    <w:div w:id="297954520">
      <w:bodyDiv w:val="1"/>
      <w:marLeft w:val="0"/>
      <w:marRight w:val="0"/>
      <w:marTop w:val="0"/>
      <w:marBottom w:val="0"/>
      <w:divBdr>
        <w:top w:val="none" w:sz="0" w:space="0" w:color="auto"/>
        <w:left w:val="none" w:sz="0" w:space="0" w:color="auto"/>
        <w:bottom w:val="none" w:sz="0" w:space="0" w:color="auto"/>
        <w:right w:val="none" w:sz="0" w:space="0" w:color="auto"/>
      </w:divBdr>
    </w:div>
    <w:div w:id="304244460">
      <w:bodyDiv w:val="1"/>
      <w:marLeft w:val="0"/>
      <w:marRight w:val="0"/>
      <w:marTop w:val="0"/>
      <w:marBottom w:val="0"/>
      <w:divBdr>
        <w:top w:val="none" w:sz="0" w:space="0" w:color="auto"/>
        <w:left w:val="none" w:sz="0" w:space="0" w:color="auto"/>
        <w:bottom w:val="none" w:sz="0" w:space="0" w:color="auto"/>
        <w:right w:val="none" w:sz="0" w:space="0" w:color="auto"/>
      </w:divBdr>
    </w:div>
    <w:div w:id="306520458">
      <w:bodyDiv w:val="1"/>
      <w:marLeft w:val="0"/>
      <w:marRight w:val="0"/>
      <w:marTop w:val="0"/>
      <w:marBottom w:val="0"/>
      <w:divBdr>
        <w:top w:val="none" w:sz="0" w:space="0" w:color="auto"/>
        <w:left w:val="none" w:sz="0" w:space="0" w:color="auto"/>
        <w:bottom w:val="none" w:sz="0" w:space="0" w:color="auto"/>
        <w:right w:val="none" w:sz="0" w:space="0" w:color="auto"/>
      </w:divBdr>
    </w:div>
    <w:div w:id="342559725">
      <w:bodyDiv w:val="1"/>
      <w:marLeft w:val="0"/>
      <w:marRight w:val="0"/>
      <w:marTop w:val="0"/>
      <w:marBottom w:val="0"/>
      <w:divBdr>
        <w:top w:val="none" w:sz="0" w:space="0" w:color="auto"/>
        <w:left w:val="none" w:sz="0" w:space="0" w:color="auto"/>
        <w:bottom w:val="none" w:sz="0" w:space="0" w:color="auto"/>
        <w:right w:val="none" w:sz="0" w:space="0" w:color="auto"/>
      </w:divBdr>
    </w:div>
    <w:div w:id="343630309">
      <w:bodyDiv w:val="1"/>
      <w:marLeft w:val="0"/>
      <w:marRight w:val="0"/>
      <w:marTop w:val="0"/>
      <w:marBottom w:val="0"/>
      <w:divBdr>
        <w:top w:val="none" w:sz="0" w:space="0" w:color="auto"/>
        <w:left w:val="none" w:sz="0" w:space="0" w:color="auto"/>
        <w:bottom w:val="none" w:sz="0" w:space="0" w:color="auto"/>
        <w:right w:val="none" w:sz="0" w:space="0" w:color="auto"/>
      </w:divBdr>
    </w:div>
    <w:div w:id="359815710">
      <w:bodyDiv w:val="1"/>
      <w:marLeft w:val="0"/>
      <w:marRight w:val="0"/>
      <w:marTop w:val="0"/>
      <w:marBottom w:val="0"/>
      <w:divBdr>
        <w:top w:val="none" w:sz="0" w:space="0" w:color="auto"/>
        <w:left w:val="none" w:sz="0" w:space="0" w:color="auto"/>
        <w:bottom w:val="none" w:sz="0" w:space="0" w:color="auto"/>
        <w:right w:val="none" w:sz="0" w:space="0" w:color="auto"/>
      </w:divBdr>
    </w:div>
    <w:div w:id="397481158">
      <w:bodyDiv w:val="1"/>
      <w:marLeft w:val="0"/>
      <w:marRight w:val="0"/>
      <w:marTop w:val="0"/>
      <w:marBottom w:val="0"/>
      <w:divBdr>
        <w:top w:val="none" w:sz="0" w:space="0" w:color="auto"/>
        <w:left w:val="none" w:sz="0" w:space="0" w:color="auto"/>
        <w:bottom w:val="none" w:sz="0" w:space="0" w:color="auto"/>
        <w:right w:val="none" w:sz="0" w:space="0" w:color="auto"/>
      </w:divBdr>
    </w:div>
    <w:div w:id="423502292">
      <w:bodyDiv w:val="1"/>
      <w:marLeft w:val="0"/>
      <w:marRight w:val="0"/>
      <w:marTop w:val="0"/>
      <w:marBottom w:val="0"/>
      <w:divBdr>
        <w:top w:val="none" w:sz="0" w:space="0" w:color="auto"/>
        <w:left w:val="none" w:sz="0" w:space="0" w:color="auto"/>
        <w:bottom w:val="none" w:sz="0" w:space="0" w:color="auto"/>
        <w:right w:val="none" w:sz="0" w:space="0" w:color="auto"/>
      </w:divBdr>
    </w:div>
    <w:div w:id="442000934">
      <w:bodyDiv w:val="1"/>
      <w:marLeft w:val="0"/>
      <w:marRight w:val="0"/>
      <w:marTop w:val="0"/>
      <w:marBottom w:val="0"/>
      <w:divBdr>
        <w:top w:val="none" w:sz="0" w:space="0" w:color="auto"/>
        <w:left w:val="none" w:sz="0" w:space="0" w:color="auto"/>
        <w:bottom w:val="none" w:sz="0" w:space="0" w:color="auto"/>
        <w:right w:val="none" w:sz="0" w:space="0" w:color="auto"/>
      </w:divBdr>
    </w:div>
    <w:div w:id="459224245">
      <w:bodyDiv w:val="1"/>
      <w:marLeft w:val="0"/>
      <w:marRight w:val="0"/>
      <w:marTop w:val="0"/>
      <w:marBottom w:val="0"/>
      <w:divBdr>
        <w:top w:val="none" w:sz="0" w:space="0" w:color="auto"/>
        <w:left w:val="none" w:sz="0" w:space="0" w:color="auto"/>
        <w:bottom w:val="none" w:sz="0" w:space="0" w:color="auto"/>
        <w:right w:val="none" w:sz="0" w:space="0" w:color="auto"/>
      </w:divBdr>
    </w:div>
    <w:div w:id="537665116">
      <w:bodyDiv w:val="1"/>
      <w:marLeft w:val="0"/>
      <w:marRight w:val="0"/>
      <w:marTop w:val="0"/>
      <w:marBottom w:val="0"/>
      <w:divBdr>
        <w:top w:val="none" w:sz="0" w:space="0" w:color="auto"/>
        <w:left w:val="none" w:sz="0" w:space="0" w:color="auto"/>
        <w:bottom w:val="none" w:sz="0" w:space="0" w:color="auto"/>
        <w:right w:val="none" w:sz="0" w:space="0" w:color="auto"/>
      </w:divBdr>
    </w:div>
    <w:div w:id="542210523">
      <w:bodyDiv w:val="1"/>
      <w:marLeft w:val="0"/>
      <w:marRight w:val="0"/>
      <w:marTop w:val="0"/>
      <w:marBottom w:val="0"/>
      <w:divBdr>
        <w:top w:val="none" w:sz="0" w:space="0" w:color="auto"/>
        <w:left w:val="none" w:sz="0" w:space="0" w:color="auto"/>
        <w:bottom w:val="none" w:sz="0" w:space="0" w:color="auto"/>
        <w:right w:val="none" w:sz="0" w:space="0" w:color="auto"/>
      </w:divBdr>
    </w:div>
    <w:div w:id="545681731">
      <w:bodyDiv w:val="1"/>
      <w:marLeft w:val="0"/>
      <w:marRight w:val="0"/>
      <w:marTop w:val="0"/>
      <w:marBottom w:val="0"/>
      <w:divBdr>
        <w:top w:val="none" w:sz="0" w:space="0" w:color="auto"/>
        <w:left w:val="none" w:sz="0" w:space="0" w:color="auto"/>
        <w:bottom w:val="none" w:sz="0" w:space="0" w:color="auto"/>
        <w:right w:val="none" w:sz="0" w:space="0" w:color="auto"/>
      </w:divBdr>
    </w:div>
    <w:div w:id="546645950">
      <w:bodyDiv w:val="1"/>
      <w:marLeft w:val="0"/>
      <w:marRight w:val="0"/>
      <w:marTop w:val="0"/>
      <w:marBottom w:val="0"/>
      <w:divBdr>
        <w:top w:val="none" w:sz="0" w:space="0" w:color="auto"/>
        <w:left w:val="none" w:sz="0" w:space="0" w:color="auto"/>
        <w:bottom w:val="none" w:sz="0" w:space="0" w:color="auto"/>
        <w:right w:val="none" w:sz="0" w:space="0" w:color="auto"/>
      </w:divBdr>
    </w:div>
    <w:div w:id="601689136">
      <w:bodyDiv w:val="1"/>
      <w:marLeft w:val="0"/>
      <w:marRight w:val="0"/>
      <w:marTop w:val="0"/>
      <w:marBottom w:val="0"/>
      <w:divBdr>
        <w:top w:val="none" w:sz="0" w:space="0" w:color="auto"/>
        <w:left w:val="none" w:sz="0" w:space="0" w:color="auto"/>
        <w:bottom w:val="none" w:sz="0" w:space="0" w:color="auto"/>
        <w:right w:val="none" w:sz="0" w:space="0" w:color="auto"/>
      </w:divBdr>
    </w:div>
    <w:div w:id="620110190">
      <w:bodyDiv w:val="1"/>
      <w:marLeft w:val="0"/>
      <w:marRight w:val="0"/>
      <w:marTop w:val="0"/>
      <w:marBottom w:val="0"/>
      <w:divBdr>
        <w:top w:val="none" w:sz="0" w:space="0" w:color="auto"/>
        <w:left w:val="none" w:sz="0" w:space="0" w:color="auto"/>
        <w:bottom w:val="none" w:sz="0" w:space="0" w:color="auto"/>
        <w:right w:val="none" w:sz="0" w:space="0" w:color="auto"/>
      </w:divBdr>
    </w:div>
    <w:div w:id="632834341">
      <w:bodyDiv w:val="1"/>
      <w:marLeft w:val="0"/>
      <w:marRight w:val="0"/>
      <w:marTop w:val="0"/>
      <w:marBottom w:val="0"/>
      <w:divBdr>
        <w:top w:val="none" w:sz="0" w:space="0" w:color="auto"/>
        <w:left w:val="none" w:sz="0" w:space="0" w:color="auto"/>
        <w:bottom w:val="none" w:sz="0" w:space="0" w:color="auto"/>
        <w:right w:val="none" w:sz="0" w:space="0" w:color="auto"/>
      </w:divBdr>
    </w:div>
    <w:div w:id="635647067">
      <w:bodyDiv w:val="1"/>
      <w:marLeft w:val="0"/>
      <w:marRight w:val="0"/>
      <w:marTop w:val="0"/>
      <w:marBottom w:val="0"/>
      <w:divBdr>
        <w:top w:val="none" w:sz="0" w:space="0" w:color="auto"/>
        <w:left w:val="none" w:sz="0" w:space="0" w:color="auto"/>
        <w:bottom w:val="none" w:sz="0" w:space="0" w:color="auto"/>
        <w:right w:val="none" w:sz="0" w:space="0" w:color="auto"/>
      </w:divBdr>
    </w:div>
    <w:div w:id="636840379">
      <w:bodyDiv w:val="1"/>
      <w:marLeft w:val="0"/>
      <w:marRight w:val="0"/>
      <w:marTop w:val="0"/>
      <w:marBottom w:val="0"/>
      <w:divBdr>
        <w:top w:val="none" w:sz="0" w:space="0" w:color="auto"/>
        <w:left w:val="none" w:sz="0" w:space="0" w:color="auto"/>
        <w:bottom w:val="none" w:sz="0" w:space="0" w:color="auto"/>
        <w:right w:val="none" w:sz="0" w:space="0" w:color="auto"/>
      </w:divBdr>
    </w:div>
    <w:div w:id="658465939">
      <w:bodyDiv w:val="1"/>
      <w:marLeft w:val="0"/>
      <w:marRight w:val="0"/>
      <w:marTop w:val="0"/>
      <w:marBottom w:val="0"/>
      <w:divBdr>
        <w:top w:val="none" w:sz="0" w:space="0" w:color="auto"/>
        <w:left w:val="none" w:sz="0" w:space="0" w:color="auto"/>
        <w:bottom w:val="none" w:sz="0" w:space="0" w:color="auto"/>
        <w:right w:val="none" w:sz="0" w:space="0" w:color="auto"/>
      </w:divBdr>
    </w:div>
    <w:div w:id="707224846">
      <w:bodyDiv w:val="1"/>
      <w:marLeft w:val="0"/>
      <w:marRight w:val="0"/>
      <w:marTop w:val="0"/>
      <w:marBottom w:val="0"/>
      <w:divBdr>
        <w:top w:val="none" w:sz="0" w:space="0" w:color="auto"/>
        <w:left w:val="none" w:sz="0" w:space="0" w:color="auto"/>
        <w:bottom w:val="none" w:sz="0" w:space="0" w:color="auto"/>
        <w:right w:val="none" w:sz="0" w:space="0" w:color="auto"/>
      </w:divBdr>
    </w:div>
    <w:div w:id="711342667">
      <w:bodyDiv w:val="1"/>
      <w:marLeft w:val="0"/>
      <w:marRight w:val="0"/>
      <w:marTop w:val="0"/>
      <w:marBottom w:val="0"/>
      <w:divBdr>
        <w:top w:val="none" w:sz="0" w:space="0" w:color="auto"/>
        <w:left w:val="none" w:sz="0" w:space="0" w:color="auto"/>
        <w:bottom w:val="none" w:sz="0" w:space="0" w:color="auto"/>
        <w:right w:val="none" w:sz="0" w:space="0" w:color="auto"/>
      </w:divBdr>
    </w:div>
    <w:div w:id="714812756">
      <w:bodyDiv w:val="1"/>
      <w:marLeft w:val="0"/>
      <w:marRight w:val="0"/>
      <w:marTop w:val="0"/>
      <w:marBottom w:val="0"/>
      <w:divBdr>
        <w:top w:val="none" w:sz="0" w:space="0" w:color="auto"/>
        <w:left w:val="none" w:sz="0" w:space="0" w:color="auto"/>
        <w:bottom w:val="none" w:sz="0" w:space="0" w:color="auto"/>
        <w:right w:val="none" w:sz="0" w:space="0" w:color="auto"/>
      </w:divBdr>
    </w:div>
    <w:div w:id="723214600">
      <w:bodyDiv w:val="1"/>
      <w:marLeft w:val="0"/>
      <w:marRight w:val="0"/>
      <w:marTop w:val="0"/>
      <w:marBottom w:val="0"/>
      <w:divBdr>
        <w:top w:val="none" w:sz="0" w:space="0" w:color="auto"/>
        <w:left w:val="none" w:sz="0" w:space="0" w:color="auto"/>
        <w:bottom w:val="none" w:sz="0" w:space="0" w:color="auto"/>
        <w:right w:val="none" w:sz="0" w:space="0" w:color="auto"/>
      </w:divBdr>
    </w:div>
    <w:div w:id="745348489">
      <w:bodyDiv w:val="1"/>
      <w:marLeft w:val="0"/>
      <w:marRight w:val="0"/>
      <w:marTop w:val="0"/>
      <w:marBottom w:val="0"/>
      <w:divBdr>
        <w:top w:val="none" w:sz="0" w:space="0" w:color="auto"/>
        <w:left w:val="none" w:sz="0" w:space="0" w:color="auto"/>
        <w:bottom w:val="none" w:sz="0" w:space="0" w:color="auto"/>
        <w:right w:val="none" w:sz="0" w:space="0" w:color="auto"/>
      </w:divBdr>
    </w:div>
    <w:div w:id="758140805">
      <w:bodyDiv w:val="1"/>
      <w:marLeft w:val="0"/>
      <w:marRight w:val="0"/>
      <w:marTop w:val="0"/>
      <w:marBottom w:val="0"/>
      <w:divBdr>
        <w:top w:val="none" w:sz="0" w:space="0" w:color="auto"/>
        <w:left w:val="none" w:sz="0" w:space="0" w:color="auto"/>
        <w:bottom w:val="none" w:sz="0" w:space="0" w:color="auto"/>
        <w:right w:val="none" w:sz="0" w:space="0" w:color="auto"/>
      </w:divBdr>
    </w:div>
    <w:div w:id="758645877">
      <w:bodyDiv w:val="1"/>
      <w:marLeft w:val="0"/>
      <w:marRight w:val="0"/>
      <w:marTop w:val="0"/>
      <w:marBottom w:val="0"/>
      <w:divBdr>
        <w:top w:val="none" w:sz="0" w:space="0" w:color="auto"/>
        <w:left w:val="none" w:sz="0" w:space="0" w:color="auto"/>
        <w:bottom w:val="none" w:sz="0" w:space="0" w:color="auto"/>
        <w:right w:val="none" w:sz="0" w:space="0" w:color="auto"/>
      </w:divBdr>
    </w:div>
    <w:div w:id="765813162">
      <w:bodyDiv w:val="1"/>
      <w:marLeft w:val="0"/>
      <w:marRight w:val="0"/>
      <w:marTop w:val="0"/>
      <w:marBottom w:val="0"/>
      <w:divBdr>
        <w:top w:val="none" w:sz="0" w:space="0" w:color="auto"/>
        <w:left w:val="none" w:sz="0" w:space="0" w:color="auto"/>
        <w:bottom w:val="none" w:sz="0" w:space="0" w:color="auto"/>
        <w:right w:val="none" w:sz="0" w:space="0" w:color="auto"/>
      </w:divBdr>
    </w:div>
    <w:div w:id="784037593">
      <w:bodyDiv w:val="1"/>
      <w:marLeft w:val="0"/>
      <w:marRight w:val="0"/>
      <w:marTop w:val="0"/>
      <w:marBottom w:val="0"/>
      <w:divBdr>
        <w:top w:val="none" w:sz="0" w:space="0" w:color="auto"/>
        <w:left w:val="none" w:sz="0" w:space="0" w:color="auto"/>
        <w:bottom w:val="none" w:sz="0" w:space="0" w:color="auto"/>
        <w:right w:val="none" w:sz="0" w:space="0" w:color="auto"/>
      </w:divBdr>
    </w:div>
    <w:div w:id="789084465">
      <w:bodyDiv w:val="1"/>
      <w:marLeft w:val="0"/>
      <w:marRight w:val="0"/>
      <w:marTop w:val="0"/>
      <w:marBottom w:val="0"/>
      <w:divBdr>
        <w:top w:val="none" w:sz="0" w:space="0" w:color="auto"/>
        <w:left w:val="none" w:sz="0" w:space="0" w:color="auto"/>
        <w:bottom w:val="none" w:sz="0" w:space="0" w:color="auto"/>
        <w:right w:val="none" w:sz="0" w:space="0" w:color="auto"/>
      </w:divBdr>
    </w:div>
    <w:div w:id="813564123">
      <w:bodyDiv w:val="1"/>
      <w:marLeft w:val="0"/>
      <w:marRight w:val="0"/>
      <w:marTop w:val="0"/>
      <w:marBottom w:val="0"/>
      <w:divBdr>
        <w:top w:val="none" w:sz="0" w:space="0" w:color="auto"/>
        <w:left w:val="none" w:sz="0" w:space="0" w:color="auto"/>
        <w:bottom w:val="none" w:sz="0" w:space="0" w:color="auto"/>
        <w:right w:val="none" w:sz="0" w:space="0" w:color="auto"/>
      </w:divBdr>
    </w:div>
    <w:div w:id="815074756">
      <w:bodyDiv w:val="1"/>
      <w:marLeft w:val="0"/>
      <w:marRight w:val="0"/>
      <w:marTop w:val="0"/>
      <w:marBottom w:val="0"/>
      <w:divBdr>
        <w:top w:val="none" w:sz="0" w:space="0" w:color="auto"/>
        <w:left w:val="none" w:sz="0" w:space="0" w:color="auto"/>
        <w:bottom w:val="none" w:sz="0" w:space="0" w:color="auto"/>
        <w:right w:val="none" w:sz="0" w:space="0" w:color="auto"/>
      </w:divBdr>
    </w:div>
    <w:div w:id="864516400">
      <w:bodyDiv w:val="1"/>
      <w:marLeft w:val="0"/>
      <w:marRight w:val="0"/>
      <w:marTop w:val="0"/>
      <w:marBottom w:val="0"/>
      <w:divBdr>
        <w:top w:val="none" w:sz="0" w:space="0" w:color="auto"/>
        <w:left w:val="none" w:sz="0" w:space="0" w:color="auto"/>
        <w:bottom w:val="none" w:sz="0" w:space="0" w:color="auto"/>
        <w:right w:val="none" w:sz="0" w:space="0" w:color="auto"/>
      </w:divBdr>
    </w:div>
    <w:div w:id="866675886">
      <w:bodyDiv w:val="1"/>
      <w:marLeft w:val="0"/>
      <w:marRight w:val="0"/>
      <w:marTop w:val="0"/>
      <w:marBottom w:val="0"/>
      <w:divBdr>
        <w:top w:val="none" w:sz="0" w:space="0" w:color="auto"/>
        <w:left w:val="none" w:sz="0" w:space="0" w:color="auto"/>
        <w:bottom w:val="none" w:sz="0" w:space="0" w:color="auto"/>
        <w:right w:val="none" w:sz="0" w:space="0" w:color="auto"/>
      </w:divBdr>
    </w:div>
    <w:div w:id="866679391">
      <w:bodyDiv w:val="1"/>
      <w:marLeft w:val="0"/>
      <w:marRight w:val="0"/>
      <w:marTop w:val="0"/>
      <w:marBottom w:val="0"/>
      <w:divBdr>
        <w:top w:val="none" w:sz="0" w:space="0" w:color="auto"/>
        <w:left w:val="none" w:sz="0" w:space="0" w:color="auto"/>
        <w:bottom w:val="none" w:sz="0" w:space="0" w:color="auto"/>
        <w:right w:val="none" w:sz="0" w:space="0" w:color="auto"/>
      </w:divBdr>
    </w:div>
    <w:div w:id="868760004">
      <w:bodyDiv w:val="1"/>
      <w:marLeft w:val="0"/>
      <w:marRight w:val="0"/>
      <w:marTop w:val="0"/>
      <w:marBottom w:val="0"/>
      <w:divBdr>
        <w:top w:val="none" w:sz="0" w:space="0" w:color="auto"/>
        <w:left w:val="none" w:sz="0" w:space="0" w:color="auto"/>
        <w:bottom w:val="none" w:sz="0" w:space="0" w:color="auto"/>
        <w:right w:val="none" w:sz="0" w:space="0" w:color="auto"/>
      </w:divBdr>
    </w:div>
    <w:div w:id="873882196">
      <w:bodyDiv w:val="1"/>
      <w:marLeft w:val="0"/>
      <w:marRight w:val="0"/>
      <w:marTop w:val="0"/>
      <w:marBottom w:val="0"/>
      <w:divBdr>
        <w:top w:val="none" w:sz="0" w:space="0" w:color="auto"/>
        <w:left w:val="none" w:sz="0" w:space="0" w:color="auto"/>
        <w:bottom w:val="none" w:sz="0" w:space="0" w:color="auto"/>
        <w:right w:val="none" w:sz="0" w:space="0" w:color="auto"/>
      </w:divBdr>
    </w:div>
    <w:div w:id="879784783">
      <w:bodyDiv w:val="1"/>
      <w:marLeft w:val="0"/>
      <w:marRight w:val="0"/>
      <w:marTop w:val="0"/>
      <w:marBottom w:val="0"/>
      <w:divBdr>
        <w:top w:val="none" w:sz="0" w:space="0" w:color="auto"/>
        <w:left w:val="none" w:sz="0" w:space="0" w:color="auto"/>
        <w:bottom w:val="none" w:sz="0" w:space="0" w:color="auto"/>
        <w:right w:val="none" w:sz="0" w:space="0" w:color="auto"/>
      </w:divBdr>
    </w:div>
    <w:div w:id="893084255">
      <w:bodyDiv w:val="1"/>
      <w:marLeft w:val="0"/>
      <w:marRight w:val="0"/>
      <w:marTop w:val="0"/>
      <w:marBottom w:val="0"/>
      <w:divBdr>
        <w:top w:val="none" w:sz="0" w:space="0" w:color="auto"/>
        <w:left w:val="none" w:sz="0" w:space="0" w:color="auto"/>
        <w:bottom w:val="none" w:sz="0" w:space="0" w:color="auto"/>
        <w:right w:val="none" w:sz="0" w:space="0" w:color="auto"/>
      </w:divBdr>
    </w:div>
    <w:div w:id="913511489">
      <w:bodyDiv w:val="1"/>
      <w:marLeft w:val="0"/>
      <w:marRight w:val="0"/>
      <w:marTop w:val="0"/>
      <w:marBottom w:val="0"/>
      <w:divBdr>
        <w:top w:val="none" w:sz="0" w:space="0" w:color="auto"/>
        <w:left w:val="none" w:sz="0" w:space="0" w:color="auto"/>
        <w:bottom w:val="none" w:sz="0" w:space="0" w:color="auto"/>
        <w:right w:val="none" w:sz="0" w:space="0" w:color="auto"/>
      </w:divBdr>
    </w:div>
    <w:div w:id="919414132">
      <w:bodyDiv w:val="1"/>
      <w:marLeft w:val="0"/>
      <w:marRight w:val="0"/>
      <w:marTop w:val="0"/>
      <w:marBottom w:val="0"/>
      <w:divBdr>
        <w:top w:val="none" w:sz="0" w:space="0" w:color="auto"/>
        <w:left w:val="none" w:sz="0" w:space="0" w:color="auto"/>
        <w:bottom w:val="none" w:sz="0" w:space="0" w:color="auto"/>
        <w:right w:val="none" w:sz="0" w:space="0" w:color="auto"/>
      </w:divBdr>
    </w:div>
    <w:div w:id="924532462">
      <w:bodyDiv w:val="1"/>
      <w:marLeft w:val="0"/>
      <w:marRight w:val="0"/>
      <w:marTop w:val="0"/>
      <w:marBottom w:val="0"/>
      <w:divBdr>
        <w:top w:val="none" w:sz="0" w:space="0" w:color="auto"/>
        <w:left w:val="none" w:sz="0" w:space="0" w:color="auto"/>
        <w:bottom w:val="none" w:sz="0" w:space="0" w:color="auto"/>
        <w:right w:val="none" w:sz="0" w:space="0" w:color="auto"/>
      </w:divBdr>
    </w:div>
    <w:div w:id="949631289">
      <w:bodyDiv w:val="1"/>
      <w:marLeft w:val="0"/>
      <w:marRight w:val="0"/>
      <w:marTop w:val="0"/>
      <w:marBottom w:val="0"/>
      <w:divBdr>
        <w:top w:val="none" w:sz="0" w:space="0" w:color="auto"/>
        <w:left w:val="none" w:sz="0" w:space="0" w:color="auto"/>
        <w:bottom w:val="none" w:sz="0" w:space="0" w:color="auto"/>
        <w:right w:val="none" w:sz="0" w:space="0" w:color="auto"/>
      </w:divBdr>
    </w:div>
    <w:div w:id="958684872">
      <w:bodyDiv w:val="1"/>
      <w:marLeft w:val="0"/>
      <w:marRight w:val="0"/>
      <w:marTop w:val="0"/>
      <w:marBottom w:val="0"/>
      <w:divBdr>
        <w:top w:val="none" w:sz="0" w:space="0" w:color="auto"/>
        <w:left w:val="none" w:sz="0" w:space="0" w:color="auto"/>
        <w:bottom w:val="none" w:sz="0" w:space="0" w:color="auto"/>
        <w:right w:val="none" w:sz="0" w:space="0" w:color="auto"/>
      </w:divBdr>
    </w:div>
    <w:div w:id="975526738">
      <w:bodyDiv w:val="1"/>
      <w:marLeft w:val="0"/>
      <w:marRight w:val="0"/>
      <w:marTop w:val="0"/>
      <w:marBottom w:val="0"/>
      <w:divBdr>
        <w:top w:val="none" w:sz="0" w:space="0" w:color="auto"/>
        <w:left w:val="none" w:sz="0" w:space="0" w:color="auto"/>
        <w:bottom w:val="none" w:sz="0" w:space="0" w:color="auto"/>
        <w:right w:val="none" w:sz="0" w:space="0" w:color="auto"/>
      </w:divBdr>
    </w:div>
    <w:div w:id="990326107">
      <w:bodyDiv w:val="1"/>
      <w:marLeft w:val="0"/>
      <w:marRight w:val="0"/>
      <w:marTop w:val="0"/>
      <w:marBottom w:val="0"/>
      <w:divBdr>
        <w:top w:val="none" w:sz="0" w:space="0" w:color="auto"/>
        <w:left w:val="none" w:sz="0" w:space="0" w:color="auto"/>
        <w:bottom w:val="none" w:sz="0" w:space="0" w:color="auto"/>
        <w:right w:val="none" w:sz="0" w:space="0" w:color="auto"/>
      </w:divBdr>
    </w:div>
    <w:div w:id="1002200287">
      <w:bodyDiv w:val="1"/>
      <w:marLeft w:val="0"/>
      <w:marRight w:val="0"/>
      <w:marTop w:val="0"/>
      <w:marBottom w:val="0"/>
      <w:divBdr>
        <w:top w:val="none" w:sz="0" w:space="0" w:color="auto"/>
        <w:left w:val="none" w:sz="0" w:space="0" w:color="auto"/>
        <w:bottom w:val="none" w:sz="0" w:space="0" w:color="auto"/>
        <w:right w:val="none" w:sz="0" w:space="0" w:color="auto"/>
      </w:divBdr>
    </w:div>
    <w:div w:id="1010596086">
      <w:bodyDiv w:val="1"/>
      <w:marLeft w:val="0"/>
      <w:marRight w:val="0"/>
      <w:marTop w:val="0"/>
      <w:marBottom w:val="0"/>
      <w:divBdr>
        <w:top w:val="none" w:sz="0" w:space="0" w:color="auto"/>
        <w:left w:val="none" w:sz="0" w:space="0" w:color="auto"/>
        <w:bottom w:val="none" w:sz="0" w:space="0" w:color="auto"/>
        <w:right w:val="none" w:sz="0" w:space="0" w:color="auto"/>
      </w:divBdr>
    </w:div>
    <w:div w:id="1018119437">
      <w:bodyDiv w:val="1"/>
      <w:marLeft w:val="0"/>
      <w:marRight w:val="0"/>
      <w:marTop w:val="0"/>
      <w:marBottom w:val="0"/>
      <w:divBdr>
        <w:top w:val="none" w:sz="0" w:space="0" w:color="auto"/>
        <w:left w:val="none" w:sz="0" w:space="0" w:color="auto"/>
        <w:bottom w:val="none" w:sz="0" w:space="0" w:color="auto"/>
        <w:right w:val="none" w:sz="0" w:space="0" w:color="auto"/>
      </w:divBdr>
    </w:div>
    <w:div w:id="1050498317">
      <w:bodyDiv w:val="1"/>
      <w:marLeft w:val="0"/>
      <w:marRight w:val="0"/>
      <w:marTop w:val="0"/>
      <w:marBottom w:val="0"/>
      <w:divBdr>
        <w:top w:val="none" w:sz="0" w:space="0" w:color="auto"/>
        <w:left w:val="none" w:sz="0" w:space="0" w:color="auto"/>
        <w:bottom w:val="none" w:sz="0" w:space="0" w:color="auto"/>
        <w:right w:val="none" w:sz="0" w:space="0" w:color="auto"/>
      </w:divBdr>
    </w:div>
    <w:div w:id="1085566759">
      <w:bodyDiv w:val="1"/>
      <w:marLeft w:val="0"/>
      <w:marRight w:val="0"/>
      <w:marTop w:val="0"/>
      <w:marBottom w:val="0"/>
      <w:divBdr>
        <w:top w:val="none" w:sz="0" w:space="0" w:color="auto"/>
        <w:left w:val="none" w:sz="0" w:space="0" w:color="auto"/>
        <w:bottom w:val="none" w:sz="0" w:space="0" w:color="auto"/>
        <w:right w:val="none" w:sz="0" w:space="0" w:color="auto"/>
      </w:divBdr>
    </w:div>
    <w:div w:id="1147630266">
      <w:bodyDiv w:val="1"/>
      <w:marLeft w:val="0"/>
      <w:marRight w:val="0"/>
      <w:marTop w:val="0"/>
      <w:marBottom w:val="0"/>
      <w:divBdr>
        <w:top w:val="none" w:sz="0" w:space="0" w:color="auto"/>
        <w:left w:val="none" w:sz="0" w:space="0" w:color="auto"/>
        <w:bottom w:val="none" w:sz="0" w:space="0" w:color="auto"/>
        <w:right w:val="none" w:sz="0" w:space="0" w:color="auto"/>
      </w:divBdr>
    </w:div>
    <w:div w:id="1184242545">
      <w:bodyDiv w:val="1"/>
      <w:marLeft w:val="0"/>
      <w:marRight w:val="0"/>
      <w:marTop w:val="0"/>
      <w:marBottom w:val="0"/>
      <w:divBdr>
        <w:top w:val="none" w:sz="0" w:space="0" w:color="auto"/>
        <w:left w:val="none" w:sz="0" w:space="0" w:color="auto"/>
        <w:bottom w:val="none" w:sz="0" w:space="0" w:color="auto"/>
        <w:right w:val="none" w:sz="0" w:space="0" w:color="auto"/>
      </w:divBdr>
    </w:div>
    <w:div w:id="1204751217">
      <w:bodyDiv w:val="1"/>
      <w:marLeft w:val="0"/>
      <w:marRight w:val="0"/>
      <w:marTop w:val="0"/>
      <w:marBottom w:val="0"/>
      <w:divBdr>
        <w:top w:val="none" w:sz="0" w:space="0" w:color="auto"/>
        <w:left w:val="none" w:sz="0" w:space="0" w:color="auto"/>
        <w:bottom w:val="none" w:sz="0" w:space="0" w:color="auto"/>
        <w:right w:val="none" w:sz="0" w:space="0" w:color="auto"/>
      </w:divBdr>
    </w:div>
    <w:div w:id="1217232156">
      <w:bodyDiv w:val="1"/>
      <w:marLeft w:val="0"/>
      <w:marRight w:val="0"/>
      <w:marTop w:val="0"/>
      <w:marBottom w:val="0"/>
      <w:divBdr>
        <w:top w:val="none" w:sz="0" w:space="0" w:color="auto"/>
        <w:left w:val="none" w:sz="0" w:space="0" w:color="auto"/>
        <w:bottom w:val="none" w:sz="0" w:space="0" w:color="auto"/>
        <w:right w:val="none" w:sz="0" w:space="0" w:color="auto"/>
      </w:divBdr>
    </w:div>
    <w:div w:id="1226796847">
      <w:bodyDiv w:val="1"/>
      <w:marLeft w:val="0"/>
      <w:marRight w:val="0"/>
      <w:marTop w:val="0"/>
      <w:marBottom w:val="0"/>
      <w:divBdr>
        <w:top w:val="none" w:sz="0" w:space="0" w:color="auto"/>
        <w:left w:val="none" w:sz="0" w:space="0" w:color="auto"/>
        <w:bottom w:val="none" w:sz="0" w:space="0" w:color="auto"/>
        <w:right w:val="none" w:sz="0" w:space="0" w:color="auto"/>
      </w:divBdr>
    </w:div>
    <w:div w:id="1273900227">
      <w:bodyDiv w:val="1"/>
      <w:marLeft w:val="0"/>
      <w:marRight w:val="0"/>
      <w:marTop w:val="0"/>
      <w:marBottom w:val="0"/>
      <w:divBdr>
        <w:top w:val="none" w:sz="0" w:space="0" w:color="auto"/>
        <w:left w:val="none" w:sz="0" w:space="0" w:color="auto"/>
        <w:bottom w:val="none" w:sz="0" w:space="0" w:color="auto"/>
        <w:right w:val="none" w:sz="0" w:space="0" w:color="auto"/>
      </w:divBdr>
    </w:div>
    <w:div w:id="1312439038">
      <w:bodyDiv w:val="1"/>
      <w:marLeft w:val="0"/>
      <w:marRight w:val="0"/>
      <w:marTop w:val="0"/>
      <w:marBottom w:val="0"/>
      <w:divBdr>
        <w:top w:val="none" w:sz="0" w:space="0" w:color="auto"/>
        <w:left w:val="none" w:sz="0" w:space="0" w:color="auto"/>
        <w:bottom w:val="none" w:sz="0" w:space="0" w:color="auto"/>
        <w:right w:val="none" w:sz="0" w:space="0" w:color="auto"/>
      </w:divBdr>
    </w:div>
    <w:div w:id="1339117825">
      <w:bodyDiv w:val="1"/>
      <w:marLeft w:val="0"/>
      <w:marRight w:val="0"/>
      <w:marTop w:val="0"/>
      <w:marBottom w:val="0"/>
      <w:divBdr>
        <w:top w:val="none" w:sz="0" w:space="0" w:color="auto"/>
        <w:left w:val="none" w:sz="0" w:space="0" w:color="auto"/>
        <w:bottom w:val="none" w:sz="0" w:space="0" w:color="auto"/>
        <w:right w:val="none" w:sz="0" w:space="0" w:color="auto"/>
      </w:divBdr>
    </w:div>
    <w:div w:id="1341854270">
      <w:bodyDiv w:val="1"/>
      <w:marLeft w:val="0"/>
      <w:marRight w:val="0"/>
      <w:marTop w:val="0"/>
      <w:marBottom w:val="0"/>
      <w:divBdr>
        <w:top w:val="none" w:sz="0" w:space="0" w:color="auto"/>
        <w:left w:val="none" w:sz="0" w:space="0" w:color="auto"/>
        <w:bottom w:val="none" w:sz="0" w:space="0" w:color="auto"/>
        <w:right w:val="none" w:sz="0" w:space="0" w:color="auto"/>
      </w:divBdr>
    </w:div>
    <w:div w:id="1345133761">
      <w:bodyDiv w:val="1"/>
      <w:marLeft w:val="0"/>
      <w:marRight w:val="0"/>
      <w:marTop w:val="0"/>
      <w:marBottom w:val="0"/>
      <w:divBdr>
        <w:top w:val="none" w:sz="0" w:space="0" w:color="auto"/>
        <w:left w:val="none" w:sz="0" w:space="0" w:color="auto"/>
        <w:bottom w:val="none" w:sz="0" w:space="0" w:color="auto"/>
        <w:right w:val="none" w:sz="0" w:space="0" w:color="auto"/>
      </w:divBdr>
    </w:div>
    <w:div w:id="1358459759">
      <w:bodyDiv w:val="1"/>
      <w:marLeft w:val="0"/>
      <w:marRight w:val="0"/>
      <w:marTop w:val="0"/>
      <w:marBottom w:val="0"/>
      <w:divBdr>
        <w:top w:val="none" w:sz="0" w:space="0" w:color="auto"/>
        <w:left w:val="none" w:sz="0" w:space="0" w:color="auto"/>
        <w:bottom w:val="none" w:sz="0" w:space="0" w:color="auto"/>
        <w:right w:val="none" w:sz="0" w:space="0" w:color="auto"/>
      </w:divBdr>
    </w:div>
    <w:div w:id="1389576634">
      <w:bodyDiv w:val="1"/>
      <w:marLeft w:val="0"/>
      <w:marRight w:val="0"/>
      <w:marTop w:val="0"/>
      <w:marBottom w:val="0"/>
      <w:divBdr>
        <w:top w:val="none" w:sz="0" w:space="0" w:color="auto"/>
        <w:left w:val="none" w:sz="0" w:space="0" w:color="auto"/>
        <w:bottom w:val="none" w:sz="0" w:space="0" w:color="auto"/>
        <w:right w:val="none" w:sz="0" w:space="0" w:color="auto"/>
      </w:divBdr>
    </w:div>
    <w:div w:id="1392116036">
      <w:bodyDiv w:val="1"/>
      <w:marLeft w:val="0"/>
      <w:marRight w:val="0"/>
      <w:marTop w:val="0"/>
      <w:marBottom w:val="0"/>
      <w:divBdr>
        <w:top w:val="none" w:sz="0" w:space="0" w:color="auto"/>
        <w:left w:val="none" w:sz="0" w:space="0" w:color="auto"/>
        <w:bottom w:val="none" w:sz="0" w:space="0" w:color="auto"/>
        <w:right w:val="none" w:sz="0" w:space="0" w:color="auto"/>
      </w:divBdr>
    </w:div>
    <w:div w:id="1452167334">
      <w:bodyDiv w:val="1"/>
      <w:marLeft w:val="0"/>
      <w:marRight w:val="0"/>
      <w:marTop w:val="0"/>
      <w:marBottom w:val="0"/>
      <w:divBdr>
        <w:top w:val="none" w:sz="0" w:space="0" w:color="auto"/>
        <w:left w:val="none" w:sz="0" w:space="0" w:color="auto"/>
        <w:bottom w:val="none" w:sz="0" w:space="0" w:color="auto"/>
        <w:right w:val="none" w:sz="0" w:space="0" w:color="auto"/>
      </w:divBdr>
    </w:div>
    <w:div w:id="1455323426">
      <w:bodyDiv w:val="1"/>
      <w:marLeft w:val="0"/>
      <w:marRight w:val="0"/>
      <w:marTop w:val="0"/>
      <w:marBottom w:val="0"/>
      <w:divBdr>
        <w:top w:val="none" w:sz="0" w:space="0" w:color="auto"/>
        <w:left w:val="none" w:sz="0" w:space="0" w:color="auto"/>
        <w:bottom w:val="none" w:sz="0" w:space="0" w:color="auto"/>
        <w:right w:val="none" w:sz="0" w:space="0" w:color="auto"/>
      </w:divBdr>
    </w:div>
    <w:div w:id="1471705054">
      <w:bodyDiv w:val="1"/>
      <w:marLeft w:val="0"/>
      <w:marRight w:val="0"/>
      <w:marTop w:val="0"/>
      <w:marBottom w:val="0"/>
      <w:divBdr>
        <w:top w:val="none" w:sz="0" w:space="0" w:color="auto"/>
        <w:left w:val="none" w:sz="0" w:space="0" w:color="auto"/>
        <w:bottom w:val="none" w:sz="0" w:space="0" w:color="auto"/>
        <w:right w:val="none" w:sz="0" w:space="0" w:color="auto"/>
      </w:divBdr>
    </w:div>
    <w:div w:id="1474904380">
      <w:bodyDiv w:val="1"/>
      <w:marLeft w:val="0"/>
      <w:marRight w:val="0"/>
      <w:marTop w:val="0"/>
      <w:marBottom w:val="0"/>
      <w:divBdr>
        <w:top w:val="none" w:sz="0" w:space="0" w:color="auto"/>
        <w:left w:val="none" w:sz="0" w:space="0" w:color="auto"/>
        <w:bottom w:val="none" w:sz="0" w:space="0" w:color="auto"/>
        <w:right w:val="none" w:sz="0" w:space="0" w:color="auto"/>
      </w:divBdr>
    </w:div>
    <w:div w:id="1529952116">
      <w:bodyDiv w:val="1"/>
      <w:marLeft w:val="0"/>
      <w:marRight w:val="0"/>
      <w:marTop w:val="0"/>
      <w:marBottom w:val="0"/>
      <w:divBdr>
        <w:top w:val="none" w:sz="0" w:space="0" w:color="auto"/>
        <w:left w:val="none" w:sz="0" w:space="0" w:color="auto"/>
        <w:bottom w:val="none" w:sz="0" w:space="0" w:color="auto"/>
        <w:right w:val="none" w:sz="0" w:space="0" w:color="auto"/>
      </w:divBdr>
    </w:div>
    <w:div w:id="1530290305">
      <w:bodyDiv w:val="1"/>
      <w:marLeft w:val="0"/>
      <w:marRight w:val="0"/>
      <w:marTop w:val="0"/>
      <w:marBottom w:val="0"/>
      <w:divBdr>
        <w:top w:val="none" w:sz="0" w:space="0" w:color="auto"/>
        <w:left w:val="none" w:sz="0" w:space="0" w:color="auto"/>
        <w:bottom w:val="none" w:sz="0" w:space="0" w:color="auto"/>
        <w:right w:val="none" w:sz="0" w:space="0" w:color="auto"/>
      </w:divBdr>
    </w:div>
    <w:div w:id="1548637903">
      <w:bodyDiv w:val="1"/>
      <w:marLeft w:val="0"/>
      <w:marRight w:val="0"/>
      <w:marTop w:val="0"/>
      <w:marBottom w:val="0"/>
      <w:divBdr>
        <w:top w:val="none" w:sz="0" w:space="0" w:color="auto"/>
        <w:left w:val="none" w:sz="0" w:space="0" w:color="auto"/>
        <w:bottom w:val="none" w:sz="0" w:space="0" w:color="auto"/>
        <w:right w:val="none" w:sz="0" w:space="0" w:color="auto"/>
      </w:divBdr>
    </w:div>
    <w:div w:id="1554846621">
      <w:bodyDiv w:val="1"/>
      <w:marLeft w:val="0"/>
      <w:marRight w:val="0"/>
      <w:marTop w:val="0"/>
      <w:marBottom w:val="0"/>
      <w:divBdr>
        <w:top w:val="none" w:sz="0" w:space="0" w:color="auto"/>
        <w:left w:val="none" w:sz="0" w:space="0" w:color="auto"/>
        <w:bottom w:val="none" w:sz="0" w:space="0" w:color="auto"/>
        <w:right w:val="none" w:sz="0" w:space="0" w:color="auto"/>
      </w:divBdr>
    </w:div>
    <w:div w:id="1597253579">
      <w:bodyDiv w:val="1"/>
      <w:marLeft w:val="0"/>
      <w:marRight w:val="0"/>
      <w:marTop w:val="0"/>
      <w:marBottom w:val="0"/>
      <w:divBdr>
        <w:top w:val="none" w:sz="0" w:space="0" w:color="auto"/>
        <w:left w:val="none" w:sz="0" w:space="0" w:color="auto"/>
        <w:bottom w:val="none" w:sz="0" w:space="0" w:color="auto"/>
        <w:right w:val="none" w:sz="0" w:space="0" w:color="auto"/>
      </w:divBdr>
    </w:div>
    <w:div w:id="1639148730">
      <w:bodyDiv w:val="1"/>
      <w:marLeft w:val="0"/>
      <w:marRight w:val="0"/>
      <w:marTop w:val="0"/>
      <w:marBottom w:val="0"/>
      <w:divBdr>
        <w:top w:val="none" w:sz="0" w:space="0" w:color="auto"/>
        <w:left w:val="none" w:sz="0" w:space="0" w:color="auto"/>
        <w:bottom w:val="none" w:sz="0" w:space="0" w:color="auto"/>
        <w:right w:val="none" w:sz="0" w:space="0" w:color="auto"/>
      </w:divBdr>
    </w:div>
    <w:div w:id="1645307292">
      <w:bodyDiv w:val="1"/>
      <w:marLeft w:val="0"/>
      <w:marRight w:val="0"/>
      <w:marTop w:val="0"/>
      <w:marBottom w:val="0"/>
      <w:divBdr>
        <w:top w:val="none" w:sz="0" w:space="0" w:color="auto"/>
        <w:left w:val="none" w:sz="0" w:space="0" w:color="auto"/>
        <w:bottom w:val="none" w:sz="0" w:space="0" w:color="auto"/>
        <w:right w:val="none" w:sz="0" w:space="0" w:color="auto"/>
      </w:divBdr>
    </w:div>
    <w:div w:id="1647707635">
      <w:bodyDiv w:val="1"/>
      <w:marLeft w:val="0"/>
      <w:marRight w:val="0"/>
      <w:marTop w:val="0"/>
      <w:marBottom w:val="0"/>
      <w:divBdr>
        <w:top w:val="none" w:sz="0" w:space="0" w:color="auto"/>
        <w:left w:val="none" w:sz="0" w:space="0" w:color="auto"/>
        <w:bottom w:val="none" w:sz="0" w:space="0" w:color="auto"/>
        <w:right w:val="none" w:sz="0" w:space="0" w:color="auto"/>
      </w:divBdr>
    </w:div>
    <w:div w:id="1661303408">
      <w:bodyDiv w:val="1"/>
      <w:marLeft w:val="0"/>
      <w:marRight w:val="0"/>
      <w:marTop w:val="0"/>
      <w:marBottom w:val="0"/>
      <w:divBdr>
        <w:top w:val="none" w:sz="0" w:space="0" w:color="auto"/>
        <w:left w:val="none" w:sz="0" w:space="0" w:color="auto"/>
        <w:bottom w:val="none" w:sz="0" w:space="0" w:color="auto"/>
        <w:right w:val="none" w:sz="0" w:space="0" w:color="auto"/>
      </w:divBdr>
    </w:div>
    <w:div w:id="1662002408">
      <w:bodyDiv w:val="1"/>
      <w:marLeft w:val="0"/>
      <w:marRight w:val="0"/>
      <w:marTop w:val="0"/>
      <w:marBottom w:val="0"/>
      <w:divBdr>
        <w:top w:val="none" w:sz="0" w:space="0" w:color="auto"/>
        <w:left w:val="none" w:sz="0" w:space="0" w:color="auto"/>
        <w:bottom w:val="none" w:sz="0" w:space="0" w:color="auto"/>
        <w:right w:val="none" w:sz="0" w:space="0" w:color="auto"/>
      </w:divBdr>
    </w:div>
    <w:div w:id="1701584562">
      <w:bodyDiv w:val="1"/>
      <w:marLeft w:val="0"/>
      <w:marRight w:val="0"/>
      <w:marTop w:val="0"/>
      <w:marBottom w:val="0"/>
      <w:divBdr>
        <w:top w:val="none" w:sz="0" w:space="0" w:color="auto"/>
        <w:left w:val="none" w:sz="0" w:space="0" w:color="auto"/>
        <w:bottom w:val="none" w:sz="0" w:space="0" w:color="auto"/>
        <w:right w:val="none" w:sz="0" w:space="0" w:color="auto"/>
      </w:divBdr>
    </w:div>
    <w:div w:id="1729717275">
      <w:bodyDiv w:val="1"/>
      <w:marLeft w:val="0"/>
      <w:marRight w:val="0"/>
      <w:marTop w:val="0"/>
      <w:marBottom w:val="0"/>
      <w:divBdr>
        <w:top w:val="none" w:sz="0" w:space="0" w:color="auto"/>
        <w:left w:val="none" w:sz="0" w:space="0" w:color="auto"/>
        <w:bottom w:val="none" w:sz="0" w:space="0" w:color="auto"/>
        <w:right w:val="none" w:sz="0" w:space="0" w:color="auto"/>
      </w:divBdr>
    </w:div>
    <w:div w:id="1765606381">
      <w:bodyDiv w:val="1"/>
      <w:marLeft w:val="0"/>
      <w:marRight w:val="0"/>
      <w:marTop w:val="0"/>
      <w:marBottom w:val="0"/>
      <w:divBdr>
        <w:top w:val="none" w:sz="0" w:space="0" w:color="auto"/>
        <w:left w:val="none" w:sz="0" w:space="0" w:color="auto"/>
        <w:bottom w:val="none" w:sz="0" w:space="0" w:color="auto"/>
        <w:right w:val="none" w:sz="0" w:space="0" w:color="auto"/>
      </w:divBdr>
    </w:div>
    <w:div w:id="1767768900">
      <w:bodyDiv w:val="1"/>
      <w:marLeft w:val="0"/>
      <w:marRight w:val="0"/>
      <w:marTop w:val="0"/>
      <w:marBottom w:val="0"/>
      <w:divBdr>
        <w:top w:val="none" w:sz="0" w:space="0" w:color="auto"/>
        <w:left w:val="none" w:sz="0" w:space="0" w:color="auto"/>
        <w:bottom w:val="none" w:sz="0" w:space="0" w:color="auto"/>
        <w:right w:val="none" w:sz="0" w:space="0" w:color="auto"/>
      </w:divBdr>
    </w:div>
    <w:div w:id="1768847153">
      <w:bodyDiv w:val="1"/>
      <w:marLeft w:val="0"/>
      <w:marRight w:val="0"/>
      <w:marTop w:val="0"/>
      <w:marBottom w:val="0"/>
      <w:divBdr>
        <w:top w:val="none" w:sz="0" w:space="0" w:color="auto"/>
        <w:left w:val="none" w:sz="0" w:space="0" w:color="auto"/>
        <w:bottom w:val="none" w:sz="0" w:space="0" w:color="auto"/>
        <w:right w:val="none" w:sz="0" w:space="0" w:color="auto"/>
      </w:divBdr>
    </w:div>
    <w:div w:id="1768884124">
      <w:bodyDiv w:val="1"/>
      <w:marLeft w:val="0"/>
      <w:marRight w:val="0"/>
      <w:marTop w:val="0"/>
      <w:marBottom w:val="0"/>
      <w:divBdr>
        <w:top w:val="none" w:sz="0" w:space="0" w:color="auto"/>
        <w:left w:val="none" w:sz="0" w:space="0" w:color="auto"/>
        <w:bottom w:val="none" w:sz="0" w:space="0" w:color="auto"/>
        <w:right w:val="none" w:sz="0" w:space="0" w:color="auto"/>
      </w:divBdr>
    </w:div>
    <w:div w:id="1787893068">
      <w:bodyDiv w:val="1"/>
      <w:marLeft w:val="0"/>
      <w:marRight w:val="0"/>
      <w:marTop w:val="0"/>
      <w:marBottom w:val="0"/>
      <w:divBdr>
        <w:top w:val="none" w:sz="0" w:space="0" w:color="auto"/>
        <w:left w:val="none" w:sz="0" w:space="0" w:color="auto"/>
        <w:bottom w:val="none" w:sz="0" w:space="0" w:color="auto"/>
        <w:right w:val="none" w:sz="0" w:space="0" w:color="auto"/>
      </w:divBdr>
    </w:div>
    <w:div w:id="1804078079">
      <w:bodyDiv w:val="1"/>
      <w:marLeft w:val="0"/>
      <w:marRight w:val="0"/>
      <w:marTop w:val="0"/>
      <w:marBottom w:val="0"/>
      <w:divBdr>
        <w:top w:val="none" w:sz="0" w:space="0" w:color="auto"/>
        <w:left w:val="none" w:sz="0" w:space="0" w:color="auto"/>
        <w:bottom w:val="none" w:sz="0" w:space="0" w:color="auto"/>
        <w:right w:val="none" w:sz="0" w:space="0" w:color="auto"/>
      </w:divBdr>
    </w:div>
    <w:div w:id="1811895832">
      <w:bodyDiv w:val="1"/>
      <w:marLeft w:val="0"/>
      <w:marRight w:val="0"/>
      <w:marTop w:val="0"/>
      <w:marBottom w:val="0"/>
      <w:divBdr>
        <w:top w:val="none" w:sz="0" w:space="0" w:color="auto"/>
        <w:left w:val="none" w:sz="0" w:space="0" w:color="auto"/>
        <w:bottom w:val="none" w:sz="0" w:space="0" w:color="auto"/>
        <w:right w:val="none" w:sz="0" w:space="0" w:color="auto"/>
      </w:divBdr>
    </w:div>
    <w:div w:id="1813059447">
      <w:bodyDiv w:val="1"/>
      <w:marLeft w:val="0"/>
      <w:marRight w:val="0"/>
      <w:marTop w:val="0"/>
      <w:marBottom w:val="0"/>
      <w:divBdr>
        <w:top w:val="none" w:sz="0" w:space="0" w:color="auto"/>
        <w:left w:val="none" w:sz="0" w:space="0" w:color="auto"/>
        <w:bottom w:val="none" w:sz="0" w:space="0" w:color="auto"/>
        <w:right w:val="none" w:sz="0" w:space="0" w:color="auto"/>
      </w:divBdr>
    </w:div>
    <w:div w:id="1816022941">
      <w:bodyDiv w:val="1"/>
      <w:marLeft w:val="0"/>
      <w:marRight w:val="0"/>
      <w:marTop w:val="0"/>
      <w:marBottom w:val="0"/>
      <w:divBdr>
        <w:top w:val="none" w:sz="0" w:space="0" w:color="auto"/>
        <w:left w:val="none" w:sz="0" w:space="0" w:color="auto"/>
        <w:bottom w:val="none" w:sz="0" w:space="0" w:color="auto"/>
        <w:right w:val="none" w:sz="0" w:space="0" w:color="auto"/>
      </w:divBdr>
    </w:div>
    <w:div w:id="1822693695">
      <w:bodyDiv w:val="1"/>
      <w:marLeft w:val="0"/>
      <w:marRight w:val="0"/>
      <w:marTop w:val="0"/>
      <w:marBottom w:val="0"/>
      <w:divBdr>
        <w:top w:val="none" w:sz="0" w:space="0" w:color="auto"/>
        <w:left w:val="none" w:sz="0" w:space="0" w:color="auto"/>
        <w:bottom w:val="none" w:sz="0" w:space="0" w:color="auto"/>
        <w:right w:val="none" w:sz="0" w:space="0" w:color="auto"/>
      </w:divBdr>
    </w:div>
    <w:div w:id="1836531025">
      <w:bodyDiv w:val="1"/>
      <w:marLeft w:val="0"/>
      <w:marRight w:val="0"/>
      <w:marTop w:val="0"/>
      <w:marBottom w:val="0"/>
      <w:divBdr>
        <w:top w:val="none" w:sz="0" w:space="0" w:color="auto"/>
        <w:left w:val="none" w:sz="0" w:space="0" w:color="auto"/>
        <w:bottom w:val="none" w:sz="0" w:space="0" w:color="auto"/>
        <w:right w:val="none" w:sz="0" w:space="0" w:color="auto"/>
      </w:divBdr>
    </w:div>
    <w:div w:id="1856575776">
      <w:bodyDiv w:val="1"/>
      <w:marLeft w:val="0"/>
      <w:marRight w:val="0"/>
      <w:marTop w:val="0"/>
      <w:marBottom w:val="0"/>
      <w:divBdr>
        <w:top w:val="none" w:sz="0" w:space="0" w:color="auto"/>
        <w:left w:val="none" w:sz="0" w:space="0" w:color="auto"/>
        <w:bottom w:val="none" w:sz="0" w:space="0" w:color="auto"/>
        <w:right w:val="none" w:sz="0" w:space="0" w:color="auto"/>
      </w:divBdr>
    </w:div>
    <w:div w:id="1877816855">
      <w:bodyDiv w:val="1"/>
      <w:marLeft w:val="0"/>
      <w:marRight w:val="0"/>
      <w:marTop w:val="0"/>
      <w:marBottom w:val="0"/>
      <w:divBdr>
        <w:top w:val="none" w:sz="0" w:space="0" w:color="auto"/>
        <w:left w:val="none" w:sz="0" w:space="0" w:color="auto"/>
        <w:bottom w:val="none" w:sz="0" w:space="0" w:color="auto"/>
        <w:right w:val="none" w:sz="0" w:space="0" w:color="auto"/>
      </w:divBdr>
    </w:div>
    <w:div w:id="1888105791">
      <w:bodyDiv w:val="1"/>
      <w:marLeft w:val="0"/>
      <w:marRight w:val="0"/>
      <w:marTop w:val="0"/>
      <w:marBottom w:val="0"/>
      <w:divBdr>
        <w:top w:val="none" w:sz="0" w:space="0" w:color="auto"/>
        <w:left w:val="none" w:sz="0" w:space="0" w:color="auto"/>
        <w:bottom w:val="none" w:sz="0" w:space="0" w:color="auto"/>
        <w:right w:val="none" w:sz="0" w:space="0" w:color="auto"/>
      </w:divBdr>
    </w:div>
    <w:div w:id="1907304651">
      <w:bodyDiv w:val="1"/>
      <w:marLeft w:val="0"/>
      <w:marRight w:val="0"/>
      <w:marTop w:val="0"/>
      <w:marBottom w:val="0"/>
      <w:divBdr>
        <w:top w:val="none" w:sz="0" w:space="0" w:color="auto"/>
        <w:left w:val="none" w:sz="0" w:space="0" w:color="auto"/>
        <w:bottom w:val="none" w:sz="0" w:space="0" w:color="auto"/>
        <w:right w:val="none" w:sz="0" w:space="0" w:color="auto"/>
      </w:divBdr>
    </w:div>
    <w:div w:id="1953583900">
      <w:bodyDiv w:val="1"/>
      <w:marLeft w:val="0"/>
      <w:marRight w:val="0"/>
      <w:marTop w:val="0"/>
      <w:marBottom w:val="0"/>
      <w:divBdr>
        <w:top w:val="none" w:sz="0" w:space="0" w:color="auto"/>
        <w:left w:val="none" w:sz="0" w:space="0" w:color="auto"/>
        <w:bottom w:val="none" w:sz="0" w:space="0" w:color="auto"/>
        <w:right w:val="none" w:sz="0" w:space="0" w:color="auto"/>
      </w:divBdr>
    </w:div>
    <w:div w:id="1958634602">
      <w:bodyDiv w:val="1"/>
      <w:marLeft w:val="0"/>
      <w:marRight w:val="0"/>
      <w:marTop w:val="0"/>
      <w:marBottom w:val="0"/>
      <w:divBdr>
        <w:top w:val="none" w:sz="0" w:space="0" w:color="auto"/>
        <w:left w:val="none" w:sz="0" w:space="0" w:color="auto"/>
        <w:bottom w:val="none" w:sz="0" w:space="0" w:color="auto"/>
        <w:right w:val="none" w:sz="0" w:space="0" w:color="auto"/>
      </w:divBdr>
    </w:div>
    <w:div w:id="2007050752">
      <w:bodyDiv w:val="1"/>
      <w:marLeft w:val="0"/>
      <w:marRight w:val="0"/>
      <w:marTop w:val="0"/>
      <w:marBottom w:val="0"/>
      <w:divBdr>
        <w:top w:val="none" w:sz="0" w:space="0" w:color="auto"/>
        <w:left w:val="none" w:sz="0" w:space="0" w:color="auto"/>
        <w:bottom w:val="none" w:sz="0" w:space="0" w:color="auto"/>
        <w:right w:val="none" w:sz="0" w:space="0" w:color="auto"/>
      </w:divBdr>
    </w:div>
    <w:div w:id="2007439262">
      <w:bodyDiv w:val="1"/>
      <w:marLeft w:val="0"/>
      <w:marRight w:val="0"/>
      <w:marTop w:val="0"/>
      <w:marBottom w:val="0"/>
      <w:divBdr>
        <w:top w:val="none" w:sz="0" w:space="0" w:color="auto"/>
        <w:left w:val="none" w:sz="0" w:space="0" w:color="auto"/>
        <w:bottom w:val="none" w:sz="0" w:space="0" w:color="auto"/>
        <w:right w:val="none" w:sz="0" w:space="0" w:color="auto"/>
      </w:divBdr>
    </w:div>
    <w:div w:id="2039116200">
      <w:bodyDiv w:val="1"/>
      <w:marLeft w:val="0"/>
      <w:marRight w:val="0"/>
      <w:marTop w:val="0"/>
      <w:marBottom w:val="0"/>
      <w:divBdr>
        <w:top w:val="none" w:sz="0" w:space="0" w:color="auto"/>
        <w:left w:val="none" w:sz="0" w:space="0" w:color="auto"/>
        <w:bottom w:val="none" w:sz="0" w:space="0" w:color="auto"/>
        <w:right w:val="none" w:sz="0" w:space="0" w:color="auto"/>
      </w:divBdr>
    </w:div>
    <w:div w:id="2056392124">
      <w:bodyDiv w:val="1"/>
      <w:marLeft w:val="0"/>
      <w:marRight w:val="0"/>
      <w:marTop w:val="0"/>
      <w:marBottom w:val="0"/>
      <w:divBdr>
        <w:top w:val="none" w:sz="0" w:space="0" w:color="auto"/>
        <w:left w:val="none" w:sz="0" w:space="0" w:color="auto"/>
        <w:bottom w:val="none" w:sz="0" w:space="0" w:color="auto"/>
        <w:right w:val="none" w:sz="0" w:space="0" w:color="auto"/>
      </w:divBdr>
    </w:div>
    <w:div w:id="2059283599">
      <w:bodyDiv w:val="1"/>
      <w:marLeft w:val="0"/>
      <w:marRight w:val="0"/>
      <w:marTop w:val="0"/>
      <w:marBottom w:val="0"/>
      <w:divBdr>
        <w:top w:val="none" w:sz="0" w:space="0" w:color="auto"/>
        <w:left w:val="none" w:sz="0" w:space="0" w:color="auto"/>
        <w:bottom w:val="none" w:sz="0" w:space="0" w:color="auto"/>
        <w:right w:val="none" w:sz="0" w:space="0" w:color="auto"/>
      </w:divBdr>
    </w:div>
    <w:div w:id="2068722058">
      <w:bodyDiv w:val="1"/>
      <w:marLeft w:val="0"/>
      <w:marRight w:val="0"/>
      <w:marTop w:val="0"/>
      <w:marBottom w:val="0"/>
      <w:divBdr>
        <w:top w:val="none" w:sz="0" w:space="0" w:color="auto"/>
        <w:left w:val="none" w:sz="0" w:space="0" w:color="auto"/>
        <w:bottom w:val="none" w:sz="0" w:space="0" w:color="auto"/>
        <w:right w:val="none" w:sz="0" w:space="0" w:color="auto"/>
      </w:divBdr>
    </w:div>
    <w:div w:id="2073497700">
      <w:bodyDiv w:val="1"/>
      <w:marLeft w:val="0"/>
      <w:marRight w:val="0"/>
      <w:marTop w:val="0"/>
      <w:marBottom w:val="0"/>
      <w:divBdr>
        <w:top w:val="none" w:sz="0" w:space="0" w:color="auto"/>
        <w:left w:val="none" w:sz="0" w:space="0" w:color="auto"/>
        <w:bottom w:val="none" w:sz="0" w:space="0" w:color="auto"/>
        <w:right w:val="none" w:sz="0" w:space="0" w:color="auto"/>
      </w:divBdr>
    </w:div>
    <w:div w:id="2081169180">
      <w:bodyDiv w:val="1"/>
      <w:marLeft w:val="0"/>
      <w:marRight w:val="0"/>
      <w:marTop w:val="0"/>
      <w:marBottom w:val="0"/>
      <w:divBdr>
        <w:top w:val="none" w:sz="0" w:space="0" w:color="auto"/>
        <w:left w:val="none" w:sz="0" w:space="0" w:color="auto"/>
        <w:bottom w:val="none" w:sz="0" w:space="0" w:color="auto"/>
        <w:right w:val="none" w:sz="0" w:space="0" w:color="auto"/>
      </w:divBdr>
    </w:div>
    <w:div w:id="2085296570">
      <w:bodyDiv w:val="1"/>
      <w:marLeft w:val="0"/>
      <w:marRight w:val="0"/>
      <w:marTop w:val="0"/>
      <w:marBottom w:val="0"/>
      <w:divBdr>
        <w:top w:val="none" w:sz="0" w:space="0" w:color="auto"/>
        <w:left w:val="none" w:sz="0" w:space="0" w:color="auto"/>
        <w:bottom w:val="none" w:sz="0" w:space="0" w:color="auto"/>
        <w:right w:val="none" w:sz="0" w:space="0" w:color="auto"/>
      </w:divBdr>
    </w:div>
    <w:div w:id="2091733530">
      <w:bodyDiv w:val="1"/>
      <w:marLeft w:val="0"/>
      <w:marRight w:val="0"/>
      <w:marTop w:val="0"/>
      <w:marBottom w:val="0"/>
      <w:divBdr>
        <w:top w:val="none" w:sz="0" w:space="0" w:color="auto"/>
        <w:left w:val="none" w:sz="0" w:space="0" w:color="auto"/>
        <w:bottom w:val="none" w:sz="0" w:space="0" w:color="auto"/>
        <w:right w:val="none" w:sz="0" w:space="0" w:color="auto"/>
      </w:divBdr>
    </w:div>
    <w:div w:id="2106923188">
      <w:bodyDiv w:val="1"/>
      <w:marLeft w:val="0"/>
      <w:marRight w:val="0"/>
      <w:marTop w:val="0"/>
      <w:marBottom w:val="0"/>
      <w:divBdr>
        <w:top w:val="none" w:sz="0" w:space="0" w:color="auto"/>
        <w:left w:val="none" w:sz="0" w:space="0" w:color="auto"/>
        <w:bottom w:val="none" w:sz="0" w:space="0" w:color="auto"/>
        <w:right w:val="none" w:sz="0" w:space="0" w:color="auto"/>
      </w:divBdr>
    </w:div>
    <w:div w:id="213097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descuadrando.com/Rentabilidad_econ%C3%B3mica" TargetMode="External"/><Relationship Id="rId1" Type="http://schemas.openxmlformats.org/officeDocument/2006/relationships/hyperlink" Target="http://www.slideshare.net/Solfin/tablas-frmulas-y-conceptos-financier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UZZMMRM\Downloads\240826%20BASE%20DE%20DATOS.xlsb"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INDICE DE LIQUIDEZ</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ANALISIS_SIIS!$T$8:$T$14</c:f>
              <c:strCache>
                <c:ptCount val="7"/>
                <c:pt idx="0">
                  <c:v>Igual a 0</c:v>
                </c:pt>
                <c:pt idx="1">
                  <c:v>Mayor a 0 - menor o igual a 0,5</c:v>
                </c:pt>
                <c:pt idx="2">
                  <c:v>Mayor a 0,5 - menor o igual a 1</c:v>
                </c:pt>
                <c:pt idx="3">
                  <c:v>Mayor a 1 - menor o igual a 1,5</c:v>
                </c:pt>
                <c:pt idx="4">
                  <c:v>Mayor a 1,5 - menor o igual a 2,5</c:v>
                </c:pt>
                <c:pt idx="5">
                  <c:v>Mayor a 2,5 - menor o igual a 5</c:v>
                </c:pt>
                <c:pt idx="6">
                  <c:v>Mayor a 5</c:v>
                </c:pt>
              </c:strCache>
            </c:strRef>
          </c:cat>
          <c:val>
            <c:numRef>
              <c:f>ANALISIS_SIIS!$U$8:$U$14</c:f>
              <c:numCache>
                <c:formatCode>#,##0</c:formatCode>
                <c:ptCount val="7"/>
                <c:pt idx="0">
                  <c:v>5</c:v>
                </c:pt>
                <c:pt idx="1">
                  <c:v>5</c:v>
                </c:pt>
                <c:pt idx="2">
                  <c:v>7</c:v>
                </c:pt>
                <c:pt idx="3">
                  <c:v>7</c:v>
                </c:pt>
                <c:pt idx="4">
                  <c:v>5</c:v>
                </c:pt>
                <c:pt idx="5">
                  <c:v>6</c:v>
                </c:pt>
                <c:pt idx="6">
                  <c:v>11</c:v>
                </c:pt>
              </c:numCache>
            </c:numRef>
          </c:val>
          <c:extLst>
            <c:ext xmlns:c16="http://schemas.microsoft.com/office/drawing/2014/chart" uri="{C3380CC4-5D6E-409C-BE32-E72D297353CC}">
              <c16:uniqueId val="{00000000-C12A-46B3-AA49-C072BF583AFB}"/>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ANALISIS_SIIS!$T$8:$T$14</c:f>
              <c:strCache>
                <c:ptCount val="7"/>
                <c:pt idx="0">
                  <c:v>Igual a 0</c:v>
                </c:pt>
                <c:pt idx="1">
                  <c:v>Mayor a 0 - menor o igual a 0,5</c:v>
                </c:pt>
                <c:pt idx="2">
                  <c:v>Mayor a 0,5 - menor o igual a 1</c:v>
                </c:pt>
                <c:pt idx="3">
                  <c:v>Mayor a 1 - menor o igual a 1,5</c:v>
                </c:pt>
                <c:pt idx="4">
                  <c:v>Mayor a 1,5 - menor o igual a 2,5</c:v>
                </c:pt>
                <c:pt idx="5">
                  <c:v>Mayor a 2,5 - menor o igual a 5</c:v>
                </c:pt>
                <c:pt idx="6">
                  <c:v>Mayor a 5</c:v>
                </c:pt>
              </c:strCache>
            </c:strRef>
          </c:cat>
          <c:val>
            <c:numRef>
              <c:f>ANALISIS_SIIS!$V$8:$V$14</c:f>
              <c:numCache>
                <c:formatCode>#,##0</c:formatCode>
                <c:ptCount val="7"/>
                <c:pt idx="0">
                  <c:v>3</c:v>
                </c:pt>
                <c:pt idx="1">
                  <c:v>7</c:v>
                </c:pt>
                <c:pt idx="2">
                  <c:v>3</c:v>
                </c:pt>
                <c:pt idx="3">
                  <c:v>9</c:v>
                </c:pt>
                <c:pt idx="4">
                  <c:v>10</c:v>
                </c:pt>
                <c:pt idx="5">
                  <c:v>5</c:v>
                </c:pt>
                <c:pt idx="6">
                  <c:v>9</c:v>
                </c:pt>
              </c:numCache>
            </c:numRef>
          </c:val>
          <c:extLst>
            <c:ext xmlns:c16="http://schemas.microsoft.com/office/drawing/2014/chart" uri="{C3380CC4-5D6E-409C-BE32-E72D297353CC}">
              <c16:uniqueId val="{00000001-C12A-46B3-AA49-C072BF583AFB}"/>
            </c:ext>
          </c:extLst>
        </c:ser>
        <c:dLbls>
          <c:showLegendKey val="0"/>
          <c:showVal val="0"/>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INDICE DE ENDEUDAMIENTO</a:t>
            </a:r>
          </a:p>
        </c:rich>
      </c:tx>
      <c:layout>
        <c:manualLayout>
          <c:xMode val="edge"/>
          <c:yMode val="edge"/>
          <c:x val="0.35973310920404605"/>
          <c:y val="3.0651340996168581E-2"/>
        </c:manualLayout>
      </c:layout>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ANALISIS_SIIS!$T$22:$T$28</c:f>
              <c:strCache>
                <c:ptCount val="7"/>
                <c:pt idx="0">
                  <c:v>Mayor a 0,00% - menor o igual a 15,00%</c:v>
                </c:pt>
                <c:pt idx="1">
                  <c:v>Mayor a 15,00% - menor o igual a 30,00%</c:v>
                </c:pt>
                <c:pt idx="2">
                  <c:v>Mayor a 30,00% - menor o igual a 45,00%</c:v>
                </c:pt>
                <c:pt idx="3">
                  <c:v>Mayor a 45,00% - menor o igual a 60,00%</c:v>
                </c:pt>
                <c:pt idx="4">
                  <c:v>Mayor a 60,00% - menor o igual a 75,00%</c:v>
                </c:pt>
                <c:pt idx="5">
                  <c:v>Mayor a 75,00% - menor o igual a 90,00%</c:v>
                </c:pt>
                <c:pt idx="6">
                  <c:v>Mayor a 90,00%</c:v>
                </c:pt>
              </c:strCache>
            </c:strRef>
          </c:cat>
          <c:val>
            <c:numRef>
              <c:f>ANALISIS_SIIS!$U$22:$U$28</c:f>
              <c:numCache>
                <c:formatCode>#,##0</c:formatCode>
                <c:ptCount val="7"/>
                <c:pt idx="0">
                  <c:v>8</c:v>
                </c:pt>
                <c:pt idx="1">
                  <c:v>4</c:v>
                </c:pt>
                <c:pt idx="2">
                  <c:v>5</c:v>
                </c:pt>
                <c:pt idx="3">
                  <c:v>7</c:v>
                </c:pt>
                <c:pt idx="4">
                  <c:v>8</c:v>
                </c:pt>
                <c:pt idx="5">
                  <c:v>5</c:v>
                </c:pt>
                <c:pt idx="6">
                  <c:v>9</c:v>
                </c:pt>
              </c:numCache>
            </c:numRef>
          </c:val>
          <c:extLst>
            <c:ext xmlns:c16="http://schemas.microsoft.com/office/drawing/2014/chart" uri="{C3380CC4-5D6E-409C-BE32-E72D297353CC}">
              <c16:uniqueId val="{00000000-2570-4436-BEB4-197D778B774D}"/>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ANALISIS_SIIS!$T$22:$T$28</c:f>
              <c:strCache>
                <c:ptCount val="7"/>
                <c:pt idx="0">
                  <c:v>Mayor a 0,00% - menor o igual a 15,00%</c:v>
                </c:pt>
                <c:pt idx="1">
                  <c:v>Mayor a 15,00% - menor o igual a 30,00%</c:v>
                </c:pt>
                <c:pt idx="2">
                  <c:v>Mayor a 30,00% - menor o igual a 45,00%</c:v>
                </c:pt>
                <c:pt idx="3">
                  <c:v>Mayor a 45,00% - menor o igual a 60,00%</c:v>
                </c:pt>
                <c:pt idx="4">
                  <c:v>Mayor a 60,00% - menor o igual a 75,00%</c:v>
                </c:pt>
                <c:pt idx="5">
                  <c:v>Mayor a 75,00% - menor o igual a 90,00%</c:v>
                </c:pt>
                <c:pt idx="6">
                  <c:v>Mayor a 90,00%</c:v>
                </c:pt>
              </c:strCache>
            </c:strRef>
          </c:cat>
          <c:val>
            <c:numRef>
              <c:f>ANALISIS_SIIS!$V$22:$V$28</c:f>
              <c:numCache>
                <c:formatCode>#,##0</c:formatCode>
                <c:ptCount val="7"/>
                <c:pt idx="0">
                  <c:v>5</c:v>
                </c:pt>
                <c:pt idx="1">
                  <c:v>6</c:v>
                </c:pt>
                <c:pt idx="2">
                  <c:v>6</c:v>
                </c:pt>
                <c:pt idx="3">
                  <c:v>7</c:v>
                </c:pt>
                <c:pt idx="4">
                  <c:v>4</c:v>
                </c:pt>
                <c:pt idx="5">
                  <c:v>9</c:v>
                </c:pt>
                <c:pt idx="6">
                  <c:v>9</c:v>
                </c:pt>
              </c:numCache>
            </c:numRef>
          </c:val>
          <c:extLst>
            <c:ext xmlns:c16="http://schemas.microsoft.com/office/drawing/2014/chart" uri="{C3380CC4-5D6E-409C-BE32-E72D297353CC}">
              <c16:uniqueId val="{00000001-2570-4436-BEB4-197D778B774D}"/>
            </c:ext>
          </c:extLst>
        </c:ser>
        <c:dLbls>
          <c:showLegendKey val="0"/>
          <c:showVal val="1"/>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INDICE DE RAZÓN DE COBERTURA DE INTERESES</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ANALISIS_SIIS!$T$36:$T$43</c:f>
              <c:strCache>
                <c:ptCount val="8"/>
                <c:pt idx="0">
                  <c:v>Valores negativos</c:v>
                </c:pt>
                <c:pt idx="1">
                  <c:v>Igual a 0</c:v>
                </c:pt>
                <c:pt idx="2">
                  <c:v>Mayor a 0 - menor o igual a 0,5</c:v>
                </c:pt>
                <c:pt idx="3">
                  <c:v>Mayor a 0,5 - menor o igual a 1</c:v>
                </c:pt>
                <c:pt idx="4">
                  <c:v>Mayor a 1 - menor o igual a 1,5</c:v>
                </c:pt>
                <c:pt idx="5">
                  <c:v>Mayor a 1,5 - menor o igual a 2</c:v>
                </c:pt>
                <c:pt idx="6">
                  <c:v>Mayor a 2 - menor o igual a 2,5</c:v>
                </c:pt>
                <c:pt idx="7">
                  <c:v>Mayor a 2,5</c:v>
                </c:pt>
              </c:strCache>
            </c:strRef>
          </c:cat>
          <c:val>
            <c:numRef>
              <c:f>ANALISIS_SIIS!$U$36:$U$43</c:f>
              <c:numCache>
                <c:formatCode>#,##0</c:formatCode>
                <c:ptCount val="8"/>
                <c:pt idx="0">
                  <c:v>6</c:v>
                </c:pt>
                <c:pt idx="1">
                  <c:v>21</c:v>
                </c:pt>
                <c:pt idx="2">
                  <c:v>2</c:v>
                </c:pt>
                <c:pt idx="3">
                  <c:v>1</c:v>
                </c:pt>
                <c:pt idx="4">
                  <c:v>2</c:v>
                </c:pt>
                <c:pt idx="5">
                  <c:v>3</c:v>
                </c:pt>
                <c:pt idx="6">
                  <c:v>3</c:v>
                </c:pt>
                <c:pt idx="7">
                  <c:v>8</c:v>
                </c:pt>
              </c:numCache>
            </c:numRef>
          </c:val>
          <c:extLst>
            <c:ext xmlns:c16="http://schemas.microsoft.com/office/drawing/2014/chart" uri="{C3380CC4-5D6E-409C-BE32-E72D297353CC}">
              <c16:uniqueId val="{00000000-2C1B-4398-98B6-F26DB781B064}"/>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ANALISIS_SIIS!$T$36:$T$43</c:f>
              <c:strCache>
                <c:ptCount val="8"/>
                <c:pt idx="0">
                  <c:v>Valores negativos</c:v>
                </c:pt>
                <c:pt idx="1">
                  <c:v>Igual a 0</c:v>
                </c:pt>
                <c:pt idx="2">
                  <c:v>Mayor a 0 - menor o igual a 0,5</c:v>
                </c:pt>
                <c:pt idx="3">
                  <c:v>Mayor a 0,5 - menor o igual a 1</c:v>
                </c:pt>
                <c:pt idx="4">
                  <c:v>Mayor a 1 - menor o igual a 1,5</c:v>
                </c:pt>
                <c:pt idx="5">
                  <c:v>Mayor a 1,5 - menor o igual a 2</c:v>
                </c:pt>
                <c:pt idx="6">
                  <c:v>Mayor a 2 - menor o igual a 2,5</c:v>
                </c:pt>
                <c:pt idx="7">
                  <c:v>Mayor a 2,5</c:v>
                </c:pt>
              </c:strCache>
            </c:strRef>
          </c:cat>
          <c:val>
            <c:numRef>
              <c:f>ANALISIS_SIIS!$V$36:$V$43</c:f>
              <c:numCache>
                <c:formatCode>#,##0</c:formatCode>
                <c:ptCount val="8"/>
                <c:pt idx="0">
                  <c:v>3</c:v>
                </c:pt>
                <c:pt idx="1">
                  <c:v>19</c:v>
                </c:pt>
                <c:pt idx="2">
                  <c:v>2</c:v>
                </c:pt>
                <c:pt idx="3">
                  <c:v>2</c:v>
                </c:pt>
                <c:pt idx="4">
                  <c:v>3</c:v>
                </c:pt>
                <c:pt idx="5">
                  <c:v>4</c:v>
                </c:pt>
                <c:pt idx="6">
                  <c:v>2</c:v>
                </c:pt>
                <c:pt idx="7">
                  <c:v>11</c:v>
                </c:pt>
              </c:numCache>
            </c:numRef>
          </c:val>
          <c:extLst>
            <c:ext xmlns:c16="http://schemas.microsoft.com/office/drawing/2014/chart" uri="{C3380CC4-5D6E-409C-BE32-E72D297353CC}">
              <c16:uniqueId val="{00000001-2C1B-4398-98B6-F26DB781B064}"/>
            </c:ext>
          </c:extLst>
        </c:ser>
        <c:dLbls>
          <c:showLegendKey val="0"/>
          <c:showVal val="1"/>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CÁPITAL DE TRABAJO</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ANALISIS_SIIS!$T$51:$T$61</c:f>
              <c:strCache>
                <c:ptCount val="11"/>
                <c:pt idx="0">
                  <c:v>Valores negativos</c:v>
                </c:pt>
                <c:pt idx="1">
                  <c:v>Igual a 0</c:v>
                </c:pt>
                <c:pt idx="2">
                  <c:v>Mayor a $0 - menor o igual a $1.000.000</c:v>
                </c:pt>
                <c:pt idx="3">
                  <c:v>Mayor a $1.000.000 - menor o igual a $2.000.000</c:v>
                </c:pt>
                <c:pt idx="4">
                  <c:v>Mayor a $2.000.000 - menor o igual a $3.000.000</c:v>
                </c:pt>
                <c:pt idx="5">
                  <c:v>Mayor a $3.000.000 - menor o igual a $4.000.000</c:v>
                </c:pt>
                <c:pt idx="6">
                  <c:v>Mayor a $4.000.000 - menor o igual a $5.000.000</c:v>
                </c:pt>
                <c:pt idx="7">
                  <c:v>Mayor a $5.000.000 - menor o igual a $6.000.000</c:v>
                </c:pt>
                <c:pt idx="8">
                  <c:v>Mayor a $6.000.000 - menor o igual a $7.000.000</c:v>
                </c:pt>
                <c:pt idx="9">
                  <c:v>Mayor a $7.000.000 - menor o igual a $8.000.000</c:v>
                </c:pt>
                <c:pt idx="10">
                  <c:v>Mayor a $8.000.000</c:v>
                </c:pt>
              </c:strCache>
            </c:strRef>
          </c:cat>
          <c:val>
            <c:numRef>
              <c:f>ANALISIS_SIIS!$U$51:$U$61</c:f>
              <c:numCache>
                <c:formatCode>#,##0</c:formatCode>
                <c:ptCount val="11"/>
                <c:pt idx="0">
                  <c:v>13</c:v>
                </c:pt>
                <c:pt idx="1">
                  <c:v>1</c:v>
                </c:pt>
                <c:pt idx="2">
                  <c:v>15</c:v>
                </c:pt>
                <c:pt idx="3">
                  <c:v>9</c:v>
                </c:pt>
                <c:pt idx="4">
                  <c:v>2</c:v>
                </c:pt>
                <c:pt idx="5">
                  <c:v>1</c:v>
                </c:pt>
                <c:pt idx="6">
                  <c:v>0</c:v>
                </c:pt>
                <c:pt idx="7">
                  <c:v>1</c:v>
                </c:pt>
                <c:pt idx="8">
                  <c:v>1</c:v>
                </c:pt>
                <c:pt idx="9">
                  <c:v>0</c:v>
                </c:pt>
                <c:pt idx="10">
                  <c:v>3</c:v>
                </c:pt>
              </c:numCache>
            </c:numRef>
          </c:val>
          <c:extLst>
            <c:ext xmlns:c16="http://schemas.microsoft.com/office/drawing/2014/chart" uri="{C3380CC4-5D6E-409C-BE32-E72D297353CC}">
              <c16:uniqueId val="{00000000-A83E-4CB9-8DC3-24428666B6CD}"/>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ANALISIS_SIIS!$T$51:$T$61</c:f>
              <c:strCache>
                <c:ptCount val="11"/>
                <c:pt idx="0">
                  <c:v>Valores negativos</c:v>
                </c:pt>
                <c:pt idx="1">
                  <c:v>Igual a 0</c:v>
                </c:pt>
                <c:pt idx="2">
                  <c:v>Mayor a $0 - menor o igual a $1.000.000</c:v>
                </c:pt>
                <c:pt idx="3">
                  <c:v>Mayor a $1.000.000 - menor o igual a $2.000.000</c:v>
                </c:pt>
                <c:pt idx="4">
                  <c:v>Mayor a $2.000.000 - menor o igual a $3.000.000</c:v>
                </c:pt>
                <c:pt idx="5">
                  <c:v>Mayor a $3.000.000 - menor o igual a $4.000.000</c:v>
                </c:pt>
                <c:pt idx="6">
                  <c:v>Mayor a $4.000.000 - menor o igual a $5.000.000</c:v>
                </c:pt>
                <c:pt idx="7">
                  <c:v>Mayor a $5.000.000 - menor o igual a $6.000.000</c:v>
                </c:pt>
                <c:pt idx="8">
                  <c:v>Mayor a $6.000.000 - menor o igual a $7.000.000</c:v>
                </c:pt>
                <c:pt idx="9">
                  <c:v>Mayor a $7.000.000 - menor o igual a $8.000.000</c:v>
                </c:pt>
                <c:pt idx="10">
                  <c:v>Mayor a $8.000.000</c:v>
                </c:pt>
              </c:strCache>
            </c:strRef>
          </c:cat>
          <c:val>
            <c:numRef>
              <c:f>ANALISIS_SIIS!$V$51:$V$61</c:f>
              <c:numCache>
                <c:formatCode>#,##0</c:formatCode>
                <c:ptCount val="11"/>
                <c:pt idx="0">
                  <c:v>10</c:v>
                </c:pt>
                <c:pt idx="1">
                  <c:v>1</c:v>
                </c:pt>
                <c:pt idx="2">
                  <c:v>18</c:v>
                </c:pt>
                <c:pt idx="3">
                  <c:v>9</c:v>
                </c:pt>
                <c:pt idx="4">
                  <c:v>1</c:v>
                </c:pt>
                <c:pt idx="5">
                  <c:v>1</c:v>
                </c:pt>
                <c:pt idx="6">
                  <c:v>1</c:v>
                </c:pt>
                <c:pt idx="7">
                  <c:v>1</c:v>
                </c:pt>
                <c:pt idx="8">
                  <c:v>1</c:v>
                </c:pt>
                <c:pt idx="9">
                  <c:v>0</c:v>
                </c:pt>
                <c:pt idx="10">
                  <c:v>3</c:v>
                </c:pt>
              </c:numCache>
            </c:numRef>
          </c:val>
          <c:extLst>
            <c:ext xmlns:c16="http://schemas.microsoft.com/office/drawing/2014/chart" uri="{C3380CC4-5D6E-409C-BE32-E72D297353CC}">
              <c16:uniqueId val="{00000001-A83E-4CB9-8DC3-24428666B6CD}"/>
            </c:ext>
          </c:extLst>
        </c:ser>
        <c:dLbls>
          <c:showLegendKey val="0"/>
          <c:showVal val="1"/>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RENTABILIDAD DE LOS PATRIMONIOS</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ANALISIS_SIIS!$T$85:$T$93</c:f>
              <c:strCache>
                <c:ptCount val="9"/>
                <c:pt idx="0">
                  <c:v>Valores negativos</c:v>
                </c:pt>
                <c:pt idx="1">
                  <c:v>Igual a 0</c:v>
                </c:pt>
                <c:pt idx="2">
                  <c:v>Mayor a 0,00% - menor o igual a 2,00%</c:v>
                </c:pt>
                <c:pt idx="3">
                  <c:v>Mayor a 2,00% - menor o igual a 8,00%</c:v>
                </c:pt>
                <c:pt idx="4">
                  <c:v>Mayor a 8,00% - menor o igual a 14,00%</c:v>
                </c:pt>
                <c:pt idx="5">
                  <c:v>Mayor a 14,00% - menor o igual a 20,00%</c:v>
                </c:pt>
                <c:pt idx="6">
                  <c:v>Mayor a 20,00% - menor o igual a 26,00%</c:v>
                </c:pt>
                <c:pt idx="7">
                  <c:v>Mayor a 26,00% - menor o igual a 32,00%</c:v>
                </c:pt>
                <c:pt idx="8">
                  <c:v>Mayor a 32,00%</c:v>
                </c:pt>
              </c:strCache>
            </c:strRef>
          </c:cat>
          <c:val>
            <c:numRef>
              <c:f>ANALISIS_SIIS!$U$85:$U$93</c:f>
              <c:numCache>
                <c:formatCode>#,##0</c:formatCode>
                <c:ptCount val="9"/>
                <c:pt idx="0">
                  <c:v>16</c:v>
                </c:pt>
                <c:pt idx="1">
                  <c:v>2</c:v>
                </c:pt>
                <c:pt idx="2">
                  <c:v>4</c:v>
                </c:pt>
                <c:pt idx="3">
                  <c:v>8</c:v>
                </c:pt>
                <c:pt idx="4">
                  <c:v>4</c:v>
                </c:pt>
                <c:pt idx="5">
                  <c:v>3</c:v>
                </c:pt>
                <c:pt idx="6">
                  <c:v>3</c:v>
                </c:pt>
                <c:pt idx="7">
                  <c:v>0</c:v>
                </c:pt>
                <c:pt idx="8">
                  <c:v>6</c:v>
                </c:pt>
              </c:numCache>
            </c:numRef>
          </c:val>
          <c:extLst>
            <c:ext xmlns:c16="http://schemas.microsoft.com/office/drawing/2014/chart" uri="{C3380CC4-5D6E-409C-BE32-E72D297353CC}">
              <c16:uniqueId val="{00000000-BFBC-46D8-9A07-446AB3AAA32B}"/>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ANALISIS_SIIS!$T$85:$T$93</c:f>
              <c:strCache>
                <c:ptCount val="9"/>
                <c:pt idx="0">
                  <c:v>Valores negativos</c:v>
                </c:pt>
                <c:pt idx="1">
                  <c:v>Igual a 0</c:v>
                </c:pt>
                <c:pt idx="2">
                  <c:v>Mayor a 0,00% - menor o igual a 2,00%</c:v>
                </c:pt>
                <c:pt idx="3">
                  <c:v>Mayor a 2,00% - menor o igual a 8,00%</c:v>
                </c:pt>
                <c:pt idx="4">
                  <c:v>Mayor a 8,00% - menor o igual a 14,00%</c:v>
                </c:pt>
                <c:pt idx="5">
                  <c:v>Mayor a 14,00% - menor o igual a 20,00%</c:v>
                </c:pt>
                <c:pt idx="6">
                  <c:v>Mayor a 20,00% - menor o igual a 26,00%</c:v>
                </c:pt>
                <c:pt idx="7">
                  <c:v>Mayor a 26,00% - menor o igual a 32,00%</c:v>
                </c:pt>
                <c:pt idx="8">
                  <c:v>Mayor a 32,00%</c:v>
                </c:pt>
              </c:strCache>
            </c:strRef>
          </c:cat>
          <c:val>
            <c:numRef>
              <c:f>ANALISIS_SIIS!$V$85:$V$93</c:f>
              <c:numCache>
                <c:formatCode>#,##0</c:formatCode>
                <c:ptCount val="9"/>
                <c:pt idx="0">
                  <c:v>14</c:v>
                </c:pt>
                <c:pt idx="1">
                  <c:v>2</c:v>
                </c:pt>
                <c:pt idx="2">
                  <c:v>3</c:v>
                </c:pt>
                <c:pt idx="3">
                  <c:v>7</c:v>
                </c:pt>
                <c:pt idx="4">
                  <c:v>4</c:v>
                </c:pt>
                <c:pt idx="5">
                  <c:v>3</c:v>
                </c:pt>
                <c:pt idx="6">
                  <c:v>4</c:v>
                </c:pt>
                <c:pt idx="7">
                  <c:v>0</c:v>
                </c:pt>
                <c:pt idx="8">
                  <c:v>9</c:v>
                </c:pt>
              </c:numCache>
            </c:numRef>
          </c:val>
          <c:extLst>
            <c:ext xmlns:c16="http://schemas.microsoft.com/office/drawing/2014/chart" uri="{C3380CC4-5D6E-409C-BE32-E72D297353CC}">
              <c16:uniqueId val="{00000001-BFBC-46D8-9A07-446AB3AAA32B}"/>
            </c:ext>
          </c:extLst>
        </c:ser>
        <c:dLbls>
          <c:showLegendKey val="0"/>
          <c:showVal val="1"/>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r>
              <a:rPr lang="es-CO" sz="1000" b="1"/>
              <a:t>RENTABILIDAD DE LOS ACTIVOS</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ANALISIS_SIIS!$U$5</c:f>
              <c:strCache>
                <c:ptCount val="1"/>
                <c:pt idx="0">
                  <c:v>Periodo Actual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ANALISIS_SIIS!$T$69:$T$77</c:f>
              <c:strCache>
                <c:ptCount val="9"/>
                <c:pt idx="0">
                  <c:v>Valores negativos</c:v>
                </c:pt>
                <c:pt idx="1">
                  <c:v>Igual a 0</c:v>
                </c:pt>
                <c:pt idx="2">
                  <c:v>Mayor a 0,00% - menor o igual a 1,00%</c:v>
                </c:pt>
                <c:pt idx="3">
                  <c:v>Mayor a 1,00% - menor o igual a 4,00%</c:v>
                </c:pt>
                <c:pt idx="4">
                  <c:v>Mayor a 4,00% - menor o igual a 7,00%</c:v>
                </c:pt>
                <c:pt idx="5">
                  <c:v>Mayor a 7,00% - menor o igual a 10,00%</c:v>
                </c:pt>
                <c:pt idx="6">
                  <c:v>Mayor a 10,00% - menor o igual a 13,00%</c:v>
                </c:pt>
                <c:pt idx="7">
                  <c:v>Mayor a 13,00% - menor o igual a 16,00%</c:v>
                </c:pt>
                <c:pt idx="8">
                  <c:v>Mayor a 16,00%</c:v>
                </c:pt>
              </c:strCache>
            </c:strRef>
          </c:cat>
          <c:val>
            <c:numRef>
              <c:f>ANALISIS_SIIS!$U$69:$U$77</c:f>
              <c:numCache>
                <c:formatCode>#,##0</c:formatCode>
                <c:ptCount val="9"/>
                <c:pt idx="0">
                  <c:v>13</c:v>
                </c:pt>
                <c:pt idx="1">
                  <c:v>2</c:v>
                </c:pt>
                <c:pt idx="2">
                  <c:v>5</c:v>
                </c:pt>
                <c:pt idx="3">
                  <c:v>12</c:v>
                </c:pt>
                <c:pt idx="4">
                  <c:v>3</c:v>
                </c:pt>
                <c:pt idx="5">
                  <c:v>3</c:v>
                </c:pt>
                <c:pt idx="6">
                  <c:v>2</c:v>
                </c:pt>
                <c:pt idx="7">
                  <c:v>2</c:v>
                </c:pt>
                <c:pt idx="8">
                  <c:v>4</c:v>
                </c:pt>
              </c:numCache>
            </c:numRef>
          </c:val>
          <c:extLst>
            <c:ext xmlns:c16="http://schemas.microsoft.com/office/drawing/2014/chart" uri="{C3380CC4-5D6E-409C-BE32-E72D297353CC}">
              <c16:uniqueId val="{00000000-9A8D-4BDD-987E-13405E6EB0DF}"/>
            </c:ext>
          </c:extLst>
        </c:ser>
        <c:ser>
          <c:idx val="1"/>
          <c:order val="1"/>
          <c:tx>
            <c:strRef>
              <c:f>ANALISIS_SIIS!$V$5</c:f>
              <c:strCache>
                <c:ptCount val="1"/>
                <c:pt idx="0">
                  <c:v>Periodo Anterior</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ANALISIS_SIIS!$T$69:$T$77</c:f>
              <c:strCache>
                <c:ptCount val="9"/>
                <c:pt idx="0">
                  <c:v>Valores negativos</c:v>
                </c:pt>
                <c:pt idx="1">
                  <c:v>Igual a 0</c:v>
                </c:pt>
                <c:pt idx="2">
                  <c:v>Mayor a 0,00% - menor o igual a 1,00%</c:v>
                </c:pt>
                <c:pt idx="3">
                  <c:v>Mayor a 1,00% - menor o igual a 4,00%</c:v>
                </c:pt>
                <c:pt idx="4">
                  <c:v>Mayor a 4,00% - menor o igual a 7,00%</c:v>
                </c:pt>
                <c:pt idx="5">
                  <c:v>Mayor a 7,00% - menor o igual a 10,00%</c:v>
                </c:pt>
                <c:pt idx="6">
                  <c:v>Mayor a 10,00% - menor o igual a 13,00%</c:v>
                </c:pt>
                <c:pt idx="7">
                  <c:v>Mayor a 13,00% - menor o igual a 16,00%</c:v>
                </c:pt>
                <c:pt idx="8">
                  <c:v>Mayor a 16,00%</c:v>
                </c:pt>
              </c:strCache>
            </c:strRef>
          </c:cat>
          <c:val>
            <c:numRef>
              <c:f>ANALISIS_SIIS!$V$69:$V$77</c:f>
              <c:numCache>
                <c:formatCode>#,##0</c:formatCode>
                <c:ptCount val="9"/>
                <c:pt idx="0">
                  <c:v>11</c:v>
                </c:pt>
                <c:pt idx="1">
                  <c:v>2</c:v>
                </c:pt>
                <c:pt idx="2">
                  <c:v>5</c:v>
                </c:pt>
                <c:pt idx="3">
                  <c:v>8</c:v>
                </c:pt>
                <c:pt idx="4">
                  <c:v>7</c:v>
                </c:pt>
                <c:pt idx="5">
                  <c:v>2</c:v>
                </c:pt>
                <c:pt idx="6">
                  <c:v>3</c:v>
                </c:pt>
                <c:pt idx="7">
                  <c:v>3</c:v>
                </c:pt>
                <c:pt idx="8">
                  <c:v>5</c:v>
                </c:pt>
              </c:numCache>
            </c:numRef>
          </c:val>
          <c:extLst>
            <c:ext xmlns:c16="http://schemas.microsoft.com/office/drawing/2014/chart" uri="{C3380CC4-5D6E-409C-BE32-E72D297353CC}">
              <c16:uniqueId val="{00000001-9A8D-4BDD-987E-13405E6EB0DF}"/>
            </c:ext>
          </c:extLst>
        </c:ser>
        <c:dLbls>
          <c:showLegendKey val="0"/>
          <c:showVal val="1"/>
          <c:showCatName val="0"/>
          <c:showSerName val="0"/>
          <c:showPercent val="0"/>
          <c:showBubbleSize val="0"/>
        </c:dLbls>
        <c:gapWidth val="150"/>
        <c:shape val="box"/>
        <c:axId val="2110930496"/>
        <c:axId val="2110936320"/>
        <c:axId val="0"/>
      </c:bar3DChart>
      <c:catAx>
        <c:axId val="211093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6320"/>
        <c:crosses val="autoZero"/>
        <c:auto val="1"/>
        <c:lblAlgn val="ctr"/>
        <c:lblOffset val="100"/>
        <c:noMultiLvlLbl val="0"/>
      </c:catAx>
      <c:valAx>
        <c:axId val="211093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211093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Narrow" panose="020B0606020202030204" pitchFamily="34" charset="0"/>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934E2-0944-4AA1-98FE-2F22702D4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5093</Words>
  <Characters>28013</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Baquero García</dc:creator>
  <cp:keywords/>
  <dc:description/>
  <cp:lastModifiedBy>Ernesto Alfonso Soto Tirado</cp:lastModifiedBy>
  <cp:revision>6</cp:revision>
  <dcterms:created xsi:type="dcterms:W3CDTF">2025-05-15T16:18:00Z</dcterms:created>
  <dcterms:modified xsi:type="dcterms:W3CDTF">2025-05-16T23:39:00Z</dcterms:modified>
</cp:coreProperties>
</file>