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ind w:left="0" w:right="-20" w:firstLine="0"/>
        <w:jc w:val="center"/>
        <w:rPr>
          <w:rFonts w:ascii="Roboto Light" w:cs="Roboto Light" w:eastAsia="Roboto Light" w:hAnsi="Roboto Ligh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ind w:right="-20"/>
        <w:jc w:val="center"/>
        <w:rPr>
          <w:rFonts w:ascii="Roboto Light" w:cs="Roboto Light" w:eastAsia="Roboto Light" w:hAnsi="Roboto Light"/>
          <w:b w:val="1"/>
          <w:sz w:val="28"/>
          <w:szCs w:val="28"/>
          <w:u w:val="singl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sz w:val="28"/>
          <w:szCs w:val="28"/>
          <w:u w:val="single"/>
          <w:rtl w:val="0"/>
        </w:rPr>
        <w:t xml:space="preserve">SOLICITUD DE COTIZACIONES PARA EFECTUAR ESTUDIOS DE PRECIOS DEL MERCADO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0" w:firstLine="0"/>
        <w:jc w:val="center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0" w:firstLine="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Conservatorio del Tolima de conformidad con los principios de transparencia para la contratación, convoca públicamente a todos los interesados a participar con sus COTIZACIONES, como parte del Estudio de Mercado dentro de la etapa preparatoria de un procesos de selección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0" w:firstLine="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text" w:horzAnchor="text" w:tblpX="0" w:tblpY="139"/>
        <w:tblW w:w="897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78"/>
        <w:tblGridChange w:id="0">
          <w:tblGrid>
            <w:gridCol w:w="89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20" w:firstLine="0"/>
              <w:jc w:val="center"/>
              <w:rPr>
                <w:rFonts w:ascii="Roboto Light" w:cs="Roboto Light" w:eastAsia="Roboto Light" w:hAnsi="Roboto Ligh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ADVERTENCIA:</w:t>
            </w:r>
            <w:r w:rsidDel="00000000" w:rsidR="00000000" w:rsidRPr="00000000">
              <w:rPr>
                <w:rFonts w:ascii="Roboto Light" w:cs="Roboto Light" w:eastAsia="Roboto Light" w:hAnsi="Roboto Ligh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La presente cotización solicitada servirá de base para la  elaboración de un estudio de mercado y, por tanto, no constituyen en sí misma una    oferta y se presenta la siguiente información como referencia de consulta:</w:t>
            </w:r>
          </w:p>
        </w:tc>
      </w:tr>
    </w:tbl>
    <w:p w:rsidR="00000000" w:rsidDel="00000000" w:rsidP="00000000" w:rsidRDefault="00000000" w:rsidRPr="00000000" w14:paraId="00000007">
      <w:pPr>
        <w:pStyle w:val="Heading1"/>
        <w:ind w:left="0" w:right="-20" w:firstLine="0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ind w:left="0" w:right="-20" w:firstLine="0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numPr>
          <w:ilvl w:val="0"/>
          <w:numId w:val="1"/>
        </w:numPr>
        <w:ind w:left="720" w:right="-20" w:hanging="360"/>
        <w:rPr>
          <w:rFonts w:ascii="Roboto Light" w:cs="Roboto Light" w:eastAsia="Roboto Light" w:hAnsi="Roboto Light"/>
          <w:u w:val="none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OBJETO DEL FUTURO CONTRATO</w:t>
      </w:r>
      <w:r w:rsidDel="00000000" w:rsidR="00000000" w:rsidRPr="00000000">
        <w:rPr>
          <w:rFonts w:ascii="Roboto Light" w:cs="Roboto Light" w:eastAsia="Roboto Light" w:hAnsi="Roboto Light"/>
          <w:shd w:fill="f7cbac" w:val="clear"/>
          <w:rtl w:val="0"/>
        </w:rPr>
        <w:t xml:space="preserve"> </w:t>
      </w:r>
    </w:p>
    <w:p w:rsidR="00000000" w:rsidDel="00000000" w:rsidP="00000000" w:rsidRDefault="00000000" w:rsidRPr="00000000" w14:paraId="0000000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line="240" w:lineRule="auto"/>
        <w:ind w:right="-93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CONTRATAR LA PRESTACIÓN DE SERVICIOS DE FORMACIÓN EN BILINGÜISMO A TRAVÉS DE LA ADQUISICIÓN DE MEMBRESÍAS DE ACCESO A LA PLATAFORMA "ENGLISH ONLINE" del "PROGRAMA OPEN LINGUA" PARA EL PERÍODO ACADÉMICO 2025-1 EN EL MARCO DE LA POLÍTICA DE INTERNACIONALIZACIÓN Y GESTIÓN GLOBAL DEL CONSERVATORIO DEL TOLIMA, INSTITUCIÓN UNIVERSITARIA DE EDUCACIÓN SUPERIOR PÚBLICA.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0" w:firstLine="0"/>
        <w:jc w:val="center"/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0" w:firstLine="0"/>
        <w:jc w:val="center"/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-20" w:hanging="36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ESPECIFICACIONES TECNICAS DEL SUMINISTRO O CONTRATO:</w:t>
      </w:r>
      <w:r w:rsidDel="00000000" w:rsidR="00000000" w:rsidRPr="00000000">
        <w:rPr>
          <w:rtl w:val="0"/>
        </w:rPr>
      </w:r>
    </w:p>
    <w:tbl>
      <w:tblPr>
        <w:tblStyle w:val="Table2"/>
        <w:tblpPr w:leftFromText="141" w:rightFromText="141" w:topFromText="0" w:bottomFromText="0" w:vertAnchor="text" w:horzAnchor="text" w:tblpX="112.5" w:tblpY="124"/>
        <w:tblW w:w="861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48"/>
        <w:gridCol w:w="3713"/>
        <w:gridCol w:w="1701"/>
        <w:gridCol w:w="992"/>
        <w:gridCol w:w="1559"/>
        <w:tblGridChange w:id="0">
          <w:tblGrid>
            <w:gridCol w:w="648"/>
            <w:gridCol w:w="3713"/>
            <w:gridCol w:w="1701"/>
            <w:gridCol w:w="992"/>
            <w:gridCol w:w="1559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Ítem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Especificaciones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No. Estudiantes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Valor unitario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ind w:right="-20"/>
              <w:jc w:val="both"/>
              <w:rPr>
                <w:rFonts w:ascii="Roboto Light" w:cs="Roboto Light" w:eastAsia="Roboto Light" w:hAnsi="Roboto Light"/>
                <w:b w:val="1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Membresías de Acceso a la plataforma </w:t>
            </w:r>
            <w:r w:rsidDel="00000000" w:rsidR="00000000" w:rsidRPr="00000000">
              <w:rPr>
                <w:rFonts w:ascii="Roboto Light" w:cs="Roboto Light" w:eastAsia="Roboto Light" w:hAnsi="Roboto Light"/>
                <w:b w:val="1"/>
                <w:rtl w:val="0"/>
              </w:rPr>
              <w:t xml:space="preserve">English Online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221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ind w:right="-20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ind w:right="-20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9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A">
            <w:pPr>
              <w:ind w:right="-20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Sub Total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ind w:right="-20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E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F">
            <w:pPr>
              <w:ind w:right="-20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IVA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ind w:right="-20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3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4">
            <w:pPr>
              <w:ind w:right="-20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ind w:right="-20"/>
              <w:jc w:val="center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rtl w:val="0"/>
              </w:rPr>
              <w:t xml:space="preserve">Valor total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ind w:right="-20"/>
              <w:rPr>
                <w:rFonts w:ascii="Roboto Light" w:cs="Roboto Light" w:eastAsia="Roboto Light" w:hAnsi="Roboto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after="0" w:line="240" w:lineRule="auto"/>
        <w:ind w:right="-20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ind w:right="-20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-20" w:hanging="36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VALIDEZ DE LA COTIZACIÓN:</w:t>
      </w: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El plazo mínimo de validez de la cotización debe ser de 30 días calendarios.</w:t>
      </w:r>
    </w:p>
    <w:p w:rsidR="00000000" w:rsidDel="00000000" w:rsidP="00000000" w:rsidRDefault="00000000" w:rsidRPr="00000000" w14:paraId="0000002C">
      <w:pPr>
        <w:spacing w:after="0" w:line="240" w:lineRule="auto"/>
        <w:ind w:right="-20"/>
        <w:jc w:val="center"/>
        <w:rPr>
          <w:rFonts w:ascii="Roboto Light" w:cs="Roboto Light" w:eastAsia="Roboto Light" w:hAnsi="Roboto Ligh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-20" w:hanging="360"/>
        <w:jc w:val="left"/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CONDICIONES PARA LA </w:t>
      </w:r>
      <w:r w:rsidDel="00000000" w:rsidR="00000000" w:rsidRPr="00000000">
        <w:rPr>
          <w:rFonts w:ascii="Roboto Light" w:cs="Roboto Light" w:eastAsia="Roboto Light" w:hAnsi="Roboto Light"/>
          <w:b w:val="1"/>
          <w:rtl w:val="0"/>
        </w:rPr>
        <w:t xml:space="preserve">CONTRATACIÓN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-20" w:firstLine="0"/>
        <w:jc w:val="left"/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44" w:right="-20" w:hanging="384"/>
        <w:jc w:val="both"/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PLAZO: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after="0" w:line="240" w:lineRule="auto"/>
        <w:ind w:right="-93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El contrato tendrá una duración de SEIS (6) Meses calendario. La vigencia de las membresías es de 1 año a partir de su activación.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44" w:right="-20" w:hanging="384"/>
        <w:jc w:val="both"/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OBLIGACIONES DEL FUTURO CONTRATISTA:</w:t>
      </w:r>
    </w:p>
    <w:p w:rsidR="00000000" w:rsidDel="00000000" w:rsidP="00000000" w:rsidRDefault="00000000" w:rsidRPr="00000000" w14:paraId="00000035">
      <w:pPr>
        <w:spacing w:after="0" w:line="240" w:lineRule="auto"/>
        <w:ind w:right="-20"/>
        <w:jc w:val="both"/>
        <w:rPr>
          <w:rFonts w:ascii="Roboto Light" w:cs="Roboto Light" w:eastAsia="Roboto Light" w:hAnsi="Roboto Ligh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Ejecutar el objeto del futuro contrato en los plazos establecidos, bajo las condiciones económicas, técnicas y financieras estipuladas en las cláusulas correspondientes y de acuerdo con la propuesta.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Emplear personal idóneo directamente contratado y supervisado por el contratista.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Responsabilizarse de cualquier daño o perjuicio que por su culpa o la de su personal cause al Conservatorio del Tolima y/o terceras personas, comprometiéndose a repararla en forma inmediata; de no hacerlo así, el CONSERVATORIO procederá a corregirla en la forma que estime conveniente pero su costo y el de las posibles indemnizaciones surgidas se descontará de los pagos pendientes al contratista.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sobrepasar por ningún motivo el valor del contrato, salvo previa firma de una adición al mismo.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CONTRATISTA es el único responsable por la vinculación de personal y la celebración de subcontratos todo lo cual debe realizar en su propio nombre y por su propia cuenta y riesgo sin que el CONSERVATORIO adquiera responsabilidad ni solidaridad alguna por dichos actos.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PROVEEDOR es responsable de la calidad e idoneidad de los bienes ofertados y adjudicados. El adjudicado deberá soportar y cubrir todos los riesgos derivados de la mala calidad del producto.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Remplazar los bienes y productos o elementos que resulten defectuosos o de mala calidad. Igualmente deberá restituir a su costa, sin que implique modificación al plazo de entrega, los bines productos o elementos defectuosos o de especificaciones diferentes o inferiores a los requeridos. Si el proveedor no restituye los bienes, productos o elementos defectuosos dentro del término señalado por el CONSERVATORIO, este podrá proceder a declarar el siniestro de incumplimiento y/o solicitar el pago de multas señaladas en el contrato.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transporte cargue o descargue y entrega de los bienes, productos o elementos requeridos por el CONSERVATORIO, serán asumidos por el proveedor.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riesgo y propiedad de los bienes, productos o elementos serán asumidos por parte del PROVEEDOR hasta que se realicen la entrega total a satisfacción en el lugar indicado.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contratista deberá avisar al CONSERVATORIO dentro de las veinticuatro (24) horas siguientes al conocimiento del hecho o circunstancias que puedan incidir en la no oportuna o debida ejecución del contrato o que puedan poner en peligro los intereses legítimos del CONSERVATORIO. De hacer caso omiso a esta obligación deberá responder por los daños y perjuicios que se causen al CONSERVATORIO como consecuencia.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-20" w:hanging="72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Permanecer a paz y salvo en el pago de aportes al sistema de seguridad social integral, parafiscales y contratación de aprendices, durante todo el tiempo de ejecución del contrato y acreditar ese paz y salvo actualizando cada vez que se lo requiera el CONSERVATORIO, por cuanto es un requisito previo para los pagos acuerdo a lo dispuesto en el artículo 23 de la Ley 1150 de 2007.</w:t>
      </w:r>
    </w:p>
    <w:p w:rsidR="00000000" w:rsidDel="00000000" w:rsidP="00000000" w:rsidRDefault="00000000" w:rsidRPr="00000000" w14:paraId="00000041">
      <w:pPr>
        <w:spacing w:after="0" w:line="240" w:lineRule="auto"/>
        <w:ind w:right="-20"/>
        <w:jc w:val="both"/>
        <w:rPr>
          <w:rFonts w:ascii="Roboto Light" w:cs="Roboto Light" w:eastAsia="Roboto Light" w:hAnsi="Roboto Ligh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ind w:right="-20"/>
        <w:jc w:val="both"/>
        <w:rPr>
          <w:rFonts w:ascii="Roboto Light" w:cs="Roboto Light" w:eastAsia="Roboto Light" w:hAnsi="Roboto Ligh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44" w:right="-20" w:hanging="384"/>
        <w:jc w:val="both"/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 DE PAGO ESTABLECIDA PARA EL PROCESO DE CONTRATACIÓN A ESTRUCTURAR: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44" w:right="-20" w:firstLine="0"/>
        <w:jc w:val="both"/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-93" w:hanging="142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CONSERVATORIO cancelará el valor del contrato en moneda legal colombiana  en un solo pago por el valor total de las membresías adquiridas. </w:t>
      </w:r>
      <w:r w:rsidDel="00000000" w:rsidR="00000000" w:rsidRPr="00000000">
        <w:rPr>
          <w:rFonts w:ascii="Roboto Light" w:cs="Roboto Light" w:eastAsia="Roboto Light" w:hAnsi="Roboto Light"/>
          <w:smallCaps w:val="1"/>
          <w:sz w:val="20"/>
          <w:szCs w:val="20"/>
          <w:rtl w:val="0"/>
        </w:rPr>
        <w:t xml:space="preserve">SESENTA Y UN MILLONES OCHOCIENTOS  OCHENTA MIL PESOS</w:t>
      </w:r>
      <w:r w:rsidDel="00000000" w:rsidR="00000000" w:rsidRPr="00000000">
        <w:rPr>
          <w:rFonts w:ascii="Roboto Light" w:cs="Roboto Light" w:eastAsia="Roboto Light" w:hAnsi="Roboto Light"/>
          <w:sz w:val="20"/>
          <w:szCs w:val="20"/>
          <w:rtl w:val="0"/>
        </w:rPr>
        <w:t xml:space="preserve">, MCTE ($ 61.880.000)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0"/>
        <w:spacing w:after="0" w:line="240" w:lineRule="auto"/>
        <w:ind w:right="-93"/>
        <w:jc w:val="both"/>
        <w:rPr>
          <w:rFonts w:ascii="Roboto Light" w:cs="Roboto Light" w:eastAsia="Roboto Light" w:hAnsi="Roboto Light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 Siempre y cuando EL PROPONENTE haya cumplido con las obligaciones contraídas, a la presentación de la correspondiente factura, previo Vo. Bo. Del supervisor del contrato designado por LA ENTIDAD; previa presentación de la factura con todos los documentos soportes ante el Supervisor del contrato, para que éste trámite su pago.</w:t>
      </w:r>
    </w:p>
    <w:p w:rsidR="00000000" w:rsidDel="00000000" w:rsidP="00000000" w:rsidRDefault="00000000" w:rsidRPr="00000000" w14:paraId="00000048">
      <w:pPr>
        <w:spacing w:after="0" w:line="240" w:lineRule="auto"/>
        <w:ind w:right="-20"/>
        <w:jc w:val="both"/>
        <w:rPr>
          <w:rFonts w:ascii="Roboto Light" w:cs="Roboto Light" w:eastAsia="Roboto Light" w:hAnsi="Roboto Ligh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44" w:right="-20" w:hanging="384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LUGAR DE EJECUCIÓN:</w:t>
      </w: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A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Sede Tradicional de Conservatorio del Tolima, en la Ciudad de Ibagué </w:t>
      </w:r>
    </w:p>
    <w:p w:rsidR="00000000" w:rsidDel="00000000" w:rsidP="00000000" w:rsidRDefault="00000000" w:rsidRPr="00000000" w14:paraId="0000004B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44" w:right="-20" w:hanging="384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VALOR OFRECIDO</w:t>
      </w: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D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Se hace claridad que la cotización que se presente debe incluir todos los costos directos e indirectos en los que se incurre par la suscripción, legalización y ejecución del contrato como el pago estampillas, la constituciones de las pólizas y/o garantía única (si son solicitadas), transporte, operarios etc. que se causen con el suministro o servicio ofertado a la Entidad.</w:t>
      </w:r>
    </w:p>
    <w:p w:rsidR="00000000" w:rsidDel="00000000" w:rsidP="00000000" w:rsidRDefault="00000000" w:rsidRPr="00000000" w14:paraId="0000004E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Cada interesado debe sufragar todos los costos, tanto directos como indirectos, relacionados con la preparación y presentación de su cotizaciones, por lo cual el Conservatorio del Tolima, no será responsable en ningún caso de dichos costos, cualquiera que sea el resultado del proceso de selección y contratación.</w:t>
      </w:r>
    </w:p>
    <w:p w:rsidR="00000000" w:rsidDel="00000000" w:rsidP="00000000" w:rsidRDefault="00000000" w:rsidRPr="00000000" w14:paraId="00000050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Los proponentes tienen la responsabilidad de determinar, evaluar y asumir los impuestos, tasas y contribuciones, así como los demás costos tributarios y de cualquier otra naturaleza que conlleve la celebración del contrato, por lo tanto se deberá tener en cuenta los siguientes impuestos:</w:t>
      </w:r>
    </w:p>
    <w:p w:rsidR="00000000" w:rsidDel="00000000" w:rsidP="00000000" w:rsidRDefault="00000000" w:rsidRPr="00000000" w14:paraId="00000052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3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9"/>
        <w:gridCol w:w="8387"/>
        <w:tblGridChange w:id="0">
          <w:tblGrid>
            <w:gridCol w:w="449"/>
            <w:gridCol w:w="838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b w:val="1"/>
                <w:color w:val="000000"/>
                <w:sz w:val="20"/>
                <w:szCs w:val="20"/>
                <w:rtl w:val="0"/>
              </w:rPr>
              <w:t xml:space="preserve">N°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b w:val="1"/>
                <w:color w:val="000000"/>
                <w:sz w:val="20"/>
                <w:szCs w:val="20"/>
                <w:rtl w:val="0"/>
              </w:rPr>
              <w:t xml:space="preserve">DESCRIPCIÓN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5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ESTAMPILLAS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IMPUESTO DE SEGURIDAD CIUDADANA (Contratos de Obra), (en caso de que Aplique)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FIC (en caso de que Aplique)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SENA (en caso de que Aplique)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RETEFUENTE (en caso de que Aplique)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IVA (Régimen Común – Contratos de Obra y Consultoría) (en caso de que Aplique)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RETEICA (en caso de que Aplique)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Roboto Light" w:cs="Roboto Light" w:eastAsia="Roboto Light" w:hAnsi="Roboto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Roboto Light" w:cs="Roboto Light" w:eastAsia="Roboto Light" w:hAnsi="Roboto Light"/>
                <w:color w:val="000000"/>
                <w:sz w:val="20"/>
                <w:szCs w:val="20"/>
                <w:rtl w:val="0"/>
              </w:rPr>
              <w:t xml:space="preserve">TASA PRO DEPORTE 2% (Contratos de Obra – Suministro y demás que la Ley 2023 de 2020 disponga)</w:t>
            </w:r>
          </w:p>
        </w:tc>
      </w:tr>
    </w:tbl>
    <w:p w:rsidR="00000000" w:rsidDel="00000000" w:rsidP="00000000" w:rsidRDefault="00000000" w:rsidRPr="00000000" w14:paraId="00000065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ind w:left="360" w:right="-20" w:firstLine="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La exactitud, confiabilidad o integridad de la información que tengan a bien consultar los interesados la asumen bajo su propia responsabilidad e igualmente la interpretación que hagan de la información que obtenga.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44" w:right="-20" w:firstLine="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Cordial saludo,</w:t>
      </w:r>
    </w:p>
    <w:p w:rsidR="00000000" w:rsidDel="00000000" w:rsidP="00000000" w:rsidRDefault="00000000" w:rsidRPr="00000000" w14:paraId="0000006C">
      <w:pPr>
        <w:spacing w:after="0" w:line="240" w:lineRule="auto"/>
        <w:ind w:right="-20"/>
        <w:jc w:val="both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Roboto Light" w:cs="Roboto Light" w:eastAsia="Roboto Light" w:hAnsi="Roboto Ligh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-527049</wp:posOffset>
            </wp:positionH>
            <wp:positionV relativeFrom="paragraph">
              <wp:posOffset>203200</wp:posOffset>
            </wp:positionV>
            <wp:extent cx="3241675" cy="1305560"/>
            <wp:effectExtent b="0" l="0" r="0" t="0"/>
            <wp:wrapNone/>
            <wp:docPr id="30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1305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Rule="auto"/>
        <w:rPr>
          <w:rFonts w:ascii="Roboto Light" w:cs="Roboto Light" w:eastAsia="Roboto Light" w:hAnsi="Roboto Light"/>
          <w:b w:val="1"/>
        </w:rPr>
      </w:pPr>
      <w:r w:rsidDel="00000000" w:rsidR="00000000" w:rsidRPr="00000000">
        <w:rPr>
          <w:rFonts w:ascii="Roboto Light" w:cs="Roboto Light" w:eastAsia="Roboto Light" w:hAnsi="Roboto Light"/>
          <w:b w:val="1"/>
          <w:rtl w:val="0"/>
        </w:rPr>
        <w:t xml:space="preserve">ALICIA ASTRID ORJUELA QUINTERO  </w:t>
      </w:r>
    </w:p>
    <w:p w:rsidR="00000000" w:rsidDel="00000000" w:rsidP="00000000" w:rsidRDefault="00000000" w:rsidRPr="00000000" w14:paraId="00000073">
      <w:pPr>
        <w:spacing w:after="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Decana (E)</w:t>
      </w:r>
    </w:p>
    <w:p w:rsidR="00000000" w:rsidDel="00000000" w:rsidP="00000000" w:rsidRDefault="00000000" w:rsidRPr="00000000" w14:paraId="00000074">
      <w:pPr>
        <w:spacing w:after="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Facultad de Artes, Ciencias y Educación </w:t>
      </w:r>
    </w:p>
    <w:p w:rsidR="00000000" w:rsidDel="00000000" w:rsidP="00000000" w:rsidRDefault="00000000" w:rsidRPr="00000000" w14:paraId="00000075">
      <w:pPr>
        <w:spacing w:after="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Conservatorio del Tolima </w:t>
      </w:r>
    </w:p>
    <w:p w:rsidR="00000000" w:rsidDel="00000000" w:rsidP="00000000" w:rsidRDefault="00000000" w:rsidRPr="00000000" w14:paraId="00000076">
      <w:pPr>
        <w:spacing w:after="0"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ourier New"/>
  <w:font w:name="Roboto Ligh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1473200</wp:posOffset>
              </wp:positionH>
              <wp:positionV relativeFrom="paragraph">
                <wp:posOffset>-330199</wp:posOffset>
              </wp:positionV>
              <wp:extent cx="3609975" cy="1219488"/>
              <wp:effectExtent b="0" l="0" r="0" t="0"/>
              <wp:wrapNone/>
              <wp:docPr id="30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545775" y="3175019"/>
                        <a:ext cx="3600450" cy="120996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  <w:t xml:space="preserve">GESTIÓN ADMINISTRATIVA, JURÍDICA Y DEL TALENTO HUMANO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  <w:t xml:space="preserve">SOLICITUD DE COTIZACIÓN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  <w:t xml:space="preserve">Código: JH-FO-45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  <w:t xml:space="preserve">Versión: 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Roboto" w:cs="Roboto" w:eastAsia="Roboto" w:hAnsi="Roboto"/>
                              <w:b w:val="0"/>
                              <w:i w:val="0"/>
                              <w:smallCaps w:val="0"/>
                              <w:strike w:val="0"/>
                              <w:color w:val="595959"/>
                              <w:sz w:val="20"/>
                              <w:vertAlign w:val="baseline"/>
                            </w:rPr>
                            <w:t xml:space="preserve">Fecha: 05/09/2023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1473200</wp:posOffset>
              </wp:positionH>
              <wp:positionV relativeFrom="paragraph">
                <wp:posOffset>-330199</wp:posOffset>
              </wp:positionV>
              <wp:extent cx="3609975" cy="1219488"/>
              <wp:effectExtent b="0" l="0" r="0" t="0"/>
              <wp:wrapNone/>
              <wp:docPr id="30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09975" cy="121948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11622</wp:posOffset>
          </wp:positionH>
          <wp:positionV relativeFrom="page">
            <wp:align>top</wp:align>
          </wp:positionV>
          <wp:extent cx="7794000" cy="10087200"/>
          <wp:effectExtent b="0" l="0" r="0" t="0"/>
          <wp:wrapNone/>
          <wp:docPr id="3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94000" cy="100872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decimal"/>
      <w:lvlText w:val="%1.%2."/>
      <w:lvlJc w:val="left"/>
      <w:pPr>
        <w:ind w:left="744" w:hanging="383.99999999999994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/>
    </w:lvl>
    <w:lvl w:ilvl="3">
      <w:start w:val="1"/>
      <w:numFmt w:val="decimal"/>
      <w:lvlText w:val="%1.%2.%3.%4."/>
      <w:lvlJc w:val="left"/>
      <w:pPr>
        <w:ind w:left="1080" w:hanging="720"/>
      </w:pPr>
      <w:rPr/>
    </w:lvl>
    <w:lvl w:ilvl="4">
      <w:start w:val="1"/>
      <w:numFmt w:val="decimal"/>
      <w:lvlText w:val="%1.%2.%3.%4.%5."/>
      <w:lvlJc w:val="left"/>
      <w:pPr>
        <w:ind w:left="1440" w:hanging="1080"/>
      </w:pPr>
      <w:rPr/>
    </w:lvl>
    <w:lvl w:ilvl="5">
      <w:start w:val="1"/>
      <w:numFmt w:val="decimal"/>
      <w:lvlText w:val="%1.%2.%3.%4.%5.%6."/>
      <w:lvlJc w:val="left"/>
      <w:pPr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ind w:left="2160" w:hanging="1800"/>
      </w:pPr>
      <w:rPr/>
    </w:lvl>
  </w:abstractNum>
  <w:abstractNum w:abstractNumId="3">
    <w:lvl w:ilvl="0">
      <w:start w:val="604"/>
      <w:numFmt w:val="bullet"/>
      <w:lvlText w:val="-"/>
      <w:lvlJc w:val="left"/>
      <w:pPr>
        <w:ind w:left="1080" w:hanging="360"/>
      </w:pPr>
      <w:rPr>
        <w:rFonts w:ascii="Roboto Light" w:cs="Roboto Light" w:eastAsia="Roboto Light" w:hAnsi="Roboto Ligh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spacing w:after="0" w:line="240" w:lineRule="auto"/>
      <w:ind w:left="1142"/>
      <w:jc w:val="both"/>
    </w:pPr>
    <w:rPr>
      <w:rFonts w:ascii="Arial" w:cs="Arial" w:eastAsia="Arial" w:hAnsi="Arial"/>
      <w:b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ar"/>
    <w:uiPriority w:val="1"/>
    <w:qFormat w:val="1"/>
    <w:rsid w:val="00E05499"/>
    <w:pPr>
      <w:widowControl w:val="0"/>
      <w:autoSpaceDE w:val="0"/>
      <w:autoSpaceDN w:val="0"/>
      <w:spacing w:after="0" w:line="240" w:lineRule="auto"/>
      <w:ind w:left="1142"/>
      <w:jc w:val="both"/>
      <w:outlineLvl w:val="0"/>
    </w:pPr>
    <w:rPr>
      <w:rFonts w:ascii="Arial" w:cs="Arial" w:eastAsia="Arial" w:hAnsi="Arial"/>
      <w:b w:val="1"/>
      <w:bCs w:val="1"/>
      <w:lang w:val="es-ES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AF5FB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F5FB8"/>
  </w:style>
  <w:style w:type="paragraph" w:styleId="Piedepgina">
    <w:name w:val="footer"/>
    <w:basedOn w:val="Normal"/>
    <w:link w:val="PiedepginaCar"/>
    <w:uiPriority w:val="99"/>
    <w:unhideWhenUsed w:val="1"/>
    <w:rsid w:val="00AF5FB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F5FB8"/>
  </w:style>
  <w:style w:type="character" w:styleId="Ttulo1Car" w:customStyle="1">
    <w:name w:val="Título 1 Car"/>
    <w:basedOn w:val="Fuentedeprrafopredeter"/>
    <w:link w:val="Ttulo1"/>
    <w:uiPriority w:val="1"/>
    <w:rsid w:val="00E05499"/>
    <w:rPr>
      <w:rFonts w:ascii="Arial" w:cs="Arial" w:eastAsia="Arial" w:hAnsi="Arial"/>
      <w:b w:val="1"/>
      <w:bCs w:val="1"/>
      <w:lang w:val="es-ES"/>
    </w:rPr>
  </w:style>
  <w:style w:type="paragraph" w:styleId="Prrafodelista">
    <w:name w:val="List Paragraph"/>
    <w:aliases w:val="VIÑETAS,parrafo,Bolita,Guión,Viñeta 2,BOLA,Párrafo de lista21,Titulo 8,HOJA,Colorful List Accent 1,Lista vistosa - Énfasis 11,Colorful List - Accent 11,Párrafo de lista (analisis predial),Párrafo de lista3,List Paragraph,BOLAD"/>
    <w:basedOn w:val="Normal"/>
    <w:link w:val="PrrafodelistaCar"/>
    <w:uiPriority w:val="34"/>
    <w:qFormat w:val="1"/>
    <w:rsid w:val="00E05499"/>
    <w:pPr>
      <w:ind w:left="708"/>
    </w:pPr>
    <w:rPr>
      <w:rFonts w:ascii="Calibri" w:cs="Times New Roman" w:eastAsia="Calibri" w:hAnsi="Calibri"/>
    </w:rPr>
  </w:style>
  <w:style w:type="paragraph" w:styleId="Textoindependiente">
    <w:name w:val="Body Text"/>
    <w:basedOn w:val="Normal"/>
    <w:link w:val="TextoindependienteCar"/>
    <w:rsid w:val="00E05499"/>
    <w:pPr>
      <w:spacing w:after="0" w:line="240" w:lineRule="auto"/>
      <w:jc w:val="center"/>
    </w:pPr>
    <w:rPr>
      <w:rFonts w:ascii="Times New Roman" w:cs="Times New Roman" w:eastAsia="Times New Roman" w:hAnsi="Times New Roman"/>
      <w:sz w:val="24"/>
      <w:szCs w:val="20"/>
      <w:lang w:eastAsia="es-ES" w:val="es-ES"/>
    </w:rPr>
  </w:style>
  <w:style w:type="character" w:styleId="TextoindependienteCar" w:customStyle="1">
    <w:name w:val="Texto independiente Car"/>
    <w:basedOn w:val="Fuentedeprrafopredeter"/>
    <w:link w:val="Textoindependiente"/>
    <w:rsid w:val="00E05499"/>
    <w:rPr>
      <w:rFonts w:ascii="Times New Roman" w:cs="Times New Roman" w:eastAsia="Times New Roman" w:hAnsi="Times New Roman"/>
      <w:sz w:val="24"/>
      <w:szCs w:val="20"/>
      <w:lang w:eastAsia="es-ES" w:val="es-ES"/>
    </w:rPr>
  </w:style>
  <w:style w:type="table" w:styleId="Tablaconcuadrcula">
    <w:name w:val="Table Grid"/>
    <w:basedOn w:val="Tablanormal"/>
    <w:uiPriority w:val="59"/>
    <w:rsid w:val="00E05499"/>
    <w:pPr>
      <w:spacing w:after="0" w:line="240" w:lineRule="auto"/>
    </w:pPr>
    <w:rPr>
      <w:lang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PrrafodelistaCar" w:customStyle="1">
    <w:name w:val="Párrafo de lista Car"/>
    <w:aliases w:val="VIÑETAS Car,parrafo Car,Bolita Car,Guión Car,Viñeta 2 Car,BOLA Car,Párrafo de lista21 Car,Titulo 8 Car,HOJA Car,Colorful List Accent 1 Car,Lista vistosa - Énfasis 11 Car,Colorful List - Accent 11 Car,Párrafo de lista3 Car,BOLAD Car"/>
    <w:link w:val="Prrafodelista"/>
    <w:uiPriority w:val="34"/>
    <w:rsid w:val="00825D0E"/>
    <w:rPr>
      <w:rFonts w:ascii="Calibri" w:cs="Times New Roman" w:eastAsia="Calibri" w:hAnsi="Calibri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Light-regular.ttf"/><Relationship Id="rId2" Type="http://schemas.openxmlformats.org/officeDocument/2006/relationships/font" Target="fonts/RobotoLight-bold.ttf"/><Relationship Id="rId3" Type="http://schemas.openxmlformats.org/officeDocument/2006/relationships/font" Target="fonts/RobotoLight-italic.ttf"/><Relationship Id="rId4" Type="http://schemas.openxmlformats.org/officeDocument/2006/relationships/font" Target="fonts/RobotoLight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J9zZ3492ACpq5C7EEY/Wgm2jxA==">CgMxLjA4AHIhMTRUN0Yzakp6TVEzaGlUaWpWRTk4NUlJNmlUVThQWGpq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2023-09-23T18:40:00Z</dcterms:created>
  <dc:creator>Valentina Rojas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ynDocOpportunityDesc">
    <vt:lpwstr/>
  </property>
  <property fmtid="{D5CDD505-2E9C-101B-9397-08002B2CF9AE}" pid="3" name="eSynDocOpportunityID">
    <vt:lpwstr/>
  </property>
  <property fmtid="{D5CDD505-2E9C-101B-9397-08002B2CF9AE}" pid="4" name="eSynDocAttachmentID">
    <vt:lpwstr>{215436f1-7ceb-4c6f-99f3-72524a4dcac0}</vt:lpwstr>
  </property>
  <property fmtid="{D5CDD505-2E9C-101B-9397-08002B2CF9AE}" pid="5" name="eSynDocContactDesc">
    <vt:lpwstr/>
  </property>
  <property fmtid="{D5CDD505-2E9C-101B-9397-08002B2CF9AE}" pid="6" name="eSynDocAccountDesc">
    <vt:lpwstr/>
  </property>
  <property fmtid="{D5CDD505-2E9C-101B-9397-08002B2CF9AE}" pid="7" name="eSynDocProjectDesc">
    <vt:lpwstr>GESTIÓN ADMINISTRATIVA, JURÍDICA Y DEL TALENTO HUMANO</vt:lpwstr>
  </property>
  <property fmtid="{D5CDD505-2E9C-101B-9397-08002B2CF9AE}" pid="8" name="eSynDocTransactionDesc">
    <vt:lpwstr/>
  </property>
  <property fmtid="{D5CDD505-2E9C-101B-9397-08002B2CF9AE}" pid="9" name="eSynDocSerialDesc">
    <vt:lpwstr/>
  </property>
  <property fmtid="{D5CDD505-2E9C-101B-9397-08002B2CF9AE}" pid="10" name="eSynDocItemDesc">
    <vt:lpwstr/>
  </property>
  <property fmtid="{D5CDD505-2E9C-101B-9397-08002B2CF9AE}" pid="11" name="eSynDocResourceDesc">
    <vt:lpwstr/>
  </property>
  <property fmtid="{D5CDD505-2E9C-101B-9397-08002B2CF9AE}" pid="12" name="eSynTransactionEntryKey">
    <vt:lpwstr/>
  </property>
  <property fmtid="{D5CDD505-2E9C-101B-9397-08002B2CF9AE}" pid="13" name="eSynDocVersionStartDate">
    <vt:lpwstr>09/05/2023 13:40:39</vt:lpwstr>
  </property>
  <property fmtid="{D5CDD505-2E9C-101B-9397-08002B2CF9AE}" pid="14" name="eSynDocVersion">
    <vt:lpwstr>1</vt:lpwstr>
  </property>
  <property fmtid="{D5CDD505-2E9C-101B-9397-08002B2CF9AE}" pid="15" name="eSynDocAttachFileName">
    <vt:lpwstr>45-SOLICITUD DE COTIZACIÓN. Versión 1.docx</vt:lpwstr>
  </property>
  <property fmtid="{D5CDD505-2E9C-101B-9397-08002B2CF9AE}" pid="16" name="eSynDocSummary">
    <vt:lpwstr/>
  </property>
  <property fmtid="{D5CDD505-2E9C-101B-9397-08002B2CF9AE}" pid="17" name="eSynDocPublish">
    <vt:lpwstr>0</vt:lpwstr>
  </property>
  <property fmtid="{D5CDD505-2E9C-101B-9397-08002B2CF9AE}" pid="18" name="eSynDocTypeID">
    <vt:lpwstr>107</vt:lpwstr>
  </property>
  <property fmtid="{D5CDD505-2E9C-101B-9397-08002B2CF9AE}" pid="19" name="eSynDocSerialNumber">
    <vt:lpwstr/>
  </property>
  <property fmtid="{D5CDD505-2E9C-101B-9397-08002B2CF9AE}" pid="20" name="eSynDocSubject">
    <vt:lpwstr>45-SOLICITUD DE COTIZACIÓN</vt:lpwstr>
  </property>
  <property fmtid="{D5CDD505-2E9C-101B-9397-08002B2CF9AE}" pid="21" name="eSynDocItem">
    <vt:lpwstr/>
  </property>
  <property fmtid="{D5CDD505-2E9C-101B-9397-08002B2CF9AE}" pid="22" name="eSynDocAcctContact">
    <vt:lpwstr/>
  </property>
  <property fmtid="{D5CDD505-2E9C-101B-9397-08002B2CF9AE}" pid="23" name="eSynDocContactID">
    <vt:lpwstr/>
  </property>
  <property fmtid="{D5CDD505-2E9C-101B-9397-08002B2CF9AE}" pid="24" name="eSynDocAccount">
    <vt:lpwstr/>
  </property>
  <property fmtid="{D5CDD505-2E9C-101B-9397-08002B2CF9AE}" pid="25" name="eSynDocResource">
    <vt:lpwstr/>
  </property>
  <property fmtid="{D5CDD505-2E9C-101B-9397-08002B2CF9AE}" pid="26" name="eSynDocProjectNr">
    <vt:lpwstr>SGC.007</vt:lpwstr>
  </property>
  <property fmtid="{D5CDD505-2E9C-101B-9397-08002B2CF9AE}" pid="27" name="eSynDocSecurity">
    <vt:lpwstr>0</vt:lpwstr>
  </property>
  <property fmtid="{D5CDD505-2E9C-101B-9397-08002B2CF9AE}" pid="28" name="eSynDocAssortment">
    <vt:lpwstr/>
  </property>
  <property fmtid="{D5CDD505-2E9C-101B-9397-08002B2CF9AE}" pid="29" name="eSynDocLanguageCode">
    <vt:lpwstr/>
  </property>
  <property fmtid="{D5CDD505-2E9C-101B-9397-08002B2CF9AE}" pid="30" name="eSynDocDivisionDesc">
    <vt:lpwstr>CONSERVATORIO DEL TOLIMA</vt:lpwstr>
  </property>
  <property fmtid="{D5CDD505-2E9C-101B-9397-08002B2CF9AE}" pid="31" name="eSynDocDivision">
    <vt:lpwstr>001</vt:lpwstr>
  </property>
  <property fmtid="{D5CDD505-2E9C-101B-9397-08002B2CF9AE}" pid="32" name="eSynDocParentDocument">
    <vt:lpwstr/>
  </property>
  <property fmtid="{D5CDD505-2E9C-101B-9397-08002B2CF9AE}" pid="33" name="eSynDocSubCategory">
    <vt:lpwstr/>
  </property>
  <property fmtid="{D5CDD505-2E9C-101B-9397-08002B2CF9AE}" pid="34" name="eSynDocCategoryID">
    <vt:lpwstr/>
  </property>
  <property fmtid="{D5CDD505-2E9C-101B-9397-08002B2CF9AE}" pid="35" name="eSynDocGroupDesc">
    <vt:lpwstr>Attachments &amp; notes</vt:lpwstr>
  </property>
  <property fmtid="{D5CDD505-2E9C-101B-9397-08002B2CF9AE}" pid="36" name="eSynDocGroupID">
    <vt:lpwstr>0</vt:lpwstr>
  </property>
  <property fmtid="{D5CDD505-2E9C-101B-9397-08002B2CF9AE}" pid="37" name="eSynDocHID">
    <vt:lpwstr>63369</vt:lpwstr>
  </property>
  <property fmtid="{D5CDD505-2E9C-101B-9397-08002B2CF9AE}" pid="38" name="eSynCleanUp06/07/2024 11:59:21">
    <vt:i4>1</vt:i4>
  </property>
</Properties>
</file>