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8136"/>
      </w:tblGrid>
      <w:tr w:rsidR="00AA538F" w:rsidRPr="00210288" w14:paraId="77391075" w14:textId="77777777" w:rsidTr="0061167F">
        <w:trPr>
          <w:trHeight w:val="2307"/>
          <w:jc w:val="center"/>
        </w:trPr>
        <w:tc>
          <w:tcPr>
            <w:tcW w:w="1843" w:type="dxa"/>
            <w:vAlign w:val="center"/>
          </w:tcPr>
          <w:p w14:paraId="7976261C" w14:textId="77777777" w:rsidR="00AA538F" w:rsidRPr="00210288" w:rsidRDefault="00AA538F" w:rsidP="0061167F">
            <w:pPr>
              <w:pStyle w:val="Textoindependiente"/>
              <w:jc w:val="center"/>
              <w:rPr>
                <w:rFonts w:cs="Arial"/>
                <w:b/>
                <w:bCs/>
                <w:sz w:val="21"/>
                <w:szCs w:val="21"/>
              </w:rPr>
            </w:pPr>
            <w:r w:rsidRPr="00210288">
              <w:rPr>
                <w:rFonts w:cs="Arial"/>
                <w:b/>
                <w:bCs/>
                <w:sz w:val="21"/>
                <w:szCs w:val="21"/>
              </w:rPr>
              <w:t>CAUSALES DE RECHAZO DE LA PROPUESTA O DECLARATORIA DESIERTA DEL PROCESO</w:t>
            </w:r>
          </w:p>
        </w:tc>
        <w:tc>
          <w:tcPr>
            <w:tcW w:w="8189" w:type="dxa"/>
            <w:vAlign w:val="center"/>
          </w:tcPr>
          <w:p w14:paraId="44A0F37D" w14:textId="77777777" w:rsidR="00AA538F" w:rsidRPr="00210288" w:rsidRDefault="00AA538F" w:rsidP="0061167F">
            <w:pPr>
              <w:jc w:val="both"/>
              <w:rPr>
                <w:sz w:val="21"/>
                <w:szCs w:val="21"/>
              </w:rPr>
            </w:pPr>
          </w:p>
          <w:p w14:paraId="6DA9CADD" w14:textId="77777777" w:rsidR="00AA538F" w:rsidRPr="00210288" w:rsidRDefault="00AA538F" w:rsidP="0061167F">
            <w:pPr>
              <w:jc w:val="both"/>
              <w:rPr>
                <w:sz w:val="21"/>
                <w:szCs w:val="21"/>
              </w:rPr>
            </w:pPr>
            <w:r w:rsidRPr="00210288">
              <w:rPr>
                <w:sz w:val="21"/>
                <w:szCs w:val="21"/>
              </w:rPr>
              <w:t>Son causales para el rechazo de las propuestas, las siguientes:</w:t>
            </w:r>
          </w:p>
          <w:p w14:paraId="25D872ED" w14:textId="77777777" w:rsidR="00AA538F" w:rsidRPr="00210288" w:rsidRDefault="00AA538F" w:rsidP="0061167F">
            <w:pPr>
              <w:pStyle w:val="ListParagraph"/>
              <w:jc w:val="both"/>
              <w:rPr>
                <w:rFonts w:cs="Arial"/>
                <w:sz w:val="21"/>
                <w:szCs w:val="21"/>
              </w:rPr>
            </w:pPr>
          </w:p>
          <w:p w14:paraId="7BBDC4A3"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se compruebe que un proponente ha interferido, influenciado, solicitado u obtenido correspondencia interna, proyectos de concepto de evaluación o de respuesta a observaciones, no enviados oficialmente a los proponentes.</w:t>
            </w:r>
          </w:p>
          <w:p w14:paraId="3A2D998D"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se compruebe confabulación entre los proponentes que altere de cualquier manera la aplicación del principio de selección objetiva.</w:t>
            </w:r>
          </w:p>
          <w:p w14:paraId="02688547"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el proponente o alguno de sus integrantes se encuentre incurso en las causales de inhabilidades o incompatibilidad fijadas por la constitución y la Ley.</w:t>
            </w:r>
          </w:p>
          <w:p w14:paraId="7ECD9A1B"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en la propuesta se encuentre información o documentos que no correspondan a la realidad que le permita cumplir un requisito mínimo.</w:t>
            </w:r>
          </w:p>
          <w:p w14:paraId="309DE92F"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el objeto social de la firma, incluido en el certificado de existencia y representación legal no faculte a la sociedad para desarrollar la actividad materia de la futura contratación.</w:t>
            </w:r>
          </w:p>
          <w:p w14:paraId="350785B8"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el oferente sea persona jurídica y se encuentre incurso en alguna de las causales de disolución o liquidación proferidas por autoridad competente.</w:t>
            </w:r>
          </w:p>
          <w:p w14:paraId="7CA1AEEB"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se presente más de una oferta por un mismo oferente o se ostente la calidad de representante legal o socio de más de una persona jurídica participante en el presente proceso de selección.</w:t>
            </w:r>
          </w:p>
          <w:p w14:paraId="61C06DB9"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 xml:space="preserve">Cuando el valor de la propuesta contenga </w:t>
            </w:r>
            <w:bookmarkStart w:id="0" w:name="_Hlk47463657"/>
            <w:r w:rsidRPr="00210288">
              <w:rPr>
                <w:rFonts w:cs="Arial"/>
                <w:sz w:val="21"/>
                <w:szCs w:val="21"/>
              </w:rPr>
              <w:t>precios artificialmente bajos</w:t>
            </w:r>
            <w:bookmarkEnd w:id="0"/>
            <w:r w:rsidRPr="00210288">
              <w:rPr>
                <w:rFonts w:cs="Arial"/>
                <w:sz w:val="21"/>
                <w:szCs w:val="21"/>
              </w:rPr>
              <w:t>.</w:t>
            </w:r>
          </w:p>
          <w:p w14:paraId="2E3E31E4"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la oferta no cumpla con las especificaciones técnicas mínimas exigidas.</w:t>
            </w:r>
          </w:p>
          <w:p w14:paraId="230CCFF2"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La no presentación de la oferta económica.</w:t>
            </w:r>
          </w:p>
          <w:p w14:paraId="3D9241C5"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La no presentación de los documentos habilitantes dentro del término establecido en la invitación.</w:t>
            </w:r>
          </w:p>
          <w:p w14:paraId="2EF1E7A7"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la oferta supere el valor máximo de uno o más ítem.</w:t>
            </w:r>
          </w:p>
          <w:p w14:paraId="1150B748"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 xml:space="preserve">Cuando no oferten la totalidad </w:t>
            </w:r>
            <w:proofErr w:type="gramStart"/>
            <w:r w:rsidRPr="00210288">
              <w:rPr>
                <w:rFonts w:cs="Arial"/>
                <w:sz w:val="21"/>
                <w:szCs w:val="21"/>
              </w:rPr>
              <w:t>de los ítem</w:t>
            </w:r>
            <w:proofErr w:type="gramEnd"/>
            <w:r w:rsidRPr="00210288">
              <w:rPr>
                <w:rFonts w:cs="Arial"/>
                <w:sz w:val="21"/>
                <w:szCs w:val="21"/>
              </w:rPr>
              <w:t xml:space="preserve"> requeridos.</w:t>
            </w:r>
          </w:p>
          <w:p w14:paraId="6093EED1"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Cuando la oferta supere el valor del presupuesto asignado por ítem o total.</w:t>
            </w:r>
          </w:p>
          <w:p w14:paraId="263DA178"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 xml:space="preserve">En el evento de exigir oferta total,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14:paraId="25682E65"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 xml:space="preserve">En el evento en que la Unidad Prestadora de Salud </w:t>
            </w:r>
            <w:r>
              <w:rPr>
                <w:rFonts w:cs="Arial"/>
                <w:sz w:val="21"/>
                <w:szCs w:val="21"/>
              </w:rPr>
              <w:t>Meta</w:t>
            </w:r>
            <w:r w:rsidRPr="00210288">
              <w:rPr>
                <w:rFonts w:cs="Arial"/>
                <w:sz w:val="21"/>
                <w:szCs w:val="21"/>
              </w:rPr>
              <w:t xml:space="preserve"> haya solicitado al oferente por escrito con posterioridad a la presentación de la oferta, aclaraciones o explicaciones relacionadas con información de la misma y éste no </w:t>
            </w:r>
            <w:proofErr w:type="spellStart"/>
            <w:r w:rsidRPr="00210288">
              <w:rPr>
                <w:rFonts w:cs="Arial"/>
                <w:sz w:val="21"/>
                <w:szCs w:val="21"/>
              </w:rPr>
              <w:t>de</w:t>
            </w:r>
            <w:proofErr w:type="spellEnd"/>
            <w:r w:rsidRPr="00210288">
              <w:rPr>
                <w:rFonts w:cs="Arial"/>
                <w:sz w:val="21"/>
                <w:szCs w:val="21"/>
              </w:rPr>
              <w:t xml:space="preserve"> respuesta dentro del término establecido para ello en el escrito de solicitud, o dentro del plazo señalado en el cronograma del proceso.</w:t>
            </w:r>
          </w:p>
          <w:p w14:paraId="28C89C34"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 xml:space="preserve">Cuando el valor de la propuesta presentada exceda el presupuesto oficial asignado para la misma, en el caso de ofertas totales. </w:t>
            </w:r>
          </w:p>
          <w:p w14:paraId="331D439E"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 xml:space="preserve">No tener, o no acreditar la suficiente capacidad jurídica para presentar la oferta o suscribir el eventual contrato que llegare a resultar del proceso con antelación a la fecha de cierre del mismo. </w:t>
            </w:r>
          </w:p>
          <w:p w14:paraId="04B7DE3E" w14:textId="77777777" w:rsidR="00AA538F" w:rsidRPr="00210288" w:rsidRDefault="00AA538F" w:rsidP="00AA538F">
            <w:pPr>
              <w:pStyle w:val="Prrafodelista"/>
              <w:numPr>
                <w:ilvl w:val="0"/>
                <w:numId w:val="1"/>
              </w:numPr>
              <w:suppressAutoHyphens/>
              <w:contextualSpacing w:val="0"/>
              <w:jc w:val="both"/>
              <w:textAlignment w:val="baseline"/>
              <w:rPr>
                <w:rFonts w:cs="Arial"/>
                <w:sz w:val="21"/>
                <w:szCs w:val="21"/>
              </w:rPr>
            </w:pPr>
            <w:r w:rsidRPr="00210288">
              <w:rPr>
                <w:rFonts w:cs="Arial"/>
                <w:sz w:val="21"/>
                <w:szCs w:val="21"/>
              </w:rPr>
              <w:t>Si la propuesta se presenta con posterioridad a la fecha y hora fijada para el cierre del proceso.</w:t>
            </w:r>
          </w:p>
          <w:p w14:paraId="1CD59BD6" w14:textId="77777777" w:rsidR="00AA538F" w:rsidRPr="00210288" w:rsidRDefault="00AA538F" w:rsidP="00AA538F">
            <w:pPr>
              <w:numPr>
                <w:ilvl w:val="0"/>
                <w:numId w:val="1"/>
              </w:numPr>
              <w:adjustRightInd w:val="0"/>
              <w:jc w:val="both"/>
              <w:rPr>
                <w:sz w:val="21"/>
                <w:szCs w:val="21"/>
              </w:rPr>
            </w:pPr>
            <w:r w:rsidRPr="00210288">
              <w:rPr>
                <w:sz w:val="21"/>
                <w:szCs w:val="21"/>
              </w:rPr>
              <w:t xml:space="preserve">Cuando la oferta se presente en forma extemporánea o en un lugar distinto al señalado en la presente invitación pública. El hecho de que un proponente envié su oferta por medio de cualquier tipo de correo o mensajería, no lo habilita para que se le reciba la propuesta después de la hora citada, sin antes haber agotado los requisitos establecidos en la guía para actuar ante una indisponibilidad del </w:t>
            </w:r>
            <w:r w:rsidRPr="00210288">
              <w:rPr>
                <w:sz w:val="21"/>
                <w:szCs w:val="21"/>
              </w:rPr>
              <w:lastRenderedPageBreak/>
              <w:t xml:space="preserve">SECOP II. En ningún caso la Unidad Prestadora de Salud </w:t>
            </w:r>
            <w:r>
              <w:rPr>
                <w:sz w:val="21"/>
                <w:szCs w:val="21"/>
              </w:rPr>
              <w:t>Meta</w:t>
            </w:r>
            <w:r w:rsidRPr="00210288">
              <w:rPr>
                <w:sz w:val="21"/>
                <w:szCs w:val="21"/>
              </w:rPr>
              <w:t xml:space="preserve"> se hará responsable del retraso en la presentación de la oferta del proponente, por lo que es de única y exclusiva responsabilidad de este disponer del tiempo necesario para él envió oportuno de la oferta antes de la diligencia del cierre del proceso.</w:t>
            </w:r>
          </w:p>
          <w:p w14:paraId="49C813C5" w14:textId="77777777" w:rsidR="00AA538F" w:rsidRPr="00210288" w:rsidRDefault="00AA538F" w:rsidP="00AA538F">
            <w:pPr>
              <w:numPr>
                <w:ilvl w:val="0"/>
                <w:numId w:val="1"/>
              </w:numPr>
              <w:adjustRightInd w:val="0"/>
              <w:jc w:val="both"/>
              <w:rPr>
                <w:sz w:val="21"/>
                <w:szCs w:val="21"/>
              </w:rPr>
            </w:pPr>
            <w:r w:rsidRPr="00210288">
              <w:rPr>
                <w:sz w:val="21"/>
                <w:szCs w:val="21"/>
              </w:rPr>
              <w:t>El no presentar la oferta económica por medio de la página web de Colombia Compra Eficiente - SECOP II al momento del cierre del proceso de conformidad con lo establecido en la invitación pública.</w:t>
            </w:r>
          </w:p>
          <w:p w14:paraId="1BAB3ACB" w14:textId="77777777" w:rsidR="00AA538F" w:rsidRPr="00210288" w:rsidRDefault="00AA538F" w:rsidP="00AA538F">
            <w:pPr>
              <w:numPr>
                <w:ilvl w:val="0"/>
                <w:numId w:val="1"/>
              </w:numPr>
              <w:adjustRightInd w:val="0"/>
              <w:jc w:val="both"/>
              <w:rPr>
                <w:sz w:val="21"/>
                <w:szCs w:val="21"/>
              </w:rPr>
            </w:pPr>
            <w:r w:rsidRPr="00210288">
              <w:rPr>
                <w:sz w:val="21"/>
                <w:szCs w:val="21"/>
              </w:rPr>
              <w:t>No se aceptarán propuestas enviadas por cualquier tipo de correo o mensajería, solo la entidad tomara como válidas las llegadas por medio de la página web de Colombia Compra Eficiente - SECOP II al momento de la fecha y hora fijada para el cierre del proceso de conformidad con lo estipulado en la invitación pública.</w:t>
            </w:r>
          </w:p>
          <w:p w14:paraId="12FB4980" w14:textId="77777777" w:rsidR="00AA538F" w:rsidRPr="00210288" w:rsidRDefault="00AA538F" w:rsidP="00AA538F">
            <w:pPr>
              <w:numPr>
                <w:ilvl w:val="0"/>
                <w:numId w:val="1"/>
              </w:numPr>
              <w:adjustRightInd w:val="0"/>
              <w:jc w:val="both"/>
              <w:rPr>
                <w:sz w:val="21"/>
                <w:szCs w:val="21"/>
              </w:rPr>
            </w:pPr>
            <w:r w:rsidRPr="00210288">
              <w:rPr>
                <w:sz w:val="21"/>
                <w:szCs w:val="21"/>
              </w:rPr>
              <w:t>Cuando el proponente o alguno de sus integrantes solicite de manera no oficial mediante la página web de Colombia Compra Eficiente - SECOP II, información del proceso, documentación interna, proyectos de concepto de evaluación o de respuesta a observaciones.</w:t>
            </w:r>
          </w:p>
          <w:p w14:paraId="4D3F7F7A" w14:textId="77777777" w:rsidR="00AA538F" w:rsidRPr="00210288" w:rsidRDefault="00AA538F" w:rsidP="0061167F">
            <w:pPr>
              <w:jc w:val="both"/>
              <w:rPr>
                <w:b/>
                <w:bCs/>
                <w:sz w:val="21"/>
                <w:szCs w:val="21"/>
              </w:rPr>
            </w:pPr>
          </w:p>
          <w:p w14:paraId="180A4C35" w14:textId="77777777" w:rsidR="00AA538F" w:rsidRPr="00210288" w:rsidRDefault="00AA538F" w:rsidP="0061167F">
            <w:pPr>
              <w:jc w:val="both"/>
              <w:rPr>
                <w:b/>
                <w:bCs/>
                <w:sz w:val="21"/>
                <w:szCs w:val="21"/>
              </w:rPr>
            </w:pPr>
            <w:r w:rsidRPr="00210288">
              <w:rPr>
                <w:b/>
                <w:bCs/>
                <w:sz w:val="21"/>
                <w:szCs w:val="21"/>
              </w:rPr>
              <w:t>CAUSALES PARA DECLARAR DESIERTO EL PROCESO</w:t>
            </w:r>
          </w:p>
          <w:p w14:paraId="5E1A3B69" w14:textId="77777777" w:rsidR="00AA538F" w:rsidRPr="00210288" w:rsidRDefault="00AA538F" w:rsidP="0061167F">
            <w:pPr>
              <w:jc w:val="both"/>
              <w:rPr>
                <w:b/>
                <w:bCs/>
                <w:sz w:val="21"/>
                <w:szCs w:val="21"/>
              </w:rPr>
            </w:pPr>
          </w:p>
          <w:p w14:paraId="2F6600CA" w14:textId="77777777" w:rsidR="00AA538F" w:rsidRPr="00210288" w:rsidRDefault="00AA538F" w:rsidP="0061167F">
            <w:pPr>
              <w:suppressAutoHyphens/>
              <w:jc w:val="both"/>
              <w:textAlignment w:val="baseline"/>
              <w:rPr>
                <w:sz w:val="21"/>
                <w:szCs w:val="21"/>
              </w:rPr>
            </w:pPr>
            <w:r w:rsidRPr="00210288">
              <w:rPr>
                <w:sz w:val="21"/>
                <w:szCs w:val="21"/>
              </w:rPr>
              <w:t xml:space="preserve">La Unidad Prestadora de Salud </w:t>
            </w:r>
            <w:r>
              <w:rPr>
                <w:sz w:val="21"/>
                <w:szCs w:val="21"/>
              </w:rPr>
              <w:t>Meta</w:t>
            </w:r>
            <w:r w:rsidRPr="00210288">
              <w:rPr>
                <w:sz w:val="21"/>
                <w:szCs w:val="21"/>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 desierta del proceso se hará mediante comunicación motivada, la cual se publicará en el SECOP II.</w:t>
            </w:r>
            <w:r w:rsidRPr="00210288">
              <w:rPr>
                <w:sz w:val="21"/>
                <w:szCs w:val="21"/>
                <w:lang w:val="es-ES" w:eastAsia="es-CO"/>
              </w:rPr>
              <w:t xml:space="preserve"> En los términos establecidos en el Decreto 1082 de 2015.</w:t>
            </w:r>
          </w:p>
        </w:tc>
      </w:tr>
    </w:tbl>
    <w:p w14:paraId="2471B518" w14:textId="77777777" w:rsidR="00341061" w:rsidRDefault="00341061"/>
    <w:sectPr w:rsidR="003410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8B370F"/>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38F"/>
    <w:rsid w:val="00341061"/>
    <w:rsid w:val="00AA53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B4EB"/>
  <w15:chartTrackingRefBased/>
  <w15:docId w15:val="{D7931F2E-69BF-43FE-8933-97D879021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38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a vistosa - Énfasis 12,List Paragraph1,Use Case List Paragraph,Ha,titulo 3,HOJA,Bolita,BOLADEF,Párrafo de lista21,BOLA,BO,Párrafo de lista4,Nivel 1 OS,subcapitulo"/>
    <w:basedOn w:val="Normal"/>
    <w:link w:val="PrrafodelistaCar"/>
    <w:uiPriority w:val="34"/>
    <w:qFormat/>
    <w:rsid w:val="00AA538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rsid w:val="00AA538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t Car1,TextindepT2 Car1"/>
    <w:basedOn w:val="Fuentedeprrafopredeter"/>
    <w:link w:val="Textoindependiente"/>
    <w:rsid w:val="00AA538F"/>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Ha Car,titulo 3 Car,HOJA Car,Bolita Car,BOLADEF Car"/>
    <w:link w:val="Prrafodelista"/>
    <w:uiPriority w:val="34"/>
    <w:rsid w:val="00AA538F"/>
    <w:rPr>
      <w:rFonts w:ascii="Arial" w:eastAsia="Times New Roman" w:hAnsi="Arial" w:cs="Times New Roman"/>
      <w:sz w:val="20"/>
      <w:szCs w:val="20"/>
      <w:lang w:val="es-ES_tradnl" w:eastAsia="es-ES"/>
    </w:rPr>
  </w:style>
  <w:style w:type="paragraph" w:customStyle="1" w:styleId="ListParagraph">
    <w:name w:val="List Paragraph"/>
    <w:basedOn w:val="Normal"/>
    <w:link w:val="ListParagraphChar"/>
    <w:uiPriority w:val="99"/>
    <w:qFormat/>
    <w:rsid w:val="00AA538F"/>
    <w:pPr>
      <w:ind w:left="720"/>
    </w:pPr>
    <w:rPr>
      <w:rFonts w:cs="Times New Roman"/>
    </w:rPr>
  </w:style>
  <w:style w:type="character" w:customStyle="1" w:styleId="ListParagraphChar">
    <w:name w:val="List Paragraph Char"/>
    <w:link w:val="ListParagraph"/>
    <w:uiPriority w:val="99"/>
    <w:locked/>
    <w:rsid w:val="00AA538F"/>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869</Words>
  <Characters>4785</Characters>
  <Application>Microsoft Office Word</Application>
  <DocSecurity>0</DocSecurity>
  <Lines>39</Lines>
  <Paragraphs>11</Paragraphs>
  <ScaleCrop>false</ScaleCrop>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DIEGO MAURICIO MENESES GALVIS</dc:creator>
  <cp:keywords/>
  <dc:description/>
  <cp:lastModifiedBy>DISAN - DIEGO MAURICIO MENESES GALVIS</cp:lastModifiedBy>
  <cp:revision>1</cp:revision>
  <dcterms:created xsi:type="dcterms:W3CDTF">2020-09-02T17:51:00Z</dcterms:created>
  <dcterms:modified xsi:type="dcterms:W3CDTF">2020-09-02T17:52:00Z</dcterms:modified>
</cp:coreProperties>
</file>