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709595" w14:textId="57FAD85A" w:rsidR="00B60C8E" w:rsidRPr="00522F77" w:rsidRDefault="1D272D4B" w:rsidP="00522F77">
      <w:pPr>
        <w:spacing w:after="0" w:line="240" w:lineRule="auto"/>
        <w:contextualSpacing/>
        <w:rPr>
          <w:rFonts w:ascii="Arial" w:hAnsi="Arial" w:cs="Arial"/>
          <w:b/>
          <w:bCs/>
          <w:u w:val="single"/>
        </w:rPr>
      </w:pPr>
      <w:r w:rsidRPr="00522F77">
        <w:rPr>
          <w:rFonts w:ascii="Arial" w:hAnsi="Arial" w:cs="Arial"/>
          <w:b/>
          <w:bCs/>
          <w:u w:val="single"/>
        </w:rPr>
        <w:t>ANÁLISIS DEL SECTOR: PROYECTO VÍAS INTELIGENTES – ITS (VIITS)</w:t>
      </w:r>
    </w:p>
    <w:p w14:paraId="2E2740E2" w14:textId="77777777" w:rsidR="00255CD5" w:rsidRPr="00522F77" w:rsidRDefault="00255CD5" w:rsidP="00522F77">
      <w:pPr>
        <w:spacing w:after="0" w:line="240" w:lineRule="auto"/>
        <w:contextualSpacing/>
        <w:jc w:val="both"/>
        <w:rPr>
          <w:rFonts w:ascii="Arial" w:hAnsi="Arial" w:cs="Arial"/>
          <w:b/>
          <w:bCs/>
          <w:u w:val="single"/>
        </w:rPr>
      </w:pPr>
    </w:p>
    <w:p w14:paraId="32F0EA14" w14:textId="3D4B2FC9" w:rsidR="00AB4BB6" w:rsidRPr="00522F77" w:rsidRDefault="00AB4BB6" w:rsidP="00522F77">
      <w:pPr>
        <w:pStyle w:val="Prrafodelista"/>
        <w:numPr>
          <w:ilvl w:val="0"/>
          <w:numId w:val="2"/>
        </w:numPr>
        <w:spacing w:line="240" w:lineRule="auto"/>
        <w:ind w:left="567" w:hanging="567"/>
        <w:jc w:val="both"/>
        <w:rPr>
          <w:rFonts w:ascii="Arial" w:hAnsi="Arial" w:cs="Arial"/>
          <w:b/>
          <w:bCs/>
        </w:rPr>
      </w:pPr>
      <w:r w:rsidRPr="00522F77">
        <w:rPr>
          <w:rFonts w:ascii="Arial" w:hAnsi="Arial" w:cs="Arial"/>
          <w:b/>
          <w:bCs/>
        </w:rPr>
        <w:t xml:space="preserve">SECTOR DE LA </w:t>
      </w:r>
      <w:r w:rsidR="00527258" w:rsidRPr="00522F77">
        <w:rPr>
          <w:rFonts w:ascii="Arial" w:hAnsi="Arial" w:cs="Arial"/>
          <w:b/>
          <w:bCs/>
        </w:rPr>
        <w:t>ECÓNOMIA A</w:t>
      </w:r>
      <w:r w:rsidRPr="00522F77">
        <w:rPr>
          <w:rFonts w:ascii="Arial" w:hAnsi="Arial" w:cs="Arial"/>
          <w:b/>
          <w:bCs/>
        </w:rPr>
        <w:t xml:space="preserve"> ANALIZAR. </w:t>
      </w:r>
    </w:p>
    <w:p w14:paraId="4DF91E95" w14:textId="4CA42760" w:rsidR="00755227" w:rsidRPr="00522F77" w:rsidRDefault="00755227" w:rsidP="00522F77">
      <w:pPr>
        <w:spacing w:after="0" w:line="240" w:lineRule="auto"/>
        <w:contextualSpacing/>
        <w:jc w:val="both"/>
        <w:rPr>
          <w:rFonts w:ascii="Arial" w:hAnsi="Arial" w:cs="Arial"/>
        </w:rPr>
      </w:pPr>
    </w:p>
    <w:p w14:paraId="5F50E225" w14:textId="77777777" w:rsidR="00B60C8E" w:rsidRPr="00522F77" w:rsidRDefault="00B60C8E" w:rsidP="00522F77">
      <w:pPr>
        <w:spacing w:after="0" w:line="240" w:lineRule="auto"/>
        <w:contextualSpacing/>
        <w:jc w:val="both"/>
        <w:rPr>
          <w:rFonts w:ascii="Arial" w:hAnsi="Arial" w:cs="Arial"/>
        </w:rPr>
      </w:pPr>
      <w:r w:rsidRPr="00522F77">
        <w:rPr>
          <w:rFonts w:ascii="Arial" w:hAnsi="Arial" w:cs="Arial"/>
        </w:rPr>
        <w:t xml:space="preserve">La actividad económica está dividida en sectores económicos. Cada sector se refiere a una parte de la actividad económica cuyos elementos tienen características comunes, guardan una unidad y se diferencian de otras agrupaciones. Su división se realiza de acuerdo con los procesos de producción que ocurren al interior de cada uno de ellos. </w:t>
      </w:r>
    </w:p>
    <w:p w14:paraId="3D00A053" w14:textId="77777777" w:rsidR="0087228E" w:rsidRPr="00522F77" w:rsidRDefault="0087228E" w:rsidP="00522F77">
      <w:pPr>
        <w:spacing w:after="0" w:line="240" w:lineRule="auto"/>
        <w:contextualSpacing/>
        <w:jc w:val="both"/>
        <w:rPr>
          <w:rFonts w:ascii="Arial" w:hAnsi="Arial" w:cs="Arial"/>
        </w:rPr>
      </w:pPr>
    </w:p>
    <w:p w14:paraId="5C1365CB" w14:textId="77777777" w:rsidR="0087228E" w:rsidRPr="00522F77" w:rsidRDefault="00B60C8E" w:rsidP="00522F77">
      <w:pPr>
        <w:spacing w:after="0" w:line="240" w:lineRule="auto"/>
        <w:contextualSpacing/>
        <w:jc w:val="both"/>
        <w:rPr>
          <w:rFonts w:ascii="Arial" w:hAnsi="Arial" w:cs="Arial"/>
        </w:rPr>
      </w:pPr>
      <w:r w:rsidRPr="00522F77">
        <w:rPr>
          <w:rFonts w:ascii="Arial" w:hAnsi="Arial" w:cs="Arial"/>
        </w:rPr>
        <w:t xml:space="preserve">La economía clásica establece que son tres los grandes sectores de la economía: </w:t>
      </w:r>
    </w:p>
    <w:p w14:paraId="6F350E2F" w14:textId="77777777" w:rsidR="0087228E" w:rsidRPr="00522F77" w:rsidRDefault="0087228E" w:rsidP="00522F77">
      <w:pPr>
        <w:spacing w:after="0" w:line="240" w:lineRule="auto"/>
        <w:contextualSpacing/>
        <w:jc w:val="both"/>
        <w:rPr>
          <w:rFonts w:ascii="Arial" w:hAnsi="Arial" w:cs="Arial"/>
        </w:rPr>
      </w:pPr>
    </w:p>
    <w:p w14:paraId="616E216D" w14:textId="77777777" w:rsidR="0087228E" w:rsidRPr="00522F77" w:rsidRDefault="00B60C8E" w:rsidP="00522F77">
      <w:pPr>
        <w:pStyle w:val="Prrafodelista"/>
        <w:numPr>
          <w:ilvl w:val="0"/>
          <w:numId w:val="7"/>
        </w:numPr>
        <w:spacing w:line="240" w:lineRule="auto"/>
        <w:jc w:val="both"/>
        <w:rPr>
          <w:rFonts w:ascii="Arial" w:hAnsi="Arial" w:cs="Arial"/>
        </w:rPr>
      </w:pPr>
      <w:r w:rsidRPr="00522F77">
        <w:rPr>
          <w:rFonts w:ascii="Arial" w:hAnsi="Arial" w:cs="Arial"/>
        </w:rPr>
        <w:t>Sector primario o sector agropecuario.</w:t>
      </w:r>
    </w:p>
    <w:p w14:paraId="59053248" w14:textId="77777777" w:rsidR="0087228E" w:rsidRPr="00522F77" w:rsidRDefault="00B60C8E" w:rsidP="00522F77">
      <w:pPr>
        <w:pStyle w:val="Prrafodelista"/>
        <w:numPr>
          <w:ilvl w:val="0"/>
          <w:numId w:val="7"/>
        </w:numPr>
        <w:spacing w:line="240" w:lineRule="auto"/>
        <w:jc w:val="both"/>
        <w:rPr>
          <w:rFonts w:ascii="Arial" w:hAnsi="Arial" w:cs="Arial"/>
        </w:rPr>
      </w:pPr>
      <w:r w:rsidRPr="00522F77">
        <w:rPr>
          <w:rFonts w:ascii="Arial" w:hAnsi="Arial" w:cs="Arial"/>
        </w:rPr>
        <w:t>Sector secundario o sector Industrial.</w:t>
      </w:r>
    </w:p>
    <w:p w14:paraId="3766CC46" w14:textId="77777777" w:rsidR="0087228E" w:rsidRPr="00522F77" w:rsidRDefault="00B60C8E" w:rsidP="00522F77">
      <w:pPr>
        <w:pStyle w:val="Prrafodelista"/>
        <w:numPr>
          <w:ilvl w:val="0"/>
          <w:numId w:val="7"/>
        </w:numPr>
        <w:spacing w:line="240" w:lineRule="auto"/>
        <w:jc w:val="both"/>
        <w:rPr>
          <w:rFonts w:ascii="Arial" w:hAnsi="Arial" w:cs="Arial"/>
        </w:rPr>
      </w:pPr>
      <w:r w:rsidRPr="00522F77">
        <w:rPr>
          <w:rFonts w:ascii="Arial" w:hAnsi="Arial" w:cs="Arial"/>
        </w:rPr>
        <w:t xml:space="preserve">Sector terciario o sector de servicios. </w:t>
      </w:r>
    </w:p>
    <w:p w14:paraId="7DB76448" w14:textId="77777777" w:rsidR="0087228E" w:rsidRPr="00522F77" w:rsidRDefault="0087228E" w:rsidP="00522F77">
      <w:pPr>
        <w:spacing w:after="0" w:line="240" w:lineRule="auto"/>
        <w:contextualSpacing/>
        <w:jc w:val="both"/>
        <w:rPr>
          <w:rFonts w:ascii="Arial" w:hAnsi="Arial" w:cs="Arial"/>
        </w:rPr>
      </w:pPr>
    </w:p>
    <w:p w14:paraId="7F8F099A" w14:textId="77777777" w:rsidR="00B60C8E" w:rsidRPr="00522F77" w:rsidRDefault="00B60C8E" w:rsidP="00522F77">
      <w:pPr>
        <w:spacing w:after="0" w:line="240" w:lineRule="auto"/>
        <w:contextualSpacing/>
        <w:jc w:val="both"/>
        <w:rPr>
          <w:rFonts w:ascii="Arial" w:hAnsi="Arial" w:cs="Arial"/>
        </w:rPr>
      </w:pPr>
      <w:r w:rsidRPr="00522F77">
        <w:rPr>
          <w:rFonts w:ascii="Arial" w:hAnsi="Arial" w:cs="Arial"/>
        </w:rPr>
        <w:t>El sector analizado en el presente estudio se ubica dentro del sector terciario o de servicios el cual relaciona actividades relacionadas con los servicios no productores o transformadores de bienes materiales.</w:t>
      </w:r>
      <w:r w:rsidR="00527258" w:rsidRPr="00522F77">
        <w:rPr>
          <w:rFonts w:ascii="Arial" w:hAnsi="Arial" w:cs="Arial"/>
        </w:rPr>
        <w:t xml:space="preserve"> Ahora bien, e</w:t>
      </w:r>
      <w:r w:rsidRPr="00522F77">
        <w:rPr>
          <w:rFonts w:ascii="Arial" w:hAnsi="Arial" w:cs="Arial"/>
        </w:rPr>
        <w:t xml:space="preserve">ntre los subsectores encontramos el subsector de: comercio, comunicación, tecnología, turismo, administración pública, finanzas, </w:t>
      </w:r>
      <w:r w:rsidR="008E1BE0" w:rsidRPr="00522F77">
        <w:rPr>
          <w:rFonts w:ascii="Arial" w:hAnsi="Arial" w:cs="Arial"/>
        </w:rPr>
        <w:t>consultoría</w:t>
      </w:r>
      <w:r w:rsidRPr="00522F77">
        <w:rPr>
          <w:rFonts w:ascii="Arial" w:hAnsi="Arial" w:cs="Arial"/>
        </w:rPr>
        <w:t xml:space="preserve"> e interventoría, entre otros más.</w:t>
      </w:r>
    </w:p>
    <w:p w14:paraId="2D704511" w14:textId="77777777" w:rsidR="00951634" w:rsidRPr="00522F77" w:rsidRDefault="00951634" w:rsidP="00522F77">
      <w:pPr>
        <w:spacing w:after="0" w:line="240" w:lineRule="auto"/>
        <w:contextualSpacing/>
        <w:jc w:val="both"/>
        <w:rPr>
          <w:rFonts w:ascii="Arial" w:hAnsi="Arial" w:cs="Arial"/>
        </w:rPr>
      </w:pPr>
    </w:p>
    <w:p w14:paraId="47167B36" w14:textId="73059CB9" w:rsidR="00B60C8E" w:rsidRPr="00522F77" w:rsidRDefault="00B60C8E" w:rsidP="00522F77">
      <w:pPr>
        <w:spacing w:after="0" w:line="240" w:lineRule="auto"/>
        <w:contextualSpacing/>
        <w:jc w:val="both"/>
        <w:rPr>
          <w:rFonts w:ascii="Arial" w:hAnsi="Arial" w:cs="Arial"/>
        </w:rPr>
      </w:pPr>
      <w:r w:rsidRPr="00522F77">
        <w:rPr>
          <w:rFonts w:ascii="Arial" w:hAnsi="Arial" w:cs="Arial"/>
        </w:rPr>
        <w:t>Dado el objeto del contrato, las condiciones de este y las opciones que ofrece el sector económico para satisfacer la necesidad de contratación mediante CIIU Rev. 4 A.C, se determina que el sector económico a estudiar es el correspondiente al SECTOR DE COMUNICACIÓNES o mejor conocido como sector de TECNOLOGIAS DE LA INFORMACION Y LA COMUNICACIÓN.</w:t>
      </w:r>
    </w:p>
    <w:p w14:paraId="44819EE2" w14:textId="77777777" w:rsidR="00951634" w:rsidRPr="00522F77" w:rsidRDefault="00951634" w:rsidP="00522F77">
      <w:pPr>
        <w:spacing w:after="0" w:line="240" w:lineRule="auto"/>
        <w:contextualSpacing/>
        <w:jc w:val="both"/>
        <w:rPr>
          <w:rFonts w:ascii="Arial" w:hAnsi="Arial" w:cs="Arial"/>
        </w:rPr>
      </w:pPr>
    </w:p>
    <w:p w14:paraId="58A424E9" w14:textId="29F09115" w:rsidR="00FD4828" w:rsidRPr="00522F77" w:rsidRDefault="0015660A" w:rsidP="00522F77">
      <w:pPr>
        <w:spacing w:after="0" w:line="240" w:lineRule="auto"/>
        <w:contextualSpacing/>
        <w:jc w:val="both"/>
        <w:rPr>
          <w:rFonts w:ascii="Arial" w:hAnsi="Arial" w:cs="Arial"/>
        </w:rPr>
      </w:pPr>
      <w:r w:rsidRPr="00522F77">
        <w:rPr>
          <w:rFonts w:ascii="Arial" w:hAnsi="Arial" w:cs="Arial"/>
        </w:rPr>
        <w:t>L</w:t>
      </w:r>
      <w:r w:rsidR="00951634" w:rsidRPr="00522F77">
        <w:rPr>
          <w:rFonts w:ascii="Arial" w:hAnsi="Arial" w:cs="Arial"/>
        </w:rPr>
        <w:t>as tecnologías de la Información y las Comunicaciones (TIC) han cambiado la forma de vivir. Así las cosas, para finales de 201</w:t>
      </w:r>
      <w:r w:rsidR="00956FBA">
        <w:rPr>
          <w:rFonts w:ascii="Arial" w:hAnsi="Arial" w:cs="Arial"/>
        </w:rPr>
        <w:t>8</w:t>
      </w:r>
      <w:r w:rsidR="00951634" w:rsidRPr="00522F77">
        <w:rPr>
          <w:rFonts w:ascii="Arial" w:hAnsi="Arial" w:cs="Arial"/>
        </w:rPr>
        <w:t xml:space="preserve">, cerca de </w:t>
      </w:r>
      <w:r w:rsidR="00956FBA">
        <w:rPr>
          <w:rFonts w:ascii="Arial" w:hAnsi="Arial" w:cs="Arial"/>
        </w:rPr>
        <w:t>9</w:t>
      </w:r>
      <w:r w:rsidR="00951634" w:rsidRPr="00522F77">
        <w:rPr>
          <w:rFonts w:ascii="Arial" w:hAnsi="Arial" w:cs="Arial"/>
        </w:rPr>
        <w:t xml:space="preserve"> mil millones de personas alrededor del mundo vivían en un área cubierta por redes celulares, un 84% de la población mundial tenía redes de banda ancha móvil y el número de usuarios de Internet siguió creciendo a una tasa anual cercana al 10%. Sin embargo, frente a este último punto debe resaltarse que más de la mitad de la población mundial (53%) aún sigue sin conectarse a Internet, y que en continentes como el africano dicha proporción asciende al 75%.</w:t>
      </w:r>
    </w:p>
    <w:p w14:paraId="6069E77E" w14:textId="77777777" w:rsidR="00755227" w:rsidRPr="00522F77" w:rsidRDefault="00755227" w:rsidP="00522F77">
      <w:pPr>
        <w:spacing w:after="0" w:line="240" w:lineRule="auto"/>
        <w:contextualSpacing/>
        <w:jc w:val="both"/>
        <w:rPr>
          <w:rFonts w:ascii="Arial" w:hAnsi="Arial" w:cs="Arial"/>
        </w:rPr>
      </w:pPr>
    </w:p>
    <w:p w14:paraId="3A588CEE" w14:textId="48533B19" w:rsidR="00FD4828" w:rsidRPr="00522F77" w:rsidRDefault="00FD4828" w:rsidP="00522F77">
      <w:pPr>
        <w:spacing w:after="0" w:line="240" w:lineRule="auto"/>
        <w:contextualSpacing/>
        <w:jc w:val="both"/>
        <w:rPr>
          <w:rFonts w:ascii="Arial" w:hAnsi="Arial" w:cs="Arial"/>
        </w:rPr>
      </w:pPr>
      <w:r w:rsidRPr="00522F77">
        <w:rPr>
          <w:rFonts w:ascii="Arial" w:hAnsi="Arial" w:cs="Arial"/>
        </w:rPr>
        <w:t>Adan.silvestreg@unil</w:t>
      </w:r>
    </w:p>
    <w:p w14:paraId="6A0EBFA5" w14:textId="77777777" w:rsidR="00755227" w:rsidRPr="00522F77" w:rsidRDefault="00755227" w:rsidP="00522F77">
      <w:pPr>
        <w:spacing w:after="0" w:line="240" w:lineRule="auto"/>
        <w:contextualSpacing/>
        <w:rPr>
          <w:rFonts w:ascii="Arial" w:hAnsi="Arial" w:cs="Arial"/>
        </w:rPr>
      </w:pPr>
    </w:p>
    <w:p w14:paraId="693D31A0" w14:textId="77777777" w:rsidR="00951634" w:rsidRPr="00522F77" w:rsidRDefault="00951634" w:rsidP="00C7214D">
      <w:pPr>
        <w:spacing w:after="0" w:line="240" w:lineRule="auto"/>
        <w:contextualSpacing/>
        <w:rPr>
          <w:rFonts w:ascii="Arial" w:hAnsi="Arial" w:cs="Arial"/>
        </w:rPr>
      </w:pPr>
      <w:r w:rsidRPr="00522F77">
        <w:rPr>
          <w:rFonts w:ascii="Arial" w:hAnsi="Arial" w:cs="Arial"/>
        </w:rPr>
        <w:t>En Colombia el 58,1% de las personas usan Internet, superando no solo el promedio de los países en desarrollo (40,1%) sino también el promedio mundial (47,1%).</w:t>
      </w:r>
    </w:p>
    <w:p w14:paraId="5FFA27A1" w14:textId="57F1A470" w:rsidR="008447F1" w:rsidRDefault="008447F1" w:rsidP="00C7214D">
      <w:pPr>
        <w:spacing w:after="0" w:line="240" w:lineRule="auto"/>
        <w:contextualSpacing/>
        <w:rPr>
          <w:rFonts w:ascii="Arial" w:hAnsi="Arial" w:cs="Arial"/>
        </w:rPr>
      </w:pPr>
    </w:p>
    <w:p w14:paraId="4F55F049" w14:textId="3455F7DD" w:rsidR="00951634" w:rsidRPr="00C7214D" w:rsidRDefault="00C7214D" w:rsidP="00C7214D">
      <w:pPr>
        <w:pStyle w:val="Descripcin"/>
        <w:spacing w:after="0"/>
        <w:jc w:val="center"/>
        <w:rPr>
          <w:rFonts w:ascii="Arial" w:hAnsi="Arial" w:cs="Arial"/>
          <w:color w:val="auto"/>
          <w:sz w:val="20"/>
          <w:szCs w:val="20"/>
        </w:rPr>
      </w:pPr>
      <w:r w:rsidRPr="00C7214D">
        <w:rPr>
          <w:rFonts w:ascii="Arial" w:hAnsi="Arial" w:cs="Arial"/>
          <w:color w:val="auto"/>
          <w:sz w:val="20"/>
          <w:szCs w:val="20"/>
        </w:rPr>
        <w:t xml:space="preserve">Ilustración </w:t>
      </w:r>
      <w:r w:rsidRPr="00C7214D">
        <w:rPr>
          <w:rFonts w:ascii="Arial" w:hAnsi="Arial" w:cs="Arial"/>
          <w:color w:val="auto"/>
          <w:sz w:val="20"/>
          <w:szCs w:val="20"/>
        </w:rPr>
        <w:fldChar w:fldCharType="begin"/>
      </w:r>
      <w:r w:rsidRPr="00C7214D">
        <w:rPr>
          <w:rFonts w:ascii="Arial" w:hAnsi="Arial" w:cs="Arial"/>
          <w:color w:val="auto"/>
          <w:sz w:val="20"/>
          <w:szCs w:val="20"/>
        </w:rPr>
        <w:instrText xml:space="preserve"> SEQ Ilustración \* ARABIC </w:instrText>
      </w:r>
      <w:r w:rsidRPr="00C7214D">
        <w:rPr>
          <w:rFonts w:ascii="Arial" w:hAnsi="Arial" w:cs="Arial"/>
          <w:color w:val="auto"/>
          <w:sz w:val="20"/>
          <w:szCs w:val="20"/>
        </w:rPr>
        <w:fldChar w:fldCharType="separate"/>
      </w:r>
      <w:r w:rsidR="002100DA">
        <w:rPr>
          <w:rFonts w:ascii="Arial" w:hAnsi="Arial" w:cs="Arial"/>
          <w:noProof/>
          <w:color w:val="auto"/>
          <w:sz w:val="20"/>
          <w:szCs w:val="20"/>
        </w:rPr>
        <w:t>1</w:t>
      </w:r>
      <w:r w:rsidRPr="00C7214D">
        <w:rPr>
          <w:rFonts w:ascii="Arial" w:hAnsi="Arial" w:cs="Arial"/>
          <w:color w:val="auto"/>
          <w:sz w:val="20"/>
          <w:szCs w:val="20"/>
        </w:rPr>
        <w:fldChar w:fldCharType="end"/>
      </w:r>
      <w:r w:rsidRPr="00C7214D">
        <w:rPr>
          <w:rFonts w:ascii="Arial" w:hAnsi="Arial" w:cs="Arial"/>
          <w:color w:val="auto"/>
          <w:sz w:val="20"/>
          <w:szCs w:val="20"/>
        </w:rPr>
        <w:t xml:space="preserve">. </w:t>
      </w:r>
      <w:r w:rsidR="00951634" w:rsidRPr="00C7214D">
        <w:rPr>
          <w:rFonts w:ascii="Arial" w:hAnsi="Arial" w:cs="Arial"/>
          <w:color w:val="auto"/>
          <w:sz w:val="20"/>
          <w:szCs w:val="20"/>
        </w:rPr>
        <w:t>Cambios globales de los principales indicadores TIC por cada 100 habitantes</w:t>
      </w:r>
    </w:p>
    <w:p w14:paraId="4850227D" w14:textId="3B785806" w:rsidR="00951634" w:rsidRPr="00522F77" w:rsidRDefault="00D76ADA" w:rsidP="00C7214D">
      <w:pPr>
        <w:spacing w:after="0" w:line="240" w:lineRule="auto"/>
        <w:contextualSpacing/>
        <w:jc w:val="center"/>
        <w:rPr>
          <w:rFonts w:ascii="Arial" w:hAnsi="Arial" w:cs="Arial"/>
        </w:rPr>
      </w:pPr>
      <w:r w:rsidRPr="00522F77">
        <w:rPr>
          <w:rFonts w:ascii="Arial" w:hAnsi="Arial" w:cs="Arial"/>
          <w:noProof/>
          <w:lang w:eastAsia="es-CO"/>
        </w:rPr>
        <w:drawing>
          <wp:inline distT="0" distB="0" distL="0" distR="0" wp14:anchorId="12D59F12" wp14:editId="32ED4726">
            <wp:extent cx="4052258" cy="1640603"/>
            <wp:effectExtent l="0" t="0" r="571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50395" t="48112" r="4999" b="10108"/>
                    <a:stretch/>
                  </pic:blipFill>
                  <pic:spPr bwMode="auto">
                    <a:xfrm>
                      <a:off x="0" y="0"/>
                      <a:ext cx="4075015" cy="1649816"/>
                    </a:xfrm>
                    <a:prstGeom prst="rect">
                      <a:avLst/>
                    </a:prstGeom>
                    <a:ln>
                      <a:noFill/>
                    </a:ln>
                    <a:extLst>
                      <a:ext uri="{53640926-AAD7-44D8-BBD7-CCE9431645EC}">
                        <a14:shadowObscured xmlns:a14="http://schemas.microsoft.com/office/drawing/2010/main"/>
                      </a:ext>
                    </a:extLst>
                  </pic:spPr>
                </pic:pic>
              </a:graphicData>
            </a:graphic>
          </wp:inline>
        </w:drawing>
      </w:r>
      <w:r w:rsidR="00522F77">
        <w:rPr>
          <w:rFonts w:ascii="Arial" w:hAnsi="Arial" w:cs="Arial"/>
        </w:rPr>
        <w:br w:type="textWrapping" w:clear="all"/>
      </w:r>
    </w:p>
    <w:p w14:paraId="74BAB005" w14:textId="77777777" w:rsidR="009C7E82" w:rsidRPr="00522F77" w:rsidRDefault="009C7E82" w:rsidP="00522F77">
      <w:pPr>
        <w:pStyle w:val="Prrafodelista"/>
        <w:numPr>
          <w:ilvl w:val="0"/>
          <w:numId w:val="2"/>
        </w:numPr>
        <w:spacing w:line="240" w:lineRule="auto"/>
        <w:ind w:left="567" w:hanging="567"/>
        <w:jc w:val="both"/>
        <w:rPr>
          <w:rFonts w:ascii="Arial" w:hAnsi="Arial" w:cs="Arial"/>
        </w:rPr>
      </w:pPr>
      <w:r w:rsidRPr="00522F77">
        <w:rPr>
          <w:rFonts w:ascii="Arial" w:hAnsi="Arial" w:cs="Arial"/>
          <w:b/>
          <w:bCs/>
        </w:rPr>
        <w:lastRenderedPageBreak/>
        <w:t xml:space="preserve">CLASIFICACIÓN UNSPC.  </w:t>
      </w:r>
    </w:p>
    <w:p w14:paraId="38FFB411" w14:textId="77777777" w:rsidR="009C7E82" w:rsidRPr="00522F77" w:rsidRDefault="009C7E82" w:rsidP="00522F77">
      <w:pPr>
        <w:spacing w:after="0" w:line="240" w:lineRule="auto"/>
        <w:contextualSpacing/>
        <w:jc w:val="both"/>
        <w:rPr>
          <w:rFonts w:ascii="Arial" w:hAnsi="Arial" w:cs="Arial"/>
          <w:b/>
          <w:bCs/>
        </w:rPr>
      </w:pPr>
    </w:p>
    <w:tbl>
      <w:tblPr>
        <w:tblStyle w:val="Tablaconcuadrcula"/>
        <w:tblW w:w="0" w:type="auto"/>
        <w:jc w:val="center"/>
        <w:tblLook w:val="04A0" w:firstRow="1" w:lastRow="0" w:firstColumn="1" w:lastColumn="0" w:noHBand="0" w:noVBand="1"/>
      </w:tblPr>
      <w:tblGrid>
        <w:gridCol w:w="2000"/>
        <w:gridCol w:w="1776"/>
        <w:gridCol w:w="1455"/>
        <w:gridCol w:w="1263"/>
        <w:gridCol w:w="3242"/>
      </w:tblGrid>
      <w:tr w:rsidR="000357A3" w:rsidRPr="00522F77" w14:paraId="292F140F" w14:textId="77777777" w:rsidTr="00B60FD5">
        <w:trPr>
          <w:jc w:val="center"/>
        </w:trPr>
        <w:tc>
          <w:tcPr>
            <w:tcW w:w="2374" w:type="dxa"/>
          </w:tcPr>
          <w:p w14:paraId="44ABBA94" w14:textId="77777777" w:rsidR="000357A3" w:rsidRPr="00522F77" w:rsidRDefault="000357A3" w:rsidP="00522F77">
            <w:pPr>
              <w:ind w:right="301"/>
              <w:jc w:val="center"/>
              <w:rPr>
                <w:rFonts w:ascii="Arial" w:hAnsi="Arial" w:cs="Arial"/>
                <w:b/>
                <w:bCs/>
              </w:rPr>
            </w:pPr>
            <w:r w:rsidRPr="00522F77">
              <w:rPr>
                <w:rFonts w:ascii="Arial" w:hAnsi="Arial" w:cs="Arial"/>
                <w:b/>
                <w:bCs/>
              </w:rPr>
              <w:t>UNSPC</w:t>
            </w:r>
          </w:p>
        </w:tc>
        <w:tc>
          <w:tcPr>
            <w:tcW w:w="1607" w:type="dxa"/>
          </w:tcPr>
          <w:p w14:paraId="0B21A7C5" w14:textId="77777777" w:rsidR="000357A3" w:rsidRPr="00522F77" w:rsidRDefault="000357A3" w:rsidP="00522F77">
            <w:pPr>
              <w:ind w:right="301"/>
              <w:jc w:val="center"/>
              <w:rPr>
                <w:rFonts w:ascii="Arial" w:hAnsi="Arial" w:cs="Arial"/>
                <w:b/>
                <w:bCs/>
              </w:rPr>
            </w:pPr>
            <w:r w:rsidRPr="00522F77">
              <w:rPr>
                <w:rFonts w:ascii="Arial" w:hAnsi="Arial" w:cs="Arial"/>
                <w:b/>
                <w:bCs/>
              </w:rPr>
              <w:t>SEGMENTO</w:t>
            </w:r>
          </w:p>
        </w:tc>
        <w:tc>
          <w:tcPr>
            <w:tcW w:w="1489" w:type="dxa"/>
          </w:tcPr>
          <w:p w14:paraId="252DE88A" w14:textId="77777777" w:rsidR="000357A3" w:rsidRPr="00522F77" w:rsidRDefault="000357A3" w:rsidP="00522F77">
            <w:pPr>
              <w:ind w:right="301"/>
              <w:jc w:val="center"/>
              <w:rPr>
                <w:rFonts w:ascii="Arial" w:hAnsi="Arial" w:cs="Arial"/>
                <w:b/>
                <w:bCs/>
              </w:rPr>
            </w:pPr>
            <w:r w:rsidRPr="00522F77">
              <w:rPr>
                <w:rFonts w:ascii="Arial" w:hAnsi="Arial" w:cs="Arial"/>
                <w:b/>
                <w:bCs/>
              </w:rPr>
              <w:t>FAMILIA</w:t>
            </w:r>
          </w:p>
        </w:tc>
        <w:tc>
          <w:tcPr>
            <w:tcW w:w="1120" w:type="dxa"/>
          </w:tcPr>
          <w:p w14:paraId="6D3EC3E8" w14:textId="77777777" w:rsidR="000357A3" w:rsidRPr="00522F77" w:rsidRDefault="000357A3" w:rsidP="00522F77">
            <w:pPr>
              <w:ind w:right="301"/>
              <w:jc w:val="center"/>
              <w:rPr>
                <w:rFonts w:ascii="Arial" w:hAnsi="Arial" w:cs="Arial"/>
                <w:b/>
                <w:bCs/>
              </w:rPr>
            </w:pPr>
            <w:r w:rsidRPr="00522F77">
              <w:rPr>
                <w:rFonts w:ascii="Arial" w:hAnsi="Arial" w:cs="Arial"/>
                <w:b/>
                <w:bCs/>
              </w:rPr>
              <w:t>CLASE</w:t>
            </w:r>
          </w:p>
        </w:tc>
        <w:tc>
          <w:tcPr>
            <w:tcW w:w="3340" w:type="dxa"/>
          </w:tcPr>
          <w:p w14:paraId="1BEE89F4" w14:textId="77777777" w:rsidR="000357A3" w:rsidRPr="00522F77" w:rsidRDefault="000357A3" w:rsidP="00522F77">
            <w:pPr>
              <w:ind w:right="301"/>
              <w:jc w:val="center"/>
              <w:rPr>
                <w:rFonts w:ascii="Arial" w:hAnsi="Arial" w:cs="Arial"/>
                <w:b/>
                <w:bCs/>
              </w:rPr>
            </w:pPr>
            <w:r w:rsidRPr="00522F77">
              <w:rPr>
                <w:rFonts w:ascii="Arial" w:hAnsi="Arial" w:cs="Arial"/>
                <w:b/>
                <w:bCs/>
              </w:rPr>
              <w:t>PRODUCTO</w:t>
            </w:r>
          </w:p>
        </w:tc>
      </w:tr>
      <w:tr w:rsidR="000357A3" w:rsidRPr="00522F77" w14:paraId="3F3EE2BA" w14:textId="77777777" w:rsidTr="00B60FD5">
        <w:trPr>
          <w:trHeight w:val="234"/>
          <w:jc w:val="center"/>
        </w:trPr>
        <w:tc>
          <w:tcPr>
            <w:tcW w:w="2374" w:type="dxa"/>
          </w:tcPr>
          <w:p w14:paraId="0E2142B1" w14:textId="77777777" w:rsidR="000357A3" w:rsidRPr="00522F77" w:rsidRDefault="000357A3" w:rsidP="00522F77">
            <w:pPr>
              <w:ind w:right="301"/>
              <w:jc w:val="center"/>
              <w:rPr>
                <w:rFonts w:ascii="Arial" w:hAnsi="Arial" w:cs="Arial"/>
                <w:bCs/>
              </w:rPr>
            </w:pPr>
            <w:r w:rsidRPr="00522F77">
              <w:rPr>
                <w:rFonts w:ascii="Arial" w:hAnsi="Arial" w:cs="Arial"/>
                <w:bCs/>
              </w:rPr>
              <w:t>81161700</w:t>
            </w:r>
          </w:p>
        </w:tc>
        <w:tc>
          <w:tcPr>
            <w:tcW w:w="1607" w:type="dxa"/>
          </w:tcPr>
          <w:p w14:paraId="2D083F78" w14:textId="77777777" w:rsidR="000357A3" w:rsidRPr="00522F77" w:rsidRDefault="000357A3" w:rsidP="00522F77">
            <w:pPr>
              <w:ind w:right="301"/>
              <w:jc w:val="center"/>
              <w:rPr>
                <w:rFonts w:ascii="Arial" w:hAnsi="Arial" w:cs="Arial"/>
                <w:bCs/>
              </w:rPr>
            </w:pPr>
            <w:r w:rsidRPr="00522F77">
              <w:rPr>
                <w:rFonts w:ascii="Arial" w:hAnsi="Arial" w:cs="Arial"/>
                <w:bCs/>
              </w:rPr>
              <w:t>81</w:t>
            </w:r>
          </w:p>
        </w:tc>
        <w:tc>
          <w:tcPr>
            <w:tcW w:w="1489" w:type="dxa"/>
          </w:tcPr>
          <w:p w14:paraId="307796CB" w14:textId="77777777" w:rsidR="000357A3" w:rsidRPr="00522F77" w:rsidRDefault="000357A3" w:rsidP="00522F77">
            <w:pPr>
              <w:ind w:right="301"/>
              <w:jc w:val="center"/>
              <w:rPr>
                <w:rFonts w:ascii="Arial" w:hAnsi="Arial" w:cs="Arial"/>
                <w:bCs/>
              </w:rPr>
            </w:pPr>
            <w:r w:rsidRPr="00522F77">
              <w:rPr>
                <w:rFonts w:ascii="Arial" w:hAnsi="Arial" w:cs="Arial"/>
                <w:bCs/>
              </w:rPr>
              <w:t>16</w:t>
            </w:r>
          </w:p>
        </w:tc>
        <w:tc>
          <w:tcPr>
            <w:tcW w:w="1120" w:type="dxa"/>
          </w:tcPr>
          <w:p w14:paraId="76E0A60F" w14:textId="77777777" w:rsidR="000357A3" w:rsidRPr="00522F77" w:rsidRDefault="000357A3" w:rsidP="00522F77">
            <w:pPr>
              <w:ind w:right="301"/>
              <w:jc w:val="center"/>
              <w:rPr>
                <w:rFonts w:ascii="Arial" w:hAnsi="Arial" w:cs="Arial"/>
                <w:bCs/>
              </w:rPr>
            </w:pPr>
            <w:r w:rsidRPr="00522F77">
              <w:rPr>
                <w:rFonts w:ascii="Arial" w:hAnsi="Arial" w:cs="Arial"/>
                <w:bCs/>
              </w:rPr>
              <w:t>17</w:t>
            </w:r>
          </w:p>
        </w:tc>
        <w:tc>
          <w:tcPr>
            <w:tcW w:w="3340" w:type="dxa"/>
          </w:tcPr>
          <w:p w14:paraId="234F961F" w14:textId="77777777" w:rsidR="000357A3" w:rsidRPr="00522F77" w:rsidRDefault="000357A3" w:rsidP="00522F77">
            <w:pPr>
              <w:ind w:right="301"/>
              <w:jc w:val="center"/>
              <w:rPr>
                <w:rFonts w:ascii="Arial" w:hAnsi="Arial" w:cs="Arial"/>
                <w:bCs/>
              </w:rPr>
            </w:pPr>
            <w:r w:rsidRPr="00522F77">
              <w:rPr>
                <w:rFonts w:ascii="Arial" w:hAnsi="Arial" w:cs="Arial"/>
                <w:bCs/>
              </w:rPr>
              <w:t>00.SERVICIO DE TELECOMUNICACIONES</w:t>
            </w:r>
          </w:p>
        </w:tc>
      </w:tr>
      <w:tr w:rsidR="000357A3" w:rsidRPr="00522F77" w14:paraId="0098A96C" w14:textId="77777777" w:rsidTr="00B60FD5">
        <w:trPr>
          <w:jc w:val="center"/>
        </w:trPr>
        <w:tc>
          <w:tcPr>
            <w:tcW w:w="2374" w:type="dxa"/>
          </w:tcPr>
          <w:p w14:paraId="6A8CCDA3" w14:textId="77777777" w:rsidR="000357A3" w:rsidRPr="00522F77" w:rsidRDefault="000357A3" w:rsidP="00522F77">
            <w:pPr>
              <w:ind w:right="301"/>
              <w:jc w:val="center"/>
              <w:rPr>
                <w:rFonts w:ascii="Arial" w:hAnsi="Arial" w:cs="Arial"/>
                <w:bCs/>
              </w:rPr>
            </w:pPr>
            <w:r w:rsidRPr="00522F77">
              <w:rPr>
                <w:rFonts w:ascii="Arial" w:hAnsi="Arial" w:cs="Arial"/>
                <w:bCs/>
              </w:rPr>
              <w:t>81112003</w:t>
            </w:r>
          </w:p>
        </w:tc>
        <w:tc>
          <w:tcPr>
            <w:tcW w:w="1607" w:type="dxa"/>
          </w:tcPr>
          <w:p w14:paraId="36B9DEC6" w14:textId="77777777" w:rsidR="000357A3" w:rsidRPr="00522F77" w:rsidRDefault="000357A3" w:rsidP="00522F77">
            <w:pPr>
              <w:ind w:right="301"/>
              <w:jc w:val="center"/>
              <w:rPr>
                <w:rFonts w:ascii="Arial" w:hAnsi="Arial" w:cs="Arial"/>
                <w:bCs/>
              </w:rPr>
            </w:pPr>
            <w:r w:rsidRPr="00522F77">
              <w:rPr>
                <w:rFonts w:ascii="Arial" w:hAnsi="Arial" w:cs="Arial"/>
                <w:bCs/>
              </w:rPr>
              <w:t>81</w:t>
            </w:r>
          </w:p>
        </w:tc>
        <w:tc>
          <w:tcPr>
            <w:tcW w:w="1489" w:type="dxa"/>
          </w:tcPr>
          <w:p w14:paraId="13A435BD" w14:textId="77777777" w:rsidR="000357A3" w:rsidRPr="00522F77" w:rsidRDefault="000357A3" w:rsidP="00522F77">
            <w:pPr>
              <w:ind w:right="301"/>
              <w:jc w:val="center"/>
              <w:rPr>
                <w:rFonts w:ascii="Arial" w:hAnsi="Arial" w:cs="Arial"/>
                <w:bCs/>
              </w:rPr>
            </w:pPr>
            <w:r w:rsidRPr="00522F77">
              <w:rPr>
                <w:rFonts w:ascii="Arial" w:hAnsi="Arial" w:cs="Arial"/>
                <w:bCs/>
              </w:rPr>
              <w:t>11</w:t>
            </w:r>
          </w:p>
        </w:tc>
        <w:tc>
          <w:tcPr>
            <w:tcW w:w="1120" w:type="dxa"/>
          </w:tcPr>
          <w:p w14:paraId="1DAE450A" w14:textId="77777777" w:rsidR="000357A3" w:rsidRPr="00522F77" w:rsidRDefault="000357A3" w:rsidP="00522F77">
            <w:pPr>
              <w:ind w:right="301"/>
              <w:jc w:val="center"/>
              <w:rPr>
                <w:rFonts w:ascii="Arial" w:hAnsi="Arial" w:cs="Arial"/>
                <w:bCs/>
              </w:rPr>
            </w:pPr>
            <w:r w:rsidRPr="00522F77">
              <w:rPr>
                <w:rFonts w:ascii="Arial" w:hAnsi="Arial" w:cs="Arial"/>
                <w:bCs/>
              </w:rPr>
              <w:t>20</w:t>
            </w:r>
          </w:p>
        </w:tc>
        <w:tc>
          <w:tcPr>
            <w:tcW w:w="3340" w:type="dxa"/>
          </w:tcPr>
          <w:p w14:paraId="419B5F02" w14:textId="77777777" w:rsidR="000357A3" w:rsidRPr="00522F77" w:rsidRDefault="000357A3" w:rsidP="00522F77">
            <w:pPr>
              <w:ind w:right="301"/>
              <w:jc w:val="center"/>
              <w:rPr>
                <w:rFonts w:ascii="Arial" w:hAnsi="Arial" w:cs="Arial"/>
                <w:bCs/>
              </w:rPr>
            </w:pPr>
            <w:r w:rsidRPr="00522F77">
              <w:rPr>
                <w:rFonts w:ascii="Arial" w:hAnsi="Arial" w:cs="Arial"/>
                <w:bCs/>
              </w:rPr>
              <w:t>03. SERVICOS DE CENTRO DE DATOS.</w:t>
            </w:r>
          </w:p>
        </w:tc>
      </w:tr>
      <w:tr w:rsidR="000357A3" w:rsidRPr="00522F77" w14:paraId="6027E06A" w14:textId="77777777" w:rsidTr="00B60FD5">
        <w:trPr>
          <w:jc w:val="center"/>
        </w:trPr>
        <w:tc>
          <w:tcPr>
            <w:tcW w:w="2374" w:type="dxa"/>
          </w:tcPr>
          <w:p w14:paraId="7BA8319A" w14:textId="77777777" w:rsidR="000357A3" w:rsidRPr="00522F77" w:rsidRDefault="000357A3" w:rsidP="00522F77">
            <w:pPr>
              <w:ind w:right="301"/>
              <w:jc w:val="center"/>
              <w:rPr>
                <w:rFonts w:ascii="Arial" w:hAnsi="Arial" w:cs="Arial"/>
                <w:bCs/>
              </w:rPr>
            </w:pPr>
            <w:r w:rsidRPr="00522F77">
              <w:rPr>
                <w:rFonts w:ascii="Arial" w:hAnsi="Arial" w:cs="Arial"/>
                <w:bCs/>
              </w:rPr>
              <w:t>81112101</w:t>
            </w:r>
          </w:p>
        </w:tc>
        <w:tc>
          <w:tcPr>
            <w:tcW w:w="1607" w:type="dxa"/>
          </w:tcPr>
          <w:p w14:paraId="7E83E8F0" w14:textId="77777777" w:rsidR="000357A3" w:rsidRPr="00522F77" w:rsidRDefault="000357A3" w:rsidP="00522F77">
            <w:pPr>
              <w:ind w:right="301"/>
              <w:jc w:val="center"/>
              <w:rPr>
                <w:rFonts w:ascii="Arial" w:hAnsi="Arial" w:cs="Arial"/>
                <w:bCs/>
              </w:rPr>
            </w:pPr>
            <w:r w:rsidRPr="00522F77">
              <w:rPr>
                <w:rFonts w:ascii="Arial" w:hAnsi="Arial" w:cs="Arial"/>
                <w:bCs/>
              </w:rPr>
              <w:t>81</w:t>
            </w:r>
          </w:p>
        </w:tc>
        <w:tc>
          <w:tcPr>
            <w:tcW w:w="1489" w:type="dxa"/>
          </w:tcPr>
          <w:p w14:paraId="258C3EA4" w14:textId="77777777" w:rsidR="000357A3" w:rsidRPr="00522F77" w:rsidRDefault="000357A3" w:rsidP="00522F77">
            <w:pPr>
              <w:ind w:right="301"/>
              <w:jc w:val="center"/>
              <w:rPr>
                <w:rFonts w:ascii="Arial" w:hAnsi="Arial" w:cs="Arial"/>
                <w:bCs/>
              </w:rPr>
            </w:pPr>
            <w:r w:rsidRPr="00522F77">
              <w:rPr>
                <w:rFonts w:ascii="Arial" w:hAnsi="Arial" w:cs="Arial"/>
                <w:bCs/>
              </w:rPr>
              <w:t>11</w:t>
            </w:r>
          </w:p>
        </w:tc>
        <w:tc>
          <w:tcPr>
            <w:tcW w:w="1120" w:type="dxa"/>
          </w:tcPr>
          <w:p w14:paraId="104BF25F" w14:textId="77777777" w:rsidR="000357A3" w:rsidRPr="00522F77" w:rsidRDefault="000357A3" w:rsidP="00522F77">
            <w:pPr>
              <w:ind w:right="301"/>
              <w:jc w:val="center"/>
              <w:rPr>
                <w:rFonts w:ascii="Arial" w:hAnsi="Arial" w:cs="Arial"/>
                <w:bCs/>
              </w:rPr>
            </w:pPr>
            <w:r w:rsidRPr="00522F77">
              <w:rPr>
                <w:rFonts w:ascii="Arial" w:hAnsi="Arial" w:cs="Arial"/>
                <w:bCs/>
              </w:rPr>
              <w:t>21</w:t>
            </w:r>
          </w:p>
        </w:tc>
        <w:tc>
          <w:tcPr>
            <w:tcW w:w="3340" w:type="dxa"/>
          </w:tcPr>
          <w:p w14:paraId="4C9DE35A" w14:textId="77777777" w:rsidR="000357A3" w:rsidRPr="00522F77" w:rsidRDefault="000357A3" w:rsidP="00522F77">
            <w:pPr>
              <w:ind w:right="301"/>
              <w:jc w:val="center"/>
              <w:rPr>
                <w:rFonts w:ascii="Arial" w:hAnsi="Arial" w:cs="Arial"/>
                <w:bCs/>
              </w:rPr>
            </w:pPr>
            <w:r w:rsidRPr="00522F77">
              <w:rPr>
                <w:rFonts w:ascii="Arial" w:hAnsi="Arial" w:cs="Arial"/>
                <w:bCs/>
              </w:rPr>
              <w:t>01.PROVEEDORES DE SERVICIOS DE INTERNET (PSI)</w:t>
            </w:r>
          </w:p>
        </w:tc>
      </w:tr>
    </w:tbl>
    <w:p w14:paraId="74D931D9" w14:textId="77777777" w:rsidR="000357A3" w:rsidRPr="00522F77" w:rsidRDefault="000357A3" w:rsidP="00522F77">
      <w:pPr>
        <w:spacing w:after="0" w:line="240" w:lineRule="auto"/>
        <w:contextualSpacing/>
        <w:jc w:val="both"/>
        <w:rPr>
          <w:rFonts w:ascii="Arial" w:hAnsi="Arial" w:cs="Arial"/>
          <w:b/>
          <w:bCs/>
        </w:rPr>
      </w:pPr>
    </w:p>
    <w:p w14:paraId="4B5A4EE3" w14:textId="77777777" w:rsidR="007A2604" w:rsidRPr="00522F77" w:rsidRDefault="00051336" w:rsidP="00522F77">
      <w:pPr>
        <w:pStyle w:val="Prrafodelista"/>
        <w:numPr>
          <w:ilvl w:val="0"/>
          <w:numId w:val="2"/>
        </w:numPr>
        <w:spacing w:line="240" w:lineRule="auto"/>
        <w:ind w:left="567" w:hanging="567"/>
        <w:jc w:val="both"/>
        <w:rPr>
          <w:rFonts w:ascii="Arial" w:hAnsi="Arial" w:cs="Arial"/>
        </w:rPr>
      </w:pPr>
      <w:r w:rsidRPr="00522F77">
        <w:rPr>
          <w:rFonts w:ascii="Arial" w:hAnsi="Arial" w:cs="Arial"/>
          <w:b/>
          <w:bCs/>
        </w:rPr>
        <w:t>ANÁLISIS MACROECONÓMICO DE LA ECONOMÍA COLOMBIANA</w:t>
      </w:r>
    </w:p>
    <w:p w14:paraId="62913A72" w14:textId="77777777" w:rsidR="002D6FE4" w:rsidRPr="00522F77" w:rsidRDefault="002D6FE4" w:rsidP="00522F77">
      <w:pPr>
        <w:spacing w:after="0" w:line="240" w:lineRule="auto"/>
        <w:contextualSpacing/>
        <w:jc w:val="both"/>
        <w:rPr>
          <w:rFonts w:ascii="Arial" w:hAnsi="Arial" w:cs="Arial"/>
          <w:color w:val="0D0D0D" w:themeColor="text1" w:themeTint="F2"/>
        </w:rPr>
      </w:pPr>
    </w:p>
    <w:p w14:paraId="787C1B66" w14:textId="77777777" w:rsidR="007A2604" w:rsidRPr="00522F77" w:rsidRDefault="007A2604" w:rsidP="00522F77">
      <w:pPr>
        <w:spacing w:after="0" w:line="240" w:lineRule="auto"/>
        <w:contextualSpacing/>
        <w:jc w:val="both"/>
        <w:rPr>
          <w:rFonts w:ascii="Arial" w:hAnsi="Arial" w:cs="Arial"/>
          <w:color w:val="0D0D0D" w:themeColor="text1" w:themeTint="F2"/>
        </w:rPr>
      </w:pPr>
      <w:r w:rsidRPr="00522F77">
        <w:rPr>
          <w:rFonts w:ascii="Arial" w:hAnsi="Arial" w:cs="Arial"/>
          <w:color w:val="0D0D0D" w:themeColor="text1" w:themeTint="F2"/>
        </w:rPr>
        <w:t xml:space="preserve">En la coyuntura colombiana a la fecha las fuentes de información generan reportes del año inmediatamente anterior, con base en lo anterior se </w:t>
      </w:r>
      <w:r w:rsidR="00051336" w:rsidRPr="00522F77">
        <w:rPr>
          <w:rFonts w:ascii="Arial" w:hAnsi="Arial" w:cs="Arial"/>
          <w:color w:val="0D0D0D" w:themeColor="text1" w:themeTint="F2"/>
        </w:rPr>
        <w:t>presentarán</w:t>
      </w:r>
      <w:r w:rsidRPr="00522F77">
        <w:rPr>
          <w:rFonts w:ascii="Arial" w:hAnsi="Arial" w:cs="Arial"/>
          <w:color w:val="0D0D0D" w:themeColor="text1" w:themeTint="F2"/>
        </w:rPr>
        <w:t xml:space="preserve"> da</w:t>
      </w:r>
      <w:r w:rsidR="00051336" w:rsidRPr="00522F77">
        <w:rPr>
          <w:rFonts w:ascii="Arial" w:hAnsi="Arial" w:cs="Arial"/>
          <w:color w:val="0D0D0D" w:themeColor="text1" w:themeTint="F2"/>
        </w:rPr>
        <w:t>t</w:t>
      </w:r>
      <w:r w:rsidRPr="00522F77">
        <w:rPr>
          <w:rFonts w:ascii="Arial" w:hAnsi="Arial" w:cs="Arial"/>
          <w:color w:val="0D0D0D" w:themeColor="text1" w:themeTint="F2"/>
        </w:rPr>
        <w:t xml:space="preserve">os relacionados con la vigencia inmediatamente anterior y el primer semestre de 2019. </w:t>
      </w:r>
    </w:p>
    <w:p w14:paraId="4C341F26" w14:textId="77777777" w:rsidR="00015A7A" w:rsidRPr="00522F77" w:rsidRDefault="00015A7A" w:rsidP="00D5104C">
      <w:pPr>
        <w:spacing w:after="0" w:line="240" w:lineRule="auto"/>
        <w:contextualSpacing/>
        <w:jc w:val="both"/>
        <w:rPr>
          <w:rFonts w:ascii="Arial" w:hAnsi="Arial" w:cs="Arial"/>
          <w:color w:val="0D0D0D" w:themeColor="text1" w:themeTint="F2"/>
        </w:rPr>
      </w:pPr>
    </w:p>
    <w:p w14:paraId="069BE1D4" w14:textId="4DA6019F" w:rsidR="007A2604" w:rsidRPr="00D5104C" w:rsidRDefault="00C7214D" w:rsidP="00D5104C">
      <w:pPr>
        <w:pStyle w:val="Descripcin"/>
        <w:spacing w:after="0"/>
        <w:jc w:val="center"/>
        <w:rPr>
          <w:rFonts w:ascii="Arial" w:hAnsi="Arial" w:cs="Arial"/>
          <w:color w:val="auto"/>
          <w:sz w:val="20"/>
          <w:szCs w:val="20"/>
        </w:rPr>
      </w:pPr>
      <w:r w:rsidRPr="00D5104C">
        <w:rPr>
          <w:rFonts w:ascii="Arial" w:hAnsi="Arial" w:cs="Arial"/>
          <w:color w:val="auto"/>
          <w:sz w:val="20"/>
          <w:szCs w:val="20"/>
        </w:rPr>
        <w:t xml:space="preserve">Ilustración </w:t>
      </w:r>
      <w:r w:rsidRPr="00D5104C">
        <w:rPr>
          <w:rFonts w:ascii="Arial" w:hAnsi="Arial" w:cs="Arial"/>
          <w:color w:val="auto"/>
          <w:sz w:val="20"/>
          <w:szCs w:val="20"/>
        </w:rPr>
        <w:fldChar w:fldCharType="begin"/>
      </w:r>
      <w:r w:rsidRPr="00D5104C">
        <w:rPr>
          <w:rFonts w:ascii="Arial" w:hAnsi="Arial" w:cs="Arial"/>
          <w:color w:val="auto"/>
          <w:sz w:val="20"/>
          <w:szCs w:val="20"/>
        </w:rPr>
        <w:instrText xml:space="preserve"> SEQ Ilustración \* ARABIC </w:instrText>
      </w:r>
      <w:r w:rsidRPr="00D5104C">
        <w:rPr>
          <w:rFonts w:ascii="Arial" w:hAnsi="Arial" w:cs="Arial"/>
          <w:color w:val="auto"/>
          <w:sz w:val="20"/>
          <w:szCs w:val="20"/>
        </w:rPr>
        <w:fldChar w:fldCharType="separate"/>
      </w:r>
      <w:r w:rsidR="002100DA">
        <w:rPr>
          <w:rFonts w:ascii="Arial" w:hAnsi="Arial" w:cs="Arial"/>
          <w:noProof/>
          <w:color w:val="auto"/>
          <w:sz w:val="20"/>
          <w:szCs w:val="20"/>
        </w:rPr>
        <w:t>2</w:t>
      </w:r>
      <w:r w:rsidRPr="00D5104C">
        <w:rPr>
          <w:rFonts w:ascii="Arial" w:hAnsi="Arial" w:cs="Arial"/>
          <w:color w:val="auto"/>
          <w:sz w:val="20"/>
          <w:szCs w:val="20"/>
        </w:rPr>
        <w:fldChar w:fldCharType="end"/>
      </w:r>
      <w:r w:rsidRPr="00D5104C">
        <w:rPr>
          <w:rFonts w:ascii="Arial" w:hAnsi="Arial" w:cs="Arial"/>
          <w:b/>
          <w:color w:val="auto"/>
          <w:sz w:val="20"/>
          <w:szCs w:val="20"/>
        </w:rPr>
        <w:t xml:space="preserve">. </w:t>
      </w:r>
      <w:r w:rsidR="002D6FE4" w:rsidRPr="00D5104C">
        <w:rPr>
          <w:rFonts w:ascii="Arial" w:hAnsi="Arial" w:cs="Arial"/>
          <w:color w:val="auto"/>
          <w:sz w:val="20"/>
          <w:szCs w:val="20"/>
        </w:rPr>
        <w:t>Segundo trimestre de 2019pr, el Producto Interno Bruto en su serie original crece 3,0% respecto al mismo periodo de 2018pr.</w:t>
      </w:r>
    </w:p>
    <w:p w14:paraId="25334082" w14:textId="77777777" w:rsidR="007A2604" w:rsidRPr="00522F77" w:rsidRDefault="007A2604" w:rsidP="00D5104C">
      <w:pPr>
        <w:spacing w:after="0" w:line="240" w:lineRule="auto"/>
        <w:contextualSpacing/>
        <w:jc w:val="center"/>
        <w:rPr>
          <w:rFonts w:ascii="Arial" w:hAnsi="Arial" w:cs="Arial"/>
          <w:color w:val="0D0D0D" w:themeColor="text1" w:themeTint="F2"/>
        </w:rPr>
      </w:pPr>
      <w:r w:rsidRPr="00522F77">
        <w:rPr>
          <w:rFonts w:ascii="Arial" w:hAnsi="Arial" w:cs="Arial"/>
          <w:noProof/>
          <w:color w:val="0D0D0D" w:themeColor="text1" w:themeTint="F2"/>
          <w:lang w:eastAsia="es-CO"/>
        </w:rPr>
        <w:drawing>
          <wp:inline distT="0" distB="0" distL="0" distR="0" wp14:anchorId="767E29D4" wp14:editId="1DBAAF46">
            <wp:extent cx="4608830" cy="1851632"/>
            <wp:effectExtent l="0" t="0" r="127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l="13188" t="26792" r="13243" b="7631"/>
                    <a:stretch/>
                  </pic:blipFill>
                  <pic:spPr bwMode="auto">
                    <a:xfrm>
                      <a:off x="0" y="0"/>
                      <a:ext cx="4615498" cy="1854311"/>
                    </a:xfrm>
                    <a:prstGeom prst="rect">
                      <a:avLst/>
                    </a:prstGeom>
                    <a:noFill/>
                    <a:ln>
                      <a:noFill/>
                    </a:ln>
                    <a:extLst>
                      <a:ext uri="{53640926-AAD7-44D8-BBD7-CCE9431645EC}">
                        <a14:shadowObscured xmlns:a14="http://schemas.microsoft.com/office/drawing/2010/main"/>
                      </a:ext>
                    </a:extLst>
                  </pic:spPr>
                </pic:pic>
              </a:graphicData>
            </a:graphic>
          </wp:inline>
        </w:drawing>
      </w:r>
    </w:p>
    <w:p w14:paraId="3A3E816F" w14:textId="77777777" w:rsidR="002D6FE4" w:rsidRPr="00522F77" w:rsidRDefault="002D6FE4" w:rsidP="00D5104C">
      <w:pPr>
        <w:shd w:val="clear" w:color="auto" w:fill="FDFDFD"/>
        <w:spacing w:after="0" w:line="240" w:lineRule="auto"/>
        <w:contextualSpacing/>
        <w:jc w:val="both"/>
        <w:rPr>
          <w:rFonts w:ascii="Arial" w:eastAsia="Times New Roman" w:hAnsi="Arial" w:cs="Arial"/>
          <w:color w:val="0D0D0D" w:themeColor="text1" w:themeTint="F2"/>
          <w:lang w:eastAsia="es-CO"/>
        </w:rPr>
      </w:pPr>
    </w:p>
    <w:p w14:paraId="0AF860BC" w14:textId="77777777" w:rsidR="002D6FE4" w:rsidRPr="00D5104C" w:rsidRDefault="007A2604" w:rsidP="00D5104C">
      <w:pPr>
        <w:shd w:val="clear" w:color="auto" w:fill="FDFDFD"/>
        <w:spacing w:after="0" w:line="240" w:lineRule="auto"/>
        <w:contextualSpacing/>
        <w:jc w:val="both"/>
        <w:rPr>
          <w:rFonts w:ascii="Arial" w:hAnsi="Arial" w:cs="Arial"/>
          <w:color w:val="0D0D0D" w:themeColor="text1" w:themeTint="F2"/>
        </w:rPr>
      </w:pPr>
      <w:r w:rsidRPr="00D5104C">
        <w:rPr>
          <w:rFonts w:ascii="Arial" w:hAnsi="Arial" w:cs="Arial"/>
          <w:color w:val="0D0D0D" w:themeColor="text1" w:themeTint="F2"/>
        </w:rPr>
        <w:t>Durante el primer semestre de 2019, respecto al mismo periodo del año anterior, el crecimiento del Producto Interno Bruto es de 3,0%. Las actividades que más explican este comportamiento son:</w:t>
      </w:r>
    </w:p>
    <w:p w14:paraId="75A3C4DD" w14:textId="77777777" w:rsidR="002D6FE4" w:rsidRPr="00D5104C" w:rsidRDefault="002D6FE4" w:rsidP="00522F77">
      <w:pPr>
        <w:shd w:val="clear" w:color="auto" w:fill="FDFDFD"/>
        <w:spacing w:after="0" w:line="240" w:lineRule="auto"/>
        <w:contextualSpacing/>
        <w:jc w:val="both"/>
        <w:rPr>
          <w:rFonts w:ascii="Arial" w:hAnsi="Arial" w:cs="Arial"/>
          <w:color w:val="0D0D0D" w:themeColor="text1" w:themeTint="F2"/>
        </w:rPr>
      </w:pPr>
    </w:p>
    <w:p w14:paraId="55696E0C" w14:textId="4D21E3D0" w:rsidR="002D6FE4" w:rsidRPr="00D5104C" w:rsidRDefault="007A2604" w:rsidP="00D5104C">
      <w:pPr>
        <w:numPr>
          <w:ilvl w:val="0"/>
          <w:numId w:val="1"/>
        </w:numPr>
        <w:shd w:val="clear" w:color="auto" w:fill="FDFDFD"/>
        <w:tabs>
          <w:tab w:val="clear" w:pos="720"/>
          <w:tab w:val="num" w:pos="567"/>
        </w:tabs>
        <w:spacing w:after="0" w:line="240" w:lineRule="auto"/>
        <w:ind w:left="567" w:hanging="567"/>
        <w:contextualSpacing/>
        <w:jc w:val="both"/>
        <w:rPr>
          <w:rFonts w:ascii="Arial" w:hAnsi="Arial" w:cs="Arial"/>
          <w:color w:val="0D0D0D" w:themeColor="text1" w:themeTint="F2"/>
        </w:rPr>
      </w:pPr>
      <w:r w:rsidRPr="00D5104C">
        <w:rPr>
          <w:rFonts w:ascii="Arial" w:hAnsi="Arial" w:cs="Arial"/>
          <w:color w:val="0D0D0D" w:themeColor="text1" w:themeTint="F2"/>
        </w:rPr>
        <w:t>Comercio al por mayor y al por menor; reparación de vehículos automotores y motocicletas; transporte y almacenamiento; alojamiento y servicios de comida crece 4,4%.</w:t>
      </w:r>
    </w:p>
    <w:p w14:paraId="18329239" w14:textId="109E278E" w:rsidR="002D6FE4" w:rsidRPr="00D5104C" w:rsidRDefault="007A2604" w:rsidP="00D5104C">
      <w:pPr>
        <w:numPr>
          <w:ilvl w:val="0"/>
          <w:numId w:val="1"/>
        </w:numPr>
        <w:shd w:val="clear" w:color="auto" w:fill="FDFDFD"/>
        <w:tabs>
          <w:tab w:val="clear" w:pos="720"/>
          <w:tab w:val="num" w:pos="567"/>
        </w:tabs>
        <w:spacing w:after="0" w:line="240" w:lineRule="auto"/>
        <w:ind w:left="567" w:hanging="567"/>
        <w:contextualSpacing/>
        <w:jc w:val="both"/>
        <w:rPr>
          <w:rFonts w:ascii="Arial" w:hAnsi="Arial" w:cs="Arial"/>
          <w:color w:val="0D0D0D" w:themeColor="text1" w:themeTint="F2"/>
        </w:rPr>
      </w:pPr>
      <w:r w:rsidRPr="00D5104C">
        <w:rPr>
          <w:rFonts w:ascii="Arial" w:hAnsi="Arial" w:cs="Arial"/>
          <w:color w:val="0D0D0D" w:themeColor="text1" w:themeTint="F2"/>
        </w:rPr>
        <w:t>Administración pública y defensa; planes de seguridad social de afiliación obligatoria; educación; actividades de atención de la salud humana y servicios sociales crece 3,5%.</w:t>
      </w:r>
    </w:p>
    <w:p w14:paraId="67204D5A" w14:textId="77777777" w:rsidR="007A2604" w:rsidRPr="00D5104C" w:rsidRDefault="007A2604" w:rsidP="00522F77">
      <w:pPr>
        <w:numPr>
          <w:ilvl w:val="0"/>
          <w:numId w:val="1"/>
        </w:numPr>
        <w:shd w:val="clear" w:color="auto" w:fill="FDFDFD"/>
        <w:tabs>
          <w:tab w:val="clear" w:pos="720"/>
          <w:tab w:val="num" w:pos="567"/>
        </w:tabs>
        <w:spacing w:after="0" w:line="240" w:lineRule="auto"/>
        <w:ind w:left="567" w:hanging="567"/>
        <w:contextualSpacing/>
        <w:jc w:val="both"/>
        <w:rPr>
          <w:rFonts w:ascii="Arial" w:hAnsi="Arial" w:cs="Arial"/>
          <w:color w:val="0D0D0D" w:themeColor="text1" w:themeTint="F2"/>
        </w:rPr>
      </w:pPr>
      <w:r w:rsidRPr="00D5104C">
        <w:rPr>
          <w:rFonts w:ascii="Arial" w:hAnsi="Arial" w:cs="Arial"/>
          <w:color w:val="0D0D0D" w:themeColor="text1" w:themeTint="F2"/>
        </w:rPr>
        <w:t>Actividades profesionales, científicas y técnicas; actividades de servicios administrativos y de apoyo crece 3,6%.</w:t>
      </w:r>
    </w:p>
    <w:p w14:paraId="5D445BD2" w14:textId="77777777" w:rsidR="002D6FE4" w:rsidRPr="00522F77" w:rsidRDefault="002D6FE4" w:rsidP="00522F77">
      <w:pPr>
        <w:shd w:val="clear" w:color="auto" w:fill="FDFDFD"/>
        <w:spacing w:after="0" w:line="240" w:lineRule="auto"/>
        <w:ind w:left="567"/>
        <w:contextualSpacing/>
        <w:jc w:val="both"/>
        <w:rPr>
          <w:rFonts w:ascii="Arial" w:eastAsia="Times New Roman" w:hAnsi="Arial" w:cs="Arial"/>
          <w:color w:val="0D0D0D" w:themeColor="text1" w:themeTint="F2"/>
          <w:lang w:eastAsia="es-CO"/>
        </w:rPr>
      </w:pPr>
    </w:p>
    <w:p w14:paraId="54F1B781" w14:textId="216BDD33" w:rsidR="00D5104C" w:rsidRDefault="007A2604" w:rsidP="00522F77">
      <w:pPr>
        <w:spacing w:after="0" w:line="240" w:lineRule="auto"/>
        <w:contextualSpacing/>
        <w:jc w:val="both"/>
        <w:rPr>
          <w:rFonts w:ascii="Arial" w:hAnsi="Arial" w:cs="Arial"/>
          <w:color w:val="0D0D0D" w:themeColor="text1" w:themeTint="F2"/>
        </w:rPr>
      </w:pPr>
      <w:r w:rsidRPr="00522F77">
        <w:rPr>
          <w:rFonts w:ascii="Arial" w:hAnsi="Arial" w:cs="Arial"/>
          <w:color w:val="0D0D0D" w:themeColor="text1" w:themeTint="F2"/>
        </w:rPr>
        <w:t xml:space="preserve">Por otra </w:t>
      </w:r>
      <w:r w:rsidR="00AB4BB6" w:rsidRPr="00522F77">
        <w:rPr>
          <w:rFonts w:ascii="Arial" w:hAnsi="Arial" w:cs="Arial"/>
          <w:color w:val="0D0D0D" w:themeColor="text1" w:themeTint="F2"/>
        </w:rPr>
        <w:t>parte,</w:t>
      </w:r>
      <w:r w:rsidRPr="00522F77">
        <w:rPr>
          <w:rFonts w:ascii="Arial" w:hAnsi="Arial" w:cs="Arial"/>
          <w:color w:val="0D0D0D" w:themeColor="text1" w:themeTint="F2"/>
        </w:rPr>
        <w:t xml:space="preserve"> según </w:t>
      </w:r>
      <w:r w:rsidR="00E73655" w:rsidRPr="00522F77">
        <w:rPr>
          <w:rFonts w:ascii="Arial" w:hAnsi="Arial" w:cs="Arial"/>
          <w:color w:val="0D0D0D" w:themeColor="text1" w:themeTint="F2"/>
        </w:rPr>
        <w:t>el Banco de la Republica</w:t>
      </w:r>
      <w:r w:rsidRPr="00522F77">
        <w:rPr>
          <w:rStyle w:val="Refdenotaalpie"/>
          <w:rFonts w:ascii="Arial" w:hAnsi="Arial" w:cs="Arial"/>
          <w:color w:val="0D0D0D" w:themeColor="text1" w:themeTint="F2"/>
        </w:rPr>
        <w:footnoteReference w:id="2"/>
      </w:r>
      <w:r w:rsidRPr="00522F77">
        <w:rPr>
          <w:rFonts w:ascii="Arial" w:hAnsi="Arial" w:cs="Arial"/>
          <w:color w:val="0D0D0D" w:themeColor="text1" w:themeTint="F2"/>
        </w:rPr>
        <w:t xml:space="preserve">: </w:t>
      </w:r>
      <w:r w:rsidR="00611F42" w:rsidRPr="00522F77">
        <w:rPr>
          <w:rFonts w:ascii="Arial" w:hAnsi="Arial" w:cs="Arial"/>
          <w:color w:val="0D0D0D" w:themeColor="text1" w:themeTint="F2"/>
        </w:rPr>
        <w:t xml:space="preserve"> l</w:t>
      </w:r>
      <w:r w:rsidR="00E73655" w:rsidRPr="00522F77">
        <w:rPr>
          <w:rFonts w:ascii="Arial" w:hAnsi="Arial" w:cs="Arial"/>
          <w:color w:val="0D0D0D" w:themeColor="text1" w:themeTint="F2"/>
        </w:rPr>
        <w:t xml:space="preserve">as economías latinoamericanas mostraron aceleraciones en 2018, a excepción de Argentina y Ecuador. En el agregado, se esperan mayores crecimientos para los próximos dos </w:t>
      </w:r>
      <w:r w:rsidR="00AB4BB6" w:rsidRPr="00522F77">
        <w:rPr>
          <w:rFonts w:ascii="Arial" w:hAnsi="Arial" w:cs="Arial"/>
          <w:color w:val="0D0D0D" w:themeColor="text1" w:themeTint="F2"/>
        </w:rPr>
        <w:t>años,</w:t>
      </w:r>
      <w:r w:rsidR="00611F42" w:rsidRPr="00522F77">
        <w:rPr>
          <w:rFonts w:ascii="Arial" w:hAnsi="Arial" w:cs="Arial"/>
          <w:color w:val="0D0D0D" w:themeColor="text1" w:themeTint="F2"/>
        </w:rPr>
        <w:t xml:space="preserve"> para el caso de Colombia, en 2018 se registró un crecimiento real anual de 2,7%, superior al 1,4% de un año atrás</w:t>
      </w:r>
      <w:r w:rsidR="00C36AAA">
        <w:rPr>
          <w:rFonts w:ascii="Arial" w:hAnsi="Arial" w:cs="Arial"/>
          <w:color w:val="0D0D0D" w:themeColor="text1" w:themeTint="F2"/>
        </w:rPr>
        <w:t>.</w:t>
      </w:r>
      <w:r w:rsidR="00611F42" w:rsidRPr="00522F77">
        <w:rPr>
          <w:rFonts w:ascii="Arial" w:hAnsi="Arial" w:cs="Arial"/>
          <w:color w:val="0D0D0D" w:themeColor="text1" w:themeTint="F2"/>
        </w:rPr>
        <w:t xml:space="preserve"> </w:t>
      </w:r>
    </w:p>
    <w:p w14:paraId="6A829505" w14:textId="77777777" w:rsidR="00D5104C" w:rsidRDefault="00D5104C" w:rsidP="00522F77">
      <w:pPr>
        <w:spacing w:after="0" w:line="240" w:lineRule="auto"/>
        <w:contextualSpacing/>
        <w:jc w:val="both"/>
        <w:rPr>
          <w:rFonts w:ascii="Arial" w:hAnsi="Arial" w:cs="Arial"/>
          <w:color w:val="0D0D0D" w:themeColor="text1" w:themeTint="F2"/>
        </w:rPr>
      </w:pPr>
    </w:p>
    <w:p w14:paraId="307A14B4" w14:textId="77777777" w:rsidR="00647C14" w:rsidRDefault="00611F42" w:rsidP="00522F77">
      <w:pPr>
        <w:spacing w:after="0" w:line="240" w:lineRule="auto"/>
        <w:contextualSpacing/>
        <w:jc w:val="both"/>
        <w:rPr>
          <w:rFonts w:ascii="Arial" w:hAnsi="Arial" w:cs="Arial"/>
          <w:color w:val="0D0D0D" w:themeColor="text1" w:themeTint="F2"/>
        </w:rPr>
      </w:pPr>
      <w:r w:rsidRPr="00522F77">
        <w:rPr>
          <w:rFonts w:ascii="Arial" w:hAnsi="Arial" w:cs="Arial"/>
          <w:color w:val="0D0D0D" w:themeColor="text1" w:themeTint="F2"/>
        </w:rPr>
        <w:t xml:space="preserve">Al evaluar el desempeño sectorial, se evidencia que la rama de explotación de minas y canteras fue la de menor dinámica, siendo la única con un decrecimiento. </w:t>
      </w:r>
    </w:p>
    <w:p w14:paraId="2283773C" w14:textId="2F6AD4FF" w:rsidR="00E73655" w:rsidRPr="00522F77" w:rsidRDefault="00611F42" w:rsidP="00522F77">
      <w:pPr>
        <w:spacing w:after="0" w:line="240" w:lineRule="auto"/>
        <w:contextualSpacing/>
        <w:jc w:val="both"/>
        <w:rPr>
          <w:rFonts w:ascii="Arial" w:hAnsi="Arial" w:cs="Arial"/>
          <w:color w:val="0D0D0D" w:themeColor="text1" w:themeTint="F2"/>
        </w:rPr>
      </w:pPr>
      <w:r w:rsidRPr="00522F77">
        <w:rPr>
          <w:rFonts w:ascii="Arial" w:hAnsi="Arial" w:cs="Arial"/>
          <w:color w:val="0D0D0D" w:themeColor="text1" w:themeTint="F2"/>
        </w:rPr>
        <w:lastRenderedPageBreak/>
        <w:t>A pesar de lo anterior, fue la que tuvo la mayor aceleración, al crecer 5 puntos porcentuales (pp) más rápido que el año anterior. Las mayores expansiones se observaron en actividades profesionales, científicas, administrativas y de apoyo, y en administración pública, defensa, educación y servicios sociales. Las ramas de industria manufacturera y construcción mostraron crecimientos, después de presentar contracciones a lo largo de 2017. Los pronósticos calculados por el equipo técnico del Banco de la República apuntan a una expansión económica de 3,5% en 2019. Esta posible aceleración se basa en la expectativa de una mejor dinámica de la demanda interna y de la inversión, lo que compensaría el deterioro previsto en los términos de intercambio y en la demanda externa</w:t>
      </w:r>
      <w:r w:rsidR="007A2604" w:rsidRPr="00522F77">
        <w:rPr>
          <w:rFonts w:ascii="Arial" w:hAnsi="Arial" w:cs="Arial"/>
          <w:color w:val="0D0D0D" w:themeColor="text1" w:themeTint="F2"/>
        </w:rPr>
        <w:t xml:space="preserve">.  </w:t>
      </w:r>
    </w:p>
    <w:p w14:paraId="2881FA83" w14:textId="77777777" w:rsidR="00E73655" w:rsidRPr="00522F77" w:rsidRDefault="00E73655" w:rsidP="00E92DB1">
      <w:pPr>
        <w:spacing w:after="0" w:line="240" w:lineRule="auto"/>
        <w:contextualSpacing/>
        <w:jc w:val="both"/>
        <w:rPr>
          <w:rFonts w:ascii="Arial" w:hAnsi="Arial" w:cs="Arial"/>
          <w:color w:val="0D0D0D" w:themeColor="text1" w:themeTint="F2"/>
        </w:rPr>
      </w:pPr>
    </w:p>
    <w:p w14:paraId="1D743288" w14:textId="5AA40BC7" w:rsidR="002D6FE4" w:rsidRPr="00E92DB1" w:rsidRDefault="00D5104C" w:rsidP="00E92DB1">
      <w:pPr>
        <w:pStyle w:val="Descripcin"/>
        <w:spacing w:after="0"/>
        <w:jc w:val="center"/>
        <w:rPr>
          <w:rFonts w:ascii="Arial" w:hAnsi="Arial" w:cs="Arial"/>
          <w:color w:val="auto"/>
          <w:sz w:val="20"/>
          <w:szCs w:val="20"/>
        </w:rPr>
      </w:pPr>
      <w:r w:rsidRPr="00E92DB1">
        <w:rPr>
          <w:rFonts w:ascii="Arial" w:hAnsi="Arial" w:cs="Arial"/>
          <w:color w:val="auto"/>
          <w:sz w:val="20"/>
          <w:szCs w:val="20"/>
        </w:rPr>
        <w:t xml:space="preserve">Tabla </w:t>
      </w:r>
      <w:r w:rsidRPr="00E92DB1">
        <w:rPr>
          <w:rFonts w:ascii="Arial" w:hAnsi="Arial" w:cs="Arial"/>
          <w:color w:val="auto"/>
          <w:sz w:val="20"/>
          <w:szCs w:val="20"/>
        </w:rPr>
        <w:fldChar w:fldCharType="begin"/>
      </w:r>
      <w:r w:rsidRPr="00E92DB1">
        <w:rPr>
          <w:rFonts w:ascii="Arial" w:hAnsi="Arial" w:cs="Arial"/>
          <w:color w:val="auto"/>
          <w:sz w:val="20"/>
          <w:szCs w:val="20"/>
        </w:rPr>
        <w:instrText xml:space="preserve"> SEQ Tabla \* ARABIC </w:instrText>
      </w:r>
      <w:r w:rsidRPr="00E92DB1">
        <w:rPr>
          <w:rFonts w:ascii="Arial" w:hAnsi="Arial" w:cs="Arial"/>
          <w:color w:val="auto"/>
          <w:sz w:val="20"/>
          <w:szCs w:val="20"/>
        </w:rPr>
        <w:fldChar w:fldCharType="separate"/>
      </w:r>
      <w:r w:rsidR="00CA587C">
        <w:rPr>
          <w:rFonts w:ascii="Arial" w:hAnsi="Arial" w:cs="Arial"/>
          <w:noProof/>
          <w:color w:val="auto"/>
          <w:sz w:val="20"/>
          <w:szCs w:val="20"/>
        </w:rPr>
        <w:t>1</w:t>
      </w:r>
      <w:r w:rsidRPr="00E92DB1">
        <w:rPr>
          <w:rFonts w:ascii="Arial" w:hAnsi="Arial" w:cs="Arial"/>
          <w:color w:val="auto"/>
          <w:sz w:val="20"/>
          <w:szCs w:val="20"/>
        </w:rPr>
        <w:fldChar w:fldCharType="end"/>
      </w:r>
      <w:r w:rsidRPr="00E92DB1">
        <w:rPr>
          <w:rFonts w:ascii="Arial" w:hAnsi="Arial" w:cs="Arial"/>
          <w:color w:val="auto"/>
          <w:sz w:val="20"/>
          <w:szCs w:val="20"/>
        </w:rPr>
        <w:t xml:space="preserve">. </w:t>
      </w:r>
      <w:r w:rsidR="00CB2473">
        <w:rPr>
          <w:rFonts w:ascii="Arial" w:hAnsi="Arial" w:cs="Arial"/>
          <w:color w:val="auto"/>
          <w:sz w:val="20"/>
          <w:szCs w:val="20"/>
        </w:rPr>
        <w:t xml:space="preserve">Valor agregado por actividad económica </w:t>
      </w:r>
    </w:p>
    <w:p w14:paraId="153255E4" w14:textId="5C54F794" w:rsidR="00A52BA4" w:rsidRDefault="00502106" w:rsidP="00E92DB1">
      <w:pPr>
        <w:spacing w:after="0" w:line="240" w:lineRule="auto"/>
        <w:contextualSpacing/>
        <w:jc w:val="center"/>
        <w:rPr>
          <w:rFonts w:ascii="Arial" w:hAnsi="Arial" w:cs="Arial"/>
          <w:noProof/>
          <w:color w:val="0D0D0D" w:themeColor="text1" w:themeTint="F2"/>
          <w:lang w:eastAsia="es-CO"/>
        </w:rPr>
      </w:pPr>
      <w:r>
        <w:rPr>
          <w:noProof/>
        </w:rPr>
        <w:drawing>
          <wp:inline distT="0" distB="0" distL="0" distR="0" wp14:anchorId="3225C88E" wp14:editId="2278F156">
            <wp:extent cx="5370304" cy="2940050"/>
            <wp:effectExtent l="19050" t="19050" r="20955" b="1270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1510" t="35252" r="25691" b="13358"/>
                    <a:stretch/>
                  </pic:blipFill>
                  <pic:spPr bwMode="auto">
                    <a:xfrm>
                      <a:off x="0" y="0"/>
                      <a:ext cx="5399975" cy="2956294"/>
                    </a:xfrm>
                    <a:prstGeom prst="rect">
                      <a:avLst/>
                    </a:prstGeom>
                    <a:ln w="3175">
                      <a:solidFill>
                        <a:schemeClr val="tx1"/>
                      </a:solidFill>
                      <a:prstDash val="sysDot"/>
                    </a:ln>
                    <a:extLst>
                      <a:ext uri="{53640926-AAD7-44D8-BBD7-CCE9431645EC}">
                        <a14:shadowObscured xmlns:a14="http://schemas.microsoft.com/office/drawing/2010/main"/>
                      </a:ext>
                    </a:extLst>
                  </pic:spPr>
                </pic:pic>
              </a:graphicData>
            </a:graphic>
          </wp:inline>
        </w:drawing>
      </w:r>
    </w:p>
    <w:p w14:paraId="15856AE8" w14:textId="77777777" w:rsidR="00A52BA4" w:rsidRPr="00522F77" w:rsidRDefault="00A52BA4" w:rsidP="00647C14">
      <w:pPr>
        <w:spacing w:after="0" w:line="240" w:lineRule="auto"/>
        <w:contextualSpacing/>
        <w:rPr>
          <w:rFonts w:ascii="Arial" w:hAnsi="Arial" w:cs="Arial"/>
          <w:color w:val="0D0D0D" w:themeColor="text1" w:themeTint="F2"/>
        </w:rPr>
      </w:pPr>
    </w:p>
    <w:p w14:paraId="60A0C208" w14:textId="0D3206A3" w:rsidR="00E1157D" w:rsidRDefault="0051641F" w:rsidP="00522F77">
      <w:pPr>
        <w:spacing w:after="0" w:line="240" w:lineRule="auto"/>
        <w:contextualSpacing/>
        <w:jc w:val="both"/>
        <w:rPr>
          <w:rFonts w:ascii="Arial" w:hAnsi="Arial" w:cs="Arial"/>
          <w:color w:val="0D0D0D" w:themeColor="text1" w:themeTint="F2"/>
        </w:rPr>
      </w:pPr>
      <w:r>
        <w:rPr>
          <w:rFonts w:ascii="Arial" w:hAnsi="Arial" w:cs="Arial"/>
          <w:color w:val="0D0D0D" w:themeColor="text1" w:themeTint="F2"/>
        </w:rPr>
        <w:t>En el segundo trimestre de 2019 el valor agregado de la actividad información y comunicaciones crecen en 4,2% comparado con el mismo periodo de 2018</w:t>
      </w:r>
      <w:r w:rsidR="0067044C">
        <w:rPr>
          <w:rFonts w:ascii="Arial" w:hAnsi="Arial" w:cs="Arial"/>
          <w:color w:val="0D0D0D" w:themeColor="text1" w:themeTint="F2"/>
        </w:rPr>
        <w:t>.</w:t>
      </w:r>
    </w:p>
    <w:p w14:paraId="4BDEE578" w14:textId="77777777" w:rsidR="00AF1D47" w:rsidRPr="00522F77" w:rsidRDefault="00AF1D47" w:rsidP="00522F77">
      <w:pPr>
        <w:spacing w:after="0" w:line="240" w:lineRule="auto"/>
        <w:contextualSpacing/>
        <w:jc w:val="both"/>
        <w:rPr>
          <w:rFonts w:ascii="Arial" w:hAnsi="Arial" w:cs="Arial"/>
          <w:b/>
          <w:bCs/>
        </w:rPr>
      </w:pPr>
    </w:p>
    <w:p w14:paraId="1240986E" w14:textId="77777777" w:rsidR="00E1157D" w:rsidRPr="00522F77" w:rsidRDefault="00E1157D" w:rsidP="00522F77">
      <w:pPr>
        <w:pStyle w:val="Prrafodelista"/>
        <w:numPr>
          <w:ilvl w:val="0"/>
          <w:numId w:val="2"/>
        </w:numPr>
        <w:spacing w:line="240" w:lineRule="auto"/>
        <w:ind w:left="567" w:hanging="567"/>
        <w:jc w:val="both"/>
        <w:rPr>
          <w:rFonts w:ascii="Arial" w:hAnsi="Arial" w:cs="Arial"/>
          <w:b/>
          <w:bCs/>
        </w:rPr>
      </w:pPr>
      <w:r w:rsidRPr="00522F77">
        <w:rPr>
          <w:rFonts w:ascii="Arial" w:hAnsi="Arial" w:cs="Arial"/>
          <w:b/>
          <w:bCs/>
        </w:rPr>
        <w:t xml:space="preserve">ASPECTOS GENERALES DEL SECTOR  </w:t>
      </w:r>
    </w:p>
    <w:p w14:paraId="54744AE8" w14:textId="77777777" w:rsidR="00851D47" w:rsidRPr="00522F77" w:rsidRDefault="00851D47" w:rsidP="00522F77">
      <w:pPr>
        <w:spacing w:after="0" w:line="240" w:lineRule="auto"/>
        <w:contextualSpacing/>
        <w:jc w:val="both"/>
        <w:rPr>
          <w:rFonts w:ascii="Arial" w:hAnsi="Arial" w:cs="Arial"/>
        </w:rPr>
      </w:pPr>
    </w:p>
    <w:p w14:paraId="53248089" w14:textId="14B3C3B0" w:rsidR="00B06631" w:rsidRPr="00522F77" w:rsidRDefault="00B06631" w:rsidP="00522F77">
      <w:pPr>
        <w:spacing w:after="0" w:line="240" w:lineRule="auto"/>
        <w:contextualSpacing/>
        <w:jc w:val="both"/>
        <w:rPr>
          <w:rFonts w:ascii="Arial" w:hAnsi="Arial" w:cs="Arial"/>
        </w:rPr>
      </w:pPr>
      <w:r w:rsidRPr="00522F77">
        <w:rPr>
          <w:rFonts w:ascii="Arial" w:hAnsi="Arial" w:cs="Arial"/>
        </w:rPr>
        <w:t xml:space="preserve">La naturaleza misma del sector TIC demarca las características de la organización industrial propia </w:t>
      </w:r>
      <w:r w:rsidR="00647C14" w:rsidRPr="00522F77">
        <w:rPr>
          <w:rFonts w:ascii="Arial" w:hAnsi="Arial" w:cs="Arial"/>
        </w:rPr>
        <w:t>de estos</w:t>
      </w:r>
      <w:r w:rsidRPr="00522F77">
        <w:rPr>
          <w:rFonts w:ascii="Arial" w:hAnsi="Arial" w:cs="Arial"/>
        </w:rPr>
        <w:t xml:space="preserve"> mercados. El tal sentido, siendo el sector TIC intensivo en capital y por ende en cuantiosas inversiones necesarias para el despliegue de redes y servicios, resulta natural que el tamaño en el número oferentes sea reducido. En Colombia, la estructura de mercado asociada a la provisión de los distintos servicios TIC se encuadra en el contexto anterior. En virtud de ello y de las numerosas transformaciones acaecidas en el sector tras la oleada de privatizaciones y apertura de los mercados en la década de los 90’s, actualmente es posible hablar de una estructura de mercado en la cual coexisten pocos jugadores.</w:t>
      </w:r>
    </w:p>
    <w:p w14:paraId="3A63FA09" w14:textId="77777777" w:rsidR="00B06631" w:rsidRPr="00522F77" w:rsidRDefault="00B06631" w:rsidP="00522F77">
      <w:pPr>
        <w:spacing w:after="0" w:line="240" w:lineRule="auto"/>
        <w:contextualSpacing/>
        <w:jc w:val="both"/>
        <w:rPr>
          <w:rFonts w:ascii="Arial" w:hAnsi="Arial" w:cs="Arial"/>
        </w:rPr>
      </w:pPr>
    </w:p>
    <w:p w14:paraId="287C052F" w14:textId="63C9AB35" w:rsidR="00B06631" w:rsidRPr="00522F77" w:rsidRDefault="00956FBA" w:rsidP="00522F77">
      <w:pPr>
        <w:spacing w:after="0" w:line="240" w:lineRule="auto"/>
        <w:contextualSpacing/>
        <w:jc w:val="both"/>
        <w:rPr>
          <w:rFonts w:ascii="Arial" w:hAnsi="Arial" w:cs="Arial"/>
        </w:rPr>
      </w:pPr>
      <w:r>
        <w:rPr>
          <w:rFonts w:ascii="Arial" w:hAnsi="Arial" w:cs="Arial"/>
        </w:rPr>
        <w:t xml:space="preserve">Según el DANE y su boletín técnico de </w:t>
      </w:r>
      <w:r w:rsidR="006D2E95">
        <w:rPr>
          <w:rFonts w:ascii="Arial" w:hAnsi="Arial" w:cs="Arial"/>
        </w:rPr>
        <w:t xml:space="preserve">los indicadores básicos de tenencia y uso de tecnologías de la información </w:t>
      </w:r>
      <w:r w:rsidR="00EC21D3">
        <w:rPr>
          <w:rFonts w:ascii="Arial" w:hAnsi="Arial" w:cs="Arial"/>
        </w:rPr>
        <w:t xml:space="preserve">y comunicación en hogares y personas de cinco y más </w:t>
      </w:r>
      <w:r w:rsidR="00647C14">
        <w:rPr>
          <w:rFonts w:ascii="Arial" w:hAnsi="Arial" w:cs="Arial"/>
        </w:rPr>
        <w:t>años</w:t>
      </w:r>
      <w:r w:rsidR="008C7B84">
        <w:rPr>
          <w:rFonts w:ascii="Arial" w:hAnsi="Arial" w:cs="Arial"/>
        </w:rPr>
        <w:t xml:space="preserve"> en el </w:t>
      </w:r>
      <w:r w:rsidR="00647C14">
        <w:rPr>
          <w:rFonts w:ascii="Arial" w:hAnsi="Arial" w:cs="Arial"/>
        </w:rPr>
        <w:t>2018,</w:t>
      </w:r>
      <w:r w:rsidR="00B06631" w:rsidRPr="00522F77">
        <w:rPr>
          <w:rFonts w:ascii="Arial" w:hAnsi="Arial" w:cs="Arial"/>
        </w:rPr>
        <w:t xml:space="preserve"> los usos (o actividades) </w:t>
      </w:r>
      <w:r w:rsidR="008C7B84">
        <w:rPr>
          <w:rFonts w:ascii="Arial" w:hAnsi="Arial" w:cs="Arial"/>
        </w:rPr>
        <w:t xml:space="preserve">que le dieron </w:t>
      </w:r>
      <w:r>
        <w:rPr>
          <w:rFonts w:ascii="Arial" w:hAnsi="Arial" w:cs="Arial"/>
        </w:rPr>
        <w:t>al internet</w:t>
      </w:r>
      <w:r w:rsidR="008C7B84">
        <w:rPr>
          <w:rFonts w:ascii="Arial" w:hAnsi="Arial" w:cs="Arial"/>
        </w:rPr>
        <w:t xml:space="preserve"> fue</w:t>
      </w:r>
      <w:r w:rsidR="00FC1E72">
        <w:rPr>
          <w:rFonts w:ascii="Arial" w:hAnsi="Arial" w:cs="Arial"/>
        </w:rPr>
        <w:t>ron</w:t>
      </w:r>
      <w:r w:rsidR="008C7B84">
        <w:rPr>
          <w:rFonts w:ascii="Arial" w:hAnsi="Arial" w:cs="Arial"/>
        </w:rPr>
        <w:t>:</w:t>
      </w:r>
      <w:r w:rsidR="00B06631" w:rsidRPr="00522F77">
        <w:rPr>
          <w:rFonts w:ascii="Arial" w:hAnsi="Arial" w:cs="Arial"/>
        </w:rPr>
        <w:t xml:space="preserve"> las redes sociales con el </w:t>
      </w:r>
      <w:r w:rsidR="000F5035">
        <w:rPr>
          <w:rFonts w:ascii="Arial" w:hAnsi="Arial" w:cs="Arial"/>
        </w:rPr>
        <w:t>83,3</w:t>
      </w:r>
      <w:r w:rsidR="00B06631" w:rsidRPr="00522F77">
        <w:rPr>
          <w:rFonts w:ascii="Arial" w:hAnsi="Arial" w:cs="Arial"/>
        </w:rPr>
        <w:t xml:space="preserve">%, </w:t>
      </w:r>
      <w:r w:rsidR="000F5035">
        <w:rPr>
          <w:rFonts w:ascii="Arial" w:hAnsi="Arial" w:cs="Arial"/>
        </w:rPr>
        <w:t xml:space="preserve">seguido por obtención de </w:t>
      </w:r>
      <w:r w:rsidR="00C45107">
        <w:rPr>
          <w:rFonts w:ascii="Arial" w:hAnsi="Arial" w:cs="Arial"/>
        </w:rPr>
        <w:t>información 61,2% y correo y mensajería con un 57,5%</w:t>
      </w:r>
    </w:p>
    <w:p w14:paraId="38DFB4B7" w14:textId="7485CB48" w:rsidR="00B06631" w:rsidRDefault="00B06631" w:rsidP="00522F77">
      <w:pPr>
        <w:spacing w:after="0" w:line="240" w:lineRule="auto"/>
        <w:contextualSpacing/>
        <w:jc w:val="both"/>
        <w:rPr>
          <w:rFonts w:ascii="Arial" w:hAnsi="Arial" w:cs="Arial"/>
        </w:rPr>
      </w:pPr>
    </w:p>
    <w:p w14:paraId="4BD48F47" w14:textId="77777777" w:rsidR="00647C14" w:rsidRDefault="00647C14" w:rsidP="00522F77">
      <w:pPr>
        <w:spacing w:after="0" w:line="240" w:lineRule="auto"/>
        <w:contextualSpacing/>
        <w:jc w:val="both"/>
        <w:rPr>
          <w:rFonts w:ascii="Arial" w:hAnsi="Arial" w:cs="Arial"/>
        </w:rPr>
      </w:pPr>
    </w:p>
    <w:p w14:paraId="7924A5BF" w14:textId="6C60F572" w:rsidR="00B06631" w:rsidRDefault="00B06631" w:rsidP="00522F77">
      <w:pPr>
        <w:spacing w:after="0" w:line="240" w:lineRule="auto"/>
        <w:contextualSpacing/>
        <w:jc w:val="both"/>
        <w:rPr>
          <w:rFonts w:ascii="Arial" w:hAnsi="Arial" w:cs="Arial"/>
        </w:rPr>
      </w:pPr>
      <w:r w:rsidRPr="00522F77">
        <w:rPr>
          <w:rFonts w:ascii="Arial" w:hAnsi="Arial" w:cs="Arial"/>
        </w:rPr>
        <w:lastRenderedPageBreak/>
        <w:t xml:space="preserve">Cuando se examina la evolución de los usos dados al Internet, con excepción de la educación y el aprendizaje y otros servicios, todas las actividades consultadas registraron un incremento sostenido durante los últimos tres años. </w:t>
      </w:r>
      <w:r w:rsidR="00DE06BB">
        <w:rPr>
          <w:rFonts w:ascii="Arial" w:hAnsi="Arial" w:cs="Arial"/>
        </w:rPr>
        <w:t>L</w:t>
      </w:r>
      <w:r w:rsidRPr="00522F77">
        <w:rPr>
          <w:rFonts w:ascii="Arial" w:hAnsi="Arial" w:cs="Arial"/>
        </w:rPr>
        <w:t>os colombianos poco a poco han ido diversificando el uso de Internet y, en la medida que se desarrollan e implementan mecanismos y aplicaciones, entre otros elementos, para realizar trámites y otras actividades de la vida cotidiana en línea, los usuarios acceden a actividades diferentes a las redes sociales, el correo y mensajería, y la obtención de información.</w:t>
      </w:r>
    </w:p>
    <w:p w14:paraId="5FAA9616" w14:textId="77777777" w:rsidR="00FB7C05" w:rsidRPr="00303E49" w:rsidRDefault="00FB7C05" w:rsidP="00303E49">
      <w:pPr>
        <w:spacing w:after="0" w:line="240" w:lineRule="auto"/>
        <w:contextualSpacing/>
        <w:jc w:val="center"/>
        <w:rPr>
          <w:rFonts w:ascii="Arial" w:hAnsi="Arial" w:cs="Arial"/>
          <w:i/>
          <w:iCs/>
          <w:sz w:val="20"/>
          <w:szCs w:val="20"/>
        </w:rPr>
      </w:pPr>
    </w:p>
    <w:p w14:paraId="5073F861" w14:textId="09609F05" w:rsidR="00FB7C05" w:rsidRPr="00303E49" w:rsidRDefault="00FB7C05" w:rsidP="00303E49">
      <w:pPr>
        <w:spacing w:after="0" w:line="240" w:lineRule="auto"/>
        <w:contextualSpacing/>
        <w:jc w:val="center"/>
        <w:rPr>
          <w:rFonts w:ascii="Arial" w:hAnsi="Arial" w:cs="Arial"/>
          <w:i/>
          <w:iCs/>
          <w:sz w:val="20"/>
          <w:szCs w:val="20"/>
        </w:rPr>
      </w:pPr>
      <w:r w:rsidRPr="00303E49">
        <w:rPr>
          <w:rFonts w:ascii="Arial" w:hAnsi="Arial" w:cs="Arial"/>
          <w:i/>
          <w:iCs/>
          <w:sz w:val="20"/>
          <w:szCs w:val="20"/>
        </w:rPr>
        <w:t xml:space="preserve">Tabla </w:t>
      </w:r>
      <w:r w:rsidR="00956FBA">
        <w:rPr>
          <w:rFonts w:ascii="Arial" w:hAnsi="Arial" w:cs="Arial"/>
          <w:i/>
          <w:iCs/>
          <w:sz w:val="20"/>
          <w:szCs w:val="20"/>
        </w:rPr>
        <w:t>2</w:t>
      </w:r>
      <w:r w:rsidRPr="00303E49">
        <w:rPr>
          <w:rFonts w:ascii="Arial" w:hAnsi="Arial" w:cs="Arial"/>
          <w:i/>
          <w:iCs/>
          <w:sz w:val="20"/>
          <w:szCs w:val="20"/>
        </w:rPr>
        <w:t>: Proporción de personas de 5 y más años de edad que usaron internet</w:t>
      </w:r>
      <w:r w:rsidR="00303E49" w:rsidRPr="00303E49">
        <w:rPr>
          <w:rFonts w:ascii="Arial" w:hAnsi="Arial" w:cs="Arial"/>
          <w:i/>
          <w:iCs/>
          <w:sz w:val="20"/>
          <w:szCs w:val="20"/>
        </w:rPr>
        <w:t>, según actividad de uso Total nacional</w:t>
      </w:r>
    </w:p>
    <w:p w14:paraId="6BC39600" w14:textId="207E68CB" w:rsidR="00D4051F" w:rsidRPr="00E92DB1" w:rsidRDefault="00237CE7" w:rsidP="00E92DB1">
      <w:pPr>
        <w:pStyle w:val="Descripcin"/>
        <w:spacing w:after="0"/>
        <w:jc w:val="center"/>
        <w:rPr>
          <w:rFonts w:ascii="Arial" w:hAnsi="Arial" w:cs="Arial"/>
          <w:color w:val="auto"/>
          <w:sz w:val="20"/>
          <w:szCs w:val="20"/>
        </w:rPr>
      </w:pPr>
      <w:r>
        <w:rPr>
          <w:noProof/>
        </w:rPr>
        <w:drawing>
          <wp:inline distT="0" distB="0" distL="0" distR="0" wp14:anchorId="2C86FF6D" wp14:editId="41605D8B">
            <wp:extent cx="4600575" cy="2929890"/>
            <wp:effectExtent l="0" t="0" r="9525" b="381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2653" t="37494" r="31279" b="10347"/>
                    <a:stretch/>
                  </pic:blipFill>
                  <pic:spPr bwMode="auto">
                    <a:xfrm>
                      <a:off x="0" y="0"/>
                      <a:ext cx="4614561" cy="2938797"/>
                    </a:xfrm>
                    <a:prstGeom prst="rect">
                      <a:avLst/>
                    </a:prstGeom>
                    <a:ln>
                      <a:noFill/>
                    </a:ln>
                    <a:extLst>
                      <a:ext uri="{53640926-AAD7-44D8-BBD7-CCE9431645EC}">
                        <a14:shadowObscured xmlns:a14="http://schemas.microsoft.com/office/drawing/2010/main"/>
                      </a:ext>
                    </a:extLst>
                  </pic:spPr>
                </pic:pic>
              </a:graphicData>
            </a:graphic>
          </wp:inline>
        </w:drawing>
      </w:r>
    </w:p>
    <w:p w14:paraId="4E31AF02" w14:textId="77777777" w:rsidR="00D76ADA" w:rsidRDefault="00D76ADA" w:rsidP="00E92DB1">
      <w:pPr>
        <w:spacing w:after="0" w:line="240" w:lineRule="auto"/>
        <w:contextualSpacing/>
        <w:jc w:val="both"/>
        <w:rPr>
          <w:rFonts w:ascii="Arial" w:hAnsi="Arial" w:cs="Arial"/>
        </w:rPr>
      </w:pPr>
    </w:p>
    <w:p w14:paraId="70098A70" w14:textId="7002775B" w:rsidR="00C04004" w:rsidRDefault="00C04004" w:rsidP="00B11CC5">
      <w:pPr>
        <w:spacing w:after="0" w:line="240" w:lineRule="auto"/>
        <w:contextualSpacing/>
        <w:rPr>
          <w:rFonts w:ascii="Arial" w:hAnsi="Arial" w:cs="Arial"/>
        </w:rPr>
      </w:pPr>
      <w:r>
        <w:rPr>
          <w:rFonts w:ascii="Arial" w:hAnsi="Arial" w:cs="Arial"/>
        </w:rPr>
        <w:t>Frecuencia de uso del computador</w:t>
      </w:r>
    </w:p>
    <w:p w14:paraId="5F43107B" w14:textId="4BE7B91C" w:rsidR="00D4051F" w:rsidRPr="00B11CC5" w:rsidRDefault="00163DF1" w:rsidP="00B11CC5">
      <w:pPr>
        <w:spacing w:after="0" w:line="240" w:lineRule="auto"/>
        <w:contextualSpacing/>
        <w:rPr>
          <w:rFonts w:ascii="Arial" w:hAnsi="Arial" w:cs="Arial"/>
          <w:sz w:val="20"/>
          <w:szCs w:val="20"/>
        </w:rPr>
      </w:pPr>
      <w:r>
        <w:rPr>
          <w:rFonts w:ascii="Arial" w:hAnsi="Arial" w:cs="Arial"/>
        </w:rPr>
        <w:t xml:space="preserve">En el 2018 para el total </w:t>
      </w:r>
      <w:r w:rsidR="00B11CC5">
        <w:rPr>
          <w:rFonts w:ascii="Arial" w:hAnsi="Arial" w:cs="Arial"/>
          <w:sz w:val="20"/>
          <w:szCs w:val="20"/>
        </w:rPr>
        <w:t>Nacional y de las personas de 5 y más años que usaron computador, 49,4% lo hicieron todos los días</w:t>
      </w:r>
      <w:r w:rsidR="00FB654E">
        <w:rPr>
          <w:rFonts w:ascii="Arial" w:hAnsi="Arial" w:cs="Arial"/>
          <w:sz w:val="20"/>
          <w:szCs w:val="20"/>
        </w:rPr>
        <w:t xml:space="preserve"> de la semana, 41,6% lo hicieron al menos una vez a la semana</w:t>
      </w:r>
      <w:r w:rsidR="002D1F0A">
        <w:rPr>
          <w:rFonts w:ascii="Arial" w:hAnsi="Arial" w:cs="Arial"/>
          <w:sz w:val="20"/>
          <w:szCs w:val="20"/>
        </w:rPr>
        <w:t xml:space="preserve"> y 7,3% </w:t>
      </w:r>
    </w:p>
    <w:p w14:paraId="0BDA9354" w14:textId="77777777" w:rsidR="00015A7A" w:rsidRPr="00522F77" w:rsidRDefault="00015A7A" w:rsidP="00E92DB1">
      <w:pPr>
        <w:spacing w:after="0" w:line="240" w:lineRule="auto"/>
        <w:ind w:right="-518"/>
        <w:contextualSpacing/>
        <w:jc w:val="both"/>
        <w:rPr>
          <w:rFonts w:ascii="Arial" w:hAnsi="Arial" w:cs="Arial"/>
          <w:b/>
        </w:rPr>
      </w:pPr>
    </w:p>
    <w:p w14:paraId="5B52B197" w14:textId="5D2DD883" w:rsidR="00B06631" w:rsidRPr="00522F77" w:rsidRDefault="00CF57C0" w:rsidP="00E92DB1">
      <w:pPr>
        <w:pStyle w:val="Prrafodelista"/>
        <w:numPr>
          <w:ilvl w:val="1"/>
          <w:numId w:val="2"/>
        </w:numPr>
        <w:spacing w:line="240" w:lineRule="auto"/>
        <w:ind w:left="567" w:right="-518" w:hanging="567"/>
        <w:jc w:val="both"/>
        <w:rPr>
          <w:rFonts w:ascii="Arial" w:hAnsi="Arial" w:cs="Arial"/>
          <w:b/>
        </w:rPr>
      </w:pPr>
      <w:r w:rsidRPr="00522F77">
        <w:rPr>
          <w:rFonts w:ascii="Arial" w:hAnsi="Arial" w:cs="Arial"/>
          <w:b/>
        </w:rPr>
        <w:t>PRODUCTOS INCLUIDOS DENTRO DEL SECTOR</w:t>
      </w:r>
    </w:p>
    <w:p w14:paraId="0E73D0EA" w14:textId="77777777" w:rsidR="00B06631" w:rsidRPr="00522F77" w:rsidRDefault="00B06631" w:rsidP="00522F77">
      <w:pPr>
        <w:spacing w:after="0" w:line="240" w:lineRule="auto"/>
        <w:contextualSpacing/>
        <w:jc w:val="both"/>
        <w:rPr>
          <w:rFonts w:ascii="Arial" w:hAnsi="Arial" w:cs="Arial"/>
        </w:rPr>
      </w:pPr>
    </w:p>
    <w:p w14:paraId="0C22596F" w14:textId="24627B19" w:rsidR="00B06631" w:rsidRPr="00522F77" w:rsidRDefault="00B06631" w:rsidP="00522F77">
      <w:pPr>
        <w:spacing w:after="0" w:line="240" w:lineRule="auto"/>
        <w:contextualSpacing/>
        <w:jc w:val="both"/>
        <w:rPr>
          <w:rFonts w:ascii="Arial" w:hAnsi="Arial" w:cs="Arial"/>
        </w:rPr>
      </w:pPr>
      <w:r w:rsidRPr="00522F77">
        <w:rPr>
          <w:rFonts w:ascii="Arial" w:hAnsi="Arial" w:cs="Arial"/>
        </w:rPr>
        <w:t xml:space="preserve">Cuando se exploran los usos o actividades que realizan los usuarios de Internet, los datos muestran que si bien las redes sociales con el </w:t>
      </w:r>
      <w:r w:rsidR="00521F4F">
        <w:rPr>
          <w:rFonts w:ascii="Arial" w:hAnsi="Arial" w:cs="Arial"/>
        </w:rPr>
        <w:t>83,3</w:t>
      </w:r>
      <w:r w:rsidRPr="00522F77">
        <w:rPr>
          <w:rFonts w:ascii="Arial" w:hAnsi="Arial" w:cs="Arial"/>
        </w:rPr>
        <w:t>%,</w:t>
      </w:r>
      <w:r w:rsidR="000B65AE">
        <w:rPr>
          <w:rFonts w:ascii="Arial" w:hAnsi="Arial" w:cs="Arial"/>
        </w:rPr>
        <w:t xml:space="preserve">obtención de información </w:t>
      </w:r>
      <w:r w:rsidR="00DF3225">
        <w:rPr>
          <w:rFonts w:ascii="Arial" w:hAnsi="Arial" w:cs="Arial"/>
        </w:rPr>
        <w:t>61,2%</w:t>
      </w:r>
      <w:r w:rsidR="00A5033C">
        <w:rPr>
          <w:rFonts w:ascii="Arial" w:hAnsi="Arial" w:cs="Arial"/>
        </w:rPr>
        <w:t xml:space="preserve"> y </w:t>
      </w:r>
      <w:r w:rsidRPr="00522F77">
        <w:rPr>
          <w:rFonts w:ascii="Arial" w:hAnsi="Arial" w:cs="Arial"/>
        </w:rPr>
        <w:t xml:space="preserve">el correo y mensajería con el </w:t>
      </w:r>
      <w:r w:rsidR="00DF3225">
        <w:rPr>
          <w:rFonts w:ascii="Arial" w:hAnsi="Arial" w:cs="Arial"/>
        </w:rPr>
        <w:t>57,5</w:t>
      </w:r>
      <w:r w:rsidRPr="00522F77">
        <w:rPr>
          <w:rFonts w:ascii="Arial" w:hAnsi="Arial" w:cs="Arial"/>
        </w:rPr>
        <w:t>%, son las actividades de mayor preferencia por parte de los usuarios en el país; actividades como la realización de trámites con organismos gubernamentales y la compra u orden de bienes o servicios han cobrado mayor importancia entre los usuarios de este servicio. Frente a este último punto, la Comisión de Regulación de Comunicaciones (CRC) realizó un análisis y evidenció que, de la gran variedad de productos y servicios solicitados por Internet, los de mayor consumo son el pago de servicios públicos y varios (como matrículas, administración de viviendas, etc.) y la adquisición de tiquetes aéreos y artículos relacionados con la moda.</w:t>
      </w:r>
    </w:p>
    <w:p w14:paraId="1CCDA230" w14:textId="77777777" w:rsidR="00B06631" w:rsidRPr="00522F77" w:rsidRDefault="00B06631" w:rsidP="00522F77">
      <w:pPr>
        <w:spacing w:after="0" w:line="240" w:lineRule="auto"/>
        <w:contextualSpacing/>
        <w:jc w:val="both"/>
        <w:rPr>
          <w:rFonts w:ascii="Arial" w:hAnsi="Arial" w:cs="Arial"/>
        </w:rPr>
      </w:pPr>
    </w:p>
    <w:p w14:paraId="30BA6F68" w14:textId="1255D06A" w:rsidR="000F451C" w:rsidRDefault="00711EAC" w:rsidP="00CF57C0">
      <w:pPr>
        <w:spacing w:after="0" w:line="240" w:lineRule="auto"/>
        <w:contextualSpacing/>
        <w:jc w:val="both"/>
        <w:rPr>
          <w:rFonts w:ascii="Arial" w:hAnsi="Arial" w:cs="Arial"/>
        </w:rPr>
      </w:pPr>
      <w:r>
        <w:rPr>
          <w:rFonts w:ascii="Arial" w:hAnsi="Arial" w:cs="Arial"/>
        </w:rPr>
        <w:t xml:space="preserve">La </w:t>
      </w:r>
      <w:r w:rsidR="007C0899">
        <w:rPr>
          <w:rFonts w:ascii="Arial" w:hAnsi="Arial" w:cs="Arial"/>
        </w:rPr>
        <w:t>Encuesta de calidad de vida (</w:t>
      </w:r>
      <w:r>
        <w:rPr>
          <w:rFonts w:ascii="Arial" w:hAnsi="Arial" w:cs="Arial"/>
        </w:rPr>
        <w:t>ECV</w:t>
      </w:r>
      <w:r w:rsidR="007C0899">
        <w:rPr>
          <w:rFonts w:ascii="Arial" w:hAnsi="Arial" w:cs="Arial"/>
        </w:rPr>
        <w:t>)</w:t>
      </w:r>
      <w:r w:rsidR="007518F4">
        <w:rPr>
          <w:rFonts w:ascii="Arial" w:hAnsi="Arial" w:cs="Arial"/>
        </w:rPr>
        <w:t xml:space="preserve"> </w:t>
      </w:r>
      <w:r>
        <w:rPr>
          <w:rFonts w:ascii="Arial" w:hAnsi="Arial" w:cs="Arial"/>
        </w:rPr>
        <w:t xml:space="preserve"> proporciona indicadores de tendencia y uso de TIC en los hogares. Para el 2019, el 51,9% de los hogares </w:t>
      </w:r>
      <w:r w:rsidR="00D36551">
        <w:rPr>
          <w:rFonts w:ascii="Arial" w:hAnsi="Arial" w:cs="Arial"/>
        </w:rPr>
        <w:t xml:space="preserve">en el total Nacional </w:t>
      </w:r>
      <w:r w:rsidR="00756D90">
        <w:rPr>
          <w:rFonts w:ascii="Arial" w:hAnsi="Arial" w:cs="Arial"/>
        </w:rPr>
        <w:t xml:space="preserve">tenía acceso a internet ya sea por conexión fija o por conexión móvil. </w:t>
      </w:r>
      <w:r w:rsidR="00CF57C0">
        <w:rPr>
          <w:rFonts w:ascii="Arial" w:hAnsi="Arial" w:cs="Arial"/>
        </w:rPr>
        <w:t>Este</w:t>
      </w:r>
      <w:r w:rsidR="00756D90">
        <w:rPr>
          <w:rFonts w:ascii="Arial" w:hAnsi="Arial" w:cs="Arial"/>
        </w:rPr>
        <w:t xml:space="preserve"> porcentaje no fue </w:t>
      </w:r>
      <w:r w:rsidR="00D43EAD">
        <w:rPr>
          <w:rFonts w:ascii="Arial" w:hAnsi="Arial" w:cs="Arial"/>
        </w:rPr>
        <w:t>estadísticamente diferente al obtenido para el 2018 (53,3%)</w:t>
      </w:r>
      <w:r w:rsidR="00CF57C0">
        <w:rPr>
          <w:rFonts w:ascii="Arial" w:hAnsi="Arial" w:cs="Arial"/>
        </w:rPr>
        <w:t>.</w:t>
      </w:r>
    </w:p>
    <w:p w14:paraId="012936EC" w14:textId="5E552D11" w:rsidR="00CF57C0" w:rsidRDefault="00CF57C0" w:rsidP="00CF57C0">
      <w:pPr>
        <w:spacing w:after="0" w:line="240" w:lineRule="auto"/>
        <w:contextualSpacing/>
        <w:jc w:val="both"/>
        <w:rPr>
          <w:rFonts w:ascii="Arial" w:hAnsi="Arial" w:cs="Arial"/>
        </w:rPr>
      </w:pPr>
    </w:p>
    <w:p w14:paraId="04AECEC1" w14:textId="77777777" w:rsidR="00CF57C0" w:rsidRPr="00CF57C0" w:rsidRDefault="00CF57C0" w:rsidP="00CF57C0">
      <w:pPr>
        <w:spacing w:after="0" w:line="240" w:lineRule="auto"/>
        <w:contextualSpacing/>
        <w:jc w:val="both"/>
        <w:rPr>
          <w:rFonts w:ascii="Arial" w:hAnsi="Arial" w:cs="Arial"/>
        </w:rPr>
      </w:pPr>
    </w:p>
    <w:p w14:paraId="4A7D4999" w14:textId="56886BD0" w:rsidR="009425F0" w:rsidRPr="00CF57C0" w:rsidRDefault="00CF57C0" w:rsidP="00CF57C0">
      <w:pPr>
        <w:pStyle w:val="Descripcin"/>
        <w:spacing w:after="0"/>
        <w:jc w:val="center"/>
        <w:rPr>
          <w:rFonts w:ascii="Arial" w:hAnsi="Arial" w:cs="Arial"/>
          <w:color w:val="auto"/>
          <w:sz w:val="20"/>
          <w:szCs w:val="20"/>
        </w:rPr>
      </w:pPr>
      <w:r w:rsidRPr="00CF57C0">
        <w:rPr>
          <w:rFonts w:ascii="Arial" w:hAnsi="Arial" w:cs="Arial"/>
          <w:color w:val="auto"/>
          <w:sz w:val="20"/>
          <w:szCs w:val="20"/>
        </w:rPr>
        <w:lastRenderedPageBreak/>
        <w:t xml:space="preserve">Ilustración </w:t>
      </w:r>
      <w:r w:rsidRPr="00CF57C0">
        <w:rPr>
          <w:rFonts w:ascii="Arial" w:hAnsi="Arial" w:cs="Arial"/>
          <w:color w:val="auto"/>
          <w:sz w:val="20"/>
          <w:szCs w:val="20"/>
        </w:rPr>
        <w:fldChar w:fldCharType="begin"/>
      </w:r>
      <w:r w:rsidRPr="00CF57C0">
        <w:rPr>
          <w:rFonts w:ascii="Arial" w:hAnsi="Arial" w:cs="Arial"/>
          <w:color w:val="auto"/>
          <w:sz w:val="20"/>
          <w:szCs w:val="20"/>
        </w:rPr>
        <w:instrText xml:space="preserve"> SEQ Ilustración \* ARABIC </w:instrText>
      </w:r>
      <w:r w:rsidRPr="00CF57C0">
        <w:rPr>
          <w:rFonts w:ascii="Arial" w:hAnsi="Arial" w:cs="Arial"/>
          <w:color w:val="auto"/>
          <w:sz w:val="20"/>
          <w:szCs w:val="20"/>
        </w:rPr>
        <w:fldChar w:fldCharType="separate"/>
      </w:r>
      <w:r w:rsidR="002100DA">
        <w:rPr>
          <w:rFonts w:ascii="Arial" w:hAnsi="Arial" w:cs="Arial"/>
          <w:noProof/>
          <w:color w:val="auto"/>
          <w:sz w:val="20"/>
          <w:szCs w:val="20"/>
        </w:rPr>
        <w:t>3</w:t>
      </w:r>
      <w:r w:rsidRPr="00CF57C0">
        <w:rPr>
          <w:rFonts w:ascii="Arial" w:hAnsi="Arial" w:cs="Arial"/>
          <w:color w:val="auto"/>
          <w:sz w:val="20"/>
          <w:szCs w:val="20"/>
        </w:rPr>
        <w:fldChar w:fldCharType="end"/>
      </w:r>
      <w:r>
        <w:rPr>
          <w:rFonts w:ascii="Arial" w:hAnsi="Arial" w:cs="Arial"/>
          <w:color w:val="auto"/>
          <w:sz w:val="20"/>
          <w:szCs w:val="20"/>
        </w:rPr>
        <w:t>:</w:t>
      </w:r>
      <w:r w:rsidRPr="00CF57C0">
        <w:rPr>
          <w:rFonts w:ascii="Arial" w:hAnsi="Arial" w:cs="Arial"/>
          <w:color w:val="auto"/>
          <w:sz w:val="20"/>
          <w:szCs w:val="20"/>
        </w:rPr>
        <w:t xml:space="preserve"> </w:t>
      </w:r>
      <w:r w:rsidR="009425F0" w:rsidRPr="00CF57C0">
        <w:rPr>
          <w:rFonts w:ascii="Arial" w:hAnsi="Arial" w:cs="Arial"/>
          <w:noProof/>
          <w:color w:val="auto"/>
          <w:sz w:val="20"/>
          <w:szCs w:val="20"/>
        </w:rPr>
        <w:t>Porcentaje de hogares con acceso a internet total</w:t>
      </w:r>
    </w:p>
    <w:p w14:paraId="7039F074" w14:textId="592767C4" w:rsidR="009425F0" w:rsidRDefault="00502106" w:rsidP="00CF57C0">
      <w:pPr>
        <w:spacing w:after="0" w:line="240" w:lineRule="auto"/>
        <w:ind w:right="-518"/>
        <w:contextualSpacing/>
        <w:jc w:val="center"/>
        <w:rPr>
          <w:rFonts w:ascii="Arial" w:hAnsi="Arial" w:cs="Arial"/>
        </w:rPr>
      </w:pPr>
      <w:r>
        <w:rPr>
          <w:noProof/>
        </w:rPr>
        <w:drawing>
          <wp:inline distT="0" distB="0" distL="0" distR="0" wp14:anchorId="2272F56E" wp14:editId="4D88D68E">
            <wp:extent cx="5079819" cy="1747778"/>
            <wp:effectExtent l="0" t="0" r="6985" b="508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1428" t="32751" r="21486" b="32330"/>
                    <a:stretch/>
                  </pic:blipFill>
                  <pic:spPr bwMode="auto">
                    <a:xfrm>
                      <a:off x="0" y="0"/>
                      <a:ext cx="5103362" cy="1755878"/>
                    </a:xfrm>
                    <a:prstGeom prst="rect">
                      <a:avLst/>
                    </a:prstGeom>
                    <a:ln>
                      <a:noFill/>
                    </a:ln>
                    <a:extLst>
                      <a:ext uri="{53640926-AAD7-44D8-BBD7-CCE9431645EC}">
                        <a14:shadowObscured xmlns:a14="http://schemas.microsoft.com/office/drawing/2010/main"/>
                      </a:ext>
                    </a:extLst>
                  </pic:spPr>
                </pic:pic>
              </a:graphicData>
            </a:graphic>
          </wp:inline>
        </w:drawing>
      </w:r>
    </w:p>
    <w:p w14:paraId="580C7267" w14:textId="77777777" w:rsidR="00C324A7" w:rsidRPr="00522F77" w:rsidRDefault="00C324A7" w:rsidP="00522F77">
      <w:pPr>
        <w:spacing w:after="0" w:line="240" w:lineRule="auto"/>
        <w:ind w:right="-518"/>
        <w:contextualSpacing/>
        <w:jc w:val="both"/>
        <w:rPr>
          <w:rFonts w:ascii="Arial" w:hAnsi="Arial" w:cs="Arial"/>
          <w:b/>
        </w:rPr>
      </w:pPr>
    </w:p>
    <w:p w14:paraId="7B50B248" w14:textId="1441AD52" w:rsidR="00B06631" w:rsidRPr="00522F77" w:rsidRDefault="00A359D9" w:rsidP="00522F77">
      <w:pPr>
        <w:pStyle w:val="Prrafodelista"/>
        <w:numPr>
          <w:ilvl w:val="1"/>
          <w:numId w:val="2"/>
        </w:numPr>
        <w:spacing w:line="240" w:lineRule="auto"/>
        <w:ind w:left="567" w:right="-518" w:hanging="567"/>
        <w:jc w:val="both"/>
        <w:rPr>
          <w:rFonts w:ascii="Arial" w:hAnsi="Arial" w:cs="Arial"/>
          <w:b/>
        </w:rPr>
      </w:pPr>
      <w:r w:rsidRPr="00522F77">
        <w:rPr>
          <w:rFonts w:ascii="Arial" w:hAnsi="Arial" w:cs="Arial"/>
          <w:b/>
        </w:rPr>
        <w:t>GREMIOS Y ASOCIACIONES QUE PARTICIPAN EN EL SECTOR</w:t>
      </w:r>
    </w:p>
    <w:p w14:paraId="61D47BA0" w14:textId="77777777" w:rsidR="00B06631" w:rsidRPr="00522F77" w:rsidRDefault="00B06631" w:rsidP="00522F77">
      <w:pPr>
        <w:spacing w:after="0" w:line="240" w:lineRule="auto"/>
        <w:ind w:right="49"/>
        <w:contextualSpacing/>
        <w:jc w:val="both"/>
        <w:rPr>
          <w:rFonts w:ascii="Arial" w:hAnsi="Arial" w:cs="Arial"/>
          <w:b/>
        </w:rPr>
      </w:pPr>
    </w:p>
    <w:p w14:paraId="2F97928D" w14:textId="77777777" w:rsidR="00B06631" w:rsidRPr="00522F77" w:rsidRDefault="00B06631" w:rsidP="00522F77">
      <w:pPr>
        <w:spacing w:after="0" w:line="240" w:lineRule="auto"/>
        <w:ind w:right="49"/>
        <w:contextualSpacing/>
        <w:jc w:val="both"/>
        <w:rPr>
          <w:rFonts w:ascii="Arial" w:hAnsi="Arial" w:cs="Arial"/>
        </w:rPr>
      </w:pPr>
      <w:r w:rsidRPr="00522F77">
        <w:rPr>
          <w:rFonts w:ascii="Arial" w:hAnsi="Arial" w:cs="Arial"/>
        </w:rPr>
        <w:t xml:space="preserve">A continuación se listan las asociaciones que participan en el </w:t>
      </w:r>
      <w:r w:rsidR="00EC6C71" w:rsidRPr="00522F77">
        <w:rPr>
          <w:rFonts w:ascii="Arial" w:hAnsi="Arial" w:cs="Arial"/>
        </w:rPr>
        <w:t xml:space="preserve"> sector de TICs </w:t>
      </w:r>
      <w:r w:rsidRPr="00522F77">
        <w:rPr>
          <w:rFonts w:ascii="Arial" w:hAnsi="Arial" w:cs="Arial"/>
        </w:rPr>
        <w:t xml:space="preserve"> para Colombia</w:t>
      </w:r>
    </w:p>
    <w:p w14:paraId="64DDF480" w14:textId="77777777" w:rsidR="00B06631" w:rsidRPr="00522F77" w:rsidRDefault="00B06631" w:rsidP="00522F77">
      <w:pPr>
        <w:spacing w:after="0" w:line="240" w:lineRule="auto"/>
        <w:ind w:right="49"/>
        <w:contextualSpacing/>
        <w:jc w:val="both"/>
        <w:rPr>
          <w:rFonts w:ascii="Arial" w:hAnsi="Arial" w:cs="Arial"/>
          <w:b/>
        </w:rPr>
      </w:pPr>
    </w:p>
    <w:p w14:paraId="31F9C511" w14:textId="77777777" w:rsidR="00B06631" w:rsidRPr="00522F77" w:rsidRDefault="00B06631" w:rsidP="00522F77">
      <w:pPr>
        <w:pStyle w:val="Prrafodelista"/>
        <w:numPr>
          <w:ilvl w:val="0"/>
          <w:numId w:val="5"/>
        </w:numPr>
        <w:spacing w:line="240" w:lineRule="auto"/>
        <w:ind w:left="567" w:hanging="567"/>
        <w:jc w:val="both"/>
        <w:rPr>
          <w:rFonts w:ascii="Arial" w:eastAsia="Times New Roman" w:hAnsi="Arial" w:cs="Arial"/>
          <w:lang w:eastAsia="es-CO"/>
        </w:rPr>
      </w:pPr>
      <w:r w:rsidRPr="00522F77">
        <w:rPr>
          <w:rFonts w:ascii="Arial" w:eastAsia="Times New Roman" w:hAnsi="Arial" w:cs="Arial"/>
          <w:lang w:eastAsia="es-CO"/>
        </w:rPr>
        <w:t xml:space="preserve">Asociación Colombiana de Ingenieros- ACIEM  </w:t>
      </w:r>
      <w:r w:rsidR="00E564E6">
        <w:fldChar w:fldCharType="begin"/>
      </w:r>
      <w:r w:rsidR="00E564E6">
        <w:instrText xml:space="preserve"> HYPERLINK "http://www.aciem.org" </w:instrText>
      </w:r>
      <w:r w:rsidR="00E564E6">
        <w:fldChar w:fldCharType="separate"/>
      </w:r>
      <w:r w:rsidRPr="00522F77">
        <w:rPr>
          <w:rStyle w:val="Hipervnculo"/>
          <w:rFonts w:ascii="Arial" w:eastAsia="Times New Roman" w:hAnsi="Arial" w:cs="Arial"/>
          <w:lang w:eastAsia="es-CO"/>
        </w:rPr>
        <w:t>www.aciem.org</w:t>
      </w:r>
      <w:r w:rsidR="00E564E6">
        <w:rPr>
          <w:rStyle w:val="Hipervnculo"/>
          <w:rFonts w:ascii="Arial" w:eastAsia="Times New Roman" w:hAnsi="Arial" w:cs="Arial"/>
          <w:lang w:eastAsia="es-CO"/>
        </w:rPr>
        <w:fldChar w:fldCharType="end"/>
      </w:r>
    </w:p>
    <w:p w14:paraId="5609EC99" w14:textId="77777777" w:rsidR="00B06631" w:rsidRPr="00522F77" w:rsidRDefault="00B06631" w:rsidP="00522F77">
      <w:pPr>
        <w:pStyle w:val="Prrafodelista"/>
        <w:numPr>
          <w:ilvl w:val="0"/>
          <w:numId w:val="5"/>
        </w:numPr>
        <w:spacing w:line="240" w:lineRule="auto"/>
        <w:ind w:left="567" w:hanging="567"/>
        <w:jc w:val="both"/>
        <w:rPr>
          <w:rFonts w:ascii="Arial" w:eastAsia="Times New Roman" w:hAnsi="Arial" w:cs="Arial"/>
          <w:lang w:eastAsia="es-CO"/>
        </w:rPr>
      </w:pPr>
      <w:r w:rsidRPr="00522F77">
        <w:rPr>
          <w:rFonts w:ascii="Arial" w:eastAsia="Times New Roman" w:hAnsi="Arial" w:cs="Arial"/>
          <w:lang w:eastAsia="es-CO"/>
        </w:rPr>
        <w:t xml:space="preserve">Asociación Colombiana de Ingenieros de Sistemas -ACIS- </w:t>
      </w:r>
      <w:r w:rsidR="00E564E6">
        <w:fldChar w:fldCharType="begin"/>
      </w:r>
      <w:r w:rsidR="00E564E6">
        <w:instrText xml:space="preserve"> HYPERLINK "http://www.acis.org.co" </w:instrText>
      </w:r>
      <w:r w:rsidR="00E564E6">
        <w:fldChar w:fldCharType="separate"/>
      </w:r>
      <w:r w:rsidRPr="00522F77">
        <w:rPr>
          <w:rStyle w:val="Hipervnculo"/>
          <w:rFonts w:ascii="Arial" w:eastAsia="Times New Roman" w:hAnsi="Arial" w:cs="Arial"/>
          <w:lang w:eastAsia="es-CO"/>
        </w:rPr>
        <w:t>www.acis.org.co</w:t>
      </w:r>
      <w:r w:rsidR="00E564E6">
        <w:rPr>
          <w:rStyle w:val="Hipervnculo"/>
          <w:rFonts w:ascii="Arial" w:eastAsia="Times New Roman" w:hAnsi="Arial" w:cs="Arial"/>
          <w:lang w:eastAsia="es-CO"/>
        </w:rPr>
        <w:fldChar w:fldCharType="end"/>
      </w:r>
    </w:p>
    <w:p w14:paraId="55C6981A" w14:textId="77777777" w:rsidR="00B06631" w:rsidRPr="00522F77" w:rsidRDefault="00B06631" w:rsidP="00522F77">
      <w:pPr>
        <w:pStyle w:val="Prrafodelista"/>
        <w:numPr>
          <w:ilvl w:val="0"/>
          <w:numId w:val="5"/>
        </w:numPr>
        <w:spacing w:line="240" w:lineRule="auto"/>
        <w:ind w:left="567" w:hanging="567"/>
        <w:jc w:val="both"/>
        <w:rPr>
          <w:rFonts w:ascii="Arial" w:eastAsia="Times New Roman" w:hAnsi="Arial" w:cs="Arial"/>
          <w:lang w:eastAsia="es-CO"/>
        </w:rPr>
      </w:pPr>
      <w:r w:rsidRPr="00522F77">
        <w:rPr>
          <w:rFonts w:ascii="Arial" w:eastAsia="Times New Roman" w:hAnsi="Arial" w:cs="Arial"/>
          <w:lang w:eastAsia="es-CO"/>
        </w:rPr>
        <w:t xml:space="preserve">Asociación Colombiana de Usuarios de Internet -ACUI- </w:t>
      </w:r>
      <w:r w:rsidR="00E564E6">
        <w:fldChar w:fldCharType="begin"/>
      </w:r>
      <w:r w:rsidR="00E564E6">
        <w:instrText xml:space="preserve"> HYPERLINK "http://www.acui.co" </w:instrText>
      </w:r>
      <w:r w:rsidR="00E564E6">
        <w:fldChar w:fldCharType="separate"/>
      </w:r>
      <w:r w:rsidRPr="00522F77">
        <w:rPr>
          <w:rStyle w:val="Hipervnculo"/>
          <w:rFonts w:ascii="Arial" w:eastAsia="Times New Roman" w:hAnsi="Arial" w:cs="Arial"/>
          <w:lang w:eastAsia="es-CO"/>
        </w:rPr>
        <w:t>www.acui.co</w:t>
      </w:r>
      <w:r w:rsidR="00E564E6">
        <w:rPr>
          <w:rStyle w:val="Hipervnculo"/>
          <w:rFonts w:ascii="Arial" w:eastAsia="Times New Roman" w:hAnsi="Arial" w:cs="Arial"/>
          <w:lang w:eastAsia="es-CO"/>
        </w:rPr>
        <w:fldChar w:fldCharType="end"/>
      </w:r>
    </w:p>
    <w:p w14:paraId="3EC5F436" w14:textId="77777777" w:rsidR="00B06631" w:rsidRPr="00522F77" w:rsidRDefault="00B06631" w:rsidP="00522F77">
      <w:pPr>
        <w:pStyle w:val="Prrafodelista"/>
        <w:numPr>
          <w:ilvl w:val="0"/>
          <w:numId w:val="5"/>
        </w:numPr>
        <w:spacing w:line="240" w:lineRule="auto"/>
        <w:ind w:left="567" w:hanging="567"/>
        <w:jc w:val="both"/>
        <w:rPr>
          <w:rFonts w:ascii="Arial" w:eastAsia="Times New Roman" w:hAnsi="Arial" w:cs="Arial"/>
          <w:lang w:eastAsia="es-CO"/>
        </w:rPr>
      </w:pPr>
      <w:r w:rsidRPr="00522F77">
        <w:rPr>
          <w:rFonts w:ascii="Arial" w:eastAsia="Times New Roman" w:hAnsi="Arial" w:cs="Arial"/>
          <w:lang w:eastAsia="es-CO"/>
        </w:rPr>
        <w:t xml:space="preserve">Asociación Nacional de Empresas de Servicios Públicos Domiciliarios y Actividades Complementarias e Inherentes - ANDESCO - </w:t>
      </w:r>
      <w:r w:rsidR="00E564E6">
        <w:fldChar w:fldCharType="begin"/>
      </w:r>
      <w:r w:rsidR="00E564E6">
        <w:instrText xml:space="preserve"> HYPERLINK "http://www.andesco.com" </w:instrText>
      </w:r>
      <w:r w:rsidR="00E564E6">
        <w:fldChar w:fldCharType="separate"/>
      </w:r>
      <w:r w:rsidRPr="00522F77">
        <w:rPr>
          <w:rStyle w:val="Hipervnculo"/>
          <w:rFonts w:ascii="Arial" w:eastAsia="Times New Roman" w:hAnsi="Arial" w:cs="Arial"/>
          <w:lang w:eastAsia="es-CO"/>
        </w:rPr>
        <w:t>www.andesco.com</w:t>
      </w:r>
      <w:r w:rsidR="00E564E6">
        <w:rPr>
          <w:rStyle w:val="Hipervnculo"/>
          <w:rFonts w:ascii="Arial" w:eastAsia="Times New Roman" w:hAnsi="Arial" w:cs="Arial"/>
          <w:lang w:eastAsia="es-CO"/>
        </w:rPr>
        <w:fldChar w:fldCharType="end"/>
      </w:r>
    </w:p>
    <w:p w14:paraId="4B36A27E" w14:textId="77777777" w:rsidR="00B06631" w:rsidRPr="00522F77" w:rsidRDefault="00B06631" w:rsidP="00522F77">
      <w:pPr>
        <w:pStyle w:val="Prrafodelista"/>
        <w:numPr>
          <w:ilvl w:val="0"/>
          <w:numId w:val="5"/>
        </w:numPr>
        <w:spacing w:line="240" w:lineRule="auto"/>
        <w:ind w:left="567" w:hanging="567"/>
        <w:jc w:val="both"/>
        <w:rPr>
          <w:rFonts w:ascii="Arial" w:eastAsia="Times New Roman" w:hAnsi="Arial" w:cs="Arial"/>
          <w:lang w:eastAsia="es-CO"/>
        </w:rPr>
      </w:pPr>
      <w:r w:rsidRPr="00522F77">
        <w:rPr>
          <w:rFonts w:ascii="Arial" w:eastAsia="Times New Roman" w:hAnsi="Arial" w:cs="Arial"/>
          <w:lang w:eastAsia="es-CO"/>
        </w:rPr>
        <w:t xml:space="preserve">Asociación Nacional de Medios de Comunicación-ASOMEDIOS  </w:t>
      </w:r>
      <w:r w:rsidR="00E564E6">
        <w:fldChar w:fldCharType="begin"/>
      </w:r>
      <w:r w:rsidR="00E564E6">
        <w:instrText xml:space="preserve"> HYPERLINK "http</w:instrText>
      </w:r>
      <w:r w:rsidR="00E564E6">
        <w:instrText xml:space="preserve">://www.asomedios.com" </w:instrText>
      </w:r>
      <w:r w:rsidR="00E564E6">
        <w:fldChar w:fldCharType="separate"/>
      </w:r>
      <w:r w:rsidRPr="00522F77">
        <w:rPr>
          <w:rStyle w:val="Hipervnculo"/>
          <w:rFonts w:ascii="Arial" w:eastAsia="Times New Roman" w:hAnsi="Arial" w:cs="Arial"/>
          <w:lang w:eastAsia="es-CO"/>
        </w:rPr>
        <w:t>www.asomedios.com</w:t>
      </w:r>
      <w:r w:rsidR="00E564E6">
        <w:rPr>
          <w:rStyle w:val="Hipervnculo"/>
          <w:rFonts w:ascii="Arial" w:eastAsia="Times New Roman" w:hAnsi="Arial" w:cs="Arial"/>
          <w:lang w:eastAsia="es-CO"/>
        </w:rPr>
        <w:fldChar w:fldCharType="end"/>
      </w:r>
    </w:p>
    <w:p w14:paraId="0A04A4AD" w14:textId="77777777" w:rsidR="00B06631" w:rsidRPr="00522F77" w:rsidRDefault="00B06631" w:rsidP="00522F77">
      <w:pPr>
        <w:pStyle w:val="Prrafodelista"/>
        <w:numPr>
          <w:ilvl w:val="0"/>
          <w:numId w:val="5"/>
        </w:numPr>
        <w:spacing w:line="240" w:lineRule="auto"/>
        <w:ind w:left="567" w:hanging="567"/>
        <w:jc w:val="both"/>
        <w:rPr>
          <w:rFonts w:ascii="Arial" w:eastAsia="Times New Roman" w:hAnsi="Arial" w:cs="Arial"/>
          <w:lang w:eastAsia="es-CO"/>
        </w:rPr>
      </w:pPr>
      <w:r w:rsidRPr="00522F77">
        <w:rPr>
          <w:rFonts w:ascii="Arial" w:eastAsia="Times New Roman" w:hAnsi="Arial" w:cs="Arial"/>
          <w:lang w:eastAsia="es-CO"/>
        </w:rPr>
        <w:t xml:space="preserve">Cámara Colombiana de Informática y Telecomunicaciones- CCIT- </w:t>
      </w:r>
      <w:r w:rsidR="00E564E6">
        <w:fldChar w:fldCharType="begin"/>
      </w:r>
      <w:r w:rsidR="00E564E6">
        <w:instrText xml:space="preserve"> HYPERLINK "http://www.ccit.org.co" </w:instrText>
      </w:r>
      <w:r w:rsidR="00E564E6">
        <w:fldChar w:fldCharType="separate"/>
      </w:r>
      <w:r w:rsidRPr="00522F77">
        <w:rPr>
          <w:rStyle w:val="Hipervnculo"/>
          <w:rFonts w:ascii="Arial" w:eastAsia="Times New Roman" w:hAnsi="Arial" w:cs="Arial"/>
          <w:lang w:eastAsia="es-CO"/>
        </w:rPr>
        <w:t>www.ccit.org.co</w:t>
      </w:r>
      <w:r w:rsidR="00E564E6">
        <w:rPr>
          <w:rStyle w:val="Hipervnculo"/>
          <w:rFonts w:ascii="Arial" w:eastAsia="Times New Roman" w:hAnsi="Arial" w:cs="Arial"/>
          <w:lang w:eastAsia="es-CO"/>
        </w:rPr>
        <w:fldChar w:fldCharType="end"/>
      </w:r>
    </w:p>
    <w:p w14:paraId="6F2E3FB6" w14:textId="77777777" w:rsidR="00B06631" w:rsidRPr="00522F77" w:rsidRDefault="00B06631" w:rsidP="00522F77">
      <w:pPr>
        <w:pStyle w:val="Prrafodelista"/>
        <w:numPr>
          <w:ilvl w:val="0"/>
          <w:numId w:val="5"/>
        </w:numPr>
        <w:spacing w:line="240" w:lineRule="auto"/>
        <w:ind w:left="567" w:hanging="567"/>
        <w:jc w:val="both"/>
        <w:rPr>
          <w:rFonts w:ascii="Arial" w:eastAsia="Times New Roman" w:hAnsi="Arial" w:cs="Arial"/>
          <w:lang w:eastAsia="es-CO"/>
        </w:rPr>
      </w:pPr>
      <w:r w:rsidRPr="00522F77">
        <w:rPr>
          <w:rFonts w:ascii="Arial" w:eastAsia="Times New Roman" w:hAnsi="Arial" w:cs="Arial"/>
          <w:lang w:eastAsia="es-CO"/>
        </w:rPr>
        <w:t xml:space="preserve">Centro de Investigación de las Telecomunicaciones -CINTEL- </w:t>
      </w:r>
      <w:r w:rsidR="00E564E6">
        <w:fldChar w:fldCharType="begin"/>
      </w:r>
      <w:r w:rsidR="00E564E6">
        <w:instrText xml:space="preserve"> HYPERLINK "http://www.cintel.org.co" </w:instrText>
      </w:r>
      <w:r w:rsidR="00E564E6">
        <w:fldChar w:fldCharType="separate"/>
      </w:r>
      <w:r w:rsidRPr="00522F77">
        <w:rPr>
          <w:rStyle w:val="Hipervnculo"/>
          <w:rFonts w:ascii="Arial" w:eastAsia="Times New Roman" w:hAnsi="Arial" w:cs="Arial"/>
          <w:lang w:eastAsia="es-CO"/>
        </w:rPr>
        <w:t>www.cintel.org.co</w:t>
      </w:r>
      <w:r w:rsidR="00E564E6">
        <w:rPr>
          <w:rStyle w:val="Hipervnculo"/>
          <w:rFonts w:ascii="Arial" w:eastAsia="Times New Roman" w:hAnsi="Arial" w:cs="Arial"/>
          <w:lang w:eastAsia="es-CO"/>
        </w:rPr>
        <w:fldChar w:fldCharType="end"/>
      </w:r>
    </w:p>
    <w:p w14:paraId="5C4F122A" w14:textId="77777777" w:rsidR="00B06631" w:rsidRPr="00522F77" w:rsidRDefault="00B06631" w:rsidP="00522F77">
      <w:pPr>
        <w:pStyle w:val="Prrafodelista"/>
        <w:numPr>
          <w:ilvl w:val="0"/>
          <w:numId w:val="5"/>
        </w:numPr>
        <w:spacing w:line="240" w:lineRule="auto"/>
        <w:ind w:left="567" w:hanging="567"/>
        <w:jc w:val="both"/>
        <w:rPr>
          <w:rFonts w:ascii="Arial" w:eastAsia="Times New Roman" w:hAnsi="Arial" w:cs="Arial"/>
          <w:lang w:eastAsia="es-CO"/>
        </w:rPr>
      </w:pPr>
      <w:r w:rsidRPr="00522F77">
        <w:rPr>
          <w:rFonts w:ascii="Arial" w:eastAsia="Times New Roman" w:hAnsi="Arial" w:cs="Arial"/>
          <w:lang w:eastAsia="es-CO"/>
        </w:rPr>
        <w:t>Federación Colombiana de la Industria de Software y Tecnologías Informativas Relacionadas.</w:t>
      </w:r>
    </w:p>
    <w:p w14:paraId="6078C892" w14:textId="77777777" w:rsidR="00B06631" w:rsidRPr="00522F77" w:rsidRDefault="00B06631" w:rsidP="00522F77">
      <w:pPr>
        <w:pStyle w:val="Prrafodelista"/>
        <w:numPr>
          <w:ilvl w:val="0"/>
          <w:numId w:val="5"/>
        </w:numPr>
        <w:spacing w:line="240" w:lineRule="auto"/>
        <w:ind w:left="567" w:hanging="567"/>
        <w:jc w:val="both"/>
        <w:rPr>
          <w:rFonts w:ascii="Arial" w:eastAsia="Times New Roman" w:hAnsi="Arial" w:cs="Arial"/>
          <w:lang w:eastAsia="es-CO"/>
        </w:rPr>
      </w:pPr>
      <w:r w:rsidRPr="00522F77">
        <w:rPr>
          <w:rFonts w:ascii="Arial" w:eastAsia="Times New Roman" w:hAnsi="Arial" w:cs="Arial"/>
          <w:lang w:eastAsia="es-CO"/>
        </w:rPr>
        <w:t xml:space="preserve">FEDESOFT- </w:t>
      </w:r>
      <w:r w:rsidR="00E564E6">
        <w:fldChar w:fldCharType="begin"/>
      </w:r>
      <w:r w:rsidR="00E564E6">
        <w:instrText xml:space="preserve"> HYPERLINK "http://www.fedesoft.org" </w:instrText>
      </w:r>
      <w:r w:rsidR="00E564E6">
        <w:fldChar w:fldCharType="separate"/>
      </w:r>
      <w:r w:rsidRPr="00522F77">
        <w:rPr>
          <w:rStyle w:val="Hipervnculo"/>
          <w:rFonts w:ascii="Arial" w:eastAsia="Times New Roman" w:hAnsi="Arial" w:cs="Arial"/>
          <w:lang w:eastAsia="es-CO"/>
        </w:rPr>
        <w:t>www.fedesoft.org</w:t>
      </w:r>
      <w:r w:rsidR="00E564E6">
        <w:rPr>
          <w:rStyle w:val="Hipervnculo"/>
          <w:rFonts w:ascii="Arial" w:eastAsia="Times New Roman" w:hAnsi="Arial" w:cs="Arial"/>
          <w:lang w:eastAsia="es-CO"/>
        </w:rPr>
        <w:fldChar w:fldCharType="end"/>
      </w:r>
    </w:p>
    <w:p w14:paraId="14B377C9" w14:textId="77777777" w:rsidR="00B06631" w:rsidRPr="00522F77" w:rsidRDefault="00B06631" w:rsidP="00522F77">
      <w:pPr>
        <w:pStyle w:val="Prrafodelista"/>
        <w:numPr>
          <w:ilvl w:val="0"/>
          <w:numId w:val="5"/>
        </w:numPr>
        <w:spacing w:line="240" w:lineRule="auto"/>
        <w:ind w:left="567" w:hanging="567"/>
        <w:jc w:val="both"/>
        <w:rPr>
          <w:rFonts w:ascii="Arial" w:eastAsia="Times New Roman" w:hAnsi="Arial" w:cs="Arial"/>
          <w:lang w:eastAsia="es-CO"/>
        </w:rPr>
      </w:pPr>
      <w:r w:rsidRPr="00522F77">
        <w:rPr>
          <w:rFonts w:ascii="Arial" w:eastAsia="Times New Roman" w:hAnsi="Arial" w:cs="Arial"/>
          <w:lang w:eastAsia="es-CO"/>
        </w:rPr>
        <w:t xml:space="preserve">Asociación de Operadores de Tecnologías de Información y Comunicaciones de Colombia </w:t>
      </w:r>
      <w:hyperlink r:id="rId16" w:history="1">
        <w:r w:rsidRPr="00522F77">
          <w:rPr>
            <w:rStyle w:val="Hipervnculo"/>
            <w:rFonts w:ascii="Arial" w:eastAsia="Times New Roman" w:hAnsi="Arial" w:cs="Arial"/>
            <w:lang w:eastAsia="es-CO"/>
          </w:rPr>
          <w:t>www.asotic.org</w:t>
        </w:r>
      </w:hyperlink>
    </w:p>
    <w:p w14:paraId="44071F54" w14:textId="77777777" w:rsidR="00085E18" w:rsidRPr="00522F77" w:rsidRDefault="00085E18" w:rsidP="00522F77">
      <w:pPr>
        <w:spacing w:after="0" w:line="240" w:lineRule="auto"/>
        <w:ind w:right="-518"/>
        <w:contextualSpacing/>
        <w:jc w:val="both"/>
        <w:rPr>
          <w:rFonts w:ascii="Arial" w:hAnsi="Arial" w:cs="Arial"/>
          <w:b/>
        </w:rPr>
      </w:pPr>
    </w:p>
    <w:p w14:paraId="6049B407" w14:textId="4875291A" w:rsidR="00B06631" w:rsidRPr="00522F77" w:rsidRDefault="002C5EB0" w:rsidP="00522F77">
      <w:pPr>
        <w:pStyle w:val="Prrafodelista"/>
        <w:numPr>
          <w:ilvl w:val="1"/>
          <w:numId w:val="2"/>
        </w:numPr>
        <w:spacing w:line="240" w:lineRule="auto"/>
        <w:ind w:left="567" w:right="-518" w:hanging="567"/>
        <w:jc w:val="both"/>
        <w:rPr>
          <w:rFonts w:ascii="Arial" w:hAnsi="Arial" w:cs="Arial"/>
          <w:b/>
        </w:rPr>
      </w:pPr>
      <w:r w:rsidRPr="00522F77">
        <w:rPr>
          <w:rFonts w:ascii="Arial" w:hAnsi="Arial" w:cs="Arial"/>
          <w:b/>
        </w:rPr>
        <w:t xml:space="preserve">CIFRAS TOTALES </w:t>
      </w:r>
    </w:p>
    <w:p w14:paraId="068C5A92" w14:textId="77777777" w:rsidR="00B06631" w:rsidRPr="00522F77" w:rsidRDefault="00B06631" w:rsidP="00522F77">
      <w:pPr>
        <w:spacing w:after="0" w:line="240" w:lineRule="auto"/>
        <w:ind w:right="49"/>
        <w:contextualSpacing/>
        <w:jc w:val="both"/>
        <w:rPr>
          <w:rFonts w:ascii="Arial" w:hAnsi="Arial" w:cs="Arial"/>
          <w:b/>
        </w:rPr>
      </w:pPr>
    </w:p>
    <w:p w14:paraId="0AEE8D38" w14:textId="01CF75A7" w:rsidR="00A15892" w:rsidRPr="00A15892" w:rsidRDefault="00E86CC2" w:rsidP="00A15892">
      <w:pPr>
        <w:spacing w:after="0" w:line="240" w:lineRule="auto"/>
        <w:contextualSpacing/>
        <w:jc w:val="both"/>
        <w:rPr>
          <w:rFonts w:ascii="Arial" w:hAnsi="Arial" w:cs="Arial"/>
        </w:rPr>
      </w:pPr>
      <w:r>
        <w:rPr>
          <w:rFonts w:ascii="Arial" w:hAnsi="Arial" w:cs="Arial"/>
        </w:rPr>
        <w:t>E</w:t>
      </w:r>
      <w:r w:rsidRPr="00E86CC2">
        <w:rPr>
          <w:rFonts w:ascii="Arial" w:hAnsi="Arial" w:cs="Arial"/>
        </w:rPr>
        <w:t>l panorama actual de los servicios de comunicaciones se caracteriza entonces por una tendencia creciente en el número de accesos a Internet y un menor crecimiento o disminución de las líneas de telefonía, tendencias que se ven reflejadas en una recomposición de los ingresos del sector e indican que el ecosistema de los servicios de comunicaciones continúa migrando de los servicios de telefonía a los servicios de datos, tanto en las redes móviles como fijas.</w:t>
      </w:r>
    </w:p>
    <w:p w14:paraId="476852A8" w14:textId="77777777" w:rsidR="00F112E0" w:rsidRDefault="00F112E0" w:rsidP="003D10ED">
      <w:pPr>
        <w:spacing w:after="0" w:line="240" w:lineRule="auto"/>
        <w:contextualSpacing/>
        <w:jc w:val="both"/>
        <w:rPr>
          <w:rFonts w:ascii="Arial" w:hAnsi="Arial" w:cs="Arial"/>
        </w:rPr>
      </w:pPr>
    </w:p>
    <w:p w14:paraId="1D5FC61C" w14:textId="626CD423" w:rsidR="00A15892" w:rsidRPr="00A15892" w:rsidRDefault="00F112E0" w:rsidP="00A15892">
      <w:pPr>
        <w:spacing w:after="0" w:line="240" w:lineRule="auto"/>
        <w:contextualSpacing/>
        <w:jc w:val="both"/>
        <w:rPr>
          <w:rFonts w:ascii="Arial" w:hAnsi="Arial" w:cs="Arial"/>
        </w:rPr>
      </w:pPr>
      <w:r>
        <w:rPr>
          <w:rFonts w:ascii="Arial" w:hAnsi="Arial" w:cs="Arial"/>
        </w:rPr>
        <w:t xml:space="preserve">A partir de los </w:t>
      </w:r>
      <w:r w:rsidR="00192974">
        <w:rPr>
          <w:rFonts w:ascii="Arial" w:hAnsi="Arial" w:cs="Arial"/>
        </w:rPr>
        <w:t>siguientes gráficos</w:t>
      </w:r>
      <w:r w:rsidRPr="00F112E0">
        <w:rPr>
          <w:rFonts w:ascii="Arial" w:hAnsi="Arial" w:cs="Arial"/>
        </w:rPr>
        <w:t xml:space="preserve"> que muestran la evolución del número de accesos y líneas para los servicios de Internet y telefonía por cada 100 habitantes (tasa de penetración), es posible observar el crecimiento de Internet a nivel mundial. Entre 2014 y 2018, el servicio de Internet fijo registró un crecimiento del 39,5%, que permitió alcanzar una tasa de 14,1 accesos por cada 100 habitantes en 2018. Adicionalmente, Internet móvil mostró una variación de 88,5% durante el mismo periodo de tiempo y alcanzó los 69,3 accesos por cada 100 habitantes en el último año. El mayor crecimiento de los accesos a Internet móvil ha estado impulsado por la flexibilidad que ofrece este servicio frente a la preferencia de los usuarios de estar siempre conectados y la factibilidad para conectar zonas apartadas donde el despliegue de una red fija resulta muy costoso (ITU, 2018).</w:t>
      </w:r>
    </w:p>
    <w:p w14:paraId="31B3D0DE" w14:textId="63EA94F6" w:rsidR="00D2690E" w:rsidRDefault="00D2690E" w:rsidP="003D10ED">
      <w:pPr>
        <w:spacing w:after="0" w:line="240" w:lineRule="auto"/>
        <w:contextualSpacing/>
        <w:jc w:val="both"/>
        <w:rPr>
          <w:rFonts w:ascii="Arial" w:hAnsi="Arial" w:cs="Arial"/>
        </w:rPr>
      </w:pPr>
    </w:p>
    <w:p w14:paraId="39618B3E" w14:textId="77777777" w:rsidR="002C5EB0" w:rsidRDefault="002C5EB0" w:rsidP="003D10ED">
      <w:pPr>
        <w:spacing w:after="0" w:line="240" w:lineRule="auto"/>
        <w:contextualSpacing/>
        <w:jc w:val="both"/>
        <w:rPr>
          <w:rFonts w:ascii="Arial" w:hAnsi="Arial" w:cs="Arial"/>
        </w:rPr>
      </w:pPr>
    </w:p>
    <w:p w14:paraId="5758575D" w14:textId="41492534" w:rsidR="007E5CBF" w:rsidRPr="007E5CBF" w:rsidRDefault="00D2690E" w:rsidP="007E5CBF">
      <w:pPr>
        <w:spacing w:after="0" w:line="240" w:lineRule="auto"/>
        <w:contextualSpacing/>
        <w:jc w:val="both"/>
        <w:rPr>
          <w:rFonts w:ascii="Arial" w:hAnsi="Arial" w:cs="Arial"/>
        </w:rPr>
      </w:pPr>
      <w:r w:rsidRPr="00D2690E">
        <w:rPr>
          <w:rFonts w:ascii="Arial" w:hAnsi="Arial" w:cs="Arial"/>
        </w:rPr>
        <w:lastRenderedPageBreak/>
        <w:t>Cuando se revisan las tendencias en la penetración de los servicios de Internet según el desarrollo económico de los países, se encuentra que son los países en desarrollo los que están registrando las mayores tasas de crecimiento, explicado en parte por los niveles de madurez que ya se alcanzaron para estos servicios en los países desarrollados (por ejemplo, para el servicio de Internet móvil desde hace un par de años la tasa de penetración es superior al 100%). Durante el periodo 2014-2018 los países en desarrollo presentaron un crecimiento de 64,9% para la tasa de penetración de los accesos fijos y de 121,9% para Internet móvil, entre tres y cuatro veces más que el crecimiento observado en los países desarrollados.</w:t>
      </w:r>
    </w:p>
    <w:p w14:paraId="21A4AEC8" w14:textId="77777777" w:rsidR="003A32D0" w:rsidRPr="003A32D0" w:rsidRDefault="003A32D0" w:rsidP="003A32D0">
      <w:pPr>
        <w:spacing w:after="0" w:line="240" w:lineRule="auto"/>
        <w:contextualSpacing/>
        <w:jc w:val="both"/>
        <w:rPr>
          <w:rFonts w:ascii="Arial" w:hAnsi="Arial" w:cs="Arial"/>
        </w:rPr>
      </w:pPr>
    </w:p>
    <w:p w14:paraId="69C42D01" w14:textId="25C14BB7" w:rsidR="003B7272" w:rsidRPr="00476D5E" w:rsidRDefault="003B7272" w:rsidP="002C5EB0">
      <w:pPr>
        <w:pStyle w:val="Descripcin"/>
        <w:keepNext/>
        <w:spacing w:after="0"/>
        <w:jc w:val="center"/>
        <w:rPr>
          <w:rFonts w:ascii="Arial" w:hAnsi="Arial" w:cs="Arial"/>
          <w:color w:val="auto"/>
          <w:sz w:val="20"/>
          <w:szCs w:val="20"/>
        </w:rPr>
      </w:pPr>
      <w:r w:rsidRPr="00476D5E">
        <w:rPr>
          <w:rFonts w:ascii="Arial" w:hAnsi="Arial" w:cs="Arial"/>
          <w:color w:val="auto"/>
          <w:sz w:val="20"/>
          <w:szCs w:val="20"/>
        </w:rPr>
        <w:t xml:space="preserve">Ilustración </w:t>
      </w:r>
      <w:r w:rsidR="00502106" w:rsidRPr="00476D5E">
        <w:rPr>
          <w:rFonts w:ascii="Arial" w:hAnsi="Arial" w:cs="Arial"/>
          <w:color w:val="auto"/>
          <w:sz w:val="20"/>
          <w:szCs w:val="20"/>
        </w:rPr>
        <w:fldChar w:fldCharType="begin"/>
      </w:r>
      <w:r w:rsidR="00502106" w:rsidRPr="00476D5E">
        <w:rPr>
          <w:rFonts w:ascii="Arial" w:hAnsi="Arial" w:cs="Arial"/>
          <w:color w:val="auto"/>
          <w:sz w:val="20"/>
          <w:szCs w:val="20"/>
        </w:rPr>
        <w:instrText xml:space="preserve"> SEQ Ilustración \* ARABIC </w:instrText>
      </w:r>
      <w:r w:rsidR="00502106" w:rsidRPr="00476D5E">
        <w:rPr>
          <w:rFonts w:ascii="Arial" w:hAnsi="Arial" w:cs="Arial"/>
          <w:color w:val="auto"/>
          <w:sz w:val="20"/>
          <w:szCs w:val="20"/>
        </w:rPr>
        <w:fldChar w:fldCharType="separate"/>
      </w:r>
      <w:r w:rsidR="002100DA">
        <w:rPr>
          <w:rFonts w:ascii="Arial" w:hAnsi="Arial" w:cs="Arial"/>
          <w:noProof/>
          <w:color w:val="auto"/>
          <w:sz w:val="20"/>
          <w:szCs w:val="20"/>
        </w:rPr>
        <w:t>4</w:t>
      </w:r>
      <w:r w:rsidR="00502106" w:rsidRPr="00476D5E">
        <w:rPr>
          <w:rFonts w:ascii="Arial" w:hAnsi="Arial" w:cs="Arial"/>
          <w:color w:val="auto"/>
          <w:sz w:val="20"/>
          <w:szCs w:val="20"/>
        </w:rPr>
        <w:fldChar w:fldCharType="end"/>
      </w:r>
      <w:r w:rsidRPr="00476D5E">
        <w:rPr>
          <w:rFonts w:ascii="Arial" w:hAnsi="Arial" w:cs="Arial"/>
          <w:color w:val="auto"/>
          <w:sz w:val="20"/>
          <w:szCs w:val="20"/>
        </w:rPr>
        <w:t>. Líneas y accesos por cada 100 habitantes en los servicios móviles</w:t>
      </w:r>
    </w:p>
    <w:p w14:paraId="45D1E5A7" w14:textId="0364D841" w:rsidR="003A32D0" w:rsidRPr="003A32D0" w:rsidRDefault="003A32D0" w:rsidP="002C5EB0">
      <w:pPr>
        <w:spacing w:after="0" w:line="240" w:lineRule="auto"/>
        <w:contextualSpacing/>
        <w:jc w:val="center"/>
        <w:rPr>
          <w:rFonts w:ascii="Arial" w:hAnsi="Arial" w:cs="Arial"/>
        </w:rPr>
      </w:pPr>
      <w:r>
        <w:rPr>
          <w:noProof/>
        </w:rPr>
        <w:drawing>
          <wp:inline distT="0" distB="0" distL="0" distR="0" wp14:anchorId="46A0CB51" wp14:editId="7DC98038">
            <wp:extent cx="3945387" cy="2700000"/>
            <wp:effectExtent l="0" t="0" r="0" b="5715"/>
            <wp:docPr id="209112309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pic:nvPicPr>
                  <pic:blipFill>
                    <a:blip r:embed="rId17">
                      <a:extLst>
                        <a:ext uri="{28A0092B-C50C-407E-A947-70E740481C1C}">
                          <a14:useLocalDpi xmlns:a14="http://schemas.microsoft.com/office/drawing/2010/main" val="0"/>
                        </a:ext>
                      </a:extLst>
                    </a:blip>
                    <a:stretch>
                      <a:fillRect/>
                    </a:stretch>
                  </pic:blipFill>
                  <pic:spPr>
                    <a:xfrm>
                      <a:off x="0" y="0"/>
                      <a:ext cx="3945387" cy="2700000"/>
                    </a:xfrm>
                    <a:prstGeom prst="rect">
                      <a:avLst/>
                    </a:prstGeom>
                  </pic:spPr>
                </pic:pic>
              </a:graphicData>
            </a:graphic>
          </wp:inline>
        </w:drawing>
      </w:r>
    </w:p>
    <w:p w14:paraId="3BDDA46E" w14:textId="77777777" w:rsidR="000D7FAE" w:rsidRPr="002C5EB0" w:rsidRDefault="003A32D0" w:rsidP="002C5EB0">
      <w:pPr>
        <w:spacing w:after="0" w:line="240" w:lineRule="auto"/>
        <w:contextualSpacing/>
        <w:jc w:val="center"/>
        <w:rPr>
          <w:rFonts w:ascii="Arial" w:hAnsi="Arial" w:cs="Arial"/>
          <w:i/>
          <w:iCs/>
          <w:sz w:val="18"/>
          <w:szCs w:val="18"/>
        </w:rPr>
      </w:pPr>
      <w:r w:rsidRPr="002C5EB0">
        <w:rPr>
          <w:rFonts w:ascii="Arial" w:hAnsi="Arial" w:cs="Arial"/>
          <w:i/>
          <w:iCs/>
          <w:sz w:val="18"/>
          <w:szCs w:val="18"/>
        </w:rPr>
        <w:t>Fuente: UIT y CRC. Elaboración CRC.</w:t>
      </w:r>
    </w:p>
    <w:p w14:paraId="5C21A61D" w14:textId="2DC52821" w:rsidR="00531108" w:rsidRPr="002C5EB0" w:rsidRDefault="009965A7" w:rsidP="002C5EB0">
      <w:pPr>
        <w:spacing w:after="0" w:line="240" w:lineRule="auto"/>
        <w:contextualSpacing/>
        <w:jc w:val="center"/>
        <w:rPr>
          <w:rFonts w:ascii="Arial" w:hAnsi="Arial" w:cs="Arial"/>
          <w:i/>
          <w:iCs/>
          <w:sz w:val="18"/>
          <w:szCs w:val="18"/>
        </w:rPr>
      </w:pPr>
      <w:r w:rsidRPr="002C5EB0">
        <w:rPr>
          <w:rFonts w:ascii="Arial" w:hAnsi="Arial" w:cs="Arial"/>
          <w:i/>
          <w:iCs/>
          <w:sz w:val="18"/>
          <w:szCs w:val="18"/>
        </w:rPr>
        <w:t>Nota: Las cifras de 2018 tomadas de la UIT son estimadas. El cálculo de la tasa de penetración para Colombia se realizó con las proyecciones de población del Censo de 2005.</w:t>
      </w:r>
    </w:p>
    <w:p w14:paraId="0B5E5D66" w14:textId="77777777" w:rsidR="00B41638" w:rsidRDefault="00B41638" w:rsidP="002C5EB0">
      <w:pPr>
        <w:spacing w:after="0" w:line="240" w:lineRule="auto"/>
        <w:contextualSpacing/>
        <w:jc w:val="center"/>
        <w:rPr>
          <w:rFonts w:ascii="Arial" w:hAnsi="Arial" w:cs="Arial"/>
          <w:i/>
          <w:iCs/>
        </w:rPr>
      </w:pPr>
    </w:p>
    <w:p w14:paraId="25961AA2" w14:textId="2BC0E7CA" w:rsidR="009262A6" w:rsidRPr="009262A6" w:rsidRDefault="009262A6" w:rsidP="0023714C">
      <w:pPr>
        <w:pStyle w:val="Descripcin"/>
        <w:keepNext/>
        <w:spacing w:after="0"/>
        <w:jc w:val="center"/>
        <w:rPr>
          <w:rFonts w:ascii="Arial" w:hAnsi="Arial" w:cs="Arial"/>
          <w:color w:val="auto"/>
          <w:sz w:val="20"/>
          <w:szCs w:val="20"/>
        </w:rPr>
      </w:pPr>
      <w:r w:rsidRPr="009262A6">
        <w:rPr>
          <w:rFonts w:ascii="Arial" w:hAnsi="Arial" w:cs="Arial"/>
          <w:color w:val="auto"/>
          <w:sz w:val="20"/>
          <w:szCs w:val="20"/>
        </w:rPr>
        <w:t xml:space="preserve">Ilustración </w:t>
      </w:r>
      <w:r w:rsidRPr="009262A6">
        <w:rPr>
          <w:rFonts w:ascii="Arial" w:hAnsi="Arial" w:cs="Arial"/>
          <w:color w:val="auto"/>
          <w:sz w:val="20"/>
          <w:szCs w:val="20"/>
        </w:rPr>
        <w:fldChar w:fldCharType="begin"/>
      </w:r>
      <w:r w:rsidRPr="009262A6">
        <w:rPr>
          <w:rFonts w:ascii="Arial" w:hAnsi="Arial" w:cs="Arial"/>
          <w:color w:val="auto"/>
          <w:sz w:val="20"/>
          <w:szCs w:val="20"/>
        </w:rPr>
        <w:instrText xml:space="preserve"> SEQ Ilustración \* ARABIC </w:instrText>
      </w:r>
      <w:r w:rsidRPr="009262A6">
        <w:rPr>
          <w:rFonts w:ascii="Arial" w:hAnsi="Arial" w:cs="Arial"/>
          <w:color w:val="auto"/>
          <w:sz w:val="20"/>
          <w:szCs w:val="20"/>
        </w:rPr>
        <w:fldChar w:fldCharType="separate"/>
      </w:r>
      <w:r w:rsidR="002100DA">
        <w:rPr>
          <w:rFonts w:ascii="Arial" w:hAnsi="Arial" w:cs="Arial"/>
          <w:noProof/>
          <w:color w:val="auto"/>
          <w:sz w:val="20"/>
          <w:szCs w:val="20"/>
        </w:rPr>
        <w:t>5</w:t>
      </w:r>
      <w:r w:rsidRPr="009262A6">
        <w:rPr>
          <w:rFonts w:ascii="Arial" w:hAnsi="Arial" w:cs="Arial"/>
          <w:color w:val="auto"/>
          <w:sz w:val="20"/>
          <w:szCs w:val="20"/>
        </w:rPr>
        <w:fldChar w:fldCharType="end"/>
      </w:r>
      <w:r w:rsidRPr="009262A6">
        <w:rPr>
          <w:rFonts w:ascii="Arial" w:hAnsi="Arial" w:cs="Arial"/>
          <w:color w:val="auto"/>
          <w:sz w:val="20"/>
          <w:szCs w:val="20"/>
        </w:rPr>
        <w:t>. Líneas y accesos por cada 100 habitantes en los servicios fijos</w:t>
      </w:r>
    </w:p>
    <w:p w14:paraId="0B66047C" w14:textId="44ABC85B" w:rsidR="00B41638" w:rsidRPr="003A32D0" w:rsidRDefault="00B41638" w:rsidP="0023714C">
      <w:pPr>
        <w:spacing w:after="0" w:line="240" w:lineRule="auto"/>
        <w:contextualSpacing/>
        <w:jc w:val="center"/>
        <w:rPr>
          <w:rFonts w:ascii="Arial" w:hAnsi="Arial" w:cs="Arial"/>
          <w:i/>
          <w:iCs/>
        </w:rPr>
      </w:pPr>
      <w:r>
        <w:rPr>
          <w:noProof/>
        </w:rPr>
        <w:drawing>
          <wp:inline distT="0" distB="0" distL="0" distR="0" wp14:anchorId="0D3227AC" wp14:editId="6AA33F64">
            <wp:extent cx="3799885" cy="2700000"/>
            <wp:effectExtent l="0" t="0" r="0" b="5715"/>
            <wp:docPr id="1841388055"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pic:nvPicPr>
                  <pic:blipFill>
                    <a:blip r:embed="rId18">
                      <a:extLst>
                        <a:ext uri="{28A0092B-C50C-407E-A947-70E740481C1C}">
                          <a14:useLocalDpi xmlns:a14="http://schemas.microsoft.com/office/drawing/2010/main" val="0"/>
                        </a:ext>
                      </a:extLst>
                    </a:blip>
                    <a:stretch>
                      <a:fillRect/>
                    </a:stretch>
                  </pic:blipFill>
                  <pic:spPr>
                    <a:xfrm>
                      <a:off x="0" y="0"/>
                      <a:ext cx="3799885" cy="2700000"/>
                    </a:xfrm>
                    <a:prstGeom prst="rect">
                      <a:avLst/>
                    </a:prstGeom>
                  </pic:spPr>
                </pic:pic>
              </a:graphicData>
            </a:graphic>
          </wp:inline>
        </w:drawing>
      </w:r>
    </w:p>
    <w:p w14:paraId="75108260" w14:textId="77777777" w:rsidR="001774D3" w:rsidRPr="0023714C" w:rsidRDefault="001774D3" w:rsidP="0023714C">
      <w:pPr>
        <w:spacing w:after="0" w:line="240" w:lineRule="auto"/>
        <w:contextualSpacing/>
        <w:jc w:val="center"/>
        <w:rPr>
          <w:rFonts w:ascii="Arial" w:hAnsi="Arial" w:cs="Arial"/>
          <w:i/>
          <w:iCs/>
          <w:sz w:val="18"/>
          <w:szCs w:val="18"/>
        </w:rPr>
      </w:pPr>
      <w:r w:rsidRPr="0023714C">
        <w:rPr>
          <w:rFonts w:ascii="Arial" w:hAnsi="Arial" w:cs="Arial"/>
          <w:i/>
          <w:iCs/>
          <w:sz w:val="18"/>
          <w:szCs w:val="18"/>
        </w:rPr>
        <w:t>Fuente: UIT y CRC. Elaboración CRC.</w:t>
      </w:r>
    </w:p>
    <w:p w14:paraId="15668627" w14:textId="77777777" w:rsidR="001774D3" w:rsidRPr="0023714C" w:rsidRDefault="001774D3" w:rsidP="0023714C">
      <w:pPr>
        <w:spacing w:after="0" w:line="240" w:lineRule="auto"/>
        <w:contextualSpacing/>
        <w:jc w:val="center"/>
        <w:rPr>
          <w:rFonts w:ascii="Arial" w:hAnsi="Arial" w:cs="Arial"/>
          <w:i/>
          <w:iCs/>
          <w:sz w:val="18"/>
          <w:szCs w:val="18"/>
        </w:rPr>
      </w:pPr>
      <w:r w:rsidRPr="0023714C">
        <w:rPr>
          <w:rFonts w:ascii="Arial" w:hAnsi="Arial" w:cs="Arial"/>
          <w:i/>
          <w:iCs/>
          <w:sz w:val="18"/>
          <w:szCs w:val="18"/>
        </w:rPr>
        <w:t>Nota: Las cifras de 2018 tomadas de la UIT son estimadas. El cálculo de la tasa de penetración para Colombia se realizó con las proyecciones de población del Censo de 2005.</w:t>
      </w:r>
    </w:p>
    <w:p w14:paraId="47C6422E" w14:textId="011DA153" w:rsidR="00655182" w:rsidRDefault="00655182" w:rsidP="003D10ED">
      <w:pPr>
        <w:spacing w:after="0" w:line="240" w:lineRule="auto"/>
        <w:contextualSpacing/>
        <w:jc w:val="both"/>
        <w:rPr>
          <w:rFonts w:ascii="Arial" w:hAnsi="Arial" w:cs="Arial"/>
        </w:rPr>
      </w:pPr>
      <w:r w:rsidRPr="00655182">
        <w:rPr>
          <w:rFonts w:ascii="Arial" w:hAnsi="Arial" w:cs="Arial"/>
        </w:rPr>
        <w:lastRenderedPageBreak/>
        <w:t>Desde el punto de vista de la penetración de los servicios de telefonía, se observa que las personas están adquiriendo cada vez menos la telefonía fija y aquellas que cuentan con este servicio están cancelando sus suscripciones. A nivel mundial se presentaron variaciones de -18.4% entre 2014 y 2018, y se pasó de tener 15,1 líneas por cada 100 habitantes en 2014 a 12,4 en 2018. De esta tendencia decreciente para el servicio de telefonía fija se resalta la variación de -24,0% que se registró durante el periodo de análisis para los países en desarrollo.</w:t>
      </w:r>
    </w:p>
    <w:p w14:paraId="336E7A5B" w14:textId="77777777" w:rsidR="00625895" w:rsidRDefault="00625895" w:rsidP="003D10ED">
      <w:pPr>
        <w:spacing w:after="0" w:line="240" w:lineRule="auto"/>
        <w:contextualSpacing/>
        <w:jc w:val="both"/>
        <w:rPr>
          <w:rFonts w:ascii="Arial" w:hAnsi="Arial" w:cs="Arial"/>
        </w:rPr>
      </w:pPr>
    </w:p>
    <w:p w14:paraId="79FC22EE" w14:textId="3E1F5D20" w:rsidR="00625895" w:rsidRDefault="00625895" w:rsidP="003D10ED">
      <w:pPr>
        <w:spacing w:after="0" w:line="240" w:lineRule="auto"/>
        <w:contextualSpacing/>
        <w:jc w:val="both"/>
        <w:rPr>
          <w:rFonts w:ascii="Arial" w:hAnsi="Arial" w:cs="Arial"/>
        </w:rPr>
      </w:pPr>
      <w:r w:rsidRPr="00625895">
        <w:rPr>
          <w:rFonts w:ascii="Arial" w:hAnsi="Arial" w:cs="Arial"/>
        </w:rPr>
        <w:t>En contraste, la penetración del servicio de telefonía móvil ha crecido a nivel mundial y se pasó de tener 96,7 líneas por cada 100 habitantes en el 2014 a 107,0 en el 2018, lo que representó un crecimiento del 10,7%. Si bien el crecimiento se encuentra tanto para los países desarrollados como en desarrollo, nuevamente este último grupo de países fue el</w:t>
      </w:r>
      <w:r w:rsidR="00E32D8A">
        <w:rPr>
          <w:rFonts w:ascii="Arial" w:hAnsi="Arial" w:cs="Arial"/>
        </w:rPr>
        <w:t xml:space="preserve"> </w:t>
      </w:r>
      <w:r w:rsidR="00A01299" w:rsidRPr="00A01299">
        <w:rPr>
          <w:rFonts w:ascii="Arial" w:hAnsi="Arial" w:cs="Arial"/>
        </w:rPr>
        <w:t>que presentó el mayor crecimiento; concretamente, para los países en desarrollo la penetración aumentó el 12,5% y se alcanzó un total de 102,8 líneas por cada 100 habitantes en 2018, mientras que los países desarrollados, los cuales tienen tasas de penetración superiores al 120%, tuvieron un incremento de 4,9% para el mismo periodo.</w:t>
      </w:r>
    </w:p>
    <w:p w14:paraId="63168443" w14:textId="77777777" w:rsidR="00531108" w:rsidRPr="00531108" w:rsidRDefault="00531108" w:rsidP="00531108">
      <w:pPr>
        <w:spacing w:after="0" w:line="240" w:lineRule="auto"/>
        <w:contextualSpacing/>
        <w:jc w:val="both"/>
        <w:rPr>
          <w:rFonts w:ascii="Arial" w:hAnsi="Arial" w:cs="Arial"/>
        </w:rPr>
      </w:pPr>
    </w:p>
    <w:p w14:paraId="4EB5B642" w14:textId="3AB77B05" w:rsidR="00B06631" w:rsidRPr="00522F77" w:rsidRDefault="00B06631" w:rsidP="00CA587C">
      <w:pPr>
        <w:spacing w:after="0" w:line="240" w:lineRule="auto"/>
        <w:contextualSpacing/>
        <w:jc w:val="both"/>
        <w:rPr>
          <w:rFonts w:ascii="Arial" w:hAnsi="Arial" w:cs="Arial"/>
        </w:rPr>
      </w:pPr>
      <w:r w:rsidRPr="00522F77">
        <w:rPr>
          <w:rFonts w:ascii="Arial" w:hAnsi="Arial" w:cs="Arial"/>
        </w:rPr>
        <w:t>Colombia viene enfrentando los mismos retos que se presentan a nivel mundial: presión por reducción de ingresos (el mercado pide más por menos: más ancho de banda, más minutos, más canales, por el mismo o menor precio). Y aunque los costos de la tecnología son decrecientes, esa presión, sumada a la necesidad de hacer grandes inversiones para mejorar la calidad, el ancho de banda y la cobertura, tanto en las redes fijas como en las móviles, son una combinación que obliga a los operadores de telecomunicaciones a manejar adecuadamente un complejo balance entre calidad, precio, cobertura y crecimiento.</w:t>
      </w:r>
    </w:p>
    <w:p w14:paraId="2C1DCF27" w14:textId="77777777" w:rsidR="00B06631" w:rsidRPr="00522F77" w:rsidRDefault="00B06631" w:rsidP="003D10ED">
      <w:pPr>
        <w:spacing w:after="0" w:line="240" w:lineRule="auto"/>
        <w:contextualSpacing/>
        <w:jc w:val="both"/>
        <w:rPr>
          <w:rFonts w:ascii="Arial" w:hAnsi="Arial" w:cs="Arial"/>
        </w:rPr>
      </w:pPr>
    </w:p>
    <w:p w14:paraId="0EA0E875" w14:textId="77777777" w:rsidR="00B06631" w:rsidRPr="00522F77" w:rsidRDefault="00B06631" w:rsidP="00CA587C">
      <w:pPr>
        <w:spacing w:after="0" w:line="240" w:lineRule="auto"/>
        <w:contextualSpacing/>
        <w:jc w:val="both"/>
        <w:rPr>
          <w:rFonts w:ascii="Arial" w:hAnsi="Arial" w:cs="Arial"/>
        </w:rPr>
      </w:pPr>
      <w:r w:rsidRPr="00522F77">
        <w:rPr>
          <w:rFonts w:ascii="Arial" w:hAnsi="Arial" w:cs="Arial"/>
        </w:rPr>
        <w:t>Aún con todo el panorama anterior, el aporte del sector al crecimiento y desarrollo del país es evidente, como lo muestran las cifras publicadas por</w:t>
      </w:r>
      <w:r w:rsidR="00EC6C71" w:rsidRPr="00522F77">
        <w:rPr>
          <w:rFonts w:ascii="Arial" w:hAnsi="Arial" w:cs="Arial"/>
        </w:rPr>
        <w:t xml:space="preserve"> el MINTIC en enero de este año.</w:t>
      </w:r>
    </w:p>
    <w:p w14:paraId="4E028973" w14:textId="77777777" w:rsidR="00B06631" w:rsidRPr="00522F77" w:rsidRDefault="00B06631" w:rsidP="00CA587C">
      <w:pPr>
        <w:spacing w:after="0" w:line="240" w:lineRule="auto"/>
        <w:ind w:right="-516"/>
        <w:contextualSpacing/>
        <w:jc w:val="both"/>
        <w:rPr>
          <w:rFonts w:ascii="Arial" w:hAnsi="Arial" w:cs="Arial"/>
        </w:rPr>
      </w:pPr>
    </w:p>
    <w:p w14:paraId="525FDC6A" w14:textId="3A9A18BE" w:rsidR="00EC6C71" w:rsidRPr="00CA587C" w:rsidRDefault="00CA587C" w:rsidP="00CA587C">
      <w:pPr>
        <w:pStyle w:val="Descripcin"/>
        <w:spacing w:after="0"/>
        <w:jc w:val="center"/>
        <w:rPr>
          <w:rFonts w:ascii="Arial" w:hAnsi="Arial" w:cs="Arial"/>
          <w:color w:val="auto"/>
          <w:sz w:val="20"/>
          <w:szCs w:val="20"/>
        </w:rPr>
      </w:pPr>
      <w:r w:rsidRPr="00CA587C">
        <w:rPr>
          <w:rFonts w:ascii="Arial" w:hAnsi="Arial" w:cs="Arial"/>
          <w:color w:val="auto"/>
          <w:sz w:val="20"/>
          <w:szCs w:val="20"/>
        </w:rPr>
        <w:t xml:space="preserve">Ilustración </w:t>
      </w:r>
      <w:r w:rsidRPr="00CA587C">
        <w:rPr>
          <w:rFonts w:ascii="Arial" w:hAnsi="Arial" w:cs="Arial"/>
          <w:color w:val="auto"/>
          <w:sz w:val="20"/>
          <w:szCs w:val="20"/>
        </w:rPr>
        <w:fldChar w:fldCharType="begin"/>
      </w:r>
      <w:r w:rsidRPr="00CA587C">
        <w:rPr>
          <w:rFonts w:ascii="Arial" w:hAnsi="Arial" w:cs="Arial"/>
          <w:color w:val="auto"/>
          <w:sz w:val="20"/>
          <w:szCs w:val="20"/>
        </w:rPr>
        <w:instrText xml:space="preserve"> SEQ Ilustración \* ARABIC </w:instrText>
      </w:r>
      <w:r w:rsidRPr="00CA587C">
        <w:rPr>
          <w:rFonts w:ascii="Arial" w:hAnsi="Arial" w:cs="Arial"/>
          <w:color w:val="auto"/>
          <w:sz w:val="20"/>
          <w:szCs w:val="20"/>
        </w:rPr>
        <w:fldChar w:fldCharType="separate"/>
      </w:r>
      <w:r w:rsidR="002100DA">
        <w:rPr>
          <w:rFonts w:ascii="Arial" w:hAnsi="Arial" w:cs="Arial"/>
          <w:noProof/>
          <w:color w:val="auto"/>
          <w:sz w:val="20"/>
          <w:szCs w:val="20"/>
        </w:rPr>
        <w:t>6</w:t>
      </w:r>
      <w:r w:rsidRPr="00CA587C">
        <w:rPr>
          <w:rFonts w:ascii="Arial" w:hAnsi="Arial" w:cs="Arial"/>
          <w:color w:val="auto"/>
          <w:sz w:val="20"/>
          <w:szCs w:val="20"/>
        </w:rPr>
        <w:fldChar w:fldCharType="end"/>
      </w:r>
      <w:r w:rsidRPr="00CA587C">
        <w:rPr>
          <w:rFonts w:ascii="Arial" w:hAnsi="Arial" w:cs="Arial"/>
          <w:color w:val="auto"/>
          <w:sz w:val="20"/>
          <w:szCs w:val="20"/>
        </w:rPr>
        <w:t xml:space="preserve">. </w:t>
      </w:r>
      <w:r w:rsidR="00EC6C71" w:rsidRPr="00CA587C">
        <w:rPr>
          <w:rFonts w:ascii="Arial" w:hAnsi="Arial" w:cs="Arial"/>
          <w:color w:val="auto"/>
          <w:sz w:val="20"/>
          <w:szCs w:val="20"/>
        </w:rPr>
        <w:t>Conectividad en Colombia</w:t>
      </w:r>
    </w:p>
    <w:p w14:paraId="4297ADF7" w14:textId="77777777" w:rsidR="00B06631" w:rsidRPr="00522F77" w:rsidRDefault="00B06631" w:rsidP="00CA587C">
      <w:pPr>
        <w:spacing w:after="0" w:line="240" w:lineRule="auto"/>
        <w:ind w:right="-518"/>
        <w:contextualSpacing/>
        <w:jc w:val="center"/>
        <w:rPr>
          <w:rFonts w:ascii="Arial" w:hAnsi="Arial" w:cs="Arial"/>
        </w:rPr>
      </w:pPr>
      <w:r w:rsidRPr="00522F77">
        <w:rPr>
          <w:rFonts w:ascii="Arial" w:hAnsi="Arial" w:cs="Arial"/>
          <w:noProof/>
          <w:lang w:eastAsia="es-CO"/>
        </w:rPr>
        <w:drawing>
          <wp:inline distT="0" distB="0" distL="0" distR="0" wp14:anchorId="33D7BA4F" wp14:editId="014C14AD">
            <wp:extent cx="2471468" cy="2468633"/>
            <wp:effectExtent l="0" t="0" r="5080" b="825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9688" t="10863" r="41446" b="8268"/>
                    <a:stretch/>
                  </pic:blipFill>
                  <pic:spPr bwMode="auto">
                    <a:xfrm>
                      <a:off x="0" y="0"/>
                      <a:ext cx="2485742" cy="2482890"/>
                    </a:xfrm>
                    <a:prstGeom prst="rect">
                      <a:avLst/>
                    </a:prstGeom>
                    <a:ln>
                      <a:noFill/>
                    </a:ln>
                    <a:extLst>
                      <a:ext uri="{53640926-AAD7-44D8-BBD7-CCE9431645EC}">
                        <a14:shadowObscured xmlns:a14="http://schemas.microsoft.com/office/drawing/2010/main"/>
                      </a:ext>
                    </a:extLst>
                  </pic:spPr>
                </pic:pic>
              </a:graphicData>
            </a:graphic>
          </wp:inline>
        </w:drawing>
      </w:r>
    </w:p>
    <w:p w14:paraId="3D384C10" w14:textId="77777777" w:rsidR="0023714C" w:rsidRDefault="0023714C" w:rsidP="003D10ED">
      <w:pPr>
        <w:spacing w:after="0" w:line="240" w:lineRule="auto"/>
        <w:contextualSpacing/>
        <w:jc w:val="both"/>
        <w:rPr>
          <w:rFonts w:ascii="Arial" w:hAnsi="Arial" w:cs="Arial"/>
        </w:rPr>
      </w:pPr>
    </w:p>
    <w:p w14:paraId="3C39758E" w14:textId="38E4D125" w:rsidR="00B06631" w:rsidRPr="00522F77" w:rsidRDefault="00B06631" w:rsidP="003D10ED">
      <w:pPr>
        <w:spacing w:after="0" w:line="240" w:lineRule="auto"/>
        <w:contextualSpacing/>
        <w:jc w:val="both"/>
        <w:rPr>
          <w:rFonts w:ascii="Arial" w:hAnsi="Arial" w:cs="Arial"/>
        </w:rPr>
      </w:pPr>
      <w:r w:rsidRPr="00522F77">
        <w:rPr>
          <w:rFonts w:ascii="Arial" w:hAnsi="Arial" w:cs="Arial"/>
        </w:rPr>
        <w:t>Considerando la evolución tecnológica y las necesidades del mercado y de los clientes, el futuro nos muestra un mundo completamente conectado, con necesidades de comunicaciones hombre – hombre, hombre – máquina y máquina – máquina (M2M por sus siglas en inglés), producto del auge en el Internet de las cosas.</w:t>
      </w:r>
    </w:p>
    <w:p w14:paraId="035F8C8D" w14:textId="77777777" w:rsidR="00B06631" w:rsidRPr="00522F77" w:rsidRDefault="00B06631" w:rsidP="003D10ED">
      <w:pPr>
        <w:spacing w:after="0" w:line="240" w:lineRule="auto"/>
        <w:contextualSpacing/>
        <w:jc w:val="both"/>
        <w:rPr>
          <w:rFonts w:ascii="Arial" w:hAnsi="Arial" w:cs="Arial"/>
        </w:rPr>
      </w:pPr>
    </w:p>
    <w:p w14:paraId="039FA709" w14:textId="77777777" w:rsidR="00B06631" w:rsidRPr="00522F77" w:rsidRDefault="00B06631" w:rsidP="003D10ED">
      <w:pPr>
        <w:spacing w:after="0" w:line="240" w:lineRule="auto"/>
        <w:contextualSpacing/>
        <w:jc w:val="both"/>
        <w:rPr>
          <w:rFonts w:ascii="Arial" w:hAnsi="Arial" w:cs="Arial"/>
        </w:rPr>
      </w:pPr>
      <w:r w:rsidRPr="00522F77">
        <w:rPr>
          <w:rFonts w:ascii="Arial" w:hAnsi="Arial" w:cs="Arial"/>
        </w:rPr>
        <w:lastRenderedPageBreak/>
        <w:t>Si bien lo anterior es una tendencia mundial, que quizás hoy vemos de una manera muy simple en nuestros hogares con los “Smart TV” (televisores con conexión a Internet y con apps incorporadas), la evolución hacia hogares completamente conectados (electrodomésticos, sistemas de seguridad, y sistemas de medición inteligente de los servicios de energía, agua y gas, entre otros), y hacia vehículos conectados (tanto en los servicios públicos como privados), es algo que va a transformar el sector y las vidas cotidianas de las personas.</w:t>
      </w:r>
    </w:p>
    <w:p w14:paraId="1ED7C562" w14:textId="77777777" w:rsidR="00B06631" w:rsidRPr="00522F77" w:rsidRDefault="00B06631" w:rsidP="003D10ED">
      <w:pPr>
        <w:spacing w:after="0" w:line="240" w:lineRule="auto"/>
        <w:contextualSpacing/>
        <w:jc w:val="both"/>
        <w:rPr>
          <w:rFonts w:ascii="Arial" w:hAnsi="Arial" w:cs="Arial"/>
        </w:rPr>
      </w:pPr>
    </w:p>
    <w:p w14:paraId="56BC1485" w14:textId="77777777" w:rsidR="00B06631" w:rsidRPr="00522F77" w:rsidRDefault="00B06631" w:rsidP="003D10ED">
      <w:pPr>
        <w:spacing w:after="0" w:line="240" w:lineRule="auto"/>
        <w:contextualSpacing/>
        <w:jc w:val="both"/>
        <w:rPr>
          <w:rFonts w:ascii="Arial" w:hAnsi="Arial" w:cs="Arial"/>
        </w:rPr>
      </w:pPr>
      <w:r w:rsidRPr="00522F77">
        <w:rPr>
          <w:rFonts w:ascii="Arial" w:hAnsi="Arial" w:cs="Arial"/>
        </w:rPr>
        <w:t>Los operadores de telecomunicaciones tendrán que desarrollar nuevos servicios, y buscar alianzas con diversas empresas y sectores, en múltiples líneas de negocio, para ofrecer la conectividad requerida, de acuerdo con las necesidades del mercado, entre las cuales se destacan:</w:t>
      </w:r>
    </w:p>
    <w:p w14:paraId="086C1CF1" w14:textId="77777777" w:rsidR="00B06631" w:rsidRPr="00522F77" w:rsidRDefault="00B06631" w:rsidP="003D10ED">
      <w:pPr>
        <w:spacing w:after="0" w:line="240" w:lineRule="auto"/>
        <w:contextualSpacing/>
        <w:jc w:val="both"/>
        <w:rPr>
          <w:rFonts w:ascii="Arial" w:hAnsi="Arial" w:cs="Arial"/>
        </w:rPr>
      </w:pPr>
    </w:p>
    <w:p w14:paraId="7B3C5959" w14:textId="77777777" w:rsidR="001F49C9" w:rsidRDefault="00B06631" w:rsidP="003D10ED">
      <w:pPr>
        <w:pStyle w:val="Prrafodelista"/>
        <w:numPr>
          <w:ilvl w:val="0"/>
          <w:numId w:val="5"/>
        </w:numPr>
        <w:spacing w:line="240" w:lineRule="auto"/>
        <w:jc w:val="both"/>
        <w:rPr>
          <w:rFonts w:ascii="Arial" w:hAnsi="Arial" w:cs="Arial"/>
        </w:rPr>
      </w:pPr>
      <w:r w:rsidRPr="001F49C9">
        <w:rPr>
          <w:rFonts w:ascii="Arial" w:hAnsi="Arial" w:cs="Arial"/>
        </w:rPr>
        <w:t>Con empresas del sector de servicios públicos (energía, agua y gas), para disponer de la infraestructura necesaria para los sistemas de medición inteligente.</w:t>
      </w:r>
    </w:p>
    <w:p w14:paraId="00F01B1D" w14:textId="77777777" w:rsidR="001F49C9" w:rsidRDefault="00B06631" w:rsidP="003D10ED">
      <w:pPr>
        <w:pStyle w:val="Prrafodelista"/>
        <w:numPr>
          <w:ilvl w:val="0"/>
          <w:numId w:val="5"/>
        </w:numPr>
        <w:spacing w:line="240" w:lineRule="auto"/>
        <w:jc w:val="both"/>
        <w:rPr>
          <w:rFonts w:ascii="Arial" w:hAnsi="Arial" w:cs="Arial"/>
        </w:rPr>
      </w:pPr>
      <w:r w:rsidRPr="001F49C9">
        <w:rPr>
          <w:rFonts w:ascii="Arial" w:hAnsi="Arial" w:cs="Arial"/>
        </w:rPr>
        <w:t>Con empresas del sector automotriz, para ofrecer servicios de conectividad en los vehículos (tanto a nivel empresarial, como personal). En Estados Unidos, ya General Motors (GM) y AT&amp;T tienen una alianza para este tipo de servicios.</w:t>
      </w:r>
    </w:p>
    <w:p w14:paraId="0D08CF98" w14:textId="77777777" w:rsidR="001F49C9" w:rsidRDefault="00B06631" w:rsidP="003D10ED">
      <w:pPr>
        <w:pStyle w:val="Prrafodelista"/>
        <w:numPr>
          <w:ilvl w:val="0"/>
          <w:numId w:val="5"/>
        </w:numPr>
        <w:spacing w:line="240" w:lineRule="auto"/>
        <w:jc w:val="both"/>
        <w:rPr>
          <w:rFonts w:ascii="Arial" w:hAnsi="Arial" w:cs="Arial"/>
        </w:rPr>
      </w:pPr>
      <w:r w:rsidRPr="001F49C9">
        <w:rPr>
          <w:rFonts w:ascii="Arial" w:hAnsi="Arial" w:cs="Arial"/>
        </w:rPr>
        <w:t>Con el sector bancario, para ofrecer servicios digitales, y facilitar aún más los trámites y transacciones en línea de clientes masivos y empresariales.</w:t>
      </w:r>
    </w:p>
    <w:p w14:paraId="0DC215E5" w14:textId="77777777" w:rsidR="001F49C9" w:rsidRDefault="00B06631" w:rsidP="003D10ED">
      <w:pPr>
        <w:pStyle w:val="Prrafodelista"/>
        <w:numPr>
          <w:ilvl w:val="0"/>
          <w:numId w:val="5"/>
        </w:numPr>
        <w:spacing w:line="240" w:lineRule="auto"/>
        <w:jc w:val="both"/>
        <w:rPr>
          <w:rFonts w:ascii="Arial" w:hAnsi="Arial" w:cs="Arial"/>
        </w:rPr>
      </w:pPr>
      <w:r w:rsidRPr="001F49C9">
        <w:rPr>
          <w:rFonts w:ascii="Arial" w:hAnsi="Arial" w:cs="Arial"/>
        </w:rPr>
        <w:t>Con compañías de seguridad, para ofrecer sistemas de alarmas, protección de la propiedad privada y detección de intrusos.</w:t>
      </w:r>
    </w:p>
    <w:p w14:paraId="3929FD1D" w14:textId="77777777" w:rsidR="001F49C9" w:rsidRDefault="00B06631" w:rsidP="003D10ED">
      <w:pPr>
        <w:pStyle w:val="Prrafodelista"/>
        <w:numPr>
          <w:ilvl w:val="0"/>
          <w:numId w:val="5"/>
        </w:numPr>
        <w:spacing w:line="240" w:lineRule="auto"/>
        <w:jc w:val="both"/>
        <w:rPr>
          <w:rFonts w:ascii="Arial" w:hAnsi="Arial" w:cs="Arial"/>
        </w:rPr>
      </w:pPr>
      <w:r w:rsidRPr="001F49C9">
        <w:rPr>
          <w:rFonts w:ascii="Arial" w:hAnsi="Arial" w:cs="Arial"/>
        </w:rPr>
        <w:t>Con los gobiernos locales, para el desarrollo de servicios hacia ciudades inteligentes (movilidad, seguridad, prevención y atención de desastres, etc.).</w:t>
      </w:r>
    </w:p>
    <w:p w14:paraId="2B30DAC0" w14:textId="46B56D2C" w:rsidR="00B06631" w:rsidRPr="001F49C9" w:rsidRDefault="00B06631" w:rsidP="003D10ED">
      <w:pPr>
        <w:pStyle w:val="Prrafodelista"/>
        <w:numPr>
          <w:ilvl w:val="0"/>
          <w:numId w:val="5"/>
        </w:numPr>
        <w:spacing w:line="240" w:lineRule="auto"/>
        <w:jc w:val="both"/>
        <w:rPr>
          <w:rFonts w:ascii="Arial" w:hAnsi="Arial" w:cs="Arial"/>
        </w:rPr>
      </w:pPr>
      <w:r w:rsidRPr="001F49C9">
        <w:rPr>
          <w:rFonts w:ascii="Arial" w:hAnsi="Arial" w:cs="Arial"/>
        </w:rPr>
        <w:t>Con los gobiernos nacionales, para apoyar el desarrollo de iniciativas de gobierno en línea que permitan la reducción y simplificación de trámites a los ciudadanos.</w:t>
      </w:r>
    </w:p>
    <w:p w14:paraId="0C44D377" w14:textId="77777777" w:rsidR="00B06631" w:rsidRPr="00522F77" w:rsidRDefault="00B06631" w:rsidP="003D10ED">
      <w:pPr>
        <w:spacing w:after="0" w:line="240" w:lineRule="auto"/>
        <w:contextualSpacing/>
        <w:jc w:val="both"/>
        <w:rPr>
          <w:rFonts w:ascii="Arial" w:hAnsi="Arial" w:cs="Arial"/>
        </w:rPr>
      </w:pPr>
    </w:p>
    <w:p w14:paraId="47713C4B" w14:textId="77777777" w:rsidR="00B06631" w:rsidRPr="00522F77" w:rsidRDefault="00B06631" w:rsidP="003D10ED">
      <w:pPr>
        <w:spacing w:after="0" w:line="240" w:lineRule="auto"/>
        <w:contextualSpacing/>
        <w:jc w:val="both"/>
        <w:rPr>
          <w:rFonts w:ascii="Arial" w:hAnsi="Arial" w:cs="Arial"/>
        </w:rPr>
      </w:pPr>
      <w:r w:rsidRPr="00522F77">
        <w:rPr>
          <w:rFonts w:ascii="Arial" w:hAnsi="Arial" w:cs="Arial"/>
        </w:rPr>
        <w:t>Aparte de lo anterior, gran cantidad de servicios y aplicaciones como manejo de flotas de vehículos, gestión remota de puntos de venta, “vending machines” y refrigeradores con diversos productos para surtirlos de manera automática cuando se estén agotando, requerirán servicios de telecomunicaciones inalámbricos robustos y de amplia cobertura.</w:t>
      </w:r>
    </w:p>
    <w:p w14:paraId="5E22EEB3" w14:textId="77777777" w:rsidR="00B06631" w:rsidRPr="00522F77" w:rsidRDefault="00B06631" w:rsidP="003D10ED">
      <w:pPr>
        <w:spacing w:after="0" w:line="240" w:lineRule="auto"/>
        <w:contextualSpacing/>
        <w:jc w:val="both"/>
        <w:rPr>
          <w:rFonts w:ascii="Arial" w:hAnsi="Arial" w:cs="Arial"/>
        </w:rPr>
      </w:pPr>
    </w:p>
    <w:p w14:paraId="7D2C209D" w14:textId="77777777" w:rsidR="00B06631" w:rsidRPr="00522F77" w:rsidRDefault="00B06631" w:rsidP="003D10ED">
      <w:pPr>
        <w:spacing w:after="0" w:line="240" w:lineRule="auto"/>
        <w:contextualSpacing/>
        <w:jc w:val="both"/>
        <w:rPr>
          <w:rFonts w:ascii="Arial" w:hAnsi="Arial" w:cs="Arial"/>
        </w:rPr>
      </w:pPr>
      <w:r w:rsidRPr="00522F77">
        <w:rPr>
          <w:rFonts w:ascii="Arial" w:hAnsi="Arial" w:cs="Arial"/>
        </w:rPr>
        <w:t>De nuevo, todas estas tendencias exigen grandes niveles de inversión para disponer de la infraestructura y la cobertura necesarias, y al mismo tiempo, para ofrecer altos estándares de calidad en la prestación de los servicios.</w:t>
      </w:r>
    </w:p>
    <w:p w14:paraId="20EC3434" w14:textId="77777777" w:rsidR="00B06631" w:rsidRPr="00522F77" w:rsidRDefault="00B06631" w:rsidP="003D10ED">
      <w:pPr>
        <w:spacing w:after="0" w:line="240" w:lineRule="auto"/>
        <w:contextualSpacing/>
        <w:jc w:val="both"/>
        <w:rPr>
          <w:rFonts w:ascii="Arial" w:hAnsi="Arial" w:cs="Arial"/>
        </w:rPr>
      </w:pPr>
    </w:p>
    <w:p w14:paraId="209B6A76" w14:textId="77777777" w:rsidR="00B06631" w:rsidRPr="00522F77" w:rsidRDefault="00B06631" w:rsidP="003D10ED">
      <w:pPr>
        <w:spacing w:after="0" w:line="240" w:lineRule="auto"/>
        <w:contextualSpacing/>
        <w:jc w:val="both"/>
        <w:rPr>
          <w:rFonts w:ascii="Arial" w:hAnsi="Arial" w:cs="Arial"/>
        </w:rPr>
      </w:pPr>
      <w:r w:rsidRPr="00522F77">
        <w:rPr>
          <w:rFonts w:ascii="Arial" w:hAnsi="Arial" w:cs="Arial"/>
        </w:rPr>
        <w:t>Finalmente, un aspecto no menor, es la garantía de la protección a la privacidad de los usuarios, y a la confidencialidad de la información que circula por las redes, asunto que recientemente llevó a la Unión Europea a poner en vigencia el mes anterior una nueva política para la regulación y protección de datos (GDPR por sus siglas en inglés).</w:t>
      </w:r>
    </w:p>
    <w:p w14:paraId="054FF3DB" w14:textId="77777777" w:rsidR="00B06631" w:rsidRPr="00522F77" w:rsidRDefault="00B06631" w:rsidP="003D10ED">
      <w:pPr>
        <w:spacing w:after="0" w:line="240" w:lineRule="auto"/>
        <w:contextualSpacing/>
        <w:jc w:val="both"/>
        <w:rPr>
          <w:rFonts w:ascii="Arial" w:hAnsi="Arial" w:cs="Arial"/>
        </w:rPr>
      </w:pPr>
    </w:p>
    <w:p w14:paraId="674ADADE" w14:textId="51AA8D94" w:rsidR="00B06631" w:rsidRDefault="00B06631" w:rsidP="003D10ED">
      <w:pPr>
        <w:spacing w:after="0" w:line="240" w:lineRule="auto"/>
        <w:contextualSpacing/>
        <w:jc w:val="both"/>
        <w:rPr>
          <w:rFonts w:ascii="Arial" w:hAnsi="Arial" w:cs="Arial"/>
        </w:rPr>
      </w:pPr>
      <w:r w:rsidRPr="00522F77">
        <w:rPr>
          <w:rFonts w:ascii="Arial" w:hAnsi="Arial" w:cs="Arial"/>
        </w:rPr>
        <w:t xml:space="preserve">El grueso de los ingresos del sector (75%) TIC provienen de los servicios de telecomunicaciones tradicionales (voz fija y móvil). El crecimiento de estos servicios se ha desacelerado fuertemente y en virtud del potencial de desarrollo que encierran los servicios de datos y acceso a Internet (tradicionalmente denominados servicios de valor agregado), se vislumbra que el futuro crecimiento del sector TIC dependerá en gran medida de la expansión de los segmentos no tradicionales de TIC como jalonadores del desarrollo. </w:t>
      </w:r>
    </w:p>
    <w:p w14:paraId="17063944" w14:textId="77777777" w:rsidR="0023714C" w:rsidRPr="00522F77" w:rsidRDefault="0023714C" w:rsidP="003D10ED">
      <w:pPr>
        <w:spacing w:after="0" w:line="240" w:lineRule="auto"/>
        <w:contextualSpacing/>
        <w:jc w:val="both"/>
        <w:rPr>
          <w:rFonts w:ascii="Arial" w:hAnsi="Arial" w:cs="Arial"/>
        </w:rPr>
      </w:pPr>
    </w:p>
    <w:p w14:paraId="07E2DC60" w14:textId="6DB3F521" w:rsidR="0023714C" w:rsidRDefault="00B06631" w:rsidP="001F49C9">
      <w:pPr>
        <w:spacing w:after="0" w:line="240" w:lineRule="auto"/>
        <w:contextualSpacing/>
        <w:jc w:val="both"/>
        <w:rPr>
          <w:rFonts w:ascii="Arial" w:hAnsi="Arial" w:cs="Arial"/>
        </w:rPr>
      </w:pPr>
      <w:r w:rsidRPr="00522F77">
        <w:rPr>
          <w:rFonts w:ascii="Arial" w:hAnsi="Arial" w:cs="Arial"/>
        </w:rPr>
        <w:t xml:space="preserve">La organización industrial del sector TIC en Colombia reconoce la naturaleza intensiva en capital </w:t>
      </w:r>
      <w:r w:rsidR="0023714C" w:rsidRPr="00522F77">
        <w:rPr>
          <w:rFonts w:ascii="Arial" w:hAnsi="Arial" w:cs="Arial"/>
        </w:rPr>
        <w:t>de este</w:t>
      </w:r>
      <w:r w:rsidRPr="00522F77">
        <w:rPr>
          <w:rFonts w:ascii="Arial" w:hAnsi="Arial" w:cs="Arial"/>
        </w:rPr>
        <w:t xml:space="preserve"> y la tendencia a la concentración de la oferta de redes y servicios en pocos jugadores. </w:t>
      </w:r>
    </w:p>
    <w:p w14:paraId="568BF9EE" w14:textId="77777777" w:rsidR="0023714C" w:rsidRDefault="0023714C" w:rsidP="001F49C9">
      <w:pPr>
        <w:spacing w:after="0" w:line="240" w:lineRule="auto"/>
        <w:contextualSpacing/>
        <w:jc w:val="both"/>
        <w:rPr>
          <w:rFonts w:ascii="Arial" w:hAnsi="Arial" w:cs="Arial"/>
        </w:rPr>
      </w:pPr>
    </w:p>
    <w:p w14:paraId="5A5E4B4A" w14:textId="215860F2" w:rsidR="00B06631" w:rsidRPr="00522F77" w:rsidRDefault="00B06631" w:rsidP="001F49C9">
      <w:pPr>
        <w:spacing w:after="0" w:line="240" w:lineRule="auto"/>
        <w:contextualSpacing/>
        <w:jc w:val="both"/>
        <w:rPr>
          <w:rFonts w:ascii="Arial" w:hAnsi="Arial" w:cs="Arial"/>
        </w:rPr>
      </w:pPr>
      <w:r w:rsidRPr="00522F77">
        <w:rPr>
          <w:rFonts w:ascii="Arial" w:hAnsi="Arial" w:cs="Arial"/>
        </w:rPr>
        <w:lastRenderedPageBreak/>
        <w:t>En este sentido, debe advertirse que son precisamente estos pocos jugadores los que tendrán la responsabilidad de contribuir en el logro de las metas trazadas por el plan Vive Digital, específicamente en lo que a masificación de la banda ancha se refiere. En complemento, frente al gran reto del Plan Vive Digital, que supone el cuadruplicar la cantidad de conexiones a Internet, el desarrollo de estrategias relacionadas con la expansión del backbone y conectividad internacional eventualmente puede atraer la entrada de nuevos jugadores.</w:t>
      </w:r>
    </w:p>
    <w:p w14:paraId="6E7B47EC" w14:textId="77777777" w:rsidR="00B06631" w:rsidRPr="00522F77" w:rsidRDefault="00B06631" w:rsidP="001F49C9">
      <w:pPr>
        <w:spacing w:after="0" w:line="240" w:lineRule="auto"/>
        <w:contextualSpacing/>
        <w:jc w:val="both"/>
        <w:rPr>
          <w:rFonts w:ascii="Arial" w:hAnsi="Arial" w:cs="Arial"/>
        </w:rPr>
      </w:pPr>
    </w:p>
    <w:p w14:paraId="0A83141C" w14:textId="77777777" w:rsidR="00B06631" w:rsidRPr="00522F77" w:rsidRDefault="00B06631" w:rsidP="001F49C9">
      <w:pPr>
        <w:spacing w:after="0" w:line="240" w:lineRule="auto"/>
        <w:contextualSpacing/>
        <w:jc w:val="both"/>
        <w:rPr>
          <w:rFonts w:ascii="Arial" w:hAnsi="Arial" w:cs="Arial"/>
        </w:rPr>
      </w:pPr>
      <w:r w:rsidRPr="00522F77">
        <w:rPr>
          <w:rFonts w:ascii="Arial" w:hAnsi="Arial" w:cs="Arial"/>
        </w:rPr>
        <w:t>Colombia cuenta con una cobertura universal (100%) en materia de acceso por parte de las redes de telecomunicaciones tanto fijas como móviles. De otra parte, la mayor utilización de las capacidades instaladas tanto nacionales como internaciones en las redes de transporte de datos se considera resultado de las dinámicas de la oferta de los proveedores de redes y servicios, como de sus requerimientos mayor capacidad.</w:t>
      </w:r>
    </w:p>
    <w:p w14:paraId="61A734E3" w14:textId="77777777" w:rsidR="00B06631" w:rsidRPr="00522F77" w:rsidRDefault="00B06631" w:rsidP="001F49C9">
      <w:pPr>
        <w:spacing w:after="0" w:line="240" w:lineRule="auto"/>
        <w:contextualSpacing/>
        <w:jc w:val="both"/>
        <w:rPr>
          <w:rFonts w:ascii="Arial" w:hAnsi="Arial" w:cs="Arial"/>
        </w:rPr>
      </w:pPr>
    </w:p>
    <w:p w14:paraId="66A4C393" w14:textId="77777777" w:rsidR="00B06631" w:rsidRPr="00522F77" w:rsidRDefault="00B06631" w:rsidP="001F49C9">
      <w:pPr>
        <w:spacing w:after="0" w:line="240" w:lineRule="auto"/>
        <w:contextualSpacing/>
        <w:jc w:val="both"/>
        <w:rPr>
          <w:rFonts w:ascii="Arial" w:hAnsi="Arial" w:cs="Arial"/>
        </w:rPr>
      </w:pPr>
      <w:r w:rsidRPr="00522F77">
        <w:rPr>
          <w:rFonts w:ascii="Arial" w:hAnsi="Arial" w:cs="Arial"/>
        </w:rPr>
        <w:t xml:space="preserve">El buen desarrollo del mercado mayorista de transporte de datos, de cara al reconocimiento del los servicios de datos y acceso a Internet como potenciadores de desarrollo del sector de TIC y en particular frente al desafío de incrementar los accesos a Internet de banda ancha, requiere en gran medida del futuro despliegue del backbone Nacional de fibra óptica hacia zonas del país que no cuenten aún con este tipo de infraestructura, y del despliegue de las tecnologías móviles de alta velocidad 4G. En ese sentido, el rol del regulador en este escenario consiste asegurar el buen funcionamiento del mercado mediante intervenciones equilibradas que (i) promuevan el adecuado desarrollo de las inversiones requeridas para el despliegue del Backbone Nacional y (ii) salvaguarden el adecuado funcionamiento del mercado bajo condiciones de sana competencia. Servicios </w:t>
      </w:r>
    </w:p>
    <w:p w14:paraId="59EFD9CF" w14:textId="77777777" w:rsidR="00B06631" w:rsidRPr="00522F77" w:rsidRDefault="00B06631" w:rsidP="001F49C9">
      <w:pPr>
        <w:spacing w:after="0" w:line="240" w:lineRule="auto"/>
        <w:contextualSpacing/>
        <w:jc w:val="both"/>
        <w:rPr>
          <w:rFonts w:ascii="Arial" w:hAnsi="Arial" w:cs="Arial"/>
        </w:rPr>
      </w:pPr>
    </w:p>
    <w:p w14:paraId="6183BA41" w14:textId="77777777" w:rsidR="00B06631" w:rsidRPr="00522F77" w:rsidRDefault="00B06631" w:rsidP="001F49C9">
      <w:pPr>
        <w:spacing w:after="0" w:line="240" w:lineRule="auto"/>
        <w:contextualSpacing/>
        <w:jc w:val="both"/>
        <w:rPr>
          <w:rFonts w:ascii="Arial" w:hAnsi="Arial" w:cs="Arial"/>
        </w:rPr>
      </w:pPr>
      <w:r w:rsidRPr="00522F77">
        <w:rPr>
          <w:rFonts w:ascii="Arial" w:hAnsi="Arial" w:cs="Arial"/>
        </w:rPr>
        <w:t xml:space="preserve">El fenómeno de estancamiento de los servicios tradicionales de telecomunicaciones (voz fija y móvil, radio y televisión) contrasta con el comportamiento de los servicios de acceso a Internet, pues estos últimos se constituyen el eslabón que apalancará el crecimiento del sector TIC en Colombia. </w:t>
      </w:r>
    </w:p>
    <w:p w14:paraId="158D4A93" w14:textId="77777777" w:rsidR="00EC6C71" w:rsidRPr="00522F77" w:rsidRDefault="00EC6C71" w:rsidP="001F49C9">
      <w:pPr>
        <w:spacing w:after="0" w:line="240" w:lineRule="auto"/>
        <w:contextualSpacing/>
        <w:jc w:val="both"/>
        <w:rPr>
          <w:rFonts w:ascii="Arial" w:hAnsi="Arial" w:cs="Arial"/>
        </w:rPr>
      </w:pPr>
    </w:p>
    <w:p w14:paraId="68729FA6" w14:textId="77777777" w:rsidR="00B06631" w:rsidRPr="00522F77" w:rsidRDefault="00B06631" w:rsidP="001F49C9">
      <w:pPr>
        <w:spacing w:after="0" w:line="240" w:lineRule="auto"/>
        <w:contextualSpacing/>
        <w:jc w:val="both"/>
        <w:rPr>
          <w:rFonts w:ascii="Arial" w:hAnsi="Arial" w:cs="Arial"/>
        </w:rPr>
      </w:pPr>
      <w:r w:rsidRPr="00522F77">
        <w:rPr>
          <w:rFonts w:ascii="Arial" w:hAnsi="Arial" w:cs="Arial"/>
        </w:rPr>
        <w:t xml:space="preserve">La importancia que cobra toda la cadena de valor en la que se circunscriben los servicios de acceso Internet genera un imperativo en la labor del regulador, que conduce a un permanente análisis proactivo todos los componentes de dicha cadena o ecosistema digital, especialmente en lo referido a los términos de las ofertas comerciales para acceder a las redes de portador y a la conexión con Internet con el objeto de promover competencia y un ambiente de negocios favorable. </w:t>
      </w:r>
    </w:p>
    <w:p w14:paraId="106390A1" w14:textId="77777777" w:rsidR="00B06631" w:rsidRPr="00522F77" w:rsidRDefault="00B06631" w:rsidP="001F49C9">
      <w:pPr>
        <w:spacing w:after="0" w:line="240" w:lineRule="auto"/>
        <w:contextualSpacing/>
        <w:jc w:val="both"/>
        <w:rPr>
          <w:rFonts w:ascii="Arial" w:hAnsi="Arial" w:cs="Arial"/>
        </w:rPr>
      </w:pPr>
    </w:p>
    <w:p w14:paraId="56B0247D" w14:textId="77777777" w:rsidR="00B06631" w:rsidRPr="00522F77" w:rsidRDefault="00B06631" w:rsidP="001F49C9">
      <w:pPr>
        <w:spacing w:after="0" w:line="240" w:lineRule="auto"/>
        <w:contextualSpacing/>
        <w:jc w:val="both"/>
        <w:rPr>
          <w:rFonts w:ascii="Arial" w:hAnsi="Arial" w:cs="Arial"/>
        </w:rPr>
      </w:pPr>
      <w:r w:rsidRPr="00522F77">
        <w:rPr>
          <w:rFonts w:ascii="Arial" w:hAnsi="Arial" w:cs="Arial"/>
        </w:rPr>
        <w:t xml:space="preserve">La capacidad de crecimiento de la banda ancha en Colombia puede estarse frenando </w:t>
      </w:r>
      <w:r w:rsidR="00EC6C71" w:rsidRPr="00522F77">
        <w:rPr>
          <w:rFonts w:ascii="Arial" w:hAnsi="Arial" w:cs="Arial"/>
        </w:rPr>
        <w:t>porque</w:t>
      </w:r>
      <w:r w:rsidRPr="00522F77">
        <w:rPr>
          <w:rFonts w:ascii="Arial" w:hAnsi="Arial" w:cs="Arial"/>
        </w:rPr>
        <w:t xml:space="preserve"> precisamente son los estratos más bajos de la población aquéllos que poseen los menores niveles de suscripción. Toda vez que la penetración de la banda ancha en el país </w:t>
      </w:r>
      <w:r w:rsidR="00EC6C71" w:rsidRPr="00522F77">
        <w:rPr>
          <w:rFonts w:ascii="Arial" w:hAnsi="Arial" w:cs="Arial"/>
        </w:rPr>
        <w:t>está</w:t>
      </w:r>
      <w:r w:rsidRPr="00522F77">
        <w:rPr>
          <w:rFonts w:ascii="Arial" w:hAnsi="Arial" w:cs="Arial"/>
        </w:rPr>
        <w:t xml:space="preserve"> tocando la base de la pirámide socioeconómica, resulta clave advertir que la buena dinámica de crecimiento que traía este servicio puede interrumpirse si los proveedores de redes y servicios no diseñan las estrategias comerciales adecuadas para vincular a los usuarios de menor poder adquisitivo y de esta manera masificar el servicio. Contenidos y Aplicaciones </w:t>
      </w:r>
    </w:p>
    <w:p w14:paraId="3E74AB7F" w14:textId="77777777" w:rsidR="00B06631" w:rsidRPr="00522F77" w:rsidRDefault="00B06631" w:rsidP="001F49C9">
      <w:pPr>
        <w:spacing w:after="0" w:line="240" w:lineRule="auto"/>
        <w:contextualSpacing/>
        <w:jc w:val="both"/>
        <w:rPr>
          <w:rFonts w:ascii="Arial" w:hAnsi="Arial" w:cs="Arial"/>
        </w:rPr>
      </w:pPr>
    </w:p>
    <w:p w14:paraId="1FE887DE" w14:textId="77777777" w:rsidR="00CA587C" w:rsidRDefault="00B06631" w:rsidP="001F49C9">
      <w:pPr>
        <w:spacing w:after="0" w:line="240" w:lineRule="auto"/>
        <w:contextualSpacing/>
        <w:jc w:val="both"/>
        <w:rPr>
          <w:rFonts w:ascii="Arial" w:hAnsi="Arial" w:cs="Arial"/>
        </w:rPr>
      </w:pPr>
      <w:r w:rsidRPr="00522F77">
        <w:rPr>
          <w:rFonts w:ascii="Arial" w:hAnsi="Arial" w:cs="Arial"/>
        </w:rPr>
        <w:t xml:space="preserve">El mercado de contenidos y aplicaciones se encuentra en un estado incipiente y se puede llegar a convertir en un dinamizador sectorial en sí mismo, por lo que su promoción disparará seguramente nuevas fuentes de ingresos y oportunidades. Al respecto, las acciones de política en materia de promoción de ambos hacen parte de las actividades que desarrollará el Ministerio de TIC. </w:t>
      </w:r>
    </w:p>
    <w:p w14:paraId="0F45CD97" w14:textId="77777777" w:rsidR="00CA587C" w:rsidRDefault="00CA587C" w:rsidP="001F49C9">
      <w:pPr>
        <w:spacing w:after="0" w:line="240" w:lineRule="auto"/>
        <w:contextualSpacing/>
        <w:jc w:val="both"/>
        <w:rPr>
          <w:rFonts w:ascii="Arial" w:hAnsi="Arial" w:cs="Arial"/>
        </w:rPr>
      </w:pPr>
    </w:p>
    <w:p w14:paraId="1CE40A0B" w14:textId="1BFB35A5" w:rsidR="00B06631" w:rsidRPr="00522F77" w:rsidRDefault="00B06631" w:rsidP="001F49C9">
      <w:pPr>
        <w:spacing w:after="0" w:line="240" w:lineRule="auto"/>
        <w:contextualSpacing/>
        <w:jc w:val="both"/>
        <w:rPr>
          <w:rFonts w:ascii="Arial" w:hAnsi="Arial" w:cs="Arial"/>
        </w:rPr>
      </w:pPr>
      <w:r w:rsidRPr="00522F77">
        <w:rPr>
          <w:rFonts w:ascii="Arial" w:hAnsi="Arial" w:cs="Arial"/>
        </w:rPr>
        <w:t xml:space="preserve">Desde la órbita de las competencias y funciones de la CRC, corresponde a esta Comisión la generación de un entorno regulatorio que garantice e incentive el acceso a las redes de telecomunicaciones por parte de proveedores de contenidos y aplicaciones y que promueva la inversión en el desarrollo de estos aplicativos, bajo la perspectiva de fomento </w:t>
      </w:r>
      <w:r w:rsidR="00EC6C71" w:rsidRPr="00522F77">
        <w:rPr>
          <w:rFonts w:ascii="Arial" w:hAnsi="Arial" w:cs="Arial"/>
        </w:rPr>
        <w:t>de negocio.</w:t>
      </w:r>
    </w:p>
    <w:p w14:paraId="155FEFF0" w14:textId="77777777" w:rsidR="00B06631" w:rsidRPr="00522F77" w:rsidRDefault="00B06631" w:rsidP="001F49C9">
      <w:pPr>
        <w:spacing w:after="0" w:line="240" w:lineRule="auto"/>
        <w:contextualSpacing/>
        <w:jc w:val="both"/>
        <w:rPr>
          <w:rFonts w:ascii="Arial" w:hAnsi="Arial" w:cs="Arial"/>
        </w:rPr>
      </w:pPr>
      <w:r w:rsidRPr="00522F77">
        <w:rPr>
          <w:rFonts w:ascii="Arial" w:hAnsi="Arial" w:cs="Arial"/>
        </w:rPr>
        <w:lastRenderedPageBreak/>
        <w:t xml:space="preserve">El usuario de TIC en Colombia ha demostrado tener un interés creciente en la apropiación de las mismas, evidenciados en la evolución positiva del gasto en TIC y en servicios como los SMS y la conexión a redes sociales. Para convertir dicha tendencia en una oportunidad, se requiere de la reducción del déficit de acceso en Colombia y pone de manifiesto que la universalización del servicio de acceso a Internet requiere permear los estratos sociales pertenecientes a la base de la pirámide. La inserción de dichos ciudadanos a la sociedad de la información requiere de políticas especiales orientadas a remover las barreras que enfrentan los sectores de menor capacidad adquisitiva. Frente a dicho reto, el regulador de las TIC en Colombia tiene como eje central de su labor la generación de marcos regulatorios coherentes con la nueva realidad de la convergencia de tal suerte que se remuevan las barreras a la competencia y se incentive la inversión para que los usuarios puedan acceder a más y mejores servicios. Tendencias internacionales </w:t>
      </w:r>
    </w:p>
    <w:p w14:paraId="1C84792C" w14:textId="77777777" w:rsidR="00B06631" w:rsidRPr="00522F77" w:rsidRDefault="00B06631" w:rsidP="001F49C9">
      <w:pPr>
        <w:spacing w:after="0" w:line="240" w:lineRule="auto"/>
        <w:contextualSpacing/>
        <w:jc w:val="both"/>
        <w:rPr>
          <w:rFonts w:ascii="Arial" w:hAnsi="Arial" w:cs="Arial"/>
        </w:rPr>
      </w:pPr>
    </w:p>
    <w:p w14:paraId="21293C31" w14:textId="77777777" w:rsidR="00B06631" w:rsidRPr="00522F77" w:rsidRDefault="00B06631" w:rsidP="00CA587C">
      <w:pPr>
        <w:spacing w:after="0" w:line="240" w:lineRule="auto"/>
        <w:contextualSpacing/>
        <w:jc w:val="both"/>
        <w:rPr>
          <w:rFonts w:ascii="Arial" w:hAnsi="Arial" w:cs="Arial"/>
        </w:rPr>
      </w:pPr>
      <w:r w:rsidRPr="00522F77">
        <w:rPr>
          <w:rFonts w:ascii="Arial" w:hAnsi="Arial" w:cs="Arial"/>
        </w:rPr>
        <w:t>Una mirada a las temáticas de desarrollo tanto desde la perspectiva de política como de regulación para el sector TIC a nivel internacional, evidencia que existen tres grandes líneas de trabajo relacionadas con (i) los planes de masificación de banda ancha y despliegue de backbone, (ii) la migración a las redes de nueva generación (NGN por sus siglas en ingles) y (iii) el análisis de mercados así como la identificación y regulación por mercados relevantes, lo cual da cuenta de que a pesar de las diferencias entre países, las líneas de acción regulatoria y de política están centradas en el componente de infraestructura y servicios del ecosistema digital y en la promoción de los diversos mercados que lo componen.</w:t>
      </w:r>
    </w:p>
    <w:p w14:paraId="45F6E7E9" w14:textId="77777777" w:rsidR="00B06631" w:rsidRPr="00522F77" w:rsidRDefault="00B06631" w:rsidP="00CA587C">
      <w:pPr>
        <w:spacing w:after="0" w:line="240" w:lineRule="auto"/>
        <w:ind w:right="-518"/>
        <w:contextualSpacing/>
        <w:jc w:val="both"/>
        <w:rPr>
          <w:rFonts w:ascii="Arial" w:hAnsi="Arial" w:cs="Arial"/>
        </w:rPr>
      </w:pPr>
    </w:p>
    <w:p w14:paraId="2C2BB3C2" w14:textId="04B9BFFC" w:rsidR="00EC6C71" w:rsidRPr="00CA587C" w:rsidRDefault="00CA587C" w:rsidP="00CA587C">
      <w:pPr>
        <w:pStyle w:val="Descripcin"/>
        <w:spacing w:after="0"/>
        <w:jc w:val="center"/>
        <w:rPr>
          <w:rFonts w:ascii="Arial" w:hAnsi="Arial" w:cs="Arial"/>
          <w:color w:val="auto"/>
          <w:sz w:val="20"/>
          <w:szCs w:val="20"/>
          <w:lang w:val="en-US"/>
        </w:rPr>
      </w:pPr>
      <w:proofErr w:type="spellStart"/>
      <w:r w:rsidRPr="00224A42">
        <w:rPr>
          <w:rFonts w:ascii="Arial" w:hAnsi="Arial" w:cs="Arial"/>
          <w:color w:val="auto"/>
          <w:sz w:val="20"/>
          <w:szCs w:val="20"/>
          <w:lang w:val="en-US"/>
        </w:rPr>
        <w:t>Ilustración</w:t>
      </w:r>
      <w:proofErr w:type="spellEnd"/>
      <w:r w:rsidRPr="00224A42">
        <w:rPr>
          <w:rFonts w:ascii="Arial" w:hAnsi="Arial" w:cs="Arial"/>
          <w:color w:val="auto"/>
          <w:sz w:val="20"/>
          <w:szCs w:val="20"/>
          <w:lang w:val="en-US"/>
        </w:rPr>
        <w:t xml:space="preserve"> </w:t>
      </w:r>
      <w:r>
        <w:rPr>
          <w:rFonts w:ascii="Arial" w:hAnsi="Arial" w:cs="Arial"/>
          <w:color w:val="auto"/>
          <w:sz w:val="20"/>
          <w:szCs w:val="20"/>
          <w:lang w:val="en-US"/>
        </w:rPr>
        <w:fldChar w:fldCharType="begin"/>
      </w:r>
      <w:r w:rsidRPr="00224A42">
        <w:rPr>
          <w:rFonts w:ascii="Arial" w:hAnsi="Arial" w:cs="Arial"/>
          <w:color w:val="auto"/>
          <w:sz w:val="20"/>
          <w:szCs w:val="20"/>
          <w:lang w:val="en-US"/>
        </w:rPr>
        <w:instrText xml:space="preserve"> SEQ Ilustración \* ARABIC </w:instrText>
      </w:r>
      <w:r>
        <w:rPr>
          <w:rFonts w:ascii="Arial" w:hAnsi="Arial" w:cs="Arial"/>
          <w:color w:val="auto"/>
          <w:sz w:val="20"/>
          <w:szCs w:val="20"/>
          <w:lang w:val="en-US"/>
        </w:rPr>
        <w:fldChar w:fldCharType="separate"/>
      </w:r>
      <w:r w:rsidR="002100DA">
        <w:rPr>
          <w:rFonts w:ascii="Arial" w:hAnsi="Arial" w:cs="Arial"/>
          <w:noProof/>
          <w:color w:val="auto"/>
          <w:sz w:val="20"/>
          <w:szCs w:val="20"/>
          <w:lang w:val="en-US"/>
        </w:rPr>
        <w:t>7</w:t>
      </w:r>
      <w:r>
        <w:rPr>
          <w:rFonts w:ascii="Arial" w:hAnsi="Arial" w:cs="Arial"/>
          <w:color w:val="auto"/>
          <w:sz w:val="20"/>
          <w:szCs w:val="20"/>
          <w:lang w:val="en-US"/>
        </w:rPr>
        <w:fldChar w:fldCharType="end"/>
      </w:r>
      <w:r w:rsidRPr="00224A42">
        <w:rPr>
          <w:rFonts w:ascii="Arial" w:hAnsi="Arial" w:cs="Arial"/>
          <w:color w:val="auto"/>
          <w:sz w:val="20"/>
          <w:szCs w:val="20"/>
          <w:lang w:val="en-US"/>
        </w:rPr>
        <w:t>.</w:t>
      </w:r>
      <w:r w:rsidR="00FC70B7" w:rsidRPr="00CA587C">
        <w:rPr>
          <w:rFonts w:ascii="Arial" w:hAnsi="Arial" w:cs="Arial"/>
          <w:color w:val="auto"/>
          <w:sz w:val="20"/>
          <w:szCs w:val="20"/>
          <w:lang w:val="en-US"/>
        </w:rPr>
        <w:t xml:space="preserve"> Digital</w:t>
      </w:r>
      <w:r w:rsidR="00EC6C71" w:rsidRPr="00CA587C">
        <w:rPr>
          <w:rFonts w:ascii="Arial" w:hAnsi="Arial" w:cs="Arial"/>
          <w:color w:val="auto"/>
          <w:sz w:val="20"/>
          <w:szCs w:val="20"/>
          <w:lang w:val="en-US"/>
        </w:rPr>
        <w:t xml:space="preserve"> Around the World in 2019</w:t>
      </w:r>
    </w:p>
    <w:p w14:paraId="2BE17501" w14:textId="77777777" w:rsidR="00B06631" w:rsidRPr="00522F77" w:rsidRDefault="00B06631" w:rsidP="00CA587C">
      <w:pPr>
        <w:spacing w:after="0" w:line="240" w:lineRule="auto"/>
        <w:ind w:right="-518"/>
        <w:contextualSpacing/>
        <w:jc w:val="center"/>
        <w:rPr>
          <w:rFonts w:ascii="Arial" w:hAnsi="Arial" w:cs="Arial"/>
        </w:rPr>
      </w:pPr>
      <w:r w:rsidRPr="00522F77">
        <w:rPr>
          <w:rFonts w:ascii="Arial" w:hAnsi="Arial" w:cs="Arial"/>
          <w:noProof/>
          <w:lang w:eastAsia="es-CO"/>
        </w:rPr>
        <w:drawing>
          <wp:inline distT="0" distB="0" distL="0" distR="0" wp14:anchorId="5C8A92B1" wp14:editId="43EF9493">
            <wp:extent cx="4791974" cy="2260629"/>
            <wp:effectExtent l="0" t="0" r="8890" b="635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2743" t="41098" r="23938" b="17318"/>
                    <a:stretch/>
                  </pic:blipFill>
                  <pic:spPr bwMode="auto">
                    <a:xfrm>
                      <a:off x="0" y="0"/>
                      <a:ext cx="4796996" cy="2262998"/>
                    </a:xfrm>
                    <a:prstGeom prst="rect">
                      <a:avLst/>
                    </a:prstGeom>
                    <a:ln>
                      <a:noFill/>
                    </a:ln>
                    <a:extLst>
                      <a:ext uri="{53640926-AAD7-44D8-BBD7-CCE9431645EC}">
                        <a14:shadowObscured xmlns:a14="http://schemas.microsoft.com/office/drawing/2010/main"/>
                      </a:ext>
                    </a:extLst>
                  </pic:spPr>
                </pic:pic>
              </a:graphicData>
            </a:graphic>
          </wp:inline>
        </w:drawing>
      </w:r>
    </w:p>
    <w:p w14:paraId="03526495" w14:textId="77777777" w:rsidR="00B06631" w:rsidRPr="00522F77" w:rsidRDefault="00B06631" w:rsidP="00CA587C">
      <w:pPr>
        <w:spacing w:after="0" w:line="240" w:lineRule="auto"/>
        <w:ind w:right="-518"/>
        <w:contextualSpacing/>
        <w:jc w:val="center"/>
        <w:rPr>
          <w:rFonts w:ascii="Arial" w:hAnsi="Arial" w:cs="Arial"/>
        </w:rPr>
      </w:pPr>
    </w:p>
    <w:p w14:paraId="0AE96AF8" w14:textId="7401C178" w:rsidR="00C36AAA" w:rsidRPr="00C36AAA" w:rsidRDefault="0023714C" w:rsidP="00C36AAA">
      <w:pPr>
        <w:pStyle w:val="Prrafodelista"/>
        <w:numPr>
          <w:ilvl w:val="1"/>
          <w:numId w:val="2"/>
        </w:numPr>
        <w:spacing w:line="240" w:lineRule="auto"/>
        <w:ind w:left="567" w:right="-518" w:hanging="567"/>
        <w:jc w:val="both"/>
        <w:rPr>
          <w:rFonts w:ascii="Arial" w:hAnsi="Arial" w:cs="Arial"/>
          <w:b/>
        </w:rPr>
      </w:pPr>
      <w:r w:rsidRPr="00522F77">
        <w:rPr>
          <w:rFonts w:ascii="Arial" w:hAnsi="Arial" w:cs="Arial"/>
          <w:b/>
        </w:rPr>
        <w:t>DINÁMICA DE MERCADOS TIC</w:t>
      </w:r>
    </w:p>
    <w:p w14:paraId="37B96079" w14:textId="77777777" w:rsidR="00FC2D89" w:rsidRPr="00FC2D89" w:rsidRDefault="00FC2D89" w:rsidP="00FC2D89">
      <w:pPr>
        <w:spacing w:after="0" w:line="240" w:lineRule="auto"/>
        <w:ind w:right="-518"/>
        <w:contextualSpacing/>
        <w:jc w:val="both"/>
        <w:rPr>
          <w:rFonts w:ascii="Arial" w:eastAsia="MS Mincho" w:hAnsi="Arial" w:cs="Arial"/>
          <w:b/>
        </w:rPr>
      </w:pPr>
    </w:p>
    <w:p w14:paraId="33C0CBF1" w14:textId="77777777" w:rsidR="00927204" w:rsidRDefault="00927204" w:rsidP="00927204">
      <w:pPr>
        <w:spacing w:after="0" w:line="240" w:lineRule="auto"/>
        <w:contextualSpacing/>
        <w:jc w:val="both"/>
        <w:rPr>
          <w:rFonts w:ascii="Arial" w:eastAsia="MS Mincho" w:hAnsi="Arial" w:cs="Arial"/>
          <w:bCs/>
        </w:rPr>
      </w:pPr>
      <w:r w:rsidRPr="00927204">
        <w:rPr>
          <w:rFonts w:ascii="Arial" w:eastAsia="MS Mincho" w:hAnsi="Arial" w:cs="Arial"/>
          <w:bCs/>
        </w:rPr>
        <w:t>Una visión general de los servicios TIC en el país, deja en evidencia que los servicios móviles de telefonía e Internet mantienen el crecimiento positivo observado desde hace varios años en términos de líneas y accesos respectivamente. En particular, para 2018 se alcanzó un total de 64,5 millones de líneas y 27,6 millones de accesos; un crecimiento de 3,7% y de 6,7%, respectivamente, en comparación con lo registrado en 2017.</w:t>
      </w:r>
    </w:p>
    <w:p w14:paraId="49659D69" w14:textId="77777777" w:rsidR="00927204" w:rsidRPr="00927204" w:rsidRDefault="00927204" w:rsidP="00927204">
      <w:pPr>
        <w:spacing w:after="0" w:line="240" w:lineRule="auto"/>
        <w:contextualSpacing/>
        <w:jc w:val="both"/>
        <w:rPr>
          <w:rFonts w:ascii="Arial" w:eastAsia="MS Mincho" w:hAnsi="Arial" w:cs="Arial"/>
          <w:bCs/>
        </w:rPr>
      </w:pPr>
    </w:p>
    <w:p w14:paraId="563BBB99" w14:textId="77777777" w:rsidR="0023714C" w:rsidRDefault="00927204" w:rsidP="00927204">
      <w:pPr>
        <w:spacing w:after="0" w:line="240" w:lineRule="auto"/>
        <w:contextualSpacing/>
        <w:jc w:val="both"/>
        <w:rPr>
          <w:rFonts w:ascii="Arial" w:eastAsia="MS Mincho" w:hAnsi="Arial" w:cs="Arial"/>
          <w:bCs/>
        </w:rPr>
      </w:pPr>
      <w:r w:rsidRPr="00927204">
        <w:rPr>
          <w:rFonts w:ascii="Arial" w:eastAsia="MS Mincho" w:hAnsi="Arial" w:cs="Arial"/>
          <w:bCs/>
        </w:rPr>
        <w:t xml:space="preserve">En relación con los servicios fijos, se observa nuevamente un aumento en el número de accesos fijos a Internet y, con un incremento anual del 5,8%, se registró un total 6,7 millones para el año 2018. De igual forma, la televisión por suscripción continúa presentado variaciones positivas en el número de conexiones y en 2018 alcanzó los 5,9 millones, 5,4% más que en 2017. </w:t>
      </w:r>
    </w:p>
    <w:p w14:paraId="065C9FFD" w14:textId="78079713" w:rsidR="00927204" w:rsidRDefault="00927204" w:rsidP="00927204">
      <w:pPr>
        <w:spacing w:after="0" w:line="240" w:lineRule="auto"/>
        <w:contextualSpacing/>
        <w:jc w:val="both"/>
        <w:rPr>
          <w:rFonts w:ascii="Arial" w:eastAsia="MS Mincho" w:hAnsi="Arial" w:cs="Arial"/>
          <w:bCs/>
        </w:rPr>
      </w:pPr>
      <w:r w:rsidRPr="00927204">
        <w:rPr>
          <w:rFonts w:ascii="Arial" w:eastAsia="MS Mincho" w:hAnsi="Arial" w:cs="Arial"/>
          <w:bCs/>
        </w:rPr>
        <w:lastRenderedPageBreak/>
        <w:t>Sin embargo, la telefonía fija, al igual que en años anteriores, sigue mostrado un comportamiento relativamente estable en cuanto al número de líneas con un total de 7 millones.</w:t>
      </w:r>
    </w:p>
    <w:p w14:paraId="7B9CBFC8" w14:textId="77777777" w:rsidR="00927204" w:rsidRPr="00927204" w:rsidRDefault="00927204" w:rsidP="00927204">
      <w:pPr>
        <w:spacing w:after="0" w:line="240" w:lineRule="auto"/>
        <w:contextualSpacing/>
        <w:jc w:val="both"/>
        <w:rPr>
          <w:rFonts w:ascii="Arial" w:eastAsia="MS Mincho" w:hAnsi="Arial" w:cs="Arial"/>
          <w:bCs/>
        </w:rPr>
      </w:pPr>
    </w:p>
    <w:p w14:paraId="2A7272AC" w14:textId="711936AA" w:rsidR="00927204" w:rsidRDefault="00927204" w:rsidP="00927204">
      <w:pPr>
        <w:spacing w:after="0" w:line="240" w:lineRule="auto"/>
        <w:contextualSpacing/>
        <w:jc w:val="both"/>
        <w:rPr>
          <w:rFonts w:ascii="Arial" w:eastAsia="MS Mincho" w:hAnsi="Arial" w:cs="Arial"/>
          <w:bCs/>
        </w:rPr>
      </w:pPr>
      <w:r w:rsidRPr="00927204">
        <w:rPr>
          <w:rFonts w:ascii="Arial" w:eastAsia="MS Mincho" w:hAnsi="Arial" w:cs="Arial"/>
          <w:bCs/>
        </w:rPr>
        <w:t>La evolución en las líneas y accesos de los servicios TIC se refleja en las tasas de penetración, las cuales presentan una tendencia positiva en los últimos años para todos los casos, con excepción del servicio de telefonía fija. En 2018 la tasa de penetración, en términos de población, fue del 129,5% para la telefonía móvil, del 55,3% para Internet móvil y del 13%, en promedio, para los servicios fijos.</w:t>
      </w:r>
    </w:p>
    <w:p w14:paraId="77A18AA8" w14:textId="77777777" w:rsidR="00927204" w:rsidRPr="00927204" w:rsidRDefault="00927204" w:rsidP="00927204">
      <w:pPr>
        <w:spacing w:after="0" w:line="240" w:lineRule="auto"/>
        <w:contextualSpacing/>
        <w:jc w:val="both"/>
        <w:rPr>
          <w:rFonts w:ascii="Arial" w:eastAsia="MS Mincho" w:hAnsi="Arial" w:cs="Arial"/>
          <w:bCs/>
        </w:rPr>
      </w:pPr>
    </w:p>
    <w:p w14:paraId="24511027" w14:textId="1C3C8D21" w:rsidR="001C1458" w:rsidRPr="001C1458" w:rsidRDefault="00927204" w:rsidP="00927204">
      <w:pPr>
        <w:spacing w:after="0" w:line="240" w:lineRule="auto"/>
        <w:contextualSpacing/>
        <w:jc w:val="both"/>
        <w:rPr>
          <w:rFonts w:ascii="Arial" w:eastAsia="MS Mincho" w:hAnsi="Arial" w:cs="Arial"/>
        </w:rPr>
      </w:pPr>
      <w:r w:rsidRPr="00927204">
        <w:rPr>
          <w:rFonts w:ascii="Arial" w:eastAsia="MS Mincho" w:hAnsi="Arial" w:cs="Arial"/>
          <w:bCs/>
        </w:rPr>
        <w:t>Esta dinámica de los servicios TIC en el país es consistente con lo observado a nivel mundial, donde se destaca el crecimiento de los accesos a Internet, tanto fijo como móvil, y la mayor penetración de los servicios móviles</w:t>
      </w:r>
      <w:r w:rsidR="0000061A">
        <w:rPr>
          <w:rFonts w:ascii="Arial" w:eastAsia="MS Mincho" w:hAnsi="Arial" w:cs="Arial"/>
          <w:bCs/>
        </w:rPr>
        <w:t>.</w:t>
      </w:r>
    </w:p>
    <w:p w14:paraId="30319F34" w14:textId="77777777" w:rsidR="00FA4873" w:rsidRPr="00FA4873" w:rsidRDefault="00FA4873" w:rsidP="00077282">
      <w:pPr>
        <w:spacing w:after="0" w:line="240" w:lineRule="auto"/>
        <w:contextualSpacing/>
        <w:jc w:val="both"/>
        <w:rPr>
          <w:rFonts w:ascii="Arial" w:eastAsia="MS Mincho" w:hAnsi="Arial" w:cs="Arial"/>
          <w:bCs/>
        </w:rPr>
      </w:pPr>
    </w:p>
    <w:p w14:paraId="0549D623" w14:textId="018F2B4F" w:rsidR="000A35FD" w:rsidRPr="00077282" w:rsidRDefault="000A35FD" w:rsidP="00077282">
      <w:pPr>
        <w:pStyle w:val="Descripcin"/>
        <w:keepNext/>
        <w:spacing w:after="0"/>
        <w:jc w:val="center"/>
        <w:rPr>
          <w:rFonts w:ascii="Arial" w:hAnsi="Arial" w:cs="Arial"/>
          <w:color w:val="auto"/>
          <w:sz w:val="20"/>
          <w:szCs w:val="20"/>
        </w:rPr>
      </w:pPr>
      <w:r w:rsidRPr="00077282">
        <w:rPr>
          <w:rFonts w:ascii="Arial" w:hAnsi="Arial" w:cs="Arial"/>
          <w:color w:val="auto"/>
          <w:sz w:val="20"/>
          <w:szCs w:val="20"/>
        </w:rPr>
        <w:t xml:space="preserve">Ilustración </w:t>
      </w:r>
      <w:r w:rsidRPr="00077282">
        <w:rPr>
          <w:rFonts w:ascii="Arial" w:hAnsi="Arial" w:cs="Arial"/>
          <w:color w:val="auto"/>
          <w:sz w:val="20"/>
          <w:szCs w:val="20"/>
        </w:rPr>
        <w:fldChar w:fldCharType="begin"/>
      </w:r>
      <w:r w:rsidRPr="00077282">
        <w:rPr>
          <w:rFonts w:ascii="Arial" w:hAnsi="Arial" w:cs="Arial"/>
          <w:color w:val="auto"/>
          <w:sz w:val="20"/>
          <w:szCs w:val="20"/>
        </w:rPr>
        <w:instrText xml:space="preserve"> SEQ Ilustración \* ARABIC </w:instrText>
      </w:r>
      <w:r w:rsidRPr="00077282">
        <w:rPr>
          <w:rFonts w:ascii="Arial" w:hAnsi="Arial" w:cs="Arial"/>
          <w:color w:val="auto"/>
          <w:sz w:val="20"/>
          <w:szCs w:val="20"/>
        </w:rPr>
        <w:fldChar w:fldCharType="separate"/>
      </w:r>
      <w:r w:rsidR="002100DA">
        <w:rPr>
          <w:rFonts w:ascii="Arial" w:hAnsi="Arial" w:cs="Arial"/>
          <w:noProof/>
          <w:color w:val="auto"/>
          <w:sz w:val="20"/>
          <w:szCs w:val="20"/>
        </w:rPr>
        <w:t>8</w:t>
      </w:r>
      <w:r w:rsidRPr="00077282">
        <w:rPr>
          <w:rFonts w:ascii="Arial" w:hAnsi="Arial" w:cs="Arial"/>
          <w:color w:val="auto"/>
          <w:sz w:val="20"/>
          <w:szCs w:val="20"/>
        </w:rPr>
        <w:fldChar w:fldCharType="end"/>
      </w:r>
      <w:r w:rsidRPr="00077282">
        <w:rPr>
          <w:rFonts w:ascii="Arial" w:hAnsi="Arial" w:cs="Arial"/>
          <w:color w:val="auto"/>
          <w:sz w:val="20"/>
          <w:szCs w:val="20"/>
        </w:rPr>
        <w:t>. Tasa de penetración de los servicios TIC por población</w:t>
      </w:r>
    </w:p>
    <w:p w14:paraId="42D69540" w14:textId="229601A9" w:rsidR="009B3D8A" w:rsidRPr="009B3D8A" w:rsidRDefault="009B3D8A" w:rsidP="00077282">
      <w:pPr>
        <w:spacing w:after="0" w:line="240" w:lineRule="auto"/>
        <w:contextualSpacing/>
        <w:jc w:val="center"/>
        <w:rPr>
          <w:rFonts w:ascii="Arial" w:eastAsia="MS Mincho" w:hAnsi="Arial" w:cs="Arial"/>
          <w:bCs/>
        </w:rPr>
      </w:pPr>
      <w:r>
        <w:rPr>
          <w:noProof/>
        </w:rPr>
        <w:drawing>
          <wp:inline distT="0" distB="0" distL="0" distR="0" wp14:anchorId="665AC223" wp14:editId="3E835488">
            <wp:extent cx="3298307" cy="3886200"/>
            <wp:effectExtent l="0" t="0" r="0" b="0"/>
            <wp:docPr id="112820727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298307" cy="3886200"/>
                    </a:xfrm>
                    <a:prstGeom prst="rect">
                      <a:avLst/>
                    </a:prstGeom>
                  </pic:spPr>
                </pic:pic>
              </a:graphicData>
            </a:graphic>
          </wp:inline>
        </w:drawing>
      </w:r>
    </w:p>
    <w:p w14:paraId="338C80A8" w14:textId="77777777" w:rsidR="00A8739A" w:rsidRPr="00077282" w:rsidRDefault="00A8739A" w:rsidP="00077282">
      <w:pPr>
        <w:spacing w:after="0" w:line="240" w:lineRule="auto"/>
        <w:contextualSpacing/>
        <w:jc w:val="center"/>
        <w:rPr>
          <w:rFonts w:ascii="Arial" w:hAnsi="Arial" w:cs="Arial"/>
          <w:i/>
          <w:iCs/>
          <w:sz w:val="18"/>
          <w:szCs w:val="18"/>
        </w:rPr>
      </w:pPr>
      <w:r w:rsidRPr="00077282">
        <w:rPr>
          <w:rFonts w:ascii="Arial" w:hAnsi="Arial" w:cs="Arial"/>
          <w:i/>
          <w:iCs/>
          <w:sz w:val="18"/>
          <w:szCs w:val="18"/>
        </w:rPr>
        <w:t>Fuente: UIT y CRC. Elaboración CRC.</w:t>
      </w:r>
    </w:p>
    <w:p w14:paraId="30307D35" w14:textId="333581CC" w:rsidR="00521F4F" w:rsidRPr="00077282" w:rsidRDefault="00A8739A" w:rsidP="00077282">
      <w:pPr>
        <w:spacing w:after="0" w:line="240" w:lineRule="auto"/>
        <w:contextualSpacing/>
        <w:jc w:val="center"/>
        <w:rPr>
          <w:rFonts w:ascii="Arial" w:hAnsi="Arial" w:cs="Arial"/>
          <w:i/>
          <w:iCs/>
          <w:sz w:val="18"/>
          <w:szCs w:val="18"/>
        </w:rPr>
      </w:pPr>
      <w:r w:rsidRPr="00077282">
        <w:rPr>
          <w:rFonts w:ascii="Arial" w:hAnsi="Arial" w:cs="Arial"/>
          <w:i/>
          <w:iCs/>
          <w:sz w:val="18"/>
          <w:szCs w:val="18"/>
        </w:rPr>
        <w:t>Nota: Las cifras de 2018 tomadas de la UIT son estimadas. El cálculo de la tasa de penetración para Colombia se realizó con las proyecciones de población del Censo de 2005.</w:t>
      </w:r>
      <w:r w:rsidR="00847BF5" w:rsidRPr="00077282">
        <w:rPr>
          <w:rFonts w:ascii="Arial" w:hAnsi="Arial" w:cs="Arial"/>
          <w:i/>
          <w:iCs/>
          <w:sz w:val="18"/>
          <w:szCs w:val="18"/>
        </w:rPr>
        <w:t xml:space="preserve"> Los datos de ColombiaTIC fueron consultados el 7 de mayo de 2019.</w:t>
      </w:r>
    </w:p>
    <w:p w14:paraId="1295205D" w14:textId="77777777" w:rsidR="00B41E99" w:rsidRDefault="00B41E99" w:rsidP="00B41E99">
      <w:pPr>
        <w:spacing w:after="0" w:line="240" w:lineRule="auto"/>
        <w:contextualSpacing/>
        <w:rPr>
          <w:rFonts w:ascii="Arial" w:hAnsi="Arial" w:cs="Arial"/>
          <w:i/>
          <w:iCs/>
        </w:rPr>
      </w:pPr>
    </w:p>
    <w:p w14:paraId="41365D56" w14:textId="77777777" w:rsidR="00B41E99" w:rsidRDefault="00B41E99" w:rsidP="00B41E99">
      <w:pPr>
        <w:spacing w:after="0" w:line="240" w:lineRule="auto"/>
        <w:contextualSpacing/>
        <w:jc w:val="both"/>
        <w:rPr>
          <w:rFonts w:ascii="Arial" w:hAnsi="Arial" w:cs="Arial"/>
        </w:rPr>
      </w:pPr>
      <w:r w:rsidRPr="00B41E99">
        <w:rPr>
          <w:rFonts w:ascii="Arial" w:hAnsi="Arial" w:cs="Arial"/>
        </w:rPr>
        <w:t xml:space="preserve">Con respecto a los ingresos, y teniendo en cuenta los servicios móviles de telefonía e Internet, así como los servicios fijos de telefonía local, Internet y televisión por suscripción, las cifras de 2018 arrojan un total de ingresos de $19,3 billones, 3,7% más de lo registrado en 2017. De este total de ingresos, el 53,3% fueron generados por los servicios de Internet (29,4% móvil y 23,9% por Internet fijo). </w:t>
      </w:r>
    </w:p>
    <w:p w14:paraId="432BF001" w14:textId="77777777" w:rsidR="00B41E99" w:rsidRPr="00B41E99" w:rsidRDefault="00B41E99" w:rsidP="00B41E99">
      <w:pPr>
        <w:spacing w:after="0" w:line="240" w:lineRule="auto"/>
        <w:contextualSpacing/>
        <w:jc w:val="both"/>
        <w:rPr>
          <w:rFonts w:ascii="Arial" w:hAnsi="Arial" w:cs="Arial"/>
        </w:rPr>
      </w:pPr>
    </w:p>
    <w:p w14:paraId="17ABF971" w14:textId="77777777" w:rsidR="004F41E0" w:rsidRDefault="00B41E99" w:rsidP="00B41E99">
      <w:pPr>
        <w:spacing w:after="0" w:line="240" w:lineRule="auto"/>
        <w:contextualSpacing/>
        <w:jc w:val="both"/>
        <w:rPr>
          <w:rFonts w:ascii="Arial" w:hAnsi="Arial" w:cs="Arial"/>
        </w:rPr>
      </w:pPr>
      <w:r w:rsidRPr="00B41E99">
        <w:rPr>
          <w:rFonts w:ascii="Arial" w:hAnsi="Arial" w:cs="Arial"/>
        </w:rPr>
        <w:t xml:space="preserve">Estas participaciones dan cuenta de la importancia del servicio de Internet en el país y como se han reconfigurado los ingresos del sector, especialmente, en comparación con el servicio de telefonía móvil que pasó de representar 51,5% de los ingresos en 2012 a 20,3% en 2018. </w:t>
      </w:r>
    </w:p>
    <w:p w14:paraId="5DA776CB" w14:textId="7BCD8D20" w:rsidR="00B41E99" w:rsidRDefault="00B41E99" w:rsidP="00B41E99">
      <w:pPr>
        <w:spacing w:after="0" w:line="240" w:lineRule="auto"/>
        <w:contextualSpacing/>
        <w:jc w:val="both"/>
        <w:rPr>
          <w:rFonts w:ascii="Arial" w:hAnsi="Arial" w:cs="Arial"/>
        </w:rPr>
      </w:pPr>
      <w:r w:rsidRPr="00B41E99">
        <w:rPr>
          <w:rFonts w:ascii="Arial" w:hAnsi="Arial" w:cs="Arial"/>
        </w:rPr>
        <w:lastRenderedPageBreak/>
        <w:t xml:space="preserve">Un análisis particular de los servicios móviles muestra que, entre 2012 y 2018, los ingresos de telefonía pasaron de representar el 86,4% del total de los ingresos móviles a menos del 50%. </w:t>
      </w:r>
    </w:p>
    <w:p w14:paraId="1EA083A4" w14:textId="77777777" w:rsidR="00B41E99" w:rsidRPr="00B41E99" w:rsidRDefault="00B41E99" w:rsidP="00B41E99">
      <w:pPr>
        <w:spacing w:after="0" w:line="240" w:lineRule="auto"/>
        <w:contextualSpacing/>
        <w:jc w:val="both"/>
        <w:rPr>
          <w:rFonts w:ascii="Arial" w:hAnsi="Arial" w:cs="Arial"/>
        </w:rPr>
      </w:pPr>
    </w:p>
    <w:p w14:paraId="7C853FAE" w14:textId="25193ED3" w:rsidR="00DF3225" w:rsidRPr="00DF3225" w:rsidRDefault="00F510E7" w:rsidP="00DF3225">
      <w:pPr>
        <w:spacing w:after="0" w:line="240" w:lineRule="auto"/>
        <w:contextualSpacing/>
        <w:jc w:val="both"/>
        <w:rPr>
          <w:rFonts w:ascii="Arial" w:hAnsi="Arial" w:cs="Arial"/>
        </w:rPr>
      </w:pPr>
      <w:r>
        <w:rPr>
          <w:rFonts w:ascii="Arial" w:hAnsi="Arial" w:cs="Arial"/>
        </w:rPr>
        <w:t xml:space="preserve">Como se observa </w:t>
      </w:r>
      <w:r w:rsidR="005F52D3">
        <w:rPr>
          <w:rFonts w:ascii="Arial" w:hAnsi="Arial" w:cs="Arial"/>
        </w:rPr>
        <w:t>en el grafico anterior, e</w:t>
      </w:r>
      <w:r w:rsidR="00B41E99" w:rsidRPr="00B41E99">
        <w:rPr>
          <w:rFonts w:ascii="Arial" w:hAnsi="Arial" w:cs="Arial"/>
        </w:rPr>
        <w:t xml:space="preserve">n el año 2018, con excepción de la telefonía móvil, todos los servicios del sector TIC presentaron un incremento en los ingresos con respecto al 2017; se destaca el servicio de Internet fijo que presentó la mayor tasa crecimiento (12,9%) y alcanzó los $4,6 billones. </w:t>
      </w:r>
    </w:p>
    <w:p w14:paraId="211A23D9" w14:textId="77777777" w:rsidR="000A4285" w:rsidRPr="00B41E99" w:rsidRDefault="000A4285" w:rsidP="00B41E99">
      <w:pPr>
        <w:spacing w:after="0" w:line="240" w:lineRule="auto"/>
        <w:contextualSpacing/>
        <w:jc w:val="both"/>
        <w:rPr>
          <w:rFonts w:ascii="Arial" w:hAnsi="Arial" w:cs="Arial"/>
        </w:rPr>
      </w:pPr>
    </w:p>
    <w:p w14:paraId="2ECE6F17" w14:textId="1EE8F2AB" w:rsidR="00A5033C" w:rsidRPr="00A5033C" w:rsidRDefault="00B41E99" w:rsidP="00A5033C">
      <w:pPr>
        <w:spacing w:after="0" w:line="240" w:lineRule="auto"/>
        <w:contextualSpacing/>
        <w:jc w:val="both"/>
        <w:rPr>
          <w:rFonts w:ascii="Arial" w:hAnsi="Arial" w:cs="Arial"/>
        </w:rPr>
      </w:pPr>
      <w:r w:rsidRPr="00B41E99">
        <w:rPr>
          <w:rFonts w:ascii="Arial" w:hAnsi="Arial" w:cs="Arial"/>
        </w:rPr>
        <w:t>El comportamiento positivo del servicio de Internet móvil, en cuanto al número de accesos e ingresos, se ha replicado en el tráfico cursado, el cual ha estado creciendo de forma acelerada en los últimos años. En 2018 el tráfico de Internet móvil registró una tasa de crecimiento de 43,1% frente al 2017 y se alcanzó un total de 485,4 millones de Gigabytes (GB).</w:t>
      </w:r>
    </w:p>
    <w:p w14:paraId="116AFCF3" w14:textId="77777777" w:rsidR="002F22EC" w:rsidRDefault="002F22EC" w:rsidP="00B41E99">
      <w:pPr>
        <w:spacing w:after="0" w:line="240" w:lineRule="auto"/>
        <w:contextualSpacing/>
        <w:jc w:val="both"/>
        <w:rPr>
          <w:rFonts w:ascii="Arial" w:hAnsi="Arial" w:cs="Arial"/>
        </w:rPr>
      </w:pPr>
    </w:p>
    <w:p w14:paraId="1C5411DB" w14:textId="6F81739B" w:rsidR="002F22EC" w:rsidRDefault="002F22EC" w:rsidP="002F22EC">
      <w:pPr>
        <w:spacing w:after="0" w:line="240" w:lineRule="auto"/>
        <w:contextualSpacing/>
        <w:jc w:val="both"/>
        <w:rPr>
          <w:rFonts w:ascii="Arial" w:hAnsi="Arial" w:cs="Arial"/>
        </w:rPr>
      </w:pPr>
      <w:r w:rsidRPr="002F22EC">
        <w:rPr>
          <w:rFonts w:ascii="Arial" w:hAnsi="Arial" w:cs="Arial"/>
        </w:rPr>
        <w:t>Este incremento en el tráfico de Internet móvil muestra no solo la necesidad de los usuarios de estar la mayor cantidad tiempo conectados, sino también la preferencia que tienen frente a otros servicios como la mensajería móvil (o SMS por sus siglas en inglés) al momento de comunicarse. De acuerdo con el estudio de la CRC denominado “El Rol de los Servicios OTT en el Sector de la Comunicaciones en Colombia”, el uso de SMS disminuye cuando se hace uso de mensajería a través de aplicaciones móviles como, por ejemplo, WhatsApp o Facebook Messenger. Este resultado es consistente con lo expuesto en versiones anteriores de este reporte, en las cuales se ha destacado la senda decreciente del tráfico de SMS durante los últimos cuatro años.</w:t>
      </w:r>
    </w:p>
    <w:p w14:paraId="2DB39773" w14:textId="622E1121" w:rsidR="002F22EC" w:rsidRPr="002F22EC" w:rsidRDefault="002F22EC" w:rsidP="002F22EC">
      <w:pPr>
        <w:spacing w:after="0" w:line="240" w:lineRule="auto"/>
        <w:contextualSpacing/>
        <w:jc w:val="both"/>
        <w:rPr>
          <w:rFonts w:ascii="Arial" w:hAnsi="Arial" w:cs="Arial"/>
        </w:rPr>
      </w:pPr>
      <w:r w:rsidRPr="002F22EC">
        <w:rPr>
          <w:rFonts w:ascii="Arial" w:hAnsi="Arial" w:cs="Arial"/>
        </w:rPr>
        <w:t xml:space="preserve"> </w:t>
      </w:r>
    </w:p>
    <w:p w14:paraId="36964806" w14:textId="5A594230" w:rsidR="00C324A7" w:rsidRPr="00C324A7" w:rsidRDefault="002F22EC" w:rsidP="00C324A7">
      <w:pPr>
        <w:spacing w:after="0" w:line="240" w:lineRule="auto"/>
        <w:contextualSpacing/>
        <w:jc w:val="both"/>
        <w:rPr>
          <w:rFonts w:ascii="Arial" w:hAnsi="Arial" w:cs="Arial"/>
        </w:rPr>
      </w:pPr>
      <w:r w:rsidRPr="002F22EC">
        <w:rPr>
          <w:rFonts w:ascii="Arial" w:hAnsi="Arial" w:cs="Arial"/>
        </w:rPr>
        <w:t xml:space="preserve">Por otra parte, en relación con la participación de los operadores por tipo de servicio, a partir de la </w:t>
      </w:r>
      <w:r w:rsidR="004B3C19">
        <w:rPr>
          <w:rFonts w:ascii="Arial" w:hAnsi="Arial" w:cs="Arial"/>
        </w:rPr>
        <w:t>siguiente</w:t>
      </w:r>
      <w:r w:rsidR="009F5C59">
        <w:rPr>
          <w:rFonts w:ascii="Arial" w:hAnsi="Arial" w:cs="Arial"/>
        </w:rPr>
        <w:t xml:space="preserve"> tabla</w:t>
      </w:r>
      <w:r w:rsidRPr="002F22EC">
        <w:rPr>
          <w:rFonts w:ascii="Arial" w:hAnsi="Arial" w:cs="Arial"/>
        </w:rPr>
        <w:t xml:space="preserve"> puede observarse que tres operadores tienen la mayor participación de mercado de los servicios móviles analizados según número de líneas y accesos. Para el 2018 Claro, Movistar y Tigo tenían una participación conjunta de 90,7% del total de accesos a Internet móvil y de 88,7% en telefonía móvil. Igualmente, estos operadores más ETB, en el caso de telefonía e Internet fijo, y Directv, en televisión por suscripción, son los que tienen la mayor participación en servicios fijos (superior al 85%).</w:t>
      </w:r>
    </w:p>
    <w:p w14:paraId="3E55EA0B" w14:textId="77777777" w:rsidR="00172FB7" w:rsidRPr="00172FB7" w:rsidRDefault="00172FB7" w:rsidP="00172FB7">
      <w:pPr>
        <w:spacing w:after="0" w:line="240" w:lineRule="auto"/>
        <w:contextualSpacing/>
        <w:jc w:val="both"/>
        <w:rPr>
          <w:rFonts w:ascii="Arial" w:hAnsi="Arial" w:cs="Arial"/>
        </w:rPr>
      </w:pPr>
    </w:p>
    <w:p w14:paraId="5CFE127F" w14:textId="65E998BD" w:rsidR="00DD5445" w:rsidRPr="004F41E0" w:rsidRDefault="00DD5445" w:rsidP="004F41E0">
      <w:pPr>
        <w:pStyle w:val="Descripcin"/>
        <w:keepNext/>
        <w:spacing w:after="0"/>
        <w:jc w:val="center"/>
        <w:rPr>
          <w:rFonts w:ascii="Arial" w:hAnsi="Arial" w:cs="Arial"/>
          <w:color w:val="auto"/>
          <w:sz w:val="20"/>
          <w:szCs w:val="20"/>
        </w:rPr>
      </w:pPr>
      <w:r w:rsidRPr="004F41E0">
        <w:rPr>
          <w:rFonts w:ascii="Arial" w:hAnsi="Arial" w:cs="Arial"/>
          <w:color w:val="auto"/>
          <w:sz w:val="20"/>
          <w:szCs w:val="20"/>
        </w:rPr>
        <w:t xml:space="preserve">Tabla </w:t>
      </w:r>
      <w:r w:rsidRPr="004F41E0">
        <w:rPr>
          <w:rFonts w:ascii="Arial" w:hAnsi="Arial" w:cs="Arial"/>
          <w:color w:val="auto"/>
          <w:sz w:val="20"/>
          <w:szCs w:val="20"/>
        </w:rPr>
        <w:fldChar w:fldCharType="begin"/>
      </w:r>
      <w:r w:rsidRPr="004F41E0">
        <w:rPr>
          <w:rFonts w:ascii="Arial" w:hAnsi="Arial" w:cs="Arial"/>
          <w:color w:val="auto"/>
          <w:sz w:val="20"/>
          <w:szCs w:val="20"/>
        </w:rPr>
        <w:instrText>SEQ Tabla \* ARABIC</w:instrText>
      </w:r>
      <w:r w:rsidRPr="004F41E0">
        <w:rPr>
          <w:rFonts w:ascii="Arial" w:hAnsi="Arial" w:cs="Arial"/>
          <w:color w:val="auto"/>
          <w:sz w:val="20"/>
          <w:szCs w:val="20"/>
        </w:rPr>
        <w:fldChar w:fldCharType="separate"/>
      </w:r>
      <w:r w:rsidRPr="004F41E0">
        <w:rPr>
          <w:rFonts w:ascii="Arial" w:hAnsi="Arial" w:cs="Arial"/>
          <w:noProof/>
          <w:color w:val="auto"/>
          <w:sz w:val="20"/>
          <w:szCs w:val="20"/>
        </w:rPr>
        <w:t>2</w:t>
      </w:r>
      <w:r w:rsidRPr="004F41E0">
        <w:rPr>
          <w:rFonts w:ascii="Arial" w:hAnsi="Arial" w:cs="Arial"/>
          <w:color w:val="auto"/>
          <w:sz w:val="20"/>
          <w:szCs w:val="20"/>
        </w:rPr>
        <w:fldChar w:fldCharType="end"/>
      </w:r>
      <w:r w:rsidRPr="004F41E0">
        <w:rPr>
          <w:rFonts w:ascii="Arial" w:hAnsi="Arial" w:cs="Arial"/>
          <w:color w:val="auto"/>
          <w:sz w:val="20"/>
          <w:szCs w:val="20"/>
        </w:rPr>
        <w:t>. Participación de los operadores en los servicios TIC, según número de líneas y accesos 2018</w:t>
      </w:r>
    </w:p>
    <w:p w14:paraId="01007600" w14:textId="7C8B6122" w:rsidR="00172FB7" w:rsidRPr="004F41E0" w:rsidRDefault="00172FB7" w:rsidP="004F41E0">
      <w:pPr>
        <w:spacing w:after="0" w:line="240" w:lineRule="auto"/>
        <w:contextualSpacing/>
        <w:jc w:val="center"/>
        <w:rPr>
          <w:rFonts w:ascii="Arial" w:hAnsi="Arial" w:cs="Arial"/>
        </w:rPr>
      </w:pPr>
      <w:r>
        <w:rPr>
          <w:noProof/>
        </w:rPr>
        <w:drawing>
          <wp:inline distT="0" distB="0" distL="0" distR="0" wp14:anchorId="413C04F0" wp14:editId="5097D749">
            <wp:extent cx="4532093" cy="2476500"/>
            <wp:effectExtent l="0" t="0" r="1905" b="0"/>
            <wp:docPr id="71005556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pic:cNvPicPr/>
                  </pic:nvPicPr>
                  <pic:blipFill>
                    <a:blip r:embed="rId22">
                      <a:extLst>
                        <a:ext uri="{28A0092B-C50C-407E-A947-70E740481C1C}">
                          <a14:useLocalDpi xmlns:a14="http://schemas.microsoft.com/office/drawing/2010/main" val="0"/>
                        </a:ext>
                      </a:extLst>
                    </a:blip>
                    <a:stretch>
                      <a:fillRect/>
                    </a:stretch>
                  </pic:blipFill>
                  <pic:spPr>
                    <a:xfrm>
                      <a:off x="0" y="0"/>
                      <a:ext cx="4532093" cy="2476500"/>
                    </a:xfrm>
                    <a:prstGeom prst="rect">
                      <a:avLst/>
                    </a:prstGeom>
                  </pic:spPr>
                </pic:pic>
              </a:graphicData>
            </a:graphic>
          </wp:inline>
        </w:drawing>
      </w:r>
    </w:p>
    <w:p w14:paraId="1AC90081" w14:textId="1245D756" w:rsidR="00D36551" w:rsidRPr="004F41E0" w:rsidRDefault="00FD0C0C" w:rsidP="004F41E0">
      <w:pPr>
        <w:spacing w:after="0" w:line="240" w:lineRule="auto"/>
        <w:contextualSpacing/>
        <w:jc w:val="center"/>
        <w:rPr>
          <w:rFonts w:ascii="Arial" w:eastAsia="MS Mincho" w:hAnsi="Arial" w:cs="Arial"/>
          <w:bCs/>
          <w:sz w:val="18"/>
          <w:szCs w:val="18"/>
        </w:rPr>
      </w:pPr>
      <w:r w:rsidRPr="004F41E0">
        <w:rPr>
          <w:rFonts w:ascii="Arial" w:eastAsia="MS Mincho" w:hAnsi="Arial" w:cs="Arial"/>
          <w:bCs/>
          <w:sz w:val="18"/>
          <w:szCs w:val="18"/>
        </w:rPr>
        <w:t>Fuente: ColombiaTIC y ANTV. Elaboración CRC</w:t>
      </w:r>
    </w:p>
    <w:p w14:paraId="288F93C1" w14:textId="46662BDD" w:rsidR="009425F0" w:rsidRPr="004F41E0" w:rsidRDefault="001814E4" w:rsidP="004F41E0">
      <w:pPr>
        <w:spacing w:after="0" w:line="240" w:lineRule="auto"/>
        <w:contextualSpacing/>
        <w:jc w:val="center"/>
        <w:rPr>
          <w:rFonts w:ascii="Arial" w:eastAsia="MS Mincho" w:hAnsi="Arial" w:cs="Arial"/>
          <w:bCs/>
          <w:sz w:val="18"/>
          <w:szCs w:val="18"/>
        </w:rPr>
      </w:pPr>
      <w:r w:rsidRPr="004F41E0">
        <w:rPr>
          <w:rFonts w:ascii="Arial" w:eastAsia="MS Mincho" w:hAnsi="Arial" w:cs="Arial"/>
          <w:bCs/>
          <w:sz w:val="18"/>
          <w:szCs w:val="18"/>
        </w:rPr>
        <w:t>Nota: Los datos de ColombiaTIC fueron consultados el 7 de mayo de 2019. Los ingresos de telefonía fija solo incluyen la telefonía local.</w:t>
      </w:r>
    </w:p>
    <w:p w14:paraId="309D454A" w14:textId="77777777" w:rsidR="00285ED6" w:rsidRPr="0062669E" w:rsidRDefault="00285ED6" w:rsidP="00285ED6">
      <w:pPr>
        <w:spacing w:after="0" w:line="240" w:lineRule="auto"/>
        <w:contextualSpacing/>
        <w:jc w:val="center"/>
        <w:rPr>
          <w:rFonts w:ascii="Arial" w:eastAsia="MS Mincho" w:hAnsi="Arial" w:cs="Arial"/>
          <w:bCs/>
        </w:rPr>
      </w:pPr>
    </w:p>
    <w:p w14:paraId="5E16AA61" w14:textId="23C80C94" w:rsidR="009425F0" w:rsidRPr="009425F0" w:rsidRDefault="0062669E" w:rsidP="009425F0">
      <w:pPr>
        <w:spacing w:after="0" w:line="240" w:lineRule="auto"/>
        <w:contextualSpacing/>
        <w:jc w:val="both"/>
        <w:rPr>
          <w:rFonts w:ascii="Arial" w:eastAsia="MS Mincho" w:hAnsi="Arial" w:cs="Arial"/>
          <w:bCs/>
        </w:rPr>
      </w:pPr>
      <w:r w:rsidRPr="0062669E">
        <w:rPr>
          <w:rFonts w:ascii="Arial" w:eastAsia="MS Mincho" w:hAnsi="Arial" w:cs="Arial"/>
          <w:bCs/>
        </w:rPr>
        <w:lastRenderedPageBreak/>
        <w:t>Una distribución similar se obtiene desde el punto de vista de los ingresos y, de manera particular, Claro fue el operador con la mayor participación en todos los servicios, especialmente, en los servicios móviles donde supera el 45%</w:t>
      </w:r>
      <w:r w:rsidR="00893EA4">
        <w:rPr>
          <w:rFonts w:ascii="Arial" w:eastAsia="MS Mincho" w:hAnsi="Arial" w:cs="Arial"/>
          <w:bCs/>
        </w:rPr>
        <w:t>.</w:t>
      </w:r>
    </w:p>
    <w:p w14:paraId="2D644086" w14:textId="77777777" w:rsidR="00285ED6" w:rsidRPr="004B0A7A" w:rsidRDefault="00285ED6" w:rsidP="0038374E">
      <w:pPr>
        <w:spacing w:after="0" w:line="240" w:lineRule="auto"/>
        <w:contextualSpacing/>
        <w:jc w:val="both"/>
        <w:rPr>
          <w:rFonts w:ascii="Arial" w:eastAsia="MS Mincho" w:hAnsi="Arial" w:cs="Arial"/>
          <w:bCs/>
        </w:rPr>
      </w:pPr>
    </w:p>
    <w:p w14:paraId="6BF2C6BA" w14:textId="6AA8F21E" w:rsidR="00185E26" w:rsidRPr="0038374E" w:rsidRDefault="00185E26" w:rsidP="0038374E">
      <w:pPr>
        <w:pStyle w:val="Descripcin"/>
        <w:keepNext/>
        <w:spacing w:after="0"/>
        <w:jc w:val="center"/>
        <w:rPr>
          <w:rFonts w:ascii="Arial" w:hAnsi="Arial" w:cs="Arial"/>
          <w:color w:val="auto"/>
          <w:sz w:val="20"/>
          <w:szCs w:val="20"/>
        </w:rPr>
      </w:pPr>
      <w:r w:rsidRPr="0038374E">
        <w:rPr>
          <w:rFonts w:ascii="Arial" w:hAnsi="Arial" w:cs="Arial"/>
          <w:color w:val="auto"/>
          <w:sz w:val="20"/>
          <w:szCs w:val="20"/>
        </w:rPr>
        <w:t xml:space="preserve">Tabla </w:t>
      </w:r>
      <w:r w:rsidRPr="0038374E">
        <w:rPr>
          <w:rFonts w:ascii="Arial" w:hAnsi="Arial" w:cs="Arial"/>
          <w:color w:val="auto"/>
          <w:sz w:val="20"/>
          <w:szCs w:val="20"/>
        </w:rPr>
        <w:fldChar w:fldCharType="begin"/>
      </w:r>
      <w:r w:rsidRPr="0038374E">
        <w:rPr>
          <w:rFonts w:ascii="Arial" w:hAnsi="Arial" w:cs="Arial"/>
          <w:color w:val="auto"/>
          <w:sz w:val="20"/>
          <w:szCs w:val="20"/>
        </w:rPr>
        <w:instrText>SEQ Tabla \* ARABIC</w:instrText>
      </w:r>
      <w:r w:rsidRPr="0038374E">
        <w:rPr>
          <w:rFonts w:ascii="Arial" w:hAnsi="Arial" w:cs="Arial"/>
          <w:color w:val="auto"/>
          <w:sz w:val="20"/>
          <w:szCs w:val="20"/>
        </w:rPr>
        <w:fldChar w:fldCharType="separate"/>
      </w:r>
      <w:r w:rsidRPr="0038374E">
        <w:rPr>
          <w:rFonts w:ascii="Arial" w:hAnsi="Arial" w:cs="Arial"/>
          <w:noProof/>
          <w:color w:val="auto"/>
          <w:sz w:val="20"/>
          <w:szCs w:val="20"/>
        </w:rPr>
        <w:t>3</w:t>
      </w:r>
      <w:r w:rsidRPr="0038374E">
        <w:rPr>
          <w:rFonts w:ascii="Arial" w:hAnsi="Arial" w:cs="Arial"/>
          <w:color w:val="auto"/>
          <w:sz w:val="20"/>
          <w:szCs w:val="20"/>
        </w:rPr>
        <w:fldChar w:fldCharType="end"/>
      </w:r>
      <w:r w:rsidRPr="0038374E">
        <w:rPr>
          <w:rFonts w:ascii="Arial" w:hAnsi="Arial" w:cs="Arial"/>
          <w:color w:val="auto"/>
          <w:sz w:val="20"/>
          <w:szCs w:val="20"/>
        </w:rPr>
        <w:t>. Participación de los operadores en los servicios TIC, según ingresos en 2018</w:t>
      </w:r>
    </w:p>
    <w:p w14:paraId="7A0C2BE5" w14:textId="548E5950" w:rsidR="00285ED6" w:rsidRPr="004B0A7A" w:rsidRDefault="00285ED6" w:rsidP="0038374E">
      <w:pPr>
        <w:spacing w:after="0" w:line="240" w:lineRule="auto"/>
        <w:contextualSpacing/>
        <w:jc w:val="center"/>
        <w:rPr>
          <w:rFonts w:ascii="Arial" w:eastAsia="MS Mincho" w:hAnsi="Arial" w:cs="Arial"/>
          <w:bCs/>
        </w:rPr>
      </w:pPr>
      <w:r>
        <w:rPr>
          <w:noProof/>
        </w:rPr>
        <w:drawing>
          <wp:inline distT="0" distB="0" distL="0" distR="0" wp14:anchorId="2838FD90" wp14:editId="3C230628">
            <wp:extent cx="4514850" cy="2514600"/>
            <wp:effectExtent l="0" t="0" r="0" b="0"/>
            <wp:docPr id="570215808"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pic:cNvPicPr/>
                  </pic:nvPicPr>
                  <pic:blipFill>
                    <a:blip r:embed="rId23">
                      <a:extLst>
                        <a:ext uri="{28A0092B-C50C-407E-A947-70E740481C1C}">
                          <a14:useLocalDpi xmlns:a14="http://schemas.microsoft.com/office/drawing/2010/main" val="0"/>
                        </a:ext>
                      </a:extLst>
                    </a:blip>
                    <a:stretch>
                      <a:fillRect/>
                    </a:stretch>
                  </pic:blipFill>
                  <pic:spPr>
                    <a:xfrm>
                      <a:off x="0" y="0"/>
                      <a:ext cx="4514850" cy="2514600"/>
                    </a:xfrm>
                    <a:prstGeom prst="rect">
                      <a:avLst/>
                    </a:prstGeom>
                  </pic:spPr>
                </pic:pic>
              </a:graphicData>
            </a:graphic>
          </wp:inline>
        </w:drawing>
      </w:r>
    </w:p>
    <w:p w14:paraId="1B41DD53" w14:textId="77777777" w:rsidR="006A5BB8" w:rsidRPr="0038374E" w:rsidRDefault="006A5BB8" w:rsidP="0038374E">
      <w:pPr>
        <w:spacing w:after="0" w:line="240" w:lineRule="auto"/>
        <w:contextualSpacing/>
        <w:jc w:val="center"/>
        <w:rPr>
          <w:rFonts w:ascii="Arial" w:eastAsia="MS Mincho" w:hAnsi="Arial" w:cs="Arial"/>
          <w:bCs/>
          <w:sz w:val="18"/>
          <w:szCs w:val="18"/>
        </w:rPr>
      </w:pPr>
      <w:r w:rsidRPr="0038374E">
        <w:rPr>
          <w:rFonts w:ascii="Arial" w:eastAsia="MS Mincho" w:hAnsi="Arial" w:cs="Arial"/>
          <w:bCs/>
          <w:sz w:val="18"/>
          <w:szCs w:val="18"/>
        </w:rPr>
        <w:t>Fuente: ColombiaTIC y ANTV. Elaboración CRC</w:t>
      </w:r>
    </w:p>
    <w:p w14:paraId="48D468F5" w14:textId="77777777" w:rsidR="006A5BB8" w:rsidRPr="0038374E" w:rsidRDefault="006A5BB8" w:rsidP="0038374E">
      <w:pPr>
        <w:spacing w:after="0" w:line="240" w:lineRule="auto"/>
        <w:contextualSpacing/>
        <w:jc w:val="center"/>
        <w:rPr>
          <w:rFonts w:ascii="Arial" w:eastAsia="MS Mincho" w:hAnsi="Arial" w:cs="Arial"/>
          <w:bCs/>
          <w:sz w:val="18"/>
          <w:szCs w:val="18"/>
        </w:rPr>
      </w:pPr>
      <w:r w:rsidRPr="0038374E">
        <w:rPr>
          <w:rFonts w:ascii="Arial" w:eastAsia="MS Mincho" w:hAnsi="Arial" w:cs="Arial"/>
          <w:bCs/>
          <w:sz w:val="18"/>
          <w:szCs w:val="18"/>
        </w:rPr>
        <w:t>Nota: Los datos de ColombiaTIC fueron consultados el 7 de mayo de 2019. Los ingresos de telefonía fija solo incluyen la telefonía local.</w:t>
      </w:r>
    </w:p>
    <w:p w14:paraId="1BA43650" w14:textId="77777777" w:rsidR="00B63A7C" w:rsidRPr="00B63A7C" w:rsidRDefault="00B63A7C" w:rsidP="00B63A7C">
      <w:pPr>
        <w:spacing w:after="0" w:line="240" w:lineRule="auto"/>
        <w:contextualSpacing/>
        <w:jc w:val="both"/>
        <w:rPr>
          <w:rFonts w:ascii="Arial" w:eastAsia="MS Mincho" w:hAnsi="Arial" w:cs="Arial"/>
          <w:bCs/>
        </w:rPr>
      </w:pPr>
    </w:p>
    <w:p w14:paraId="04B31189" w14:textId="05C4628C" w:rsidR="00A544D7" w:rsidRPr="00A544D7" w:rsidRDefault="00B63A7C" w:rsidP="00A544D7">
      <w:pPr>
        <w:spacing w:after="0" w:line="240" w:lineRule="auto"/>
        <w:contextualSpacing/>
        <w:jc w:val="both"/>
        <w:rPr>
          <w:rFonts w:ascii="Arial" w:eastAsia="MS Mincho" w:hAnsi="Arial" w:cs="Arial"/>
          <w:bCs/>
        </w:rPr>
      </w:pPr>
      <w:r w:rsidRPr="00B63A7C">
        <w:rPr>
          <w:rFonts w:ascii="Arial" w:eastAsia="MS Mincho" w:hAnsi="Arial" w:cs="Arial"/>
          <w:bCs/>
        </w:rPr>
        <w:t>A continuación, se analizan cada uno de los servicios TIC, a partir de las variables relacionadas con líneas, accesos, tráfico e ingresos y se destacan las principales tendencias y dinámicas observadas en los últimos años.</w:t>
      </w:r>
    </w:p>
    <w:p w14:paraId="340D8D94" w14:textId="77777777" w:rsidR="00CF63A6" w:rsidRPr="0038374E" w:rsidRDefault="00CF63A6" w:rsidP="0038374E">
      <w:pPr>
        <w:spacing w:after="0" w:line="240" w:lineRule="auto"/>
        <w:contextualSpacing/>
        <w:jc w:val="both"/>
        <w:rPr>
          <w:rFonts w:ascii="Arial" w:eastAsia="MS Mincho" w:hAnsi="Arial" w:cs="Arial"/>
          <w:bCs/>
        </w:rPr>
      </w:pPr>
    </w:p>
    <w:p w14:paraId="1302CC43" w14:textId="609FB7B3" w:rsidR="00F47FE0" w:rsidRPr="0038374E" w:rsidRDefault="00F47FE0" w:rsidP="0038374E">
      <w:pPr>
        <w:pStyle w:val="Descripcin"/>
        <w:keepNext/>
        <w:spacing w:after="0"/>
        <w:jc w:val="center"/>
        <w:rPr>
          <w:rFonts w:ascii="Arial" w:hAnsi="Arial" w:cs="Arial"/>
          <w:color w:val="auto"/>
          <w:sz w:val="20"/>
          <w:szCs w:val="20"/>
        </w:rPr>
      </w:pPr>
      <w:r w:rsidRPr="0038374E">
        <w:rPr>
          <w:rFonts w:ascii="Arial" w:hAnsi="Arial" w:cs="Arial"/>
          <w:color w:val="auto"/>
          <w:sz w:val="20"/>
          <w:szCs w:val="20"/>
        </w:rPr>
        <w:t xml:space="preserve">Ilustración </w:t>
      </w:r>
      <w:r w:rsidRPr="0038374E">
        <w:rPr>
          <w:rFonts w:ascii="Arial" w:hAnsi="Arial" w:cs="Arial"/>
          <w:color w:val="auto"/>
          <w:sz w:val="20"/>
          <w:szCs w:val="20"/>
        </w:rPr>
        <w:fldChar w:fldCharType="begin"/>
      </w:r>
      <w:r w:rsidRPr="0038374E">
        <w:rPr>
          <w:rFonts w:ascii="Arial" w:hAnsi="Arial" w:cs="Arial"/>
          <w:color w:val="auto"/>
          <w:sz w:val="20"/>
          <w:szCs w:val="20"/>
        </w:rPr>
        <w:instrText>SEQ Ilustración \* ARABIC</w:instrText>
      </w:r>
      <w:r w:rsidRPr="0038374E">
        <w:rPr>
          <w:rFonts w:ascii="Arial" w:hAnsi="Arial" w:cs="Arial"/>
          <w:color w:val="auto"/>
          <w:sz w:val="20"/>
          <w:szCs w:val="20"/>
        </w:rPr>
        <w:fldChar w:fldCharType="separate"/>
      </w:r>
      <w:r w:rsidR="002100DA">
        <w:rPr>
          <w:rFonts w:ascii="Arial" w:hAnsi="Arial" w:cs="Arial"/>
          <w:noProof/>
          <w:color w:val="auto"/>
          <w:sz w:val="20"/>
          <w:szCs w:val="20"/>
        </w:rPr>
        <w:t>9</w:t>
      </w:r>
      <w:r w:rsidRPr="0038374E">
        <w:rPr>
          <w:rFonts w:ascii="Arial" w:hAnsi="Arial" w:cs="Arial"/>
          <w:color w:val="auto"/>
          <w:sz w:val="20"/>
          <w:szCs w:val="20"/>
        </w:rPr>
        <w:fldChar w:fldCharType="end"/>
      </w:r>
      <w:r w:rsidRPr="0038374E">
        <w:rPr>
          <w:rFonts w:ascii="Arial" w:hAnsi="Arial" w:cs="Arial"/>
          <w:color w:val="auto"/>
          <w:sz w:val="20"/>
          <w:szCs w:val="20"/>
        </w:rPr>
        <w:t>. Ingresos de los servicios TIC</w:t>
      </w:r>
    </w:p>
    <w:p w14:paraId="71CA4F32" w14:textId="5921E6AA" w:rsidR="00E8745F" w:rsidRPr="0038374E" w:rsidRDefault="00CB3779" w:rsidP="0038374E">
      <w:pPr>
        <w:spacing w:after="0" w:line="240" w:lineRule="auto"/>
        <w:contextualSpacing/>
        <w:jc w:val="center"/>
        <w:rPr>
          <w:rFonts w:ascii="Arial" w:eastAsia="MS Mincho" w:hAnsi="Arial" w:cs="Arial"/>
          <w:bCs/>
        </w:rPr>
      </w:pPr>
      <w:r>
        <w:rPr>
          <w:noProof/>
        </w:rPr>
        <w:drawing>
          <wp:inline distT="0" distB="0" distL="0" distR="0" wp14:anchorId="079F9E8C" wp14:editId="1BF0493F">
            <wp:extent cx="4724398" cy="2307604"/>
            <wp:effectExtent l="0" t="0" r="0" b="0"/>
            <wp:docPr id="1516225494"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9"/>
                    <pic:cNvPicPr/>
                  </pic:nvPicPr>
                  <pic:blipFill>
                    <a:blip r:embed="rId24">
                      <a:extLst>
                        <a:ext uri="{28A0092B-C50C-407E-A947-70E740481C1C}">
                          <a14:useLocalDpi xmlns:a14="http://schemas.microsoft.com/office/drawing/2010/main" val="0"/>
                        </a:ext>
                      </a:extLst>
                    </a:blip>
                    <a:stretch>
                      <a:fillRect/>
                    </a:stretch>
                  </pic:blipFill>
                  <pic:spPr>
                    <a:xfrm>
                      <a:off x="0" y="0"/>
                      <a:ext cx="4724398" cy="2307604"/>
                    </a:xfrm>
                    <a:prstGeom prst="rect">
                      <a:avLst/>
                    </a:prstGeom>
                  </pic:spPr>
                </pic:pic>
              </a:graphicData>
            </a:graphic>
          </wp:inline>
        </w:drawing>
      </w:r>
    </w:p>
    <w:p w14:paraId="02A29724" w14:textId="77777777" w:rsidR="000A72FF" w:rsidRPr="0038374E" w:rsidRDefault="000A72FF" w:rsidP="0038374E">
      <w:pPr>
        <w:spacing w:after="0" w:line="240" w:lineRule="auto"/>
        <w:contextualSpacing/>
        <w:jc w:val="center"/>
        <w:rPr>
          <w:rFonts w:ascii="Arial" w:eastAsia="MS Mincho" w:hAnsi="Arial" w:cs="Arial"/>
          <w:bCs/>
          <w:sz w:val="18"/>
          <w:szCs w:val="18"/>
        </w:rPr>
      </w:pPr>
      <w:r w:rsidRPr="0038374E">
        <w:rPr>
          <w:rFonts w:ascii="Arial" w:eastAsia="MS Mincho" w:hAnsi="Arial" w:cs="Arial"/>
          <w:bCs/>
          <w:sz w:val="18"/>
          <w:szCs w:val="18"/>
        </w:rPr>
        <w:t>Fuente: ColombiaTIC y ANTV. Elaboración CRC</w:t>
      </w:r>
    </w:p>
    <w:p w14:paraId="328CEDC0" w14:textId="4D78E38D" w:rsidR="000A72FF" w:rsidRPr="0038374E" w:rsidRDefault="000A72FF" w:rsidP="0038374E">
      <w:pPr>
        <w:spacing w:after="0" w:line="240" w:lineRule="auto"/>
        <w:contextualSpacing/>
        <w:jc w:val="center"/>
        <w:rPr>
          <w:rFonts w:ascii="Arial" w:eastAsia="MS Mincho" w:hAnsi="Arial" w:cs="Arial"/>
          <w:bCs/>
          <w:sz w:val="18"/>
          <w:szCs w:val="18"/>
        </w:rPr>
      </w:pPr>
      <w:r w:rsidRPr="0038374E">
        <w:rPr>
          <w:rFonts w:ascii="Arial" w:eastAsia="MS Mincho" w:hAnsi="Arial" w:cs="Arial"/>
          <w:bCs/>
          <w:sz w:val="18"/>
          <w:szCs w:val="18"/>
        </w:rPr>
        <w:t xml:space="preserve">Nota: Los datos de ColombiaTIC fueron consultados el 7 de mayo de 2019. </w:t>
      </w:r>
      <w:r w:rsidR="003C18E6" w:rsidRPr="0038374E">
        <w:rPr>
          <w:rFonts w:ascii="Arial" w:eastAsia="MS Mincho" w:hAnsi="Arial" w:cs="Arial"/>
          <w:bCs/>
          <w:sz w:val="18"/>
          <w:szCs w:val="18"/>
        </w:rPr>
        <w:t xml:space="preserve">Los ingresos están a precios corrientes. </w:t>
      </w:r>
      <w:r w:rsidRPr="0038374E">
        <w:rPr>
          <w:rFonts w:ascii="Arial" w:eastAsia="MS Mincho" w:hAnsi="Arial" w:cs="Arial"/>
          <w:bCs/>
          <w:sz w:val="18"/>
          <w:szCs w:val="18"/>
        </w:rPr>
        <w:t>Los ingresos de telefonía fija solo incluyen la telefonía local.</w:t>
      </w:r>
    </w:p>
    <w:p w14:paraId="636B3AD5" w14:textId="0D6B6578" w:rsidR="00085E18" w:rsidRDefault="00085E18" w:rsidP="00522F77">
      <w:pPr>
        <w:spacing w:after="0" w:line="240" w:lineRule="auto"/>
        <w:ind w:right="-518"/>
        <w:contextualSpacing/>
        <w:jc w:val="both"/>
        <w:rPr>
          <w:rFonts w:ascii="Arial" w:hAnsi="Arial" w:cs="Arial"/>
          <w:b/>
        </w:rPr>
      </w:pPr>
    </w:p>
    <w:p w14:paraId="6C205461" w14:textId="7F22E235" w:rsidR="0038374E" w:rsidRDefault="0038374E" w:rsidP="00522F77">
      <w:pPr>
        <w:spacing w:after="0" w:line="240" w:lineRule="auto"/>
        <w:ind w:right="-518"/>
        <w:contextualSpacing/>
        <w:jc w:val="both"/>
        <w:rPr>
          <w:rFonts w:ascii="Arial" w:hAnsi="Arial" w:cs="Arial"/>
          <w:b/>
        </w:rPr>
      </w:pPr>
    </w:p>
    <w:p w14:paraId="784CFA5F" w14:textId="4F562259" w:rsidR="0038374E" w:rsidRDefault="0038374E" w:rsidP="00522F77">
      <w:pPr>
        <w:spacing w:after="0" w:line="240" w:lineRule="auto"/>
        <w:ind w:right="-518"/>
        <w:contextualSpacing/>
        <w:jc w:val="both"/>
        <w:rPr>
          <w:rFonts w:ascii="Arial" w:hAnsi="Arial" w:cs="Arial"/>
          <w:b/>
        </w:rPr>
      </w:pPr>
    </w:p>
    <w:p w14:paraId="3670964F" w14:textId="77777777" w:rsidR="0038374E" w:rsidRPr="00522F77" w:rsidRDefault="0038374E" w:rsidP="00522F77">
      <w:pPr>
        <w:spacing w:after="0" w:line="240" w:lineRule="auto"/>
        <w:ind w:right="-518"/>
        <w:contextualSpacing/>
        <w:jc w:val="both"/>
        <w:rPr>
          <w:rFonts w:ascii="Arial" w:hAnsi="Arial" w:cs="Arial"/>
          <w:b/>
        </w:rPr>
      </w:pPr>
    </w:p>
    <w:p w14:paraId="23BCE814" w14:textId="54B8DDDB" w:rsidR="00B06631" w:rsidRPr="00522F77" w:rsidRDefault="0038374E" w:rsidP="00522F77">
      <w:pPr>
        <w:pStyle w:val="Prrafodelista"/>
        <w:numPr>
          <w:ilvl w:val="1"/>
          <w:numId w:val="2"/>
        </w:numPr>
        <w:spacing w:line="240" w:lineRule="auto"/>
        <w:ind w:left="567" w:right="-518" w:hanging="567"/>
        <w:jc w:val="both"/>
        <w:rPr>
          <w:rFonts w:ascii="Arial" w:hAnsi="Arial" w:cs="Arial"/>
          <w:b/>
        </w:rPr>
      </w:pPr>
      <w:r w:rsidRPr="00522F77">
        <w:rPr>
          <w:rFonts w:ascii="Arial" w:hAnsi="Arial" w:cs="Arial"/>
          <w:b/>
        </w:rPr>
        <w:lastRenderedPageBreak/>
        <w:t>CADENA DE PRODUCCIÓN Y DISTRIBUCIÓN</w:t>
      </w:r>
    </w:p>
    <w:p w14:paraId="212013EB" w14:textId="77777777" w:rsidR="00B06631" w:rsidRPr="00522F77" w:rsidRDefault="00B06631" w:rsidP="00522F77">
      <w:pPr>
        <w:spacing w:after="0" w:line="240" w:lineRule="auto"/>
        <w:ind w:right="-516"/>
        <w:contextualSpacing/>
        <w:jc w:val="both"/>
        <w:rPr>
          <w:rFonts w:ascii="Arial" w:hAnsi="Arial" w:cs="Arial"/>
        </w:rPr>
      </w:pPr>
    </w:p>
    <w:p w14:paraId="66A8F13D" w14:textId="77777777" w:rsidR="00B06631" w:rsidRPr="00522F77" w:rsidRDefault="00B06631" w:rsidP="00001796">
      <w:pPr>
        <w:spacing w:after="0" w:line="240" w:lineRule="auto"/>
        <w:contextualSpacing/>
        <w:jc w:val="both"/>
        <w:rPr>
          <w:rFonts w:ascii="Arial" w:hAnsi="Arial" w:cs="Arial"/>
        </w:rPr>
      </w:pPr>
      <w:r w:rsidRPr="00522F77">
        <w:rPr>
          <w:rFonts w:ascii="Arial" w:hAnsi="Arial" w:cs="Arial"/>
        </w:rPr>
        <w:t>El sector TIC</w:t>
      </w:r>
      <w:r w:rsidR="00C20E9C" w:rsidRPr="00522F77">
        <w:rPr>
          <w:rFonts w:ascii="Arial" w:hAnsi="Arial" w:cs="Arial"/>
        </w:rPr>
        <w:t>S</w:t>
      </w:r>
      <w:r w:rsidRPr="00522F77">
        <w:rPr>
          <w:rFonts w:ascii="Arial" w:hAnsi="Arial" w:cs="Arial"/>
        </w:rPr>
        <w:t xml:space="preserve"> está comprendido por diferentes especialidades que componen el sector y que en conjunto reflejan un buen estado frente al crecimiento económico en la economía colombiana. Aun así, el sector telecomunicaciones destaca por ser de los principales subsectores del sector y de los más afectados a nivel económico. Considerando esto, la siguiente grafica muestra en términos generales, como se estructura el sector dependiendo del bien ofrecido y la industria establecida dentro plataformas digitales.</w:t>
      </w:r>
    </w:p>
    <w:p w14:paraId="7A3BAD50" w14:textId="77777777" w:rsidR="00B06631" w:rsidRPr="00522F77" w:rsidRDefault="00B06631" w:rsidP="00001796">
      <w:pPr>
        <w:spacing w:after="0" w:line="240" w:lineRule="auto"/>
        <w:ind w:right="-518"/>
        <w:contextualSpacing/>
        <w:jc w:val="both"/>
        <w:rPr>
          <w:rFonts w:ascii="Arial" w:hAnsi="Arial" w:cs="Arial"/>
        </w:rPr>
      </w:pPr>
    </w:p>
    <w:p w14:paraId="5E74D570" w14:textId="4E19F2F9" w:rsidR="009160C6" w:rsidRPr="00001796" w:rsidRDefault="00001796" w:rsidP="00001796">
      <w:pPr>
        <w:pStyle w:val="Descripcin"/>
        <w:spacing w:after="0"/>
        <w:jc w:val="center"/>
        <w:rPr>
          <w:rFonts w:ascii="Arial" w:hAnsi="Arial" w:cs="Arial"/>
          <w:color w:val="auto"/>
          <w:sz w:val="20"/>
          <w:szCs w:val="20"/>
        </w:rPr>
      </w:pPr>
      <w:r w:rsidRPr="00001796">
        <w:rPr>
          <w:rFonts w:ascii="Arial" w:hAnsi="Arial" w:cs="Arial"/>
          <w:color w:val="auto"/>
          <w:sz w:val="20"/>
          <w:szCs w:val="20"/>
        </w:rPr>
        <w:t xml:space="preserve">Ilustración </w:t>
      </w:r>
      <w:r w:rsidRPr="00001796">
        <w:rPr>
          <w:rFonts w:ascii="Arial" w:hAnsi="Arial" w:cs="Arial"/>
          <w:color w:val="auto"/>
          <w:sz w:val="20"/>
          <w:szCs w:val="20"/>
        </w:rPr>
        <w:fldChar w:fldCharType="begin"/>
      </w:r>
      <w:r w:rsidRPr="00001796">
        <w:rPr>
          <w:rFonts w:ascii="Arial" w:hAnsi="Arial" w:cs="Arial"/>
          <w:color w:val="auto"/>
          <w:sz w:val="20"/>
          <w:szCs w:val="20"/>
        </w:rPr>
        <w:instrText xml:space="preserve"> SEQ Ilustración \* ARABIC </w:instrText>
      </w:r>
      <w:r w:rsidRPr="00001796">
        <w:rPr>
          <w:rFonts w:ascii="Arial" w:hAnsi="Arial" w:cs="Arial"/>
          <w:color w:val="auto"/>
          <w:sz w:val="20"/>
          <w:szCs w:val="20"/>
        </w:rPr>
        <w:fldChar w:fldCharType="separate"/>
      </w:r>
      <w:r w:rsidR="002100DA">
        <w:rPr>
          <w:rFonts w:ascii="Arial" w:hAnsi="Arial" w:cs="Arial"/>
          <w:noProof/>
          <w:color w:val="auto"/>
          <w:sz w:val="20"/>
          <w:szCs w:val="20"/>
        </w:rPr>
        <w:t>10</w:t>
      </w:r>
      <w:r w:rsidRPr="00001796">
        <w:rPr>
          <w:rFonts w:ascii="Arial" w:hAnsi="Arial" w:cs="Arial"/>
          <w:color w:val="auto"/>
          <w:sz w:val="20"/>
          <w:szCs w:val="20"/>
        </w:rPr>
        <w:fldChar w:fldCharType="end"/>
      </w:r>
      <w:r w:rsidRPr="00001796">
        <w:rPr>
          <w:rFonts w:ascii="Arial" w:hAnsi="Arial" w:cs="Arial"/>
          <w:color w:val="auto"/>
          <w:sz w:val="20"/>
          <w:szCs w:val="20"/>
        </w:rPr>
        <w:t xml:space="preserve">. </w:t>
      </w:r>
      <w:r w:rsidR="00FA707F" w:rsidRPr="00001796">
        <w:rPr>
          <w:rFonts w:ascii="Arial" w:hAnsi="Arial" w:cs="Arial"/>
          <w:color w:val="auto"/>
          <w:sz w:val="20"/>
          <w:szCs w:val="20"/>
        </w:rPr>
        <w:t>Cadena</w:t>
      </w:r>
      <w:r w:rsidR="009160C6" w:rsidRPr="00001796">
        <w:rPr>
          <w:rFonts w:ascii="Arial" w:hAnsi="Arial" w:cs="Arial"/>
          <w:color w:val="auto"/>
          <w:sz w:val="20"/>
          <w:szCs w:val="20"/>
        </w:rPr>
        <w:t xml:space="preserve"> de Valor del sector TIC. Resalta los servicios de telecomunicaciones</w:t>
      </w:r>
    </w:p>
    <w:p w14:paraId="35766F78" w14:textId="77777777" w:rsidR="00B06631" w:rsidRPr="00522F77" w:rsidRDefault="00B06631" w:rsidP="00001796">
      <w:pPr>
        <w:spacing w:after="0" w:line="240" w:lineRule="auto"/>
        <w:ind w:right="-518"/>
        <w:contextualSpacing/>
        <w:jc w:val="center"/>
        <w:rPr>
          <w:rFonts w:ascii="Arial" w:hAnsi="Arial" w:cs="Arial"/>
        </w:rPr>
      </w:pPr>
      <w:r w:rsidRPr="00522F77">
        <w:rPr>
          <w:rFonts w:ascii="Arial" w:hAnsi="Arial" w:cs="Arial"/>
          <w:noProof/>
          <w:lang w:eastAsia="es-CO"/>
        </w:rPr>
        <w:drawing>
          <wp:inline distT="0" distB="0" distL="0" distR="0" wp14:anchorId="43D50E49" wp14:editId="5F91DAF7">
            <wp:extent cx="5104757" cy="2461418"/>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6421" t="27254" r="16932" b="8032"/>
                    <a:stretch/>
                  </pic:blipFill>
                  <pic:spPr bwMode="auto">
                    <a:xfrm>
                      <a:off x="0" y="0"/>
                      <a:ext cx="5104757" cy="2461418"/>
                    </a:xfrm>
                    <a:prstGeom prst="rect">
                      <a:avLst/>
                    </a:prstGeom>
                    <a:ln>
                      <a:noFill/>
                    </a:ln>
                    <a:extLst>
                      <a:ext uri="{53640926-AAD7-44D8-BBD7-CCE9431645EC}">
                        <a14:shadowObscured xmlns:a14="http://schemas.microsoft.com/office/drawing/2010/main"/>
                      </a:ext>
                    </a:extLst>
                  </pic:spPr>
                </pic:pic>
              </a:graphicData>
            </a:graphic>
          </wp:inline>
        </w:drawing>
      </w:r>
    </w:p>
    <w:p w14:paraId="1B9F18B3" w14:textId="77777777" w:rsidR="00B06631" w:rsidRPr="00522F77" w:rsidRDefault="00B06631" w:rsidP="00001796">
      <w:pPr>
        <w:spacing w:after="0" w:line="240" w:lineRule="auto"/>
        <w:ind w:right="-518"/>
        <w:contextualSpacing/>
        <w:jc w:val="both"/>
        <w:rPr>
          <w:rFonts w:ascii="Arial" w:hAnsi="Arial" w:cs="Arial"/>
          <w:b/>
        </w:rPr>
      </w:pPr>
    </w:p>
    <w:p w14:paraId="41835728" w14:textId="734F529A" w:rsidR="00B06631" w:rsidRPr="00522F77" w:rsidRDefault="00AC54BF" w:rsidP="00001796">
      <w:pPr>
        <w:pStyle w:val="Prrafodelista"/>
        <w:numPr>
          <w:ilvl w:val="1"/>
          <w:numId w:val="2"/>
        </w:numPr>
        <w:spacing w:line="240" w:lineRule="auto"/>
        <w:ind w:left="567" w:right="-518" w:hanging="567"/>
        <w:jc w:val="both"/>
        <w:rPr>
          <w:rFonts w:ascii="Arial" w:hAnsi="Arial" w:cs="Arial"/>
          <w:b/>
        </w:rPr>
      </w:pPr>
      <w:r w:rsidRPr="00522F77">
        <w:rPr>
          <w:rFonts w:ascii="Arial" w:hAnsi="Arial" w:cs="Arial"/>
          <w:b/>
        </w:rPr>
        <w:t>DINÁMICA DE IMPORTACIONES Y EXPORTACIONES</w:t>
      </w:r>
    </w:p>
    <w:p w14:paraId="66B361FC" w14:textId="77777777" w:rsidR="00B06631" w:rsidRPr="00522F77" w:rsidRDefault="00B06631" w:rsidP="00001796">
      <w:pPr>
        <w:spacing w:after="0" w:line="240" w:lineRule="auto"/>
        <w:ind w:right="-518"/>
        <w:contextualSpacing/>
        <w:jc w:val="both"/>
        <w:rPr>
          <w:rFonts w:ascii="Arial" w:hAnsi="Arial" w:cs="Arial"/>
          <w:b/>
        </w:rPr>
      </w:pPr>
    </w:p>
    <w:p w14:paraId="0AC2F331" w14:textId="77777777" w:rsidR="00B06631" w:rsidRPr="00522F77" w:rsidRDefault="00B06631" w:rsidP="00001796">
      <w:pPr>
        <w:spacing w:after="0" w:line="240" w:lineRule="auto"/>
        <w:contextualSpacing/>
        <w:jc w:val="both"/>
        <w:rPr>
          <w:rFonts w:ascii="Arial" w:hAnsi="Arial" w:cs="Arial"/>
        </w:rPr>
      </w:pPr>
      <w:r w:rsidRPr="00522F77">
        <w:rPr>
          <w:rFonts w:ascii="Arial" w:hAnsi="Arial" w:cs="Arial"/>
        </w:rPr>
        <w:t>El sector de tecnologías de la información y comunicación en Colombia ha tenido en términos generales rendimientos</w:t>
      </w:r>
      <w:r w:rsidR="009160C6" w:rsidRPr="00522F77">
        <w:rPr>
          <w:rFonts w:ascii="Arial" w:hAnsi="Arial" w:cs="Arial"/>
        </w:rPr>
        <w:t xml:space="preserve"> </w:t>
      </w:r>
      <w:r w:rsidRPr="00522F77">
        <w:rPr>
          <w:rFonts w:ascii="Arial" w:hAnsi="Arial" w:cs="Arial"/>
        </w:rPr>
        <w:t>positivos en el último año. Según estadísticas del sector, las variaciones de crecimientos han tenido tendencias positivas debido a la innovación y al crecimiento exponencial que se vive, no solo en Colombia, sino a nivel global en los mercados tecnológicos, donde hoy en día la implementación de sistemas que optimicen procesos y hagan más eficiente el uso de los recursos, es más común y tiene mayor acogida. Lo anterior viene de la mano con los procesos de optimización de recursos para la producción de sistemas tecnológicos, donde en pocas palabras, hacer tecnología se ha vuelto más económico y rentable para las empresas.</w:t>
      </w:r>
    </w:p>
    <w:p w14:paraId="73F84ED4" w14:textId="77777777" w:rsidR="00B06631" w:rsidRPr="00522F77" w:rsidRDefault="00B06631" w:rsidP="001F49C9">
      <w:pPr>
        <w:spacing w:after="0" w:line="240" w:lineRule="auto"/>
        <w:contextualSpacing/>
        <w:jc w:val="both"/>
        <w:rPr>
          <w:rFonts w:ascii="Arial" w:hAnsi="Arial" w:cs="Arial"/>
        </w:rPr>
      </w:pPr>
    </w:p>
    <w:p w14:paraId="17F5056B" w14:textId="1CE0B385" w:rsidR="00B06631" w:rsidRDefault="00B06631" w:rsidP="001F49C9">
      <w:pPr>
        <w:spacing w:after="0" w:line="240" w:lineRule="auto"/>
        <w:contextualSpacing/>
        <w:jc w:val="both"/>
        <w:rPr>
          <w:rFonts w:ascii="Arial" w:hAnsi="Arial" w:cs="Arial"/>
        </w:rPr>
      </w:pPr>
      <w:r w:rsidRPr="00522F77">
        <w:rPr>
          <w:rFonts w:ascii="Arial" w:hAnsi="Arial" w:cs="Arial"/>
        </w:rPr>
        <w:t xml:space="preserve">Citando a </w:t>
      </w:r>
      <w:r w:rsidR="001F49C9" w:rsidRPr="00522F77">
        <w:rPr>
          <w:rFonts w:ascii="Arial" w:hAnsi="Arial" w:cs="Arial"/>
        </w:rPr>
        <w:t>ProColombia</w:t>
      </w:r>
      <w:r w:rsidRPr="00522F77">
        <w:rPr>
          <w:rFonts w:ascii="Arial" w:hAnsi="Arial" w:cs="Arial"/>
        </w:rPr>
        <w:t xml:space="preserve"> en un balance general del sector en el último año, se puede categorizar dicho balance como positivo en Colombia debido a dos grandes razones:</w:t>
      </w:r>
    </w:p>
    <w:p w14:paraId="7353C8DC" w14:textId="77777777" w:rsidR="00AC54BF" w:rsidRPr="00522F77" w:rsidRDefault="00AC54BF" w:rsidP="001F49C9">
      <w:pPr>
        <w:spacing w:after="0" w:line="240" w:lineRule="auto"/>
        <w:contextualSpacing/>
        <w:jc w:val="both"/>
        <w:rPr>
          <w:rFonts w:ascii="Arial" w:hAnsi="Arial" w:cs="Arial"/>
        </w:rPr>
      </w:pPr>
    </w:p>
    <w:p w14:paraId="1BD3943F" w14:textId="48DFD3E8" w:rsidR="001F49C9" w:rsidRDefault="00B06631" w:rsidP="001F49C9">
      <w:pPr>
        <w:pStyle w:val="Prrafodelista"/>
        <w:numPr>
          <w:ilvl w:val="0"/>
          <w:numId w:val="5"/>
        </w:numPr>
        <w:spacing w:line="240" w:lineRule="auto"/>
        <w:jc w:val="both"/>
        <w:rPr>
          <w:rFonts w:ascii="Arial" w:hAnsi="Arial" w:cs="Arial"/>
        </w:rPr>
      </w:pPr>
      <w:r w:rsidRPr="001F49C9">
        <w:rPr>
          <w:rFonts w:ascii="Arial" w:hAnsi="Arial" w:cs="Arial"/>
        </w:rPr>
        <w:t xml:space="preserve">La primera: </w:t>
      </w:r>
      <w:r w:rsidR="001F49C9" w:rsidRPr="001F49C9">
        <w:rPr>
          <w:rFonts w:ascii="Arial" w:hAnsi="Arial" w:cs="Arial"/>
        </w:rPr>
        <w:t>ProColombia</w:t>
      </w:r>
      <w:r w:rsidRPr="001F49C9">
        <w:rPr>
          <w:rFonts w:ascii="Arial" w:hAnsi="Arial" w:cs="Arial"/>
        </w:rPr>
        <w:t xml:space="preserve"> reveló que, para principios de este mes, el país había exportado US$169 millones en servicios de industrias creativas digitales, una cifra récord que demuestra que las empresas de tecnología con talento local pueden competir sin muchas dificultades en el exterior.</w:t>
      </w:r>
    </w:p>
    <w:p w14:paraId="078E3F0B" w14:textId="0D51F292" w:rsidR="00B06631" w:rsidRPr="001F49C9" w:rsidRDefault="00B06631" w:rsidP="001F49C9">
      <w:pPr>
        <w:pStyle w:val="Prrafodelista"/>
        <w:numPr>
          <w:ilvl w:val="0"/>
          <w:numId w:val="5"/>
        </w:numPr>
        <w:spacing w:line="240" w:lineRule="auto"/>
        <w:jc w:val="both"/>
        <w:rPr>
          <w:rFonts w:ascii="Arial" w:hAnsi="Arial" w:cs="Arial"/>
        </w:rPr>
      </w:pPr>
      <w:r w:rsidRPr="001F49C9">
        <w:rPr>
          <w:rFonts w:ascii="Arial" w:hAnsi="Arial" w:cs="Arial"/>
        </w:rPr>
        <w:t>La segunda: Los empresarios del sector confirman que el país se ha venido consolidando como uno de los destinos preferidos de América Latina para las empresas multinacionales proveedoras de servicios de seguridad digital y redes de infraestructura en línea.</w:t>
      </w:r>
    </w:p>
    <w:p w14:paraId="77153A12" w14:textId="6FDB1DE1" w:rsidR="00B06631" w:rsidRDefault="00B06631" w:rsidP="001F49C9">
      <w:pPr>
        <w:spacing w:after="0" w:line="240" w:lineRule="auto"/>
        <w:contextualSpacing/>
        <w:jc w:val="both"/>
        <w:rPr>
          <w:rFonts w:ascii="Arial" w:hAnsi="Arial" w:cs="Arial"/>
        </w:rPr>
      </w:pPr>
    </w:p>
    <w:p w14:paraId="44163D1F" w14:textId="16E3F274" w:rsidR="00AC54BF" w:rsidRDefault="00AC54BF" w:rsidP="001F49C9">
      <w:pPr>
        <w:spacing w:after="0" w:line="240" w:lineRule="auto"/>
        <w:contextualSpacing/>
        <w:jc w:val="both"/>
        <w:rPr>
          <w:rFonts w:ascii="Arial" w:hAnsi="Arial" w:cs="Arial"/>
        </w:rPr>
      </w:pPr>
    </w:p>
    <w:p w14:paraId="41D90802" w14:textId="77777777" w:rsidR="00AC54BF" w:rsidRPr="00522F77" w:rsidRDefault="00AC54BF" w:rsidP="001F49C9">
      <w:pPr>
        <w:spacing w:after="0" w:line="240" w:lineRule="auto"/>
        <w:contextualSpacing/>
        <w:jc w:val="both"/>
        <w:rPr>
          <w:rFonts w:ascii="Arial" w:hAnsi="Arial" w:cs="Arial"/>
        </w:rPr>
      </w:pPr>
    </w:p>
    <w:p w14:paraId="0461C3C5" w14:textId="77777777" w:rsidR="00B06631" w:rsidRPr="00522F77" w:rsidRDefault="00B06631" w:rsidP="001F49C9">
      <w:pPr>
        <w:spacing w:after="0" w:line="240" w:lineRule="auto"/>
        <w:contextualSpacing/>
        <w:jc w:val="both"/>
        <w:rPr>
          <w:rFonts w:ascii="Arial" w:hAnsi="Arial" w:cs="Arial"/>
        </w:rPr>
      </w:pPr>
      <w:r w:rsidRPr="00522F77">
        <w:rPr>
          <w:rFonts w:ascii="Arial" w:hAnsi="Arial" w:cs="Arial"/>
        </w:rPr>
        <w:lastRenderedPageBreak/>
        <w:t xml:space="preserve">El sector TIC en Colombia es evaluado desde varios puntos de vista. Por un lado, se establecen las consideraciones a como los procesos de Innovación y Desarrollo (I+D) se han ido afianzando en el país, logrando mejores coberturas y llevando a Colombia a ser un país en desarrollo con niveles tecnológicos en crecimiento en todas sus industrias. </w:t>
      </w:r>
    </w:p>
    <w:p w14:paraId="35A02087" w14:textId="77777777" w:rsidR="00B06631" w:rsidRPr="00522F77" w:rsidRDefault="00B06631" w:rsidP="001F49C9">
      <w:pPr>
        <w:spacing w:after="0" w:line="240" w:lineRule="auto"/>
        <w:contextualSpacing/>
        <w:jc w:val="both"/>
        <w:rPr>
          <w:rFonts w:ascii="Arial" w:hAnsi="Arial" w:cs="Arial"/>
        </w:rPr>
      </w:pPr>
    </w:p>
    <w:p w14:paraId="5B0CAB37" w14:textId="77777777" w:rsidR="00B06631" w:rsidRPr="00522F77" w:rsidRDefault="00B06631" w:rsidP="001F49C9">
      <w:pPr>
        <w:spacing w:after="0" w:line="240" w:lineRule="auto"/>
        <w:contextualSpacing/>
        <w:jc w:val="both"/>
        <w:rPr>
          <w:rFonts w:ascii="Arial" w:hAnsi="Arial" w:cs="Arial"/>
        </w:rPr>
      </w:pPr>
      <w:r w:rsidRPr="00522F77">
        <w:rPr>
          <w:rFonts w:ascii="Arial" w:hAnsi="Arial" w:cs="Arial"/>
        </w:rPr>
        <w:t>Para ello, el Ministerio de Tecnologías de la Información y Comunicación, de aquí en adelante “mintic”, evalúa los niveles de desarrollo e innovación en gran medida, por los porcentajes de coberturas en el país de accesos a internet y tecnología.</w:t>
      </w:r>
    </w:p>
    <w:p w14:paraId="10114476" w14:textId="77777777" w:rsidR="00B06631" w:rsidRPr="00522F77" w:rsidRDefault="00B06631" w:rsidP="001F49C9">
      <w:pPr>
        <w:spacing w:after="0" w:line="240" w:lineRule="auto"/>
        <w:contextualSpacing/>
        <w:jc w:val="both"/>
        <w:rPr>
          <w:rFonts w:ascii="Arial" w:hAnsi="Arial" w:cs="Arial"/>
        </w:rPr>
      </w:pPr>
    </w:p>
    <w:p w14:paraId="017C106E" w14:textId="77777777" w:rsidR="00B06631" w:rsidRPr="00522F77" w:rsidRDefault="00B06631" w:rsidP="001F49C9">
      <w:pPr>
        <w:spacing w:after="0" w:line="240" w:lineRule="auto"/>
        <w:contextualSpacing/>
        <w:jc w:val="both"/>
        <w:rPr>
          <w:rFonts w:ascii="Arial" w:hAnsi="Arial" w:cs="Arial"/>
        </w:rPr>
      </w:pPr>
      <w:r w:rsidRPr="00522F77">
        <w:rPr>
          <w:rFonts w:ascii="Arial" w:hAnsi="Arial" w:cs="Arial"/>
        </w:rPr>
        <w:t>Ahora bien, el sondeo en cuanto a niveles de cobertura y el acceso a tecnologías de la información, genera un panorama macro sobre las condiciones del país en sus niveles de adaptación a los nuevos procesos tecnológicos que se acoplan al día en toda la población colombiana. Sin embargo, el análisis que se debe abordar es el correspondiente al análisis del mercado que ejecutan los procesos de innovación a través de tecnologías informáticas o de software.</w:t>
      </w:r>
    </w:p>
    <w:p w14:paraId="0F8EE9DC" w14:textId="77777777" w:rsidR="00B06631" w:rsidRPr="00522F77" w:rsidRDefault="00B06631" w:rsidP="001F49C9">
      <w:pPr>
        <w:spacing w:after="0" w:line="240" w:lineRule="auto"/>
        <w:contextualSpacing/>
        <w:jc w:val="both"/>
        <w:rPr>
          <w:rFonts w:ascii="Arial" w:hAnsi="Arial" w:cs="Arial"/>
        </w:rPr>
      </w:pPr>
    </w:p>
    <w:p w14:paraId="78AE629A" w14:textId="77777777" w:rsidR="00B06631" w:rsidRPr="00522F77" w:rsidRDefault="00B06631" w:rsidP="001F49C9">
      <w:pPr>
        <w:spacing w:after="0" w:line="240" w:lineRule="auto"/>
        <w:contextualSpacing/>
        <w:jc w:val="both"/>
        <w:rPr>
          <w:rFonts w:ascii="Arial" w:hAnsi="Arial" w:cs="Arial"/>
        </w:rPr>
      </w:pPr>
      <w:r w:rsidRPr="00522F77">
        <w:rPr>
          <w:rFonts w:ascii="Arial" w:hAnsi="Arial" w:cs="Arial"/>
        </w:rPr>
        <w:t>En este caso, como ya se mencionó, Colombia se encuentra en altos niveles de crecimiento con mayor recepción de economías internacionales a invertir en el país, lo cual ha impulsado el sector.</w:t>
      </w:r>
    </w:p>
    <w:p w14:paraId="5509B6CD" w14:textId="77777777" w:rsidR="009160C6" w:rsidRPr="00522F77" w:rsidRDefault="009160C6" w:rsidP="001F49C9">
      <w:pPr>
        <w:spacing w:after="0" w:line="240" w:lineRule="auto"/>
        <w:contextualSpacing/>
        <w:jc w:val="both"/>
        <w:rPr>
          <w:rFonts w:ascii="Arial" w:hAnsi="Arial" w:cs="Arial"/>
        </w:rPr>
      </w:pPr>
    </w:p>
    <w:p w14:paraId="70B6BAA6" w14:textId="77777777" w:rsidR="00B06631" w:rsidRPr="00522F77" w:rsidRDefault="00B06631" w:rsidP="001F49C9">
      <w:pPr>
        <w:spacing w:after="0" w:line="240" w:lineRule="auto"/>
        <w:contextualSpacing/>
        <w:jc w:val="both"/>
        <w:rPr>
          <w:rFonts w:ascii="Arial" w:hAnsi="Arial" w:cs="Arial"/>
        </w:rPr>
      </w:pPr>
      <w:r w:rsidRPr="00522F77">
        <w:rPr>
          <w:rFonts w:ascii="Arial" w:hAnsi="Arial" w:cs="Arial"/>
        </w:rPr>
        <w:t>El crecimiento en las exportaciones del sector TIC, que en los últimos cinco años alcanzó los US$528 millones y benefició a 2.800 pequeñas empresas, se logró, entre otros motivos, por la puesta en marcha de ferias internacionales especializadas en compartir soluciones tecnológicas específicas para las distintas industrias, y por la asesoría y el acompañamiento de entidades como Innpulsa, el Mintic y ProColombia.</w:t>
      </w:r>
    </w:p>
    <w:p w14:paraId="2D236CE4" w14:textId="77777777" w:rsidR="00B06631" w:rsidRPr="00522F77" w:rsidRDefault="00B06631" w:rsidP="001F49C9">
      <w:pPr>
        <w:spacing w:after="0" w:line="240" w:lineRule="auto"/>
        <w:contextualSpacing/>
        <w:jc w:val="both"/>
        <w:rPr>
          <w:rFonts w:ascii="Arial" w:hAnsi="Arial" w:cs="Arial"/>
        </w:rPr>
      </w:pPr>
    </w:p>
    <w:p w14:paraId="43152099" w14:textId="77777777" w:rsidR="00B06631" w:rsidRPr="00522F77" w:rsidRDefault="00B06631" w:rsidP="001F49C9">
      <w:pPr>
        <w:spacing w:after="0" w:line="240" w:lineRule="auto"/>
        <w:contextualSpacing/>
        <w:jc w:val="both"/>
        <w:rPr>
          <w:rFonts w:ascii="Arial" w:hAnsi="Arial" w:cs="Arial"/>
        </w:rPr>
      </w:pPr>
      <w:r w:rsidRPr="00522F77">
        <w:rPr>
          <w:rFonts w:ascii="Arial" w:hAnsi="Arial" w:cs="Arial"/>
        </w:rPr>
        <w:t>Por otro lado, el impulso a los mercados emprendedores sobre el sector es cada vez mayor, con adaptaciones de las</w:t>
      </w:r>
      <w:r w:rsidR="0015660A" w:rsidRPr="00522F77">
        <w:rPr>
          <w:rFonts w:ascii="Arial" w:hAnsi="Arial" w:cs="Arial"/>
        </w:rPr>
        <w:t xml:space="preserve"> </w:t>
      </w:r>
      <w:r w:rsidRPr="00522F77">
        <w:rPr>
          <w:rFonts w:ascii="Arial" w:hAnsi="Arial" w:cs="Arial"/>
        </w:rPr>
        <w:t xml:space="preserve">nuevas empresas a uso de sistemas informáticos y estructuración de datos tipo hosting lo cual se demuestra en las cifras entregadas por el ente gubernamental de </w:t>
      </w:r>
      <w:r w:rsidR="009160C6" w:rsidRPr="00522F77">
        <w:rPr>
          <w:rFonts w:ascii="Arial" w:hAnsi="Arial" w:cs="Arial"/>
        </w:rPr>
        <w:t>MINTIC</w:t>
      </w:r>
      <w:r w:rsidRPr="00522F77">
        <w:rPr>
          <w:rFonts w:ascii="Arial" w:hAnsi="Arial" w:cs="Arial"/>
        </w:rPr>
        <w:t>, en las cuales las Pyme pasaron de 35% de adopción de tecnologías maduras en 2015 a 60% durante 2017. Respecto a las microempresas en 2015 obtuvieron 21% de adopción mientras que en 2017 alcanzaron 52% y las grandes empresas solo crecieron seis puntos porcentuales pasando de 70% en 2015 a 76% en 2017.Lo anterior es muestra del impulso que se le ha dado a la industria, logrando crecimientos potenciales en las cifras de participación sobre el crecimiento de la economía colombiana.</w:t>
      </w:r>
    </w:p>
    <w:p w14:paraId="1C906926" w14:textId="77777777" w:rsidR="00B06631" w:rsidRPr="00522F77" w:rsidRDefault="00B06631" w:rsidP="001F49C9">
      <w:pPr>
        <w:spacing w:after="0" w:line="240" w:lineRule="auto"/>
        <w:contextualSpacing/>
        <w:jc w:val="both"/>
        <w:rPr>
          <w:rFonts w:ascii="Arial" w:hAnsi="Arial" w:cs="Arial"/>
        </w:rPr>
      </w:pPr>
    </w:p>
    <w:p w14:paraId="6B1E88EE" w14:textId="74FA7458" w:rsidR="00B06631" w:rsidRPr="00522F77" w:rsidRDefault="00B06631" w:rsidP="001F49C9">
      <w:pPr>
        <w:spacing w:after="0" w:line="240" w:lineRule="auto"/>
        <w:contextualSpacing/>
        <w:jc w:val="both"/>
        <w:rPr>
          <w:rFonts w:ascii="Arial" w:hAnsi="Arial" w:cs="Arial"/>
        </w:rPr>
      </w:pPr>
      <w:r w:rsidRPr="00522F77">
        <w:rPr>
          <w:rFonts w:ascii="Arial" w:hAnsi="Arial" w:cs="Arial"/>
        </w:rPr>
        <w:t>Y es a partir de este punto, donde el sector tecnológico se ha ido consolidando, el crecimiento en participación de las</w:t>
      </w:r>
      <w:r w:rsidR="0015660A" w:rsidRPr="00522F77">
        <w:rPr>
          <w:rFonts w:ascii="Arial" w:hAnsi="Arial" w:cs="Arial"/>
        </w:rPr>
        <w:t xml:space="preserve"> </w:t>
      </w:r>
      <w:r w:rsidRPr="00522F77">
        <w:rPr>
          <w:rFonts w:ascii="Arial" w:hAnsi="Arial" w:cs="Arial"/>
        </w:rPr>
        <w:t xml:space="preserve">empresas en el mercado donde el mayor porcentaje es delegado a las denominadas startups que poco a poco tienen más penetración del mercado, por otro lado, la alta facturación de empresas que se dedican a consultoría en el sector igualmente es muestra del crecimiento </w:t>
      </w:r>
      <w:r w:rsidR="00001796" w:rsidRPr="00522F77">
        <w:rPr>
          <w:rFonts w:ascii="Arial" w:hAnsi="Arial" w:cs="Arial"/>
        </w:rPr>
        <w:t>de este</w:t>
      </w:r>
      <w:r w:rsidRPr="00522F77">
        <w:rPr>
          <w:rFonts w:ascii="Arial" w:hAnsi="Arial" w:cs="Arial"/>
        </w:rPr>
        <w:t>.</w:t>
      </w:r>
    </w:p>
    <w:p w14:paraId="3B9D4EC2" w14:textId="77777777" w:rsidR="00001796" w:rsidRPr="00522F77" w:rsidRDefault="00001796" w:rsidP="001F49C9">
      <w:pPr>
        <w:spacing w:after="0" w:line="240" w:lineRule="auto"/>
        <w:contextualSpacing/>
        <w:jc w:val="both"/>
        <w:rPr>
          <w:rFonts w:ascii="Arial" w:hAnsi="Arial" w:cs="Arial"/>
        </w:rPr>
      </w:pPr>
    </w:p>
    <w:p w14:paraId="4FAAD55F" w14:textId="77777777" w:rsidR="00B06631" w:rsidRPr="00522F77" w:rsidRDefault="00B06631" w:rsidP="001F49C9">
      <w:pPr>
        <w:spacing w:after="0" w:line="240" w:lineRule="auto"/>
        <w:contextualSpacing/>
        <w:jc w:val="both"/>
        <w:rPr>
          <w:rFonts w:ascii="Arial" w:hAnsi="Arial" w:cs="Arial"/>
        </w:rPr>
      </w:pPr>
      <w:r w:rsidRPr="00522F77">
        <w:rPr>
          <w:rFonts w:ascii="Arial" w:hAnsi="Arial" w:cs="Arial"/>
        </w:rPr>
        <w:t xml:space="preserve">Según el jefe de cartera ministerial de </w:t>
      </w:r>
      <w:r w:rsidR="009160C6" w:rsidRPr="00522F77">
        <w:rPr>
          <w:rFonts w:ascii="Arial" w:hAnsi="Arial" w:cs="Arial"/>
        </w:rPr>
        <w:t>MINTIC</w:t>
      </w:r>
      <w:r w:rsidRPr="00522F77">
        <w:rPr>
          <w:rFonts w:ascii="Arial" w:hAnsi="Arial" w:cs="Arial"/>
        </w:rPr>
        <w:t>, se prevé un crecimiento aún más grande para el sector, teniendo en cuenta que Colombia y el movimiento empresarial a adoptado de manera adecuada los procesos de innovación y adaptación un poco en términos de “supervivencia” teniendo en cuenta las contingencias vividas en el periodo 2015 – 2016, pero que han tenido resultado, por lo cual la percepción y expectativas estiman que el país en el 2025 puede lograr ser una economía líder en el tema digital.</w:t>
      </w:r>
    </w:p>
    <w:p w14:paraId="67C88B5B" w14:textId="77777777" w:rsidR="00B06631" w:rsidRPr="00522F77" w:rsidRDefault="00B06631" w:rsidP="001F49C9">
      <w:pPr>
        <w:spacing w:after="0" w:line="240" w:lineRule="auto"/>
        <w:contextualSpacing/>
        <w:jc w:val="both"/>
        <w:rPr>
          <w:rFonts w:ascii="Arial" w:hAnsi="Arial" w:cs="Arial"/>
        </w:rPr>
      </w:pPr>
    </w:p>
    <w:p w14:paraId="636D844E" w14:textId="77777777" w:rsidR="00AC54BF" w:rsidRDefault="00B06631" w:rsidP="001F49C9">
      <w:pPr>
        <w:spacing w:after="0" w:line="240" w:lineRule="auto"/>
        <w:contextualSpacing/>
        <w:jc w:val="both"/>
        <w:rPr>
          <w:rFonts w:ascii="Arial" w:hAnsi="Arial" w:cs="Arial"/>
        </w:rPr>
      </w:pPr>
      <w:r w:rsidRPr="00522F77">
        <w:rPr>
          <w:rFonts w:ascii="Arial" w:hAnsi="Arial" w:cs="Arial"/>
        </w:rPr>
        <w:t xml:space="preserve">Por otro lado, en términos tributarios el sector </w:t>
      </w:r>
      <w:r w:rsidR="0015660A" w:rsidRPr="00522F77">
        <w:rPr>
          <w:rFonts w:ascii="Arial" w:hAnsi="Arial" w:cs="Arial"/>
        </w:rPr>
        <w:t>h</w:t>
      </w:r>
      <w:r w:rsidRPr="00522F77">
        <w:rPr>
          <w:rFonts w:ascii="Arial" w:hAnsi="Arial" w:cs="Arial"/>
        </w:rPr>
        <w:t>a tenido vulnerabilidades, la cual se ha procesado de manera diversa a</w:t>
      </w:r>
      <w:r w:rsidR="009160C6" w:rsidRPr="00522F77">
        <w:rPr>
          <w:rFonts w:ascii="Arial" w:hAnsi="Arial" w:cs="Arial"/>
        </w:rPr>
        <w:t xml:space="preserve"> </w:t>
      </w:r>
      <w:r w:rsidRPr="00522F77">
        <w:rPr>
          <w:rFonts w:ascii="Arial" w:hAnsi="Arial" w:cs="Arial"/>
        </w:rPr>
        <w:t xml:space="preserve">través de las diferentes ramas del sector. </w:t>
      </w:r>
    </w:p>
    <w:p w14:paraId="139706D7" w14:textId="0B5F55DC" w:rsidR="00B06631" w:rsidRPr="00522F77" w:rsidRDefault="00B06631" w:rsidP="001F49C9">
      <w:pPr>
        <w:spacing w:after="0" w:line="240" w:lineRule="auto"/>
        <w:contextualSpacing/>
        <w:jc w:val="both"/>
        <w:rPr>
          <w:rFonts w:ascii="Arial" w:hAnsi="Arial" w:cs="Arial"/>
        </w:rPr>
      </w:pPr>
      <w:r w:rsidRPr="00522F77">
        <w:rPr>
          <w:rFonts w:ascii="Arial" w:hAnsi="Arial" w:cs="Arial"/>
        </w:rPr>
        <w:lastRenderedPageBreak/>
        <w:t xml:space="preserve">Por un </w:t>
      </w:r>
      <w:r w:rsidR="00FA707F" w:rsidRPr="00522F77">
        <w:rPr>
          <w:rFonts w:ascii="Arial" w:hAnsi="Arial" w:cs="Arial"/>
        </w:rPr>
        <w:t>lado,</w:t>
      </w:r>
      <w:r w:rsidRPr="00522F77">
        <w:rPr>
          <w:rFonts w:ascii="Arial" w:hAnsi="Arial" w:cs="Arial"/>
        </w:rPr>
        <w:t xml:space="preserve"> el comercio electrónico se ha mostrado inconforme con el gravamen a las plataformas tecnológicas internacionales, el sector de telecomunicaciones igualmente se manifestó de manera negativa ante la decisión tomada a finales de 2016 de gravar </w:t>
      </w:r>
      <w:r w:rsidR="00FA707F" w:rsidRPr="00522F77">
        <w:rPr>
          <w:rFonts w:ascii="Arial" w:hAnsi="Arial" w:cs="Arial"/>
        </w:rPr>
        <w:t>aún</w:t>
      </w:r>
      <w:r w:rsidRPr="00522F77">
        <w:rPr>
          <w:rFonts w:ascii="Arial" w:hAnsi="Arial" w:cs="Arial"/>
        </w:rPr>
        <w:t xml:space="preserve"> mas los servicios de telefonía móvil y datos, finalmente la industria de software expuso su preocupación de una posible recesión de la innovación al ver afectado el beneficio fiscal con el que cuenta la industria hace </w:t>
      </w:r>
      <w:r w:rsidR="00FA707F" w:rsidRPr="00522F77">
        <w:rPr>
          <w:rFonts w:ascii="Arial" w:hAnsi="Arial" w:cs="Arial"/>
        </w:rPr>
        <w:t>más</w:t>
      </w:r>
      <w:r w:rsidRPr="00522F77">
        <w:rPr>
          <w:rFonts w:ascii="Arial" w:hAnsi="Arial" w:cs="Arial"/>
        </w:rPr>
        <w:t xml:space="preserve"> de 14 años. </w:t>
      </w:r>
    </w:p>
    <w:p w14:paraId="23EE2559" w14:textId="77777777" w:rsidR="00B06631" w:rsidRPr="00522F77" w:rsidRDefault="00B06631" w:rsidP="001F49C9">
      <w:pPr>
        <w:spacing w:after="0" w:line="240" w:lineRule="auto"/>
        <w:contextualSpacing/>
        <w:jc w:val="both"/>
        <w:rPr>
          <w:rFonts w:ascii="Arial" w:hAnsi="Arial" w:cs="Arial"/>
        </w:rPr>
      </w:pPr>
    </w:p>
    <w:p w14:paraId="021B8680" w14:textId="77777777" w:rsidR="00B06631" w:rsidRPr="00522F77" w:rsidRDefault="00B06631" w:rsidP="001F49C9">
      <w:pPr>
        <w:spacing w:after="0" w:line="240" w:lineRule="auto"/>
        <w:contextualSpacing/>
        <w:jc w:val="both"/>
        <w:rPr>
          <w:rFonts w:ascii="Arial" w:hAnsi="Arial" w:cs="Arial"/>
        </w:rPr>
      </w:pPr>
      <w:r w:rsidRPr="00522F77">
        <w:rPr>
          <w:rFonts w:ascii="Arial" w:hAnsi="Arial" w:cs="Arial"/>
        </w:rPr>
        <w:t xml:space="preserve">No obstante, en términos tributarios parte del sector también tubo oportunidades de mejora, como es el caso de la educación virtual para el desarrollo de contenidos digitales, así mismo, no existe gravámenes sobre el suministro de </w:t>
      </w:r>
      <w:r w:rsidR="00FA707F" w:rsidRPr="00522F77">
        <w:rPr>
          <w:rFonts w:ascii="Arial" w:hAnsi="Arial" w:cs="Arial"/>
        </w:rPr>
        <w:t>páginas</w:t>
      </w:r>
      <w:r w:rsidRPr="00522F77">
        <w:rPr>
          <w:rFonts w:ascii="Arial" w:hAnsi="Arial" w:cs="Arial"/>
        </w:rPr>
        <w:t xml:space="preserve"> web, servidores de hosting, y cloud computing. Lo anterior concluye al impulso sobre las ramas del sector mencionadas.</w:t>
      </w:r>
    </w:p>
    <w:p w14:paraId="750394B1" w14:textId="77777777" w:rsidR="00B06631" w:rsidRPr="00522F77" w:rsidRDefault="00B06631" w:rsidP="001F49C9">
      <w:pPr>
        <w:spacing w:after="0" w:line="240" w:lineRule="auto"/>
        <w:contextualSpacing/>
        <w:jc w:val="both"/>
        <w:rPr>
          <w:rFonts w:ascii="Arial" w:hAnsi="Arial" w:cs="Arial"/>
        </w:rPr>
      </w:pPr>
    </w:p>
    <w:p w14:paraId="256C5359" w14:textId="127162DB" w:rsidR="00B06631" w:rsidRPr="00522F77" w:rsidRDefault="00B06631" w:rsidP="001F49C9">
      <w:pPr>
        <w:spacing w:after="0" w:line="240" w:lineRule="auto"/>
        <w:contextualSpacing/>
        <w:jc w:val="both"/>
        <w:rPr>
          <w:rFonts w:ascii="Arial" w:hAnsi="Arial" w:cs="Arial"/>
        </w:rPr>
      </w:pPr>
      <w:r w:rsidRPr="00522F77">
        <w:rPr>
          <w:rFonts w:ascii="Arial" w:hAnsi="Arial" w:cs="Arial"/>
        </w:rPr>
        <w:t>Ahora bien, pese al buen panorama del sector en Colombia y como se estableció durante el año 201</w:t>
      </w:r>
      <w:r w:rsidR="00187743">
        <w:rPr>
          <w:rFonts w:ascii="Arial" w:hAnsi="Arial" w:cs="Arial"/>
        </w:rPr>
        <w:t>8</w:t>
      </w:r>
      <w:r w:rsidRPr="00522F77">
        <w:rPr>
          <w:rFonts w:ascii="Arial" w:hAnsi="Arial" w:cs="Arial"/>
        </w:rPr>
        <w:t>, existen aún desafíos por lograr, teniendo en cuenta la variabilidad y versatilidad del sector, todo con el fin de seguir impulsando el crecimiento de la industria. Esta versatilidad se ve representada en el sector de telecomunicaciones el cual no ha contado igual con un buen panorama; sin embargo, hay que tener en cuenta que el objeto del presente proceso se enfoca al sector de tecnológicas de información dentro del ámbito de servidores hosting, y en el análisis se puede corroborar que dentro del sector existe una gran variedad de empresas que pueden prestar el servicio, dichas empresas son industria colombiana e igualmente inversión extranjera y se distribuye, como se ha analizado, tanto pymes como en grandes empresas. Dentro de estas grandes empresas se encuentran los “gigantes” que por su principal actividad económica se encuentran dentro del subsector de telecomunicaciones pero que a su vez prestan otros servicios, tales como el requerido con servidores de hosting.</w:t>
      </w:r>
    </w:p>
    <w:p w14:paraId="47C65047" w14:textId="77777777" w:rsidR="00B06631" w:rsidRPr="00522F77" w:rsidRDefault="00B06631" w:rsidP="001F49C9">
      <w:pPr>
        <w:spacing w:after="0" w:line="240" w:lineRule="auto"/>
        <w:contextualSpacing/>
        <w:jc w:val="both"/>
        <w:rPr>
          <w:rFonts w:ascii="Arial" w:hAnsi="Arial" w:cs="Arial"/>
        </w:rPr>
      </w:pPr>
    </w:p>
    <w:p w14:paraId="1E02908E" w14:textId="77777777" w:rsidR="00B06631" w:rsidRPr="00522F77" w:rsidRDefault="00B06631" w:rsidP="001F49C9">
      <w:pPr>
        <w:spacing w:after="0" w:line="240" w:lineRule="auto"/>
        <w:contextualSpacing/>
        <w:jc w:val="both"/>
        <w:rPr>
          <w:rFonts w:ascii="Arial" w:hAnsi="Arial" w:cs="Arial"/>
        </w:rPr>
      </w:pPr>
      <w:r w:rsidRPr="00522F77">
        <w:rPr>
          <w:rFonts w:ascii="Arial" w:hAnsi="Arial" w:cs="Arial"/>
        </w:rPr>
        <w:t>La principal razón por la cual el sector de telecomunicaciones se ha visto afectado, es una clara falta de garantías en su funcionamiento del país. Por lo cual, empresas “gigantes” tales como: Une, Claro, Tigo, Movistar, están en periodos (dado el estado del sector telecomunicaciones) donde la iniciativa es no invertir pues no hay espacio en la economía para ello.</w:t>
      </w:r>
    </w:p>
    <w:p w14:paraId="63706C7A" w14:textId="77777777" w:rsidR="00B06631" w:rsidRPr="00522F77" w:rsidRDefault="00B06631" w:rsidP="001F49C9">
      <w:pPr>
        <w:spacing w:after="0" w:line="240" w:lineRule="auto"/>
        <w:contextualSpacing/>
        <w:jc w:val="both"/>
        <w:rPr>
          <w:rFonts w:ascii="Arial" w:hAnsi="Arial" w:cs="Arial"/>
        </w:rPr>
      </w:pPr>
    </w:p>
    <w:p w14:paraId="6AFE7CCD" w14:textId="77777777" w:rsidR="00B06631" w:rsidRPr="00522F77" w:rsidRDefault="00B06631" w:rsidP="001F49C9">
      <w:pPr>
        <w:spacing w:after="0" w:line="240" w:lineRule="auto"/>
        <w:contextualSpacing/>
        <w:jc w:val="both"/>
        <w:rPr>
          <w:rFonts w:ascii="Arial" w:hAnsi="Arial" w:cs="Arial"/>
        </w:rPr>
      </w:pPr>
      <w:r w:rsidRPr="00522F77">
        <w:rPr>
          <w:rFonts w:ascii="Arial" w:hAnsi="Arial" w:cs="Arial"/>
        </w:rPr>
        <w:t>En términos generales, desde el año 2016, la industria ha presentado rendimientos negativos por consecutivo de 8 trimestres seguidos, con lo cual se concluye que efectivamente existe una recesión sobre este subsector de telecomunicaciones derivado del sector de tecnologías de la información y la comunicación.</w:t>
      </w:r>
    </w:p>
    <w:p w14:paraId="4006C7AC" w14:textId="77777777" w:rsidR="00B06631" w:rsidRPr="00522F77" w:rsidRDefault="00B06631" w:rsidP="001F49C9">
      <w:pPr>
        <w:spacing w:after="0" w:line="240" w:lineRule="auto"/>
        <w:contextualSpacing/>
        <w:jc w:val="both"/>
        <w:rPr>
          <w:rFonts w:ascii="Arial" w:hAnsi="Arial" w:cs="Arial"/>
        </w:rPr>
      </w:pPr>
    </w:p>
    <w:p w14:paraId="5F26ED6B" w14:textId="77777777" w:rsidR="00B06631" w:rsidRPr="00522F77" w:rsidRDefault="00B06631" w:rsidP="001F49C9">
      <w:pPr>
        <w:spacing w:after="0" w:line="240" w:lineRule="auto"/>
        <w:contextualSpacing/>
        <w:jc w:val="both"/>
        <w:rPr>
          <w:rFonts w:ascii="Arial" w:hAnsi="Arial" w:cs="Arial"/>
        </w:rPr>
      </w:pPr>
      <w:r w:rsidRPr="00522F77">
        <w:rPr>
          <w:rFonts w:ascii="Arial" w:hAnsi="Arial" w:cs="Arial"/>
        </w:rPr>
        <w:t>Como ya se mencionó, el objeto del proceso se centra en servicios de servidores hosting, el cual se encuentra dentro del sector de tecnologías de software e información, pero que al tener un componente de mercado que pertenece a las grandes empresas de telecomunicaciones se ve levemente afecto por el estado de esta industria. Sin embargo, la principal conclusión es que el sector alrededor del cual se va a ejecutar el objeto tiene una mayor participación de empresas relacionadas a los servicios de software e información, y este sector representó grandes crecimientos dentro de la industria colombiana.</w:t>
      </w:r>
    </w:p>
    <w:p w14:paraId="694F5D5A" w14:textId="77777777" w:rsidR="000710CA" w:rsidRPr="00522F77" w:rsidRDefault="000710CA" w:rsidP="001F49C9">
      <w:pPr>
        <w:spacing w:after="0" w:line="240" w:lineRule="auto"/>
        <w:contextualSpacing/>
        <w:jc w:val="both"/>
        <w:rPr>
          <w:rFonts w:ascii="Arial" w:hAnsi="Arial" w:cs="Arial"/>
        </w:rPr>
      </w:pPr>
    </w:p>
    <w:p w14:paraId="08C02CFC" w14:textId="6C8D2F4E" w:rsidR="00051336" w:rsidRPr="00522F77" w:rsidRDefault="00AC54BF" w:rsidP="00522F77">
      <w:pPr>
        <w:pStyle w:val="Prrafodelista"/>
        <w:numPr>
          <w:ilvl w:val="0"/>
          <w:numId w:val="2"/>
        </w:numPr>
        <w:spacing w:line="240" w:lineRule="auto"/>
        <w:ind w:left="567" w:hanging="567"/>
        <w:jc w:val="both"/>
        <w:rPr>
          <w:rFonts w:ascii="Arial" w:hAnsi="Arial" w:cs="Arial"/>
          <w:b/>
          <w:bCs/>
        </w:rPr>
      </w:pPr>
      <w:r w:rsidRPr="00522F77">
        <w:rPr>
          <w:rFonts w:ascii="Arial" w:hAnsi="Arial" w:cs="Arial"/>
          <w:b/>
          <w:bCs/>
        </w:rPr>
        <w:t xml:space="preserve">ANÁLISIS MICROECONÓMICO DEL SECTOR DE ESTUDIO.  (SECTOR DE TECNOLOGÍAS DE LA INFORMACIÓN Y LA COMUNICACIÓN) </w:t>
      </w:r>
    </w:p>
    <w:p w14:paraId="21A86AB5" w14:textId="77777777" w:rsidR="00FE4177" w:rsidRPr="00522F77" w:rsidRDefault="00FE4177" w:rsidP="00522F77">
      <w:pPr>
        <w:spacing w:after="0" w:line="240" w:lineRule="auto"/>
        <w:contextualSpacing/>
        <w:jc w:val="both"/>
        <w:rPr>
          <w:rFonts w:ascii="Arial" w:hAnsi="Arial" w:cs="Arial"/>
        </w:rPr>
      </w:pPr>
    </w:p>
    <w:p w14:paraId="4F8A71F9" w14:textId="77777777" w:rsidR="00051336" w:rsidRPr="00522F77" w:rsidRDefault="00051336" w:rsidP="00522F77">
      <w:pPr>
        <w:spacing w:after="0" w:line="240" w:lineRule="auto"/>
        <w:contextualSpacing/>
        <w:jc w:val="both"/>
        <w:rPr>
          <w:rFonts w:ascii="Arial" w:hAnsi="Arial" w:cs="Arial"/>
        </w:rPr>
      </w:pPr>
      <w:r w:rsidRPr="00522F77">
        <w:rPr>
          <w:rFonts w:ascii="Arial" w:hAnsi="Arial" w:cs="Arial"/>
        </w:rPr>
        <w:t xml:space="preserve">El sector de tecnologías de la información y comunicación en Colombia ha tenido en términos generales rendimientos positivos en el último año. Según estadísticas del sector, las variaciones de crecimientos han tenido tendencias positivas debido a la innovación y al crecimiento exponencial que se vive, no solo en Colombia, sino a nivel global en los mercados tecnológicos, donde hoy en día la implementación de sistemas que optimicen procesos y hagan más eficiente el uso de los recursos, </w:t>
      </w:r>
      <w:r w:rsidRPr="00522F77">
        <w:rPr>
          <w:rFonts w:ascii="Arial" w:hAnsi="Arial" w:cs="Arial"/>
        </w:rPr>
        <w:lastRenderedPageBreak/>
        <w:t xml:space="preserve">es más común y tiene mayor acogida. Lo anterior viene de la mano con los procesos de optimización de recursos para la producción de sistemas tecnológicos, donde en pocas palabras, hacer tecnología se ha vuelto más económico y rentable para las empresas.  </w:t>
      </w:r>
    </w:p>
    <w:p w14:paraId="6814801D" w14:textId="105FB4CE" w:rsidR="00051336" w:rsidRPr="00522F77" w:rsidRDefault="00051336" w:rsidP="00522F77">
      <w:pPr>
        <w:spacing w:after="0" w:line="240" w:lineRule="auto"/>
        <w:contextualSpacing/>
        <w:jc w:val="both"/>
        <w:rPr>
          <w:rFonts w:ascii="Arial" w:hAnsi="Arial" w:cs="Arial"/>
        </w:rPr>
      </w:pPr>
      <w:r w:rsidRPr="00522F77">
        <w:rPr>
          <w:rFonts w:ascii="Arial" w:hAnsi="Arial" w:cs="Arial"/>
        </w:rPr>
        <w:t>Citando a Pro</w:t>
      </w:r>
      <w:r w:rsidR="001F49C9">
        <w:rPr>
          <w:rFonts w:ascii="Arial" w:hAnsi="Arial" w:cs="Arial"/>
        </w:rPr>
        <w:t>C</w:t>
      </w:r>
      <w:r w:rsidRPr="00522F77">
        <w:rPr>
          <w:rFonts w:ascii="Arial" w:hAnsi="Arial" w:cs="Arial"/>
        </w:rPr>
        <w:t xml:space="preserve">olombia en un balance general del sector en el último año, se puede categorizar dicho balance como positivo en Colombia debido a dos grandes razones:  </w:t>
      </w:r>
    </w:p>
    <w:p w14:paraId="7583C7E0" w14:textId="77777777" w:rsidR="002D6FE4" w:rsidRPr="00522F77" w:rsidRDefault="002D6FE4" w:rsidP="00522F77">
      <w:pPr>
        <w:spacing w:after="0" w:line="240" w:lineRule="auto"/>
        <w:contextualSpacing/>
        <w:jc w:val="both"/>
        <w:rPr>
          <w:rFonts w:ascii="Arial" w:hAnsi="Arial" w:cs="Arial"/>
        </w:rPr>
      </w:pPr>
    </w:p>
    <w:p w14:paraId="6B7D30F1" w14:textId="23FFAD06" w:rsidR="00A34816" w:rsidRPr="00001796" w:rsidRDefault="00051336" w:rsidP="00001796">
      <w:pPr>
        <w:pStyle w:val="Prrafodelista"/>
        <w:numPr>
          <w:ilvl w:val="0"/>
          <w:numId w:val="3"/>
        </w:numPr>
        <w:spacing w:line="240" w:lineRule="auto"/>
        <w:ind w:left="567" w:hanging="567"/>
        <w:jc w:val="both"/>
        <w:rPr>
          <w:rFonts w:ascii="Arial" w:hAnsi="Arial" w:cs="Arial"/>
        </w:rPr>
      </w:pPr>
      <w:r w:rsidRPr="00522F77">
        <w:rPr>
          <w:rFonts w:ascii="Arial" w:hAnsi="Arial" w:cs="Arial"/>
        </w:rPr>
        <w:t>La primera: Pro</w:t>
      </w:r>
      <w:r w:rsidR="001F49C9">
        <w:rPr>
          <w:rFonts w:ascii="Arial" w:hAnsi="Arial" w:cs="Arial"/>
        </w:rPr>
        <w:t>C</w:t>
      </w:r>
      <w:r w:rsidRPr="00522F77">
        <w:rPr>
          <w:rFonts w:ascii="Arial" w:hAnsi="Arial" w:cs="Arial"/>
        </w:rPr>
        <w:t xml:space="preserve">olombia reveló que, para principios de este mes, el país había exportado US$169 millones en servicios de industrias creativas digitales, una cifra récord que demuestra que las empresas de tecnología con talento local pueden competir sin muchas dificultades en el exterior. </w:t>
      </w:r>
    </w:p>
    <w:p w14:paraId="3CCB818A" w14:textId="77777777" w:rsidR="00051336" w:rsidRPr="00522F77" w:rsidRDefault="00051336" w:rsidP="00522F77">
      <w:pPr>
        <w:pStyle w:val="Prrafodelista"/>
        <w:numPr>
          <w:ilvl w:val="0"/>
          <w:numId w:val="3"/>
        </w:numPr>
        <w:spacing w:line="240" w:lineRule="auto"/>
        <w:ind w:left="567" w:hanging="567"/>
        <w:jc w:val="both"/>
        <w:rPr>
          <w:rFonts w:ascii="Arial" w:hAnsi="Arial" w:cs="Arial"/>
        </w:rPr>
      </w:pPr>
      <w:r w:rsidRPr="00522F77">
        <w:rPr>
          <w:rFonts w:ascii="Arial" w:hAnsi="Arial" w:cs="Arial"/>
        </w:rPr>
        <w:t xml:space="preserve">La segunda: Los empresarios del sector confirman que el país se ha venido consolidando como uno de los destinos preferidos de América Latina para las empresas multinacionales proveedoras de servicios de seguridad digital y redes de infraestructura en línea.  </w:t>
      </w:r>
    </w:p>
    <w:p w14:paraId="66356BDD" w14:textId="77777777" w:rsidR="002D6FE4" w:rsidRPr="00522F77" w:rsidRDefault="002D6FE4" w:rsidP="00522F77">
      <w:pPr>
        <w:spacing w:after="0" w:line="240" w:lineRule="auto"/>
        <w:contextualSpacing/>
        <w:jc w:val="both"/>
        <w:rPr>
          <w:rFonts w:ascii="Arial" w:hAnsi="Arial" w:cs="Arial"/>
        </w:rPr>
      </w:pPr>
    </w:p>
    <w:p w14:paraId="2A77EA3C" w14:textId="77777777" w:rsidR="00051336" w:rsidRPr="00522F77" w:rsidRDefault="00051336" w:rsidP="00522F77">
      <w:pPr>
        <w:spacing w:after="0" w:line="240" w:lineRule="auto"/>
        <w:contextualSpacing/>
        <w:jc w:val="both"/>
        <w:rPr>
          <w:rFonts w:ascii="Arial" w:hAnsi="Arial" w:cs="Arial"/>
        </w:rPr>
      </w:pPr>
      <w:r w:rsidRPr="00522F77">
        <w:rPr>
          <w:rFonts w:ascii="Arial" w:hAnsi="Arial" w:cs="Arial"/>
        </w:rPr>
        <w:t>El sector TIC en Colombia es evaluado desde varios puntos de vista. Por un lado, se establecen las consideraciones a como los procesos de Innovación y Desarrollo (I+D) se han ido afianzando en el país, logrando mejores coberturas y llevando a Colombia a ser un país en desarrollo con niveles tecnológicos en crecimiento en todas sus industrias. Para ello, el Ministerio de Tecnologías de la Información y Comunicación, de aquí en adelante “</w:t>
      </w:r>
      <w:r w:rsidR="0070270F" w:rsidRPr="00522F77">
        <w:rPr>
          <w:rFonts w:ascii="Arial" w:hAnsi="Arial" w:cs="Arial"/>
        </w:rPr>
        <w:t xml:space="preserve">Mintic”, </w:t>
      </w:r>
      <w:r w:rsidRPr="00522F77">
        <w:rPr>
          <w:rFonts w:ascii="Arial" w:hAnsi="Arial" w:cs="Arial"/>
        </w:rPr>
        <w:t xml:space="preserve">evalúa los niveles de desarrollo e innovación en gran medida, por los porcentajes de coberturas en el país de accesos a internet y tecnología.  </w:t>
      </w:r>
    </w:p>
    <w:p w14:paraId="5561B751" w14:textId="77777777" w:rsidR="002D6FE4" w:rsidRPr="00522F77" w:rsidRDefault="002D6FE4" w:rsidP="00522F77">
      <w:pPr>
        <w:spacing w:after="0" w:line="240" w:lineRule="auto"/>
        <w:contextualSpacing/>
        <w:jc w:val="both"/>
        <w:rPr>
          <w:rFonts w:ascii="Arial" w:hAnsi="Arial" w:cs="Arial"/>
        </w:rPr>
      </w:pPr>
    </w:p>
    <w:p w14:paraId="20C28F1F" w14:textId="77777777" w:rsidR="00051336" w:rsidRPr="00522F77" w:rsidRDefault="00051336" w:rsidP="00522F77">
      <w:pPr>
        <w:spacing w:after="0" w:line="240" w:lineRule="auto"/>
        <w:contextualSpacing/>
        <w:jc w:val="both"/>
        <w:rPr>
          <w:rFonts w:ascii="Arial" w:hAnsi="Arial" w:cs="Arial"/>
        </w:rPr>
      </w:pPr>
      <w:r w:rsidRPr="00522F77">
        <w:rPr>
          <w:rFonts w:ascii="Arial" w:hAnsi="Arial" w:cs="Arial"/>
        </w:rPr>
        <w:t xml:space="preserve">Ahora bien, el sondeo en cuanto a niveles de cobertura y el acceso a tecnologías de la información, genera un panorama macro sobre las condiciones del país en sus niveles de adaptación a los nuevos procesos tecnológicos que se acoplan al </w:t>
      </w:r>
      <w:r w:rsidR="00FA707F" w:rsidRPr="00522F77">
        <w:rPr>
          <w:rFonts w:ascii="Arial" w:hAnsi="Arial" w:cs="Arial"/>
        </w:rPr>
        <w:t>día en</w:t>
      </w:r>
      <w:r w:rsidRPr="00522F77">
        <w:rPr>
          <w:rFonts w:ascii="Arial" w:hAnsi="Arial" w:cs="Arial"/>
        </w:rPr>
        <w:t xml:space="preserve"> toda la población colombiana. Sin embargo, el análisis que se debe abordar es el correspondiente al análisis del mercado que ejecutan los procesos de innovación a través de tecnologías informáticas o de software. En este caso, como ya se mencionó, Colombia se encuentra en altos niveles de crecimiento con mayor recepción de economías internacionales a invertir en el país, lo cual ha impulsado el sector.  </w:t>
      </w:r>
    </w:p>
    <w:p w14:paraId="62F952EE" w14:textId="77777777" w:rsidR="0091789E" w:rsidRPr="00522F77" w:rsidRDefault="0091789E" w:rsidP="00522F77">
      <w:pPr>
        <w:spacing w:after="0" w:line="240" w:lineRule="auto"/>
        <w:contextualSpacing/>
        <w:jc w:val="both"/>
        <w:rPr>
          <w:rFonts w:ascii="Arial" w:hAnsi="Arial" w:cs="Arial"/>
        </w:rPr>
      </w:pPr>
    </w:p>
    <w:p w14:paraId="11EF56EB" w14:textId="62E6565D" w:rsidR="00051336" w:rsidRPr="00522F77" w:rsidRDefault="00051336" w:rsidP="00522F77">
      <w:pPr>
        <w:spacing w:after="0" w:line="240" w:lineRule="auto"/>
        <w:contextualSpacing/>
        <w:jc w:val="both"/>
        <w:rPr>
          <w:rFonts w:ascii="Arial" w:hAnsi="Arial" w:cs="Arial"/>
        </w:rPr>
      </w:pPr>
      <w:r w:rsidRPr="00522F77">
        <w:rPr>
          <w:rFonts w:ascii="Arial" w:hAnsi="Arial" w:cs="Arial"/>
        </w:rPr>
        <w:t xml:space="preserve">El </w:t>
      </w:r>
      <w:r w:rsidR="004E7806">
        <w:rPr>
          <w:rFonts w:ascii="Arial" w:hAnsi="Arial" w:cs="Arial"/>
        </w:rPr>
        <w:t>c</w:t>
      </w:r>
      <w:r w:rsidR="001F49C9">
        <w:rPr>
          <w:rFonts w:ascii="Arial" w:hAnsi="Arial" w:cs="Arial"/>
        </w:rPr>
        <w:t>recimient</w:t>
      </w:r>
      <w:r w:rsidRPr="00522F77">
        <w:rPr>
          <w:rFonts w:ascii="Arial" w:hAnsi="Arial" w:cs="Arial"/>
        </w:rPr>
        <w:t xml:space="preserve">o en las exportaciones del sector TIC, que en los últimos cinco años alcanzó los US$528 millones y benefició a 2.800 pequeñas empresas, se logró, entre otros motivos, por la puesta en marcha de ferias internacionales especializadas en compartir soluciones tecnológicas específicas para las distintas industrias, y por la asesoría y el acompañamiento de entidades como Innpulsa, el Mintic y ProColombia. </w:t>
      </w:r>
    </w:p>
    <w:p w14:paraId="2BF20231" w14:textId="77777777" w:rsidR="007A5827" w:rsidRDefault="007A5827" w:rsidP="00522F77">
      <w:pPr>
        <w:spacing w:after="0" w:line="240" w:lineRule="auto"/>
        <w:contextualSpacing/>
        <w:jc w:val="both"/>
        <w:rPr>
          <w:rFonts w:ascii="Arial" w:hAnsi="Arial" w:cs="Arial"/>
        </w:rPr>
      </w:pPr>
    </w:p>
    <w:p w14:paraId="00A54281" w14:textId="779517C1" w:rsidR="00437F0F" w:rsidRDefault="00BF489A" w:rsidP="00522F77">
      <w:pPr>
        <w:spacing w:after="0" w:line="240" w:lineRule="auto"/>
        <w:contextualSpacing/>
        <w:jc w:val="both"/>
        <w:rPr>
          <w:rFonts w:ascii="Arial" w:hAnsi="Arial" w:cs="Arial"/>
        </w:rPr>
      </w:pPr>
      <w:r>
        <w:rPr>
          <w:rFonts w:ascii="Arial" w:hAnsi="Arial" w:cs="Arial"/>
        </w:rPr>
        <w:t>De acuerdo con la e</w:t>
      </w:r>
      <w:r w:rsidRPr="00BF489A">
        <w:rPr>
          <w:rFonts w:ascii="Arial" w:hAnsi="Arial" w:cs="Arial"/>
        </w:rPr>
        <w:t>ncuesta de transformación digital 2019</w:t>
      </w:r>
      <w:r w:rsidR="006155BE">
        <w:rPr>
          <w:rFonts w:ascii="Arial" w:hAnsi="Arial" w:cs="Arial"/>
        </w:rPr>
        <w:t xml:space="preserve"> realizada por la </w:t>
      </w:r>
      <w:r w:rsidR="006155BE" w:rsidRPr="006155BE">
        <w:rPr>
          <w:rFonts w:ascii="Arial" w:hAnsi="Arial" w:cs="Arial"/>
        </w:rPr>
        <w:t>Asociación Nacional de Empresarios de Colombia (ANDI)</w:t>
      </w:r>
      <w:r w:rsidR="00AA2CC0">
        <w:rPr>
          <w:rFonts w:ascii="Arial" w:hAnsi="Arial" w:cs="Arial"/>
        </w:rPr>
        <w:t xml:space="preserve">, </w:t>
      </w:r>
      <w:r w:rsidR="00AA2CC0" w:rsidRPr="00AA2CC0">
        <w:rPr>
          <w:rFonts w:ascii="Arial" w:hAnsi="Arial" w:cs="Arial"/>
        </w:rPr>
        <w:t xml:space="preserve">el porcentaje de </w:t>
      </w:r>
      <w:r w:rsidR="00AA2CC0">
        <w:rPr>
          <w:rFonts w:ascii="Arial" w:hAnsi="Arial" w:cs="Arial"/>
        </w:rPr>
        <w:t>empresas</w:t>
      </w:r>
      <w:r w:rsidR="00AA2CC0" w:rsidRPr="00AA2CC0">
        <w:rPr>
          <w:rFonts w:ascii="Arial" w:hAnsi="Arial" w:cs="Arial"/>
        </w:rPr>
        <w:t xml:space="preserve"> que respondió positivamente respecto a la pregunta de si cuentan con una estrategia de transformación digital, demuestra un significativo avance en los últimos años. Como se puede observar en la gráfic</w:t>
      </w:r>
      <w:r w:rsidR="00AA2CC0">
        <w:rPr>
          <w:rFonts w:ascii="Arial" w:hAnsi="Arial" w:cs="Arial"/>
        </w:rPr>
        <w:t>a mostrada a continuación</w:t>
      </w:r>
      <w:r w:rsidR="00AA2CC0" w:rsidRPr="00AA2CC0">
        <w:rPr>
          <w:rFonts w:ascii="Arial" w:hAnsi="Arial" w:cs="Arial"/>
        </w:rPr>
        <w:t>, en el año 2019, el 63,5% de las empresas encuestadas respondieron que si contaban con una estrategia de transformación digital, el cual, comparado con un 58,4% en el año 2017, indica un crecimiento sobre el 25,1% de las empresas de la encuesta para el año 2016</w:t>
      </w:r>
      <w:r w:rsidR="00AA2CC0">
        <w:rPr>
          <w:rFonts w:ascii="Arial" w:hAnsi="Arial" w:cs="Arial"/>
        </w:rPr>
        <w:t>.</w:t>
      </w:r>
    </w:p>
    <w:p w14:paraId="2DBD4718" w14:textId="68C0E646" w:rsidR="00B306EF" w:rsidRDefault="00B306EF" w:rsidP="00522F77">
      <w:pPr>
        <w:spacing w:after="0" w:line="240" w:lineRule="auto"/>
        <w:contextualSpacing/>
        <w:jc w:val="both"/>
        <w:rPr>
          <w:rFonts w:ascii="Arial" w:hAnsi="Arial" w:cs="Arial"/>
        </w:rPr>
      </w:pPr>
    </w:p>
    <w:p w14:paraId="4BA00D0B" w14:textId="4910AE8B" w:rsidR="00B306EF" w:rsidRPr="00B306EF" w:rsidRDefault="00B306EF" w:rsidP="00052638">
      <w:pPr>
        <w:pStyle w:val="Descripcin"/>
        <w:keepNext/>
        <w:spacing w:after="0"/>
        <w:jc w:val="center"/>
        <w:rPr>
          <w:rFonts w:ascii="Arial" w:hAnsi="Arial" w:cs="Arial"/>
          <w:i w:val="0"/>
          <w:iCs w:val="0"/>
          <w:color w:val="auto"/>
          <w:sz w:val="20"/>
          <w:szCs w:val="20"/>
        </w:rPr>
      </w:pPr>
      <w:r w:rsidRPr="00B306EF">
        <w:rPr>
          <w:rFonts w:ascii="Arial" w:hAnsi="Arial" w:cs="Arial"/>
          <w:i w:val="0"/>
          <w:iCs w:val="0"/>
          <w:color w:val="auto"/>
          <w:sz w:val="20"/>
          <w:szCs w:val="20"/>
        </w:rPr>
        <w:lastRenderedPageBreak/>
        <w:t xml:space="preserve">Ilustración </w:t>
      </w:r>
      <w:r w:rsidRPr="00B306EF">
        <w:rPr>
          <w:rFonts w:ascii="Arial" w:hAnsi="Arial" w:cs="Arial"/>
          <w:i w:val="0"/>
          <w:iCs w:val="0"/>
          <w:color w:val="auto"/>
          <w:sz w:val="20"/>
          <w:szCs w:val="20"/>
        </w:rPr>
        <w:fldChar w:fldCharType="begin"/>
      </w:r>
      <w:r w:rsidRPr="00B306EF">
        <w:rPr>
          <w:rFonts w:ascii="Arial" w:hAnsi="Arial" w:cs="Arial"/>
          <w:i w:val="0"/>
          <w:iCs w:val="0"/>
          <w:color w:val="auto"/>
          <w:sz w:val="20"/>
          <w:szCs w:val="20"/>
        </w:rPr>
        <w:instrText xml:space="preserve"> SEQ Ilustración \* ARABIC </w:instrText>
      </w:r>
      <w:r w:rsidRPr="00B306EF">
        <w:rPr>
          <w:rFonts w:ascii="Arial" w:hAnsi="Arial" w:cs="Arial"/>
          <w:i w:val="0"/>
          <w:iCs w:val="0"/>
          <w:color w:val="auto"/>
          <w:sz w:val="20"/>
          <w:szCs w:val="20"/>
        </w:rPr>
        <w:fldChar w:fldCharType="separate"/>
      </w:r>
      <w:r w:rsidR="002100DA">
        <w:rPr>
          <w:rFonts w:ascii="Arial" w:hAnsi="Arial" w:cs="Arial"/>
          <w:i w:val="0"/>
          <w:iCs w:val="0"/>
          <w:noProof/>
          <w:color w:val="auto"/>
          <w:sz w:val="20"/>
          <w:szCs w:val="20"/>
        </w:rPr>
        <w:t>11</w:t>
      </w:r>
      <w:r w:rsidRPr="00B306EF">
        <w:rPr>
          <w:rFonts w:ascii="Arial" w:hAnsi="Arial" w:cs="Arial"/>
          <w:i w:val="0"/>
          <w:iCs w:val="0"/>
          <w:color w:val="auto"/>
          <w:sz w:val="20"/>
          <w:szCs w:val="20"/>
        </w:rPr>
        <w:fldChar w:fldCharType="end"/>
      </w:r>
      <w:r w:rsidRPr="00B306EF">
        <w:rPr>
          <w:rFonts w:ascii="Arial" w:hAnsi="Arial" w:cs="Arial"/>
          <w:i w:val="0"/>
          <w:iCs w:val="0"/>
          <w:color w:val="auto"/>
          <w:sz w:val="20"/>
          <w:szCs w:val="20"/>
        </w:rPr>
        <w:t>. Encuesta de Transformación Digital</w:t>
      </w:r>
      <w:r w:rsidR="00D77715">
        <w:rPr>
          <w:rFonts w:ascii="Arial" w:hAnsi="Arial" w:cs="Arial"/>
          <w:i w:val="0"/>
          <w:iCs w:val="0"/>
          <w:color w:val="auto"/>
          <w:sz w:val="20"/>
          <w:szCs w:val="20"/>
        </w:rPr>
        <w:t xml:space="preserve"> </w:t>
      </w:r>
    </w:p>
    <w:p w14:paraId="4B4EF048" w14:textId="2B1841A2" w:rsidR="00B306EF" w:rsidRDefault="00B306EF" w:rsidP="00052638">
      <w:pPr>
        <w:spacing w:after="0" w:line="240" w:lineRule="auto"/>
        <w:contextualSpacing/>
        <w:jc w:val="center"/>
        <w:rPr>
          <w:rFonts w:ascii="Arial" w:hAnsi="Arial" w:cs="Arial"/>
        </w:rPr>
      </w:pPr>
      <w:r>
        <w:rPr>
          <w:noProof/>
        </w:rPr>
        <w:drawing>
          <wp:inline distT="0" distB="0" distL="0" distR="0" wp14:anchorId="567749DB" wp14:editId="0AF1B552">
            <wp:extent cx="2465788" cy="2428875"/>
            <wp:effectExtent l="0" t="0" r="0" b="0"/>
            <wp:docPr id="96401834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pic:nvPicPr>
                  <pic:blipFill>
                    <a:blip r:embed="rId26">
                      <a:extLst>
                        <a:ext uri="{28A0092B-C50C-407E-A947-70E740481C1C}">
                          <a14:useLocalDpi xmlns:a14="http://schemas.microsoft.com/office/drawing/2010/main" val="0"/>
                        </a:ext>
                      </a:extLst>
                    </a:blip>
                    <a:stretch>
                      <a:fillRect/>
                    </a:stretch>
                  </pic:blipFill>
                  <pic:spPr>
                    <a:xfrm>
                      <a:off x="0" y="0"/>
                      <a:ext cx="2465788" cy="2428875"/>
                    </a:xfrm>
                    <a:prstGeom prst="rect">
                      <a:avLst/>
                    </a:prstGeom>
                  </pic:spPr>
                </pic:pic>
              </a:graphicData>
            </a:graphic>
          </wp:inline>
        </w:drawing>
      </w:r>
    </w:p>
    <w:p w14:paraId="5C9AB00D" w14:textId="60CBB908" w:rsidR="007A5827" w:rsidRPr="00052638" w:rsidRDefault="007A5827" w:rsidP="00052638">
      <w:pPr>
        <w:spacing w:after="0" w:line="240" w:lineRule="auto"/>
        <w:contextualSpacing/>
        <w:jc w:val="center"/>
        <w:rPr>
          <w:rFonts w:ascii="Arial" w:hAnsi="Arial" w:cs="Arial"/>
          <w:sz w:val="18"/>
          <w:szCs w:val="18"/>
        </w:rPr>
      </w:pPr>
      <w:r w:rsidRPr="00052638">
        <w:rPr>
          <w:rFonts w:ascii="Arial" w:hAnsi="Arial" w:cs="Arial"/>
          <w:sz w:val="18"/>
          <w:szCs w:val="18"/>
        </w:rPr>
        <w:t>Fuente: ANDI – Encuesta de Transformación Digital 2019</w:t>
      </w:r>
    </w:p>
    <w:p w14:paraId="35C88A9D" w14:textId="3585B18C" w:rsidR="00D77715" w:rsidRDefault="00D77715" w:rsidP="00052638">
      <w:pPr>
        <w:spacing w:after="0" w:line="240" w:lineRule="auto"/>
        <w:contextualSpacing/>
      </w:pPr>
    </w:p>
    <w:p w14:paraId="7E39943B" w14:textId="6A940836" w:rsidR="00466D77" w:rsidRPr="00466D77" w:rsidRDefault="00466D77" w:rsidP="00052638">
      <w:pPr>
        <w:pStyle w:val="Descripcin"/>
        <w:keepNext/>
        <w:spacing w:after="0"/>
        <w:jc w:val="center"/>
        <w:rPr>
          <w:rFonts w:ascii="Arial" w:hAnsi="Arial" w:cs="Arial"/>
          <w:i w:val="0"/>
          <w:iCs w:val="0"/>
          <w:color w:val="auto"/>
          <w:sz w:val="20"/>
          <w:szCs w:val="20"/>
        </w:rPr>
      </w:pPr>
      <w:r w:rsidRPr="00466D77">
        <w:rPr>
          <w:rFonts w:ascii="Arial" w:hAnsi="Arial" w:cs="Arial"/>
          <w:i w:val="0"/>
          <w:iCs w:val="0"/>
          <w:color w:val="auto"/>
          <w:sz w:val="20"/>
          <w:szCs w:val="20"/>
        </w:rPr>
        <w:t xml:space="preserve">Ilustración </w:t>
      </w:r>
      <w:r w:rsidRPr="00466D77">
        <w:rPr>
          <w:rFonts w:ascii="Arial" w:hAnsi="Arial" w:cs="Arial"/>
          <w:i w:val="0"/>
          <w:iCs w:val="0"/>
          <w:color w:val="auto"/>
          <w:sz w:val="20"/>
          <w:szCs w:val="20"/>
        </w:rPr>
        <w:fldChar w:fldCharType="begin"/>
      </w:r>
      <w:r w:rsidRPr="00466D77">
        <w:rPr>
          <w:rFonts w:ascii="Arial" w:hAnsi="Arial" w:cs="Arial"/>
          <w:i w:val="0"/>
          <w:iCs w:val="0"/>
          <w:color w:val="auto"/>
          <w:sz w:val="20"/>
          <w:szCs w:val="20"/>
        </w:rPr>
        <w:instrText xml:space="preserve"> SEQ Ilustración \* ARABIC </w:instrText>
      </w:r>
      <w:r w:rsidRPr="00466D77">
        <w:rPr>
          <w:rFonts w:ascii="Arial" w:hAnsi="Arial" w:cs="Arial"/>
          <w:i w:val="0"/>
          <w:iCs w:val="0"/>
          <w:color w:val="auto"/>
          <w:sz w:val="20"/>
          <w:szCs w:val="20"/>
        </w:rPr>
        <w:fldChar w:fldCharType="separate"/>
      </w:r>
      <w:r w:rsidR="002100DA">
        <w:rPr>
          <w:rFonts w:ascii="Arial" w:hAnsi="Arial" w:cs="Arial"/>
          <w:i w:val="0"/>
          <w:iCs w:val="0"/>
          <w:noProof/>
          <w:color w:val="auto"/>
          <w:sz w:val="20"/>
          <w:szCs w:val="20"/>
        </w:rPr>
        <w:t>12</w:t>
      </w:r>
      <w:r w:rsidRPr="00466D77">
        <w:rPr>
          <w:rFonts w:ascii="Arial" w:hAnsi="Arial" w:cs="Arial"/>
          <w:i w:val="0"/>
          <w:iCs w:val="0"/>
          <w:color w:val="auto"/>
          <w:sz w:val="20"/>
          <w:szCs w:val="20"/>
        </w:rPr>
        <w:fldChar w:fldCharType="end"/>
      </w:r>
      <w:r w:rsidRPr="00466D77">
        <w:rPr>
          <w:rFonts w:ascii="Arial" w:hAnsi="Arial" w:cs="Arial"/>
          <w:i w:val="0"/>
          <w:iCs w:val="0"/>
          <w:color w:val="auto"/>
          <w:sz w:val="20"/>
          <w:szCs w:val="20"/>
        </w:rPr>
        <w:t>. Encuesta de Transformación Digital por tipos de empresa</w:t>
      </w:r>
    </w:p>
    <w:p w14:paraId="64F925AB" w14:textId="016896D0" w:rsidR="00D77715" w:rsidRDefault="00D77715" w:rsidP="00052638">
      <w:pPr>
        <w:spacing w:after="0" w:line="240" w:lineRule="auto"/>
        <w:contextualSpacing/>
        <w:jc w:val="center"/>
        <w:rPr>
          <w:rFonts w:ascii="Arial" w:hAnsi="Arial" w:cs="Arial"/>
        </w:rPr>
      </w:pPr>
      <w:r>
        <w:rPr>
          <w:noProof/>
        </w:rPr>
        <w:drawing>
          <wp:inline distT="0" distB="0" distL="0" distR="0" wp14:anchorId="246E6223" wp14:editId="22F0A337">
            <wp:extent cx="2373150" cy="2381250"/>
            <wp:effectExtent l="0" t="0" r="8255" b="0"/>
            <wp:docPr id="71960274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pic:nvPicPr>
                  <pic:blipFill>
                    <a:blip r:embed="rId27">
                      <a:extLst>
                        <a:ext uri="{28A0092B-C50C-407E-A947-70E740481C1C}">
                          <a14:useLocalDpi xmlns:a14="http://schemas.microsoft.com/office/drawing/2010/main" val="0"/>
                        </a:ext>
                      </a:extLst>
                    </a:blip>
                    <a:stretch>
                      <a:fillRect/>
                    </a:stretch>
                  </pic:blipFill>
                  <pic:spPr>
                    <a:xfrm>
                      <a:off x="0" y="0"/>
                      <a:ext cx="2373150" cy="2381250"/>
                    </a:xfrm>
                    <a:prstGeom prst="rect">
                      <a:avLst/>
                    </a:prstGeom>
                  </pic:spPr>
                </pic:pic>
              </a:graphicData>
            </a:graphic>
          </wp:inline>
        </w:drawing>
      </w:r>
    </w:p>
    <w:p w14:paraId="20536C21" w14:textId="77777777" w:rsidR="00466D77" w:rsidRPr="00052638" w:rsidRDefault="00466D77" w:rsidP="00052638">
      <w:pPr>
        <w:spacing w:after="0" w:line="240" w:lineRule="auto"/>
        <w:contextualSpacing/>
        <w:jc w:val="center"/>
        <w:rPr>
          <w:rFonts w:ascii="Arial" w:hAnsi="Arial" w:cs="Arial"/>
          <w:sz w:val="18"/>
          <w:szCs w:val="18"/>
        </w:rPr>
      </w:pPr>
      <w:r w:rsidRPr="00052638">
        <w:rPr>
          <w:rFonts w:ascii="Arial" w:hAnsi="Arial" w:cs="Arial"/>
          <w:sz w:val="18"/>
          <w:szCs w:val="18"/>
        </w:rPr>
        <w:t>Fuente: ANDI – Encuesta de Transformación Digital 2019</w:t>
      </w:r>
    </w:p>
    <w:p w14:paraId="0F1D2DE1" w14:textId="77777777" w:rsidR="00437F0F" w:rsidRDefault="00437F0F" w:rsidP="00522F77">
      <w:pPr>
        <w:spacing w:after="0" w:line="240" w:lineRule="auto"/>
        <w:contextualSpacing/>
        <w:jc w:val="both"/>
        <w:rPr>
          <w:rFonts w:ascii="Arial" w:hAnsi="Arial" w:cs="Arial"/>
        </w:rPr>
      </w:pPr>
    </w:p>
    <w:p w14:paraId="5C5C8657" w14:textId="5989F863" w:rsidR="00143A49" w:rsidRDefault="00143A49" w:rsidP="00522F77">
      <w:pPr>
        <w:spacing w:after="0" w:line="240" w:lineRule="auto"/>
        <w:contextualSpacing/>
        <w:jc w:val="both"/>
        <w:rPr>
          <w:rFonts w:ascii="Arial" w:hAnsi="Arial" w:cs="Arial"/>
        </w:rPr>
      </w:pPr>
      <w:r w:rsidRPr="00143A49">
        <w:rPr>
          <w:rFonts w:ascii="Arial" w:hAnsi="Arial" w:cs="Arial"/>
        </w:rPr>
        <w:t>El sector privado del país reconoce cada vez más necesario la transformación digital de sus modelos de negocios. Lo anterior se evidencia, en mayor medida, en las empresas de servicios, ya que el 71,1% de estas</w:t>
      </w:r>
      <w:r w:rsidR="008956F4">
        <w:rPr>
          <w:rFonts w:ascii="Arial" w:hAnsi="Arial" w:cs="Arial"/>
        </w:rPr>
        <w:t xml:space="preserve"> </w:t>
      </w:r>
      <w:r w:rsidRPr="00143A49">
        <w:rPr>
          <w:rFonts w:ascii="Arial" w:hAnsi="Arial" w:cs="Arial"/>
        </w:rPr>
        <w:t>respondieron positivamente a la pregunta de tener una estrategia de transformación digital comparado con el 54,9% de las empresas del sector manufacturero. Esto último genera una oportunidad para que, precisamente, la industria tradicional cambie y, por consiguiente, gracias a la apropiación tecnológica de soluciones digitales como el Internet de las Cosas, Machine Learning, la robótica, la realidad virtual, entre otras, se mejore la productividad de sus empresas.</w:t>
      </w:r>
    </w:p>
    <w:p w14:paraId="231D8969" w14:textId="77777777" w:rsidR="0091789E" w:rsidRPr="00522F77" w:rsidRDefault="0091789E" w:rsidP="00522F77">
      <w:pPr>
        <w:spacing w:after="0" w:line="240" w:lineRule="auto"/>
        <w:contextualSpacing/>
        <w:jc w:val="both"/>
        <w:rPr>
          <w:rFonts w:ascii="Arial" w:hAnsi="Arial" w:cs="Arial"/>
        </w:rPr>
      </w:pPr>
    </w:p>
    <w:p w14:paraId="3F2D3525" w14:textId="304B2F74" w:rsidR="00DB7F12" w:rsidRDefault="00DB7F12" w:rsidP="00522F77">
      <w:pPr>
        <w:spacing w:after="0" w:line="240" w:lineRule="auto"/>
        <w:contextualSpacing/>
        <w:jc w:val="both"/>
        <w:rPr>
          <w:rFonts w:ascii="Arial" w:hAnsi="Arial" w:cs="Arial"/>
        </w:rPr>
      </w:pPr>
      <w:r w:rsidRPr="00522F77">
        <w:rPr>
          <w:rFonts w:ascii="Arial" w:hAnsi="Arial" w:cs="Arial"/>
        </w:rPr>
        <w:t xml:space="preserve">Por otro lado, en términos tributarios el sector </w:t>
      </w:r>
      <w:r w:rsidR="008D77DF" w:rsidRPr="00522F77">
        <w:rPr>
          <w:rFonts w:ascii="Arial" w:hAnsi="Arial" w:cs="Arial"/>
        </w:rPr>
        <w:t>h</w:t>
      </w:r>
      <w:r w:rsidRPr="00522F77">
        <w:rPr>
          <w:rFonts w:ascii="Arial" w:hAnsi="Arial" w:cs="Arial"/>
        </w:rPr>
        <w:t>a tenido vulnerabilidades, la cual se ha procesado de manera diversa a través de las diferentes ramas del sector. Por un lado</w:t>
      </w:r>
      <w:r w:rsidR="008D77DF" w:rsidRPr="00522F77">
        <w:rPr>
          <w:rFonts w:ascii="Arial" w:hAnsi="Arial" w:cs="Arial"/>
        </w:rPr>
        <w:t xml:space="preserve">, </w:t>
      </w:r>
      <w:r w:rsidRPr="00522F77">
        <w:rPr>
          <w:rFonts w:ascii="Arial" w:hAnsi="Arial" w:cs="Arial"/>
        </w:rPr>
        <w:t xml:space="preserve">el comercio electrónico se ha mostrado inconforme con el gravamen a las plataformas tecnológicas internacionales, el sector de telecomunicaciones igualmente se manifestó de manera negativa ante la decisión tomada a finales de 2016 de gravar </w:t>
      </w:r>
      <w:r w:rsidR="00826A99" w:rsidRPr="00522F77">
        <w:rPr>
          <w:rFonts w:ascii="Arial" w:hAnsi="Arial" w:cs="Arial"/>
        </w:rPr>
        <w:t>aún</w:t>
      </w:r>
      <w:r w:rsidRPr="00522F77">
        <w:rPr>
          <w:rFonts w:ascii="Arial" w:hAnsi="Arial" w:cs="Arial"/>
        </w:rPr>
        <w:t xml:space="preserve"> </w:t>
      </w:r>
      <w:r w:rsidR="00826A99" w:rsidRPr="00522F77">
        <w:rPr>
          <w:rFonts w:ascii="Arial" w:hAnsi="Arial" w:cs="Arial"/>
        </w:rPr>
        <w:t>más</w:t>
      </w:r>
      <w:r w:rsidRPr="00522F77">
        <w:rPr>
          <w:rFonts w:ascii="Arial" w:hAnsi="Arial" w:cs="Arial"/>
        </w:rPr>
        <w:t xml:space="preserve"> los servicios de telefonía móvil y datos, finalmente la industria de </w:t>
      </w:r>
      <w:r w:rsidRPr="00522F77">
        <w:rPr>
          <w:rFonts w:ascii="Arial" w:hAnsi="Arial" w:cs="Arial"/>
        </w:rPr>
        <w:lastRenderedPageBreak/>
        <w:t xml:space="preserve">software expuso su preocupación de una posible recesión de la innovación al ver afectado el beneficio fiscal con el que cuenta la industria hace </w:t>
      </w:r>
      <w:r w:rsidR="00794F6A" w:rsidRPr="00522F77">
        <w:rPr>
          <w:rFonts w:ascii="Arial" w:hAnsi="Arial" w:cs="Arial"/>
        </w:rPr>
        <w:t>más</w:t>
      </w:r>
      <w:r w:rsidRPr="00522F77">
        <w:rPr>
          <w:rFonts w:ascii="Arial" w:hAnsi="Arial" w:cs="Arial"/>
        </w:rPr>
        <w:t xml:space="preserve"> de 14 años. </w:t>
      </w:r>
      <w:r w:rsidRPr="00522F77">
        <w:rPr>
          <w:rStyle w:val="Refdenotaalpie"/>
          <w:rFonts w:ascii="Arial" w:hAnsi="Arial" w:cs="Arial"/>
        </w:rPr>
        <w:footnoteReference w:id="3"/>
      </w:r>
    </w:p>
    <w:p w14:paraId="4F682F36" w14:textId="77777777" w:rsidR="00A42329" w:rsidRPr="00522F77" w:rsidRDefault="00A42329" w:rsidP="00522F77">
      <w:pPr>
        <w:spacing w:after="0" w:line="240" w:lineRule="auto"/>
        <w:contextualSpacing/>
        <w:jc w:val="both"/>
        <w:rPr>
          <w:rFonts w:ascii="Arial" w:hAnsi="Arial" w:cs="Arial"/>
        </w:rPr>
      </w:pPr>
    </w:p>
    <w:p w14:paraId="31BA25F3" w14:textId="77777777" w:rsidR="00DB7F12" w:rsidRPr="00522F77" w:rsidRDefault="00DB7F12" w:rsidP="00522F77">
      <w:pPr>
        <w:spacing w:after="0" w:line="240" w:lineRule="auto"/>
        <w:contextualSpacing/>
        <w:jc w:val="both"/>
        <w:rPr>
          <w:rFonts w:ascii="Arial" w:hAnsi="Arial" w:cs="Arial"/>
        </w:rPr>
      </w:pPr>
      <w:r w:rsidRPr="00522F77">
        <w:rPr>
          <w:rFonts w:ascii="Arial" w:hAnsi="Arial" w:cs="Arial"/>
        </w:rPr>
        <w:t>No obstante, en términos tributarios parte del sector también tu</w:t>
      </w:r>
      <w:r w:rsidR="00D47CDD" w:rsidRPr="00522F77">
        <w:rPr>
          <w:rFonts w:ascii="Arial" w:hAnsi="Arial" w:cs="Arial"/>
        </w:rPr>
        <w:t>v</w:t>
      </w:r>
      <w:r w:rsidRPr="00522F77">
        <w:rPr>
          <w:rFonts w:ascii="Arial" w:hAnsi="Arial" w:cs="Arial"/>
        </w:rPr>
        <w:t xml:space="preserve">o oportunidades de mejora, como es el caso de la educación virtual para el desarrollo de contenidos digitales, así mismo, no existe gravámenes sobre el suministro de </w:t>
      </w:r>
      <w:r w:rsidR="00794F6A" w:rsidRPr="00522F77">
        <w:rPr>
          <w:rFonts w:ascii="Arial" w:hAnsi="Arial" w:cs="Arial"/>
        </w:rPr>
        <w:t>páginas</w:t>
      </w:r>
      <w:r w:rsidRPr="00522F77">
        <w:rPr>
          <w:rFonts w:ascii="Arial" w:hAnsi="Arial" w:cs="Arial"/>
        </w:rPr>
        <w:t xml:space="preserve"> web, servidores de hosting, y cloud computing. Lo anterior concluye al impulso sobre las ramas del sector mencionadas.</w:t>
      </w:r>
    </w:p>
    <w:p w14:paraId="4D4EAC20" w14:textId="77777777" w:rsidR="0091789E" w:rsidRPr="00522F77" w:rsidRDefault="0091789E" w:rsidP="00522F77">
      <w:pPr>
        <w:spacing w:after="0" w:line="240" w:lineRule="auto"/>
        <w:contextualSpacing/>
        <w:jc w:val="both"/>
        <w:rPr>
          <w:rFonts w:ascii="Arial" w:hAnsi="Arial" w:cs="Arial"/>
        </w:rPr>
      </w:pPr>
    </w:p>
    <w:p w14:paraId="5E2E2116" w14:textId="4C40D335" w:rsidR="000D5C6E" w:rsidRPr="00522F77" w:rsidRDefault="008D77DF" w:rsidP="0095200E">
      <w:pPr>
        <w:spacing w:after="0" w:line="240" w:lineRule="auto"/>
        <w:contextualSpacing/>
        <w:jc w:val="both"/>
        <w:rPr>
          <w:rFonts w:ascii="Arial" w:hAnsi="Arial" w:cs="Arial"/>
        </w:rPr>
      </w:pPr>
      <w:r w:rsidRPr="00522F77">
        <w:rPr>
          <w:rFonts w:ascii="Arial" w:hAnsi="Arial" w:cs="Arial"/>
        </w:rPr>
        <w:t xml:space="preserve">Ahora bien, </w:t>
      </w:r>
      <w:r w:rsidR="00DB7F12" w:rsidRPr="00522F77">
        <w:rPr>
          <w:rFonts w:ascii="Arial" w:hAnsi="Arial" w:cs="Arial"/>
        </w:rPr>
        <w:t>teniendo en cuenta que el objeto del contrato es</w:t>
      </w:r>
      <w:r w:rsidR="0070270F" w:rsidRPr="00522F77">
        <w:rPr>
          <w:rFonts w:ascii="Arial" w:hAnsi="Arial" w:cs="Arial"/>
        </w:rPr>
        <w:t>:</w:t>
      </w:r>
      <w:r w:rsidR="009134AD" w:rsidRPr="00522F77">
        <w:rPr>
          <w:rFonts w:ascii="Arial" w:hAnsi="Arial" w:cs="Arial"/>
        </w:rPr>
        <w:t xml:space="preserve"> </w:t>
      </w:r>
      <w:r w:rsidR="00794F6A" w:rsidRPr="00522F77">
        <w:rPr>
          <w:rFonts w:ascii="Arial" w:hAnsi="Arial" w:cs="Arial"/>
        </w:rPr>
        <w:t>contratar bienes</w:t>
      </w:r>
      <w:r w:rsidR="000D5C6E" w:rsidRPr="00522F77">
        <w:rPr>
          <w:rFonts w:ascii="Arial" w:hAnsi="Arial" w:cs="Arial"/>
        </w:rPr>
        <w:t xml:space="preserve"> y servicios para el monitoreo integral de las vías a cargo del   programa de seguridad de carreteras nacionale</w:t>
      </w:r>
      <w:r w:rsidR="00853C22" w:rsidRPr="00522F77">
        <w:rPr>
          <w:rFonts w:ascii="Arial" w:hAnsi="Arial" w:cs="Arial"/>
        </w:rPr>
        <w:t>s</w:t>
      </w:r>
      <w:r w:rsidR="000D5C6E" w:rsidRPr="00522F77">
        <w:rPr>
          <w:rFonts w:ascii="Arial" w:hAnsi="Arial" w:cs="Arial"/>
        </w:rPr>
        <w:t xml:space="preserve">, y </w:t>
      </w:r>
      <w:r w:rsidR="00826A99" w:rsidRPr="00522F77">
        <w:rPr>
          <w:rFonts w:ascii="Arial" w:hAnsi="Arial" w:cs="Arial"/>
        </w:rPr>
        <w:t>que dentro</w:t>
      </w:r>
      <w:r w:rsidR="00DB7F12" w:rsidRPr="00522F77">
        <w:rPr>
          <w:rFonts w:ascii="Arial" w:hAnsi="Arial" w:cs="Arial"/>
        </w:rPr>
        <w:t xml:space="preserve"> de estos</w:t>
      </w:r>
      <w:r w:rsidRPr="00522F77">
        <w:rPr>
          <w:rFonts w:ascii="Arial" w:hAnsi="Arial" w:cs="Arial"/>
        </w:rPr>
        <w:t xml:space="preserve"> bienes y servicios </w:t>
      </w:r>
      <w:r w:rsidR="00DB7F12" w:rsidRPr="00522F77">
        <w:rPr>
          <w:rFonts w:ascii="Arial" w:hAnsi="Arial" w:cs="Arial"/>
        </w:rPr>
        <w:t>se encuentra</w:t>
      </w:r>
      <w:r w:rsidRPr="00522F77">
        <w:rPr>
          <w:rFonts w:ascii="Arial" w:hAnsi="Arial" w:cs="Arial"/>
        </w:rPr>
        <w:t xml:space="preserve">n especialmente los servicios relacionados con el sector </w:t>
      </w:r>
      <w:r w:rsidR="00052638" w:rsidRPr="00522F77">
        <w:rPr>
          <w:rFonts w:ascii="Arial" w:hAnsi="Arial" w:cs="Arial"/>
        </w:rPr>
        <w:t>TICs se</w:t>
      </w:r>
      <w:r w:rsidR="00D47CDD" w:rsidRPr="00522F77">
        <w:rPr>
          <w:rFonts w:ascii="Arial" w:hAnsi="Arial" w:cs="Arial"/>
        </w:rPr>
        <w:t xml:space="preserve"> requieran</w:t>
      </w:r>
      <w:r w:rsidR="001C2C39" w:rsidRPr="00522F77">
        <w:rPr>
          <w:rFonts w:ascii="Arial" w:hAnsi="Arial" w:cs="Arial"/>
        </w:rPr>
        <w:t xml:space="preserve"> la empresa</w:t>
      </w:r>
      <w:r w:rsidR="000D5C6E" w:rsidRPr="00522F77">
        <w:rPr>
          <w:rFonts w:ascii="Arial" w:hAnsi="Arial" w:cs="Arial"/>
        </w:rPr>
        <w:t xml:space="preserve"> con que se </w:t>
      </w:r>
      <w:r w:rsidR="001C2C39" w:rsidRPr="00522F77">
        <w:rPr>
          <w:rFonts w:ascii="Arial" w:hAnsi="Arial" w:cs="Arial"/>
        </w:rPr>
        <w:t xml:space="preserve"> suscriba el contrato  debe contar con</w:t>
      </w:r>
      <w:r w:rsidR="00853C22" w:rsidRPr="00522F77">
        <w:rPr>
          <w:rFonts w:ascii="Arial" w:hAnsi="Arial" w:cs="Arial"/>
        </w:rPr>
        <w:t xml:space="preserve"> amplia relacionada con dichas actividades. </w:t>
      </w:r>
    </w:p>
    <w:p w14:paraId="2AB8448D" w14:textId="77777777" w:rsidR="00DB7F12" w:rsidRPr="00522F77" w:rsidRDefault="00DB7F12" w:rsidP="00522F77">
      <w:pPr>
        <w:spacing w:after="0" w:line="240" w:lineRule="auto"/>
        <w:ind w:right="301"/>
        <w:contextualSpacing/>
        <w:jc w:val="both"/>
        <w:rPr>
          <w:rFonts w:ascii="Arial" w:hAnsi="Arial" w:cs="Arial"/>
        </w:rPr>
      </w:pPr>
    </w:p>
    <w:p w14:paraId="7A2A9CDA" w14:textId="77777777" w:rsidR="001C2C39" w:rsidRPr="00522F77" w:rsidRDefault="0091789E" w:rsidP="00522F77">
      <w:pPr>
        <w:pStyle w:val="Prrafodelista"/>
        <w:numPr>
          <w:ilvl w:val="0"/>
          <w:numId w:val="2"/>
        </w:numPr>
        <w:spacing w:line="240" w:lineRule="auto"/>
        <w:ind w:left="567" w:hanging="567"/>
        <w:jc w:val="both"/>
        <w:rPr>
          <w:rFonts w:ascii="Arial" w:hAnsi="Arial" w:cs="Arial"/>
          <w:b/>
          <w:bCs/>
        </w:rPr>
      </w:pPr>
      <w:r w:rsidRPr="00522F77">
        <w:rPr>
          <w:rFonts w:ascii="Arial" w:hAnsi="Arial" w:cs="Arial"/>
          <w:b/>
          <w:bCs/>
        </w:rPr>
        <w:t xml:space="preserve">VARIABLES ECONÓMICAS  </w:t>
      </w:r>
    </w:p>
    <w:p w14:paraId="4FD049E9" w14:textId="77777777" w:rsidR="0091789E" w:rsidRPr="00522F77" w:rsidRDefault="0091789E" w:rsidP="00522F77">
      <w:pPr>
        <w:spacing w:after="0" w:line="240" w:lineRule="auto"/>
        <w:contextualSpacing/>
        <w:jc w:val="both"/>
        <w:rPr>
          <w:rFonts w:ascii="Arial" w:hAnsi="Arial" w:cs="Arial"/>
        </w:rPr>
      </w:pPr>
    </w:p>
    <w:p w14:paraId="04B04D16" w14:textId="77777777" w:rsidR="0091789E" w:rsidRPr="00522F77" w:rsidRDefault="001C2C39" w:rsidP="00522F77">
      <w:pPr>
        <w:spacing w:after="0" w:line="240" w:lineRule="auto"/>
        <w:contextualSpacing/>
        <w:jc w:val="both"/>
        <w:rPr>
          <w:rFonts w:ascii="Arial" w:hAnsi="Arial" w:cs="Arial"/>
        </w:rPr>
      </w:pPr>
      <w:r w:rsidRPr="00522F77">
        <w:rPr>
          <w:rFonts w:ascii="Arial" w:hAnsi="Arial" w:cs="Arial"/>
        </w:rPr>
        <w:t>Existe una correlación fuerte entre el sector y diferentes variables económicas que afectan directamente el sector y consecuentemente la economía.  Entre estas variables las más relevantes en términos del sector se puede catalogar la tasa de cambio, la inflación e incluso los temas coyunturales que afectan las infraestructuras tecnológicas.</w:t>
      </w:r>
    </w:p>
    <w:p w14:paraId="7A89E582" w14:textId="77777777" w:rsidR="001C2C39" w:rsidRPr="00522F77" w:rsidRDefault="001C2C39" w:rsidP="00522F77">
      <w:pPr>
        <w:spacing w:after="0" w:line="240" w:lineRule="auto"/>
        <w:contextualSpacing/>
        <w:jc w:val="both"/>
        <w:rPr>
          <w:rFonts w:ascii="Arial" w:hAnsi="Arial" w:cs="Arial"/>
        </w:rPr>
      </w:pPr>
      <w:r w:rsidRPr="00522F77">
        <w:rPr>
          <w:rFonts w:ascii="Arial" w:hAnsi="Arial" w:cs="Arial"/>
        </w:rPr>
        <w:t xml:space="preserve"> </w:t>
      </w:r>
    </w:p>
    <w:p w14:paraId="1736A5FD" w14:textId="77777777" w:rsidR="001C2C39" w:rsidRPr="00522F77" w:rsidRDefault="001C2C39" w:rsidP="00522F77">
      <w:pPr>
        <w:spacing w:after="0" w:line="240" w:lineRule="auto"/>
        <w:contextualSpacing/>
        <w:jc w:val="both"/>
        <w:rPr>
          <w:rFonts w:ascii="Arial" w:hAnsi="Arial" w:cs="Arial"/>
        </w:rPr>
      </w:pPr>
      <w:r w:rsidRPr="00522F77">
        <w:rPr>
          <w:rFonts w:ascii="Arial" w:hAnsi="Arial" w:cs="Arial"/>
        </w:rPr>
        <w:t xml:space="preserve">La tasa de cambio es una de las variables que más afectan el sector, ya que al ser servicios intangibles y con un alto grado de inversión extranjera se ve fuertemente correlacionado con los costos de los servicios en términos de moneda internacional. Por otro lado, la infraestructura necesaria para prestar los servicios de tecnología, parte de un proceso de manufactura que requiere de insumos en su gran mayoría no producidos en el país (antenas, servidores, torres de comunicaciones, entre otros), con lo cual, ante alteraciones del dólar, se ve directamente afectado el costo de los insumos. </w:t>
      </w:r>
    </w:p>
    <w:p w14:paraId="268A94D5" w14:textId="77777777" w:rsidR="0091789E" w:rsidRPr="00522F77" w:rsidRDefault="0091789E" w:rsidP="00522F77">
      <w:pPr>
        <w:spacing w:after="0" w:line="240" w:lineRule="auto"/>
        <w:contextualSpacing/>
        <w:jc w:val="both"/>
        <w:rPr>
          <w:rFonts w:ascii="Arial" w:hAnsi="Arial" w:cs="Arial"/>
        </w:rPr>
      </w:pPr>
    </w:p>
    <w:p w14:paraId="2D7C7284" w14:textId="77777777" w:rsidR="001C2C39" w:rsidRPr="00522F77" w:rsidRDefault="001C2C39" w:rsidP="00522F77">
      <w:pPr>
        <w:spacing w:after="0" w:line="240" w:lineRule="auto"/>
        <w:contextualSpacing/>
        <w:jc w:val="both"/>
        <w:rPr>
          <w:rFonts w:ascii="Arial" w:hAnsi="Arial" w:cs="Arial"/>
        </w:rPr>
      </w:pPr>
      <w:r w:rsidRPr="00522F77">
        <w:rPr>
          <w:rFonts w:ascii="Arial" w:hAnsi="Arial" w:cs="Arial"/>
        </w:rPr>
        <w:t xml:space="preserve">Por otro lado, en términos coyunturales, el conflicto interno el cual se ha visto beneficiado por el proceso de paz ha tenido repercusiones sobre la capacidad de cobertura de los servicios tecnológicos a diferentes regiones del país. Esta variable, que se puede considerar incluso una externalidad, afecta el crecimiento del sector TICs, pues </w:t>
      </w:r>
      <w:r w:rsidR="00826A99" w:rsidRPr="00522F77">
        <w:rPr>
          <w:rFonts w:ascii="Arial" w:hAnsi="Arial" w:cs="Arial"/>
        </w:rPr>
        <w:t>les</w:t>
      </w:r>
      <w:r w:rsidRPr="00522F77">
        <w:rPr>
          <w:rFonts w:ascii="Arial" w:hAnsi="Arial" w:cs="Arial"/>
        </w:rPr>
        <w:t xml:space="preserve"> garantiza a las empresas del sector mayor confiabilidad en la inversión y mayor apertura a nuevos mercados. Así mismo, el impulso de Colombia como economía en desarrollo va de la mano al crecimiento tecnológico de la sociedad, con lo cual, implementar políticas públicas adecuadas que sopesen aspectos políticos, económicos y sociales, y que promuevan el desarrollo tecnológico, igualmente afecta el sector</w:t>
      </w:r>
      <w:r w:rsidR="00CC0C77" w:rsidRPr="00522F77">
        <w:rPr>
          <w:rFonts w:ascii="Arial" w:hAnsi="Arial" w:cs="Arial"/>
        </w:rPr>
        <w:t xml:space="preserve">. </w:t>
      </w:r>
    </w:p>
    <w:p w14:paraId="1A420234" w14:textId="77777777" w:rsidR="00D742C4" w:rsidRPr="00522F77" w:rsidRDefault="00D742C4" w:rsidP="00522F77">
      <w:pPr>
        <w:spacing w:after="0" w:line="240" w:lineRule="auto"/>
        <w:contextualSpacing/>
        <w:jc w:val="both"/>
        <w:rPr>
          <w:rFonts w:ascii="Arial" w:hAnsi="Arial" w:cs="Arial"/>
        </w:rPr>
      </w:pPr>
    </w:p>
    <w:p w14:paraId="715B4CF8" w14:textId="31448F4D" w:rsidR="00D742C4" w:rsidRPr="00522F77" w:rsidRDefault="00D742C4" w:rsidP="00522F77">
      <w:pPr>
        <w:spacing w:after="0" w:line="240" w:lineRule="auto"/>
        <w:contextualSpacing/>
        <w:jc w:val="both"/>
        <w:rPr>
          <w:rFonts w:ascii="Arial" w:hAnsi="Arial" w:cs="Arial"/>
        </w:rPr>
      </w:pPr>
      <w:r w:rsidRPr="00522F77">
        <w:rPr>
          <w:rFonts w:ascii="Arial" w:hAnsi="Arial" w:cs="Arial"/>
        </w:rPr>
        <w:t>Para analizar el uso de las TIC por parte de las empresas, se parte de los indicadores básicos de tenencia y uso de tecnologías de la información y comunicación en las empresas en Colombia que desarrolla el DANE, para los sectores de comercio</w:t>
      </w:r>
      <w:r w:rsidR="009740C7">
        <w:rPr>
          <w:rFonts w:ascii="Arial" w:hAnsi="Arial" w:cs="Arial"/>
        </w:rPr>
        <w:t xml:space="preserve"> e </w:t>
      </w:r>
      <w:r w:rsidRPr="00522F77">
        <w:rPr>
          <w:rFonts w:ascii="Arial" w:hAnsi="Arial" w:cs="Arial"/>
        </w:rPr>
        <w:t>industria y servicios. En cifras, para 201</w:t>
      </w:r>
      <w:r w:rsidR="009D17DA">
        <w:rPr>
          <w:rFonts w:ascii="Arial" w:hAnsi="Arial" w:cs="Arial"/>
        </w:rPr>
        <w:t>8</w:t>
      </w:r>
      <w:r w:rsidRPr="00522F77">
        <w:rPr>
          <w:rFonts w:ascii="Arial" w:hAnsi="Arial" w:cs="Arial"/>
        </w:rPr>
        <w:t>, las empresas analizad</w:t>
      </w:r>
      <w:r w:rsidR="009740C7">
        <w:rPr>
          <w:rFonts w:ascii="Arial" w:hAnsi="Arial" w:cs="Arial"/>
        </w:rPr>
        <w:t>a</w:t>
      </w:r>
      <w:r w:rsidRPr="00522F77">
        <w:rPr>
          <w:rFonts w:ascii="Arial" w:hAnsi="Arial" w:cs="Arial"/>
        </w:rPr>
        <w:t>s contaban con un uso del Internet igual o superior al 99</w:t>
      </w:r>
      <w:r w:rsidR="009D17DA">
        <w:rPr>
          <w:rFonts w:ascii="Arial" w:hAnsi="Arial" w:cs="Arial"/>
        </w:rPr>
        <w:t>,6</w:t>
      </w:r>
      <w:r w:rsidRPr="00522F77">
        <w:rPr>
          <w:rFonts w:ascii="Arial" w:hAnsi="Arial" w:cs="Arial"/>
        </w:rPr>
        <w:t>%, resultado similar al registrado en 201</w:t>
      </w:r>
      <w:r w:rsidR="009D17DA">
        <w:rPr>
          <w:rFonts w:ascii="Arial" w:hAnsi="Arial" w:cs="Arial"/>
        </w:rPr>
        <w:t>7</w:t>
      </w:r>
      <w:r w:rsidRPr="00522F77">
        <w:rPr>
          <w:rFonts w:ascii="Arial" w:hAnsi="Arial" w:cs="Arial"/>
        </w:rPr>
        <w:t>, evidenciando así que el uso del Internet es común entre las empresas del país.</w:t>
      </w:r>
    </w:p>
    <w:p w14:paraId="56A4BC41" w14:textId="77777777" w:rsidR="00D742C4" w:rsidRPr="00522F77" w:rsidRDefault="00D742C4" w:rsidP="00522F77">
      <w:pPr>
        <w:spacing w:after="0" w:line="240" w:lineRule="auto"/>
        <w:contextualSpacing/>
        <w:jc w:val="both"/>
        <w:rPr>
          <w:rFonts w:ascii="Arial" w:hAnsi="Arial" w:cs="Arial"/>
        </w:rPr>
      </w:pPr>
    </w:p>
    <w:p w14:paraId="3975CD11" w14:textId="17922A9B" w:rsidR="00D742C4" w:rsidRDefault="00D742C4" w:rsidP="00EA7F43">
      <w:pPr>
        <w:spacing w:after="0" w:line="240" w:lineRule="auto"/>
        <w:contextualSpacing/>
        <w:jc w:val="both"/>
        <w:rPr>
          <w:rFonts w:ascii="Arial" w:hAnsi="Arial" w:cs="Arial"/>
        </w:rPr>
      </w:pPr>
      <w:r w:rsidRPr="00522F77">
        <w:rPr>
          <w:rFonts w:ascii="Arial" w:hAnsi="Arial" w:cs="Arial"/>
        </w:rPr>
        <w:t>En relación con el porcentaje de empresas con presencia en la web, las empresas del sector industria</w:t>
      </w:r>
      <w:r w:rsidR="009740C7">
        <w:rPr>
          <w:rFonts w:ascii="Arial" w:hAnsi="Arial" w:cs="Arial"/>
        </w:rPr>
        <w:t xml:space="preserve"> manufacturera</w:t>
      </w:r>
      <w:r w:rsidRPr="00522F77">
        <w:rPr>
          <w:rFonts w:ascii="Arial" w:hAnsi="Arial" w:cs="Arial"/>
        </w:rPr>
        <w:t xml:space="preserve">   tuv</w:t>
      </w:r>
      <w:r w:rsidR="00763AA3">
        <w:rPr>
          <w:rFonts w:ascii="Arial" w:hAnsi="Arial" w:cs="Arial"/>
        </w:rPr>
        <w:t>o</w:t>
      </w:r>
      <w:r w:rsidRPr="00522F77">
        <w:rPr>
          <w:rFonts w:ascii="Arial" w:hAnsi="Arial" w:cs="Arial"/>
        </w:rPr>
        <w:t xml:space="preserve"> para el año 201</w:t>
      </w:r>
      <w:r w:rsidR="0007739B">
        <w:rPr>
          <w:rFonts w:ascii="Arial" w:hAnsi="Arial" w:cs="Arial"/>
        </w:rPr>
        <w:t>8</w:t>
      </w:r>
      <w:r w:rsidRPr="00522F77">
        <w:rPr>
          <w:rFonts w:ascii="Arial" w:hAnsi="Arial" w:cs="Arial"/>
        </w:rPr>
        <w:t xml:space="preserve"> un porcentaje de presencia en la web de 7</w:t>
      </w:r>
      <w:r w:rsidR="00347F8A">
        <w:rPr>
          <w:rFonts w:ascii="Arial" w:hAnsi="Arial" w:cs="Arial"/>
        </w:rPr>
        <w:t>3</w:t>
      </w:r>
      <w:r w:rsidRPr="00522F77">
        <w:rPr>
          <w:rFonts w:ascii="Arial" w:hAnsi="Arial" w:cs="Arial"/>
        </w:rPr>
        <w:t>,</w:t>
      </w:r>
      <w:r w:rsidR="00347F8A">
        <w:rPr>
          <w:rFonts w:ascii="Arial" w:hAnsi="Arial" w:cs="Arial"/>
        </w:rPr>
        <w:t>3</w:t>
      </w:r>
      <w:r w:rsidRPr="00522F77">
        <w:rPr>
          <w:rFonts w:ascii="Arial" w:hAnsi="Arial" w:cs="Arial"/>
        </w:rPr>
        <w:t xml:space="preserve">% y </w:t>
      </w:r>
      <w:r w:rsidR="00347F8A">
        <w:rPr>
          <w:rFonts w:ascii="Arial" w:hAnsi="Arial" w:cs="Arial"/>
        </w:rPr>
        <w:t>57,3</w:t>
      </w:r>
      <w:r w:rsidRPr="00522F77">
        <w:rPr>
          <w:rFonts w:ascii="Arial" w:hAnsi="Arial" w:cs="Arial"/>
        </w:rPr>
        <w:t>%</w:t>
      </w:r>
      <w:r w:rsidR="00B9259F">
        <w:rPr>
          <w:rFonts w:ascii="Arial" w:hAnsi="Arial" w:cs="Arial"/>
        </w:rPr>
        <w:t xml:space="preserve"> </w:t>
      </w:r>
      <w:r w:rsidR="003A2B75">
        <w:rPr>
          <w:rFonts w:ascii="Arial" w:hAnsi="Arial" w:cs="Arial"/>
        </w:rPr>
        <w:t>para el sector comercio.</w:t>
      </w:r>
    </w:p>
    <w:p w14:paraId="0B0493E4" w14:textId="6B614187" w:rsidR="00EA7F43" w:rsidRDefault="00EA7F43" w:rsidP="00EA7F43">
      <w:pPr>
        <w:spacing w:after="0" w:line="240" w:lineRule="auto"/>
        <w:contextualSpacing/>
        <w:jc w:val="both"/>
        <w:rPr>
          <w:rFonts w:ascii="Arial" w:hAnsi="Arial" w:cs="Arial"/>
        </w:rPr>
      </w:pPr>
    </w:p>
    <w:p w14:paraId="02AF39CC" w14:textId="18D68784" w:rsidR="009740C7" w:rsidRPr="006207BD" w:rsidRDefault="00052638" w:rsidP="006207BD">
      <w:pPr>
        <w:pStyle w:val="Descripcin"/>
        <w:spacing w:after="0"/>
        <w:jc w:val="center"/>
        <w:rPr>
          <w:rFonts w:ascii="Arial" w:hAnsi="Arial" w:cs="Arial"/>
          <w:i w:val="0"/>
          <w:iCs w:val="0"/>
          <w:noProof/>
          <w:color w:val="auto"/>
        </w:rPr>
      </w:pPr>
      <w:r w:rsidRPr="006207BD">
        <w:rPr>
          <w:rFonts w:ascii="Arial" w:hAnsi="Arial" w:cs="Arial"/>
          <w:color w:val="auto"/>
        </w:rPr>
        <w:lastRenderedPageBreak/>
        <w:t xml:space="preserve">Ilustración </w:t>
      </w:r>
      <w:r w:rsidRPr="006207BD">
        <w:rPr>
          <w:rFonts w:ascii="Arial" w:hAnsi="Arial" w:cs="Arial"/>
          <w:color w:val="auto"/>
        </w:rPr>
        <w:fldChar w:fldCharType="begin"/>
      </w:r>
      <w:r w:rsidRPr="006207BD">
        <w:rPr>
          <w:rFonts w:ascii="Arial" w:hAnsi="Arial" w:cs="Arial"/>
          <w:color w:val="auto"/>
        </w:rPr>
        <w:instrText xml:space="preserve"> SEQ Ilustración \* ARABIC </w:instrText>
      </w:r>
      <w:r w:rsidRPr="006207BD">
        <w:rPr>
          <w:rFonts w:ascii="Arial" w:hAnsi="Arial" w:cs="Arial"/>
          <w:color w:val="auto"/>
        </w:rPr>
        <w:fldChar w:fldCharType="separate"/>
      </w:r>
      <w:r w:rsidR="002100DA">
        <w:rPr>
          <w:rFonts w:ascii="Arial" w:hAnsi="Arial" w:cs="Arial"/>
          <w:noProof/>
          <w:color w:val="auto"/>
        </w:rPr>
        <w:t>13</w:t>
      </w:r>
      <w:r w:rsidRPr="006207BD">
        <w:rPr>
          <w:rFonts w:ascii="Arial" w:hAnsi="Arial" w:cs="Arial"/>
          <w:color w:val="auto"/>
        </w:rPr>
        <w:fldChar w:fldCharType="end"/>
      </w:r>
      <w:r w:rsidRPr="006207BD">
        <w:rPr>
          <w:rFonts w:ascii="Arial" w:hAnsi="Arial" w:cs="Arial"/>
          <w:color w:val="auto"/>
        </w:rPr>
        <w:t xml:space="preserve">. </w:t>
      </w:r>
      <w:r w:rsidR="009740C7" w:rsidRPr="006207BD">
        <w:rPr>
          <w:rFonts w:ascii="Arial" w:hAnsi="Arial" w:cs="Arial"/>
          <w:noProof/>
          <w:color w:val="auto"/>
        </w:rPr>
        <w:t xml:space="preserve">Porcentaje de empresas </w:t>
      </w:r>
      <w:r w:rsidR="001164CC" w:rsidRPr="006207BD">
        <w:rPr>
          <w:rFonts w:ascii="Arial" w:hAnsi="Arial" w:cs="Arial"/>
          <w:noProof/>
          <w:color w:val="auto"/>
        </w:rPr>
        <w:t>que utilizaron computador, internet y página web en el sector comercio e industria manufacturera.</w:t>
      </w:r>
    </w:p>
    <w:p w14:paraId="078F6B4A" w14:textId="7D5D6137" w:rsidR="009740C7" w:rsidRPr="00052638" w:rsidRDefault="009740C7" w:rsidP="006207BD">
      <w:pPr>
        <w:spacing w:after="0" w:line="240" w:lineRule="auto"/>
        <w:contextualSpacing/>
        <w:jc w:val="center"/>
        <w:rPr>
          <w:rFonts w:ascii="Arial" w:hAnsi="Arial" w:cs="Arial"/>
        </w:rPr>
      </w:pPr>
      <w:r w:rsidRPr="00052638">
        <w:rPr>
          <w:rFonts w:ascii="Arial" w:hAnsi="Arial" w:cs="Arial"/>
          <w:noProof/>
        </w:rPr>
        <w:drawing>
          <wp:inline distT="0" distB="0" distL="0" distR="0" wp14:anchorId="66B5AC7F" wp14:editId="15520F19">
            <wp:extent cx="4584648" cy="1921397"/>
            <wp:effectExtent l="0" t="0" r="6985" b="3175"/>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8422" t="36920" r="24242" b="20360"/>
                    <a:stretch/>
                  </pic:blipFill>
                  <pic:spPr bwMode="auto">
                    <a:xfrm>
                      <a:off x="0" y="0"/>
                      <a:ext cx="4589476" cy="1923421"/>
                    </a:xfrm>
                    <a:prstGeom prst="rect">
                      <a:avLst/>
                    </a:prstGeom>
                    <a:ln>
                      <a:noFill/>
                    </a:ln>
                    <a:extLst>
                      <a:ext uri="{53640926-AAD7-44D8-BBD7-CCE9431645EC}">
                        <a14:shadowObscured xmlns:a14="http://schemas.microsoft.com/office/drawing/2010/main"/>
                      </a:ext>
                    </a:extLst>
                  </pic:spPr>
                </pic:pic>
              </a:graphicData>
            </a:graphic>
          </wp:inline>
        </w:drawing>
      </w:r>
    </w:p>
    <w:p w14:paraId="7413939D" w14:textId="77777777" w:rsidR="00B71BBD" w:rsidRDefault="00B71BBD" w:rsidP="00EA7F43">
      <w:pPr>
        <w:spacing w:after="0" w:line="240" w:lineRule="auto"/>
        <w:contextualSpacing/>
        <w:jc w:val="both"/>
        <w:rPr>
          <w:rFonts w:ascii="Arial" w:hAnsi="Arial" w:cs="Arial"/>
        </w:rPr>
      </w:pPr>
    </w:p>
    <w:p w14:paraId="2E12F5E2" w14:textId="3F32E801" w:rsidR="00D742C4" w:rsidRDefault="001164CC" w:rsidP="001164CC">
      <w:pPr>
        <w:spacing w:after="0" w:line="240" w:lineRule="auto"/>
        <w:contextualSpacing/>
        <w:jc w:val="both"/>
        <w:rPr>
          <w:rFonts w:ascii="Arial" w:hAnsi="Arial" w:cs="Arial"/>
        </w:rPr>
      </w:pPr>
      <w:r>
        <w:rPr>
          <w:rFonts w:ascii="Arial" w:hAnsi="Arial" w:cs="Arial"/>
        </w:rPr>
        <w:t xml:space="preserve">En 2018 el 30,1% de las empresas industriales manufactureras que usaron internet, vendieron sus productos a través de plataforma electrónica. Por otra </w:t>
      </w:r>
      <w:r w:rsidR="002100DA">
        <w:rPr>
          <w:rFonts w:ascii="Arial" w:hAnsi="Arial" w:cs="Arial"/>
        </w:rPr>
        <w:t>parte,</w:t>
      </w:r>
      <w:r>
        <w:rPr>
          <w:rFonts w:ascii="Arial" w:hAnsi="Arial" w:cs="Arial"/>
        </w:rPr>
        <w:t xml:space="preserve"> el 33,9% de las empresas Industriales manifestaron utilizar una plataforma electrónica para comprar insumos.</w:t>
      </w:r>
    </w:p>
    <w:p w14:paraId="637C01FE" w14:textId="3196D99E" w:rsidR="001164CC" w:rsidRDefault="001164CC" w:rsidP="001164CC">
      <w:pPr>
        <w:spacing w:after="0" w:line="240" w:lineRule="auto"/>
        <w:contextualSpacing/>
        <w:jc w:val="both"/>
        <w:rPr>
          <w:rFonts w:ascii="Arial" w:hAnsi="Arial" w:cs="Arial"/>
        </w:rPr>
      </w:pPr>
    </w:p>
    <w:p w14:paraId="032740E5" w14:textId="25FE3BC8" w:rsidR="001164CC" w:rsidRDefault="001164CC" w:rsidP="001164CC">
      <w:pPr>
        <w:spacing w:after="0" w:line="240" w:lineRule="auto"/>
        <w:contextualSpacing/>
        <w:jc w:val="both"/>
        <w:rPr>
          <w:rFonts w:ascii="Arial" w:hAnsi="Arial" w:cs="Arial"/>
        </w:rPr>
      </w:pPr>
      <w:r>
        <w:rPr>
          <w:rFonts w:ascii="Arial" w:hAnsi="Arial" w:cs="Arial"/>
        </w:rPr>
        <w:t xml:space="preserve">El 7,0% del valor total de las ventas efectuadas por las empresas industriales manufactureras en 2018 correspondió a operaciones de </w:t>
      </w:r>
      <w:r w:rsidR="00687AF8">
        <w:rPr>
          <w:rFonts w:ascii="Arial" w:hAnsi="Arial" w:cs="Arial"/>
        </w:rPr>
        <w:t>comercio electrónico, mientras el 6,5% del valor total de las compras se realizaron a través de este medio.</w:t>
      </w:r>
    </w:p>
    <w:p w14:paraId="2294D858" w14:textId="77777777" w:rsidR="000D31C5" w:rsidRPr="006207BD" w:rsidRDefault="000D31C5" w:rsidP="006207BD">
      <w:pPr>
        <w:spacing w:after="0" w:line="240" w:lineRule="auto"/>
        <w:contextualSpacing/>
        <w:rPr>
          <w:rFonts w:ascii="Arial" w:hAnsi="Arial" w:cs="Arial"/>
          <w:i/>
          <w:iCs/>
          <w:sz w:val="20"/>
          <w:szCs w:val="20"/>
        </w:rPr>
      </w:pPr>
    </w:p>
    <w:p w14:paraId="433C61F7" w14:textId="60F7E6D8" w:rsidR="000D31C5" w:rsidRPr="006207BD" w:rsidRDefault="006207BD" w:rsidP="006207BD">
      <w:pPr>
        <w:pStyle w:val="Descripcin"/>
        <w:spacing w:after="0"/>
        <w:jc w:val="center"/>
        <w:rPr>
          <w:rFonts w:ascii="Arial" w:hAnsi="Arial" w:cs="Arial"/>
          <w:i w:val="0"/>
          <w:iCs w:val="0"/>
          <w:color w:val="auto"/>
          <w:sz w:val="20"/>
          <w:szCs w:val="20"/>
        </w:rPr>
      </w:pPr>
      <w:r w:rsidRPr="006207BD">
        <w:rPr>
          <w:rFonts w:ascii="Arial" w:hAnsi="Arial" w:cs="Arial"/>
          <w:color w:val="auto"/>
          <w:sz w:val="20"/>
          <w:szCs w:val="20"/>
        </w:rPr>
        <w:t xml:space="preserve">Ilustración </w:t>
      </w:r>
      <w:r w:rsidRPr="006207BD">
        <w:rPr>
          <w:rFonts w:ascii="Arial" w:hAnsi="Arial" w:cs="Arial"/>
          <w:color w:val="auto"/>
          <w:sz w:val="20"/>
          <w:szCs w:val="20"/>
        </w:rPr>
        <w:fldChar w:fldCharType="begin"/>
      </w:r>
      <w:r w:rsidRPr="006207BD">
        <w:rPr>
          <w:rFonts w:ascii="Arial" w:hAnsi="Arial" w:cs="Arial"/>
          <w:color w:val="auto"/>
          <w:sz w:val="20"/>
          <w:szCs w:val="20"/>
        </w:rPr>
        <w:instrText xml:space="preserve"> SEQ Ilustración \* ARABIC </w:instrText>
      </w:r>
      <w:r w:rsidRPr="006207BD">
        <w:rPr>
          <w:rFonts w:ascii="Arial" w:hAnsi="Arial" w:cs="Arial"/>
          <w:color w:val="auto"/>
          <w:sz w:val="20"/>
          <w:szCs w:val="20"/>
        </w:rPr>
        <w:fldChar w:fldCharType="separate"/>
      </w:r>
      <w:r w:rsidR="002100DA">
        <w:rPr>
          <w:rFonts w:ascii="Arial" w:hAnsi="Arial" w:cs="Arial"/>
          <w:noProof/>
          <w:color w:val="auto"/>
          <w:sz w:val="20"/>
          <w:szCs w:val="20"/>
        </w:rPr>
        <w:t>14</w:t>
      </w:r>
      <w:r w:rsidRPr="006207BD">
        <w:rPr>
          <w:rFonts w:ascii="Arial" w:hAnsi="Arial" w:cs="Arial"/>
          <w:color w:val="auto"/>
          <w:sz w:val="20"/>
          <w:szCs w:val="20"/>
        </w:rPr>
        <w:fldChar w:fldCharType="end"/>
      </w:r>
      <w:r w:rsidRPr="006207BD">
        <w:rPr>
          <w:rFonts w:ascii="Arial" w:hAnsi="Arial" w:cs="Arial"/>
          <w:color w:val="auto"/>
          <w:sz w:val="20"/>
          <w:szCs w:val="20"/>
        </w:rPr>
        <w:t xml:space="preserve">. </w:t>
      </w:r>
      <w:r w:rsidR="000D31C5" w:rsidRPr="006207BD">
        <w:rPr>
          <w:rFonts w:ascii="Arial" w:hAnsi="Arial" w:cs="Arial"/>
          <w:color w:val="auto"/>
          <w:sz w:val="20"/>
          <w:szCs w:val="20"/>
        </w:rPr>
        <w:t>Porcentaje del total de ventas y compras realizadas a través de comercio electrónico</w:t>
      </w:r>
    </w:p>
    <w:p w14:paraId="30657FDF" w14:textId="4AA20FAE" w:rsidR="003A3AE1" w:rsidRPr="006207BD" w:rsidRDefault="000D31C5" w:rsidP="006207BD">
      <w:pPr>
        <w:spacing w:after="0" w:line="240" w:lineRule="auto"/>
        <w:contextualSpacing/>
        <w:jc w:val="center"/>
        <w:rPr>
          <w:rFonts w:ascii="Arial" w:hAnsi="Arial" w:cs="Arial"/>
          <w:i/>
          <w:iCs/>
          <w:sz w:val="20"/>
          <w:szCs w:val="20"/>
        </w:rPr>
      </w:pPr>
      <w:r w:rsidRPr="006207BD">
        <w:rPr>
          <w:rFonts w:ascii="Arial" w:hAnsi="Arial" w:cs="Arial"/>
          <w:i/>
          <w:iCs/>
          <w:sz w:val="20"/>
          <w:szCs w:val="20"/>
        </w:rPr>
        <w:t>Sector: Industrial Manufacturero</w:t>
      </w:r>
    </w:p>
    <w:p w14:paraId="2C7710B2" w14:textId="31840F36" w:rsidR="00687AF8" w:rsidRPr="006207BD" w:rsidRDefault="00687AF8" w:rsidP="006207BD">
      <w:pPr>
        <w:spacing w:after="0" w:line="240" w:lineRule="auto"/>
        <w:contextualSpacing/>
        <w:jc w:val="center"/>
        <w:rPr>
          <w:rFonts w:ascii="Arial" w:hAnsi="Arial" w:cs="Arial"/>
        </w:rPr>
      </w:pPr>
      <w:r w:rsidRPr="006207BD">
        <w:rPr>
          <w:rFonts w:ascii="Arial" w:hAnsi="Arial" w:cs="Arial"/>
          <w:noProof/>
        </w:rPr>
        <w:drawing>
          <wp:inline distT="0" distB="0" distL="0" distR="0" wp14:anchorId="48C90A4A" wp14:editId="01C4BC17">
            <wp:extent cx="4070709" cy="1857158"/>
            <wp:effectExtent l="0" t="0" r="635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9548" t="31247" r="38627" b="34830"/>
                    <a:stretch/>
                  </pic:blipFill>
                  <pic:spPr bwMode="auto">
                    <a:xfrm>
                      <a:off x="0" y="0"/>
                      <a:ext cx="4083267" cy="1862887"/>
                    </a:xfrm>
                    <a:prstGeom prst="rect">
                      <a:avLst/>
                    </a:prstGeom>
                    <a:ln>
                      <a:noFill/>
                    </a:ln>
                    <a:extLst>
                      <a:ext uri="{53640926-AAD7-44D8-BBD7-CCE9431645EC}">
                        <a14:shadowObscured xmlns:a14="http://schemas.microsoft.com/office/drawing/2010/main"/>
                      </a:ext>
                    </a:extLst>
                  </pic:spPr>
                </pic:pic>
              </a:graphicData>
            </a:graphic>
          </wp:inline>
        </w:drawing>
      </w:r>
    </w:p>
    <w:p w14:paraId="6FD4EDC2" w14:textId="77777777" w:rsidR="002238A6" w:rsidRDefault="002238A6" w:rsidP="006207BD">
      <w:pPr>
        <w:spacing w:after="0" w:line="240" w:lineRule="auto"/>
        <w:contextualSpacing/>
        <w:rPr>
          <w:rFonts w:ascii="Arial" w:hAnsi="Arial" w:cs="Arial"/>
        </w:rPr>
      </w:pPr>
    </w:p>
    <w:p w14:paraId="0873387B" w14:textId="791E131C" w:rsidR="001164CC" w:rsidRDefault="002238A6" w:rsidP="001164CC">
      <w:pPr>
        <w:spacing w:after="0" w:line="240" w:lineRule="auto"/>
        <w:contextualSpacing/>
        <w:jc w:val="both"/>
        <w:rPr>
          <w:rFonts w:ascii="Arial" w:hAnsi="Arial" w:cs="Arial"/>
        </w:rPr>
      </w:pPr>
      <w:r>
        <w:rPr>
          <w:rFonts w:ascii="Arial" w:hAnsi="Arial" w:cs="Arial"/>
        </w:rPr>
        <w:t xml:space="preserve">En 2018 el 18,8% de las empresas del sector comercio que usaron internet usaron una plataforma electrónica para vender sus productos. Por otra </w:t>
      </w:r>
      <w:r w:rsidR="002100DA">
        <w:rPr>
          <w:rFonts w:ascii="Arial" w:hAnsi="Arial" w:cs="Arial"/>
        </w:rPr>
        <w:t>parte,</w:t>
      </w:r>
      <w:r>
        <w:rPr>
          <w:rFonts w:ascii="Arial" w:hAnsi="Arial" w:cs="Arial"/>
        </w:rPr>
        <w:t xml:space="preserve"> el 41,3% de las empresas investigadas manifestaron utilizar una plataforma electrónica para comprar insumos.</w:t>
      </w:r>
    </w:p>
    <w:p w14:paraId="042E7E3F" w14:textId="2EC03C57" w:rsidR="002238A6" w:rsidRDefault="002238A6" w:rsidP="001164CC">
      <w:pPr>
        <w:spacing w:after="0" w:line="240" w:lineRule="auto"/>
        <w:contextualSpacing/>
        <w:jc w:val="both"/>
        <w:rPr>
          <w:rFonts w:ascii="Arial" w:hAnsi="Arial" w:cs="Arial"/>
        </w:rPr>
      </w:pPr>
    </w:p>
    <w:p w14:paraId="019A0BA0" w14:textId="6DBEFBA7" w:rsidR="002238A6" w:rsidRDefault="002238A6" w:rsidP="002100DA">
      <w:pPr>
        <w:spacing w:after="0" w:line="240" w:lineRule="auto"/>
        <w:contextualSpacing/>
        <w:jc w:val="both"/>
        <w:rPr>
          <w:rFonts w:ascii="Arial" w:hAnsi="Arial" w:cs="Arial"/>
        </w:rPr>
      </w:pPr>
      <w:r>
        <w:rPr>
          <w:rFonts w:ascii="Arial" w:hAnsi="Arial" w:cs="Arial"/>
        </w:rPr>
        <w:t xml:space="preserve">Por otra </w:t>
      </w:r>
      <w:r w:rsidR="002100DA">
        <w:rPr>
          <w:rFonts w:ascii="Arial" w:hAnsi="Arial" w:cs="Arial"/>
        </w:rPr>
        <w:t>parte,</w:t>
      </w:r>
      <w:r>
        <w:rPr>
          <w:rFonts w:ascii="Arial" w:hAnsi="Arial" w:cs="Arial"/>
        </w:rPr>
        <w:t xml:space="preserve"> el 6,6% del valor total de las ventas efectuadas por las empresas comerciales correspondió a transacciones realizadas a través de comercio electrónico, mientras que el 17,0% del valor total de las compras se obtuvo a través de </w:t>
      </w:r>
      <w:r w:rsidR="002100DA">
        <w:rPr>
          <w:rFonts w:ascii="Arial" w:hAnsi="Arial" w:cs="Arial"/>
        </w:rPr>
        <w:t>este</w:t>
      </w:r>
      <w:r>
        <w:rPr>
          <w:rFonts w:ascii="Arial" w:hAnsi="Arial" w:cs="Arial"/>
        </w:rPr>
        <w:t xml:space="preserve"> medio.</w:t>
      </w:r>
    </w:p>
    <w:p w14:paraId="4027264F" w14:textId="1D9DBFA2" w:rsidR="000D31C5" w:rsidRDefault="000D31C5" w:rsidP="000D31C5">
      <w:pPr>
        <w:spacing w:after="0" w:line="240" w:lineRule="auto"/>
        <w:contextualSpacing/>
        <w:jc w:val="center"/>
        <w:rPr>
          <w:rFonts w:ascii="Arial" w:hAnsi="Arial" w:cs="Arial"/>
          <w:i/>
          <w:iCs/>
          <w:sz w:val="20"/>
          <w:szCs w:val="20"/>
        </w:rPr>
      </w:pPr>
    </w:p>
    <w:p w14:paraId="47CD5F20" w14:textId="1D0D1330" w:rsidR="002100DA" w:rsidRDefault="002100DA" w:rsidP="000D31C5">
      <w:pPr>
        <w:spacing w:after="0" w:line="240" w:lineRule="auto"/>
        <w:contextualSpacing/>
        <w:jc w:val="center"/>
        <w:rPr>
          <w:rFonts w:ascii="Arial" w:hAnsi="Arial" w:cs="Arial"/>
          <w:i/>
          <w:iCs/>
          <w:sz w:val="20"/>
          <w:szCs w:val="20"/>
        </w:rPr>
      </w:pPr>
    </w:p>
    <w:p w14:paraId="19A5E577" w14:textId="7DE176F4" w:rsidR="002100DA" w:rsidRDefault="002100DA" w:rsidP="000D31C5">
      <w:pPr>
        <w:spacing w:after="0" w:line="240" w:lineRule="auto"/>
        <w:contextualSpacing/>
        <w:jc w:val="center"/>
        <w:rPr>
          <w:rFonts w:ascii="Arial" w:hAnsi="Arial" w:cs="Arial"/>
          <w:i/>
          <w:iCs/>
          <w:sz w:val="20"/>
          <w:szCs w:val="20"/>
        </w:rPr>
      </w:pPr>
    </w:p>
    <w:p w14:paraId="4D9D5B10" w14:textId="1194CC5D" w:rsidR="002100DA" w:rsidRDefault="002100DA" w:rsidP="000D31C5">
      <w:pPr>
        <w:spacing w:after="0" w:line="240" w:lineRule="auto"/>
        <w:contextualSpacing/>
        <w:jc w:val="center"/>
        <w:rPr>
          <w:rFonts w:ascii="Arial" w:hAnsi="Arial" w:cs="Arial"/>
          <w:i/>
          <w:iCs/>
          <w:sz w:val="20"/>
          <w:szCs w:val="20"/>
        </w:rPr>
      </w:pPr>
    </w:p>
    <w:p w14:paraId="1470BDB1" w14:textId="08A0E0B6" w:rsidR="002100DA" w:rsidRDefault="002100DA" w:rsidP="000D31C5">
      <w:pPr>
        <w:spacing w:after="0" w:line="240" w:lineRule="auto"/>
        <w:contextualSpacing/>
        <w:jc w:val="center"/>
        <w:rPr>
          <w:rFonts w:ascii="Arial" w:hAnsi="Arial" w:cs="Arial"/>
          <w:i/>
          <w:iCs/>
          <w:sz w:val="20"/>
          <w:szCs w:val="20"/>
        </w:rPr>
      </w:pPr>
    </w:p>
    <w:p w14:paraId="1ED95806" w14:textId="77777777" w:rsidR="002100DA" w:rsidRDefault="002100DA" w:rsidP="000D31C5">
      <w:pPr>
        <w:spacing w:after="0" w:line="240" w:lineRule="auto"/>
        <w:contextualSpacing/>
        <w:jc w:val="center"/>
        <w:rPr>
          <w:rFonts w:ascii="Arial" w:hAnsi="Arial" w:cs="Arial"/>
          <w:i/>
          <w:iCs/>
          <w:sz w:val="20"/>
          <w:szCs w:val="20"/>
        </w:rPr>
      </w:pPr>
    </w:p>
    <w:p w14:paraId="570DE6F5" w14:textId="77777777" w:rsidR="002100DA" w:rsidRPr="000D31C5" w:rsidRDefault="002100DA" w:rsidP="000D31C5">
      <w:pPr>
        <w:spacing w:after="0" w:line="240" w:lineRule="auto"/>
        <w:contextualSpacing/>
        <w:jc w:val="center"/>
        <w:rPr>
          <w:rFonts w:ascii="Arial" w:hAnsi="Arial" w:cs="Arial"/>
          <w:i/>
          <w:iCs/>
          <w:sz w:val="20"/>
          <w:szCs w:val="20"/>
        </w:rPr>
      </w:pPr>
    </w:p>
    <w:p w14:paraId="58A68E4D" w14:textId="266A26EB" w:rsidR="000D31C5" w:rsidRPr="00885B8D" w:rsidRDefault="002100DA" w:rsidP="002100DA">
      <w:pPr>
        <w:pStyle w:val="Descripcin"/>
        <w:spacing w:after="0"/>
        <w:jc w:val="center"/>
        <w:rPr>
          <w:rFonts w:ascii="Arial" w:hAnsi="Arial" w:cs="Arial"/>
          <w:i w:val="0"/>
          <w:iCs w:val="0"/>
          <w:color w:val="auto"/>
          <w:sz w:val="20"/>
          <w:szCs w:val="20"/>
        </w:rPr>
      </w:pPr>
      <w:r w:rsidRPr="00885B8D">
        <w:rPr>
          <w:rFonts w:ascii="Arial" w:hAnsi="Arial" w:cs="Arial"/>
          <w:color w:val="auto"/>
          <w:sz w:val="20"/>
          <w:szCs w:val="20"/>
        </w:rPr>
        <w:lastRenderedPageBreak/>
        <w:t xml:space="preserve">Ilustración </w:t>
      </w:r>
      <w:r w:rsidRPr="00885B8D">
        <w:rPr>
          <w:rFonts w:ascii="Arial" w:hAnsi="Arial" w:cs="Arial"/>
          <w:color w:val="auto"/>
          <w:sz w:val="20"/>
          <w:szCs w:val="20"/>
        </w:rPr>
        <w:fldChar w:fldCharType="begin"/>
      </w:r>
      <w:r w:rsidRPr="00885B8D">
        <w:rPr>
          <w:rFonts w:ascii="Arial" w:hAnsi="Arial" w:cs="Arial"/>
          <w:color w:val="auto"/>
          <w:sz w:val="20"/>
          <w:szCs w:val="20"/>
        </w:rPr>
        <w:instrText xml:space="preserve"> SEQ Ilustración \* ARABIC </w:instrText>
      </w:r>
      <w:r w:rsidRPr="00885B8D">
        <w:rPr>
          <w:rFonts w:ascii="Arial" w:hAnsi="Arial" w:cs="Arial"/>
          <w:color w:val="auto"/>
          <w:sz w:val="20"/>
          <w:szCs w:val="20"/>
        </w:rPr>
        <w:fldChar w:fldCharType="separate"/>
      </w:r>
      <w:r w:rsidRPr="00885B8D">
        <w:rPr>
          <w:rFonts w:ascii="Arial" w:hAnsi="Arial" w:cs="Arial"/>
          <w:noProof/>
          <w:color w:val="auto"/>
          <w:sz w:val="20"/>
          <w:szCs w:val="20"/>
        </w:rPr>
        <w:t>15</w:t>
      </w:r>
      <w:r w:rsidRPr="00885B8D">
        <w:rPr>
          <w:rFonts w:ascii="Arial" w:hAnsi="Arial" w:cs="Arial"/>
          <w:color w:val="auto"/>
          <w:sz w:val="20"/>
          <w:szCs w:val="20"/>
        </w:rPr>
        <w:fldChar w:fldCharType="end"/>
      </w:r>
      <w:r w:rsidRPr="00885B8D">
        <w:rPr>
          <w:rFonts w:ascii="Arial" w:hAnsi="Arial" w:cs="Arial"/>
          <w:color w:val="auto"/>
          <w:sz w:val="20"/>
          <w:szCs w:val="20"/>
        </w:rPr>
        <w:t xml:space="preserve">. </w:t>
      </w:r>
      <w:r w:rsidR="000D31C5" w:rsidRPr="00885B8D">
        <w:rPr>
          <w:rFonts w:ascii="Arial" w:hAnsi="Arial" w:cs="Arial"/>
          <w:color w:val="auto"/>
          <w:sz w:val="20"/>
          <w:szCs w:val="20"/>
        </w:rPr>
        <w:t>Porcentaje del total de ventas y compras realizadas a través de comercio electrónico</w:t>
      </w:r>
    </w:p>
    <w:p w14:paraId="45A0EA5B" w14:textId="3B5D6049" w:rsidR="000D31C5" w:rsidRPr="00885B8D" w:rsidRDefault="000D31C5" w:rsidP="002100DA">
      <w:pPr>
        <w:spacing w:after="0" w:line="240" w:lineRule="auto"/>
        <w:contextualSpacing/>
        <w:jc w:val="center"/>
        <w:rPr>
          <w:rFonts w:ascii="Arial" w:hAnsi="Arial" w:cs="Arial"/>
          <w:i/>
          <w:iCs/>
          <w:sz w:val="20"/>
          <w:szCs w:val="20"/>
        </w:rPr>
      </w:pPr>
      <w:r w:rsidRPr="00885B8D">
        <w:rPr>
          <w:rFonts w:ascii="Arial" w:hAnsi="Arial" w:cs="Arial"/>
          <w:i/>
          <w:iCs/>
          <w:sz w:val="20"/>
          <w:szCs w:val="20"/>
        </w:rPr>
        <w:t>Sector: Comercio</w:t>
      </w:r>
    </w:p>
    <w:p w14:paraId="38D41A3F" w14:textId="7926F543" w:rsidR="002238A6" w:rsidRPr="002100DA" w:rsidRDefault="002238A6" w:rsidP="00885B8D">
      <w:pPr>
        <w:spacing w:after="0" w:line="240" w:lineRule="auto"/>
        <w:contextualSpacing/>
        <w:jc w:val="center"/>
        <w:rPr>
          <w:rFonts w:ascii="Arial" w:hAnsi="Arial" w:cs="Arial"/>
        </w:rPr>
      </w:pPr>
      <w:r w:rsidRPr="002100DA">
        <w:rPr>
          <w:rFonts w:ascii="Arial" w:hAnsi="Arial" w:cs="Arial"/>
          <w:noProof/>
        </w:rPr>
        <w:drawing>
          <wp:inline distT="0" distB="0" distL="0" distR="0" wp14:anchorId="5383AA0D" wp14:editId="55397B9C">
            <wp:extent cx="3009900" cy="1926590"/>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3646" t="62348" r="52659" b="10688"/>
                    <a:stretch/>
                  </pic:blipFill>
                  <pic:spPr bwMode="auto">
                    <a:xfrm>
                      <a:off x="0" y="0"/>
                      <a:ext cx="3012804" cy="1928449"/>
                    </a:xfrm>
                    <a:prstGeom prst="rect">
                      <a:avLst/>
                    </a:prstGeom>
                    <a:ln>
                      <a:noFill/>
                    </a:ln>
                    <a:extLst>
                      <a:ext uri="{53640926-AAD7-44D8-BBD7-CCE9431645EC}">
                        <a14:shadowObscured xmlns:a14="http://schemas.microsoft.com/office/drawing/2010/main"/>
                      </a:ext>
                    </a:extLst>
                  </pic:spPr>
                </pic:pic>
              </a:graphicData>
            </a:graphic>
          </wp:inline>
        </w:drawing>
      </w:r>
    </w:p>
    <w:p w14:paraId="529952FE" w14:textId="77777777" w:rsidR="00EA7F43" w:rsidRPr="00522F77" w:rsidRDefault="00EA7F43" w:rsidP="00EA7F43">
      <w:pPr>
        <w:spacing w:after="0" w:line="240" w:lineRule="auto"/>
        <w:contextualSpacing/>
        <w:jc w:val="center"/>
        <w:rPr>
          <w:rFonts w:ascii="Arial" w:hAnsi="Arial" w:cs="Arial"/>
        </w:rPr>
      </w:pPr>
    </w:p>
    <w:p w14:paraId="28755C62" w14:textId="77777777" w:rsidR="0091789E" w:rsidRPr="00522F77" w:rsidRDefault="00CC0C77" w:rsidP="00EA7F43">
      <w:pPr>
        <w:pStyle w:val="Prrafodelista"/>
        <w:numPr>
          <w:ilvl w:val="0"/>
          <w:numId w:val="2"/>
        </w:numPr>
        <w:spacing w:line="240" w:lineRule="auto"/>
        <w:ind w:left="567" w:hanging="567"/>
        <w:jc w:val="both"/>
        <w:rPr>
          <w:rFonts w:ascii="Arial" w:hAnsi="Arial" w:cs="Arial"/>
          <w:b/>
          <w:bCs/>
        </w:rPr>
      </w:pPr>
      <w:r w:rsidRPr="00522F77">
        <w:rPr>
          <w:rFonts w:ascii="Arial" w:hAnsi="Arial" w:cs="Arial"/>
          <w:b/>
          <w:bCs/>
        </w:rPr>
        <w:t xml:space="preserve"> </w:t>
      </w:r>
      <w:r w:rsidR="0091789E" w:rsidRPr="00522F77">
        <w:rPr>
          <w:rFonts w:ascii="Arial" w:hAnsi="Arial" w:cs="Arial"/>
          <w:b/>
          <w:bCs/>
        </w:rPr>
        <w:t>NORMATIVIDAD DEL SECTOR</w:t>
      </w:r>
    </w:p>
    <w:p w14:paraId="2000DCF0" w14:textId="77777777" w:rsidR="00EA7F43" w:rsidRDefault="00EA7F43" w:rsidP="00EA7F43">
      <w:pPr>
        <w:spacing w:after="0" w:line="240" w:lineRule="auto"/>
        <w:contextualSpacing/>
        <w:jc w:val="both"/>
        <w:rPr>
          <w:rFonts w:ascii="Arial" w:hAnsi="Arial" w:cs="Arial"/>
        </w:rPr>
      </w:pPr>
    </w:p>
    <w:p w14:paraId="139A8EDC" w14:textId="4EAEB920" w:rsidR="00CC0C77" w:rsidRPr="00522F77" w:rsidRDefault="00CC0C77" w:rsidP="00EA7F43">
      <w:pPr>
        <w:spacing w:after="0" w:line="240" w:lineRule="auto"/>
        <w:contextualSpacing/>
        <w:jc w:val="both"/>
        <w:rPr>
          <w:rFonts w:ascii="Arial" w:hAnsi="Arial" w:cs="Arial"/>
        </w:rPr>
      </w:pPr>
      <w:r w:rsidRPr="00522F77">
        <w:rPr>
          <w:rFonts w:ascii="Arial" w:hAnsi="Arial" w:cs="Arial"/>
        </w:rPr>
        <w:t xml:space="preserve">Según el Ministerio de Tecnologías de la Información y la Comunicación MINTIC, se establecen las siguientes normas generales para el sector:  </w:t>
      </w:r>
    </w:p>
    <w:p w14:paraId="2B6753C2" w14:textId="77777777" w:rsidR="008D0E5B" w:rsidRPr="00522F77" w:rsidRDefault="008D0E5B" w:rsidP="00EA7F43">
      <w:pPr>
        <w:spacing w:after="0" w:line="240" w:lineRule="auto"/>
        <w:contextualSpacing/>
        <w:jc w:val="both"/>
        <w:rPr>
          <w:rFonts w:ascii="Arial" w:hAnsi="Arial" w:cs="Arial"/>
        </w:rPr>
      </w:pPr>
    </w:p>
    <w:p w14:paraId="3604F80B" w14:textId="77777777" w:rsidR="00CC0C77" w:rsidRPr="00522F77" w:rsidRDefault="00E6120F" w:rsidP="00EA7F43">
      <w:pPr>
        <w:spacing w:after="0" w:line="240" w:lineRule="auto"/>
        <w:contextualSpacing/>
        <w:jc w:val="both"/>
        <w:rPr>
          <w:rFonts w:ascii="Arial" w:hAnsi="Arial" w:cs="Arial"/>
        </w:rPr>
      </w:pPr>
      <w:r w:rsidRPr="00522F77">
        <w:rPr>
          <w:rFonts w:ascii="Arial" w:hAnsi="Arial" w:cs="Arial"/>
        </w:rPr>
        <w:t xml:space="preserve">Ley 1887 de </w:t>
      </w:r>
      <w:r w:rsidR="00244557" w:rsidRPr="00522F77">
        <w:rPr>
          <w:rFonts w:ascii="Arial" w:hAnsi="Arial" w:cs="Arial"/>
        </w:rPr>
        <w:t>2018, Ley</w:t>
      </w:r>
      <w:r w:rsidRPr="00522F77">
        <w:rPr>
          <w:rFonts w:ascii="Arial" w:hAnsi="Arial" w:cs="Arial"/>
        </w:rPr>
        <w:t xml:space="preserve"> 1801 de </w:t>
      </w:r>
      <w:r w:rsidR="008D0E5B" w:rsidRPr="00522F77">
        <w:rPr>
          <w:rFonts w:ascii="Arial" w:hAnsi="Arial" w:cs="Arial"/>
        </w:rPr>
        <w:t>2016, Ley</w:t>
      </w:r>
      <w:r w:rsidRPr="00522F77">
        <w:rPr>
          <w:rFonts w:ascii="Arial" w:hAnsi="Arial" w:cs="Arial"/>
        </w:rPr>
        <w:t xml:space="preserve"> 1341 de 2009, Decreto 2618 de </w:t>
      </w:r>
      <w:r w:rsidR="002965C2" w:rsidRPr="00522F77">
        <w:rPr>
          <w:rFonts w:ascii="Arial" w:hAnsi="Arial" w:cs="Arial"/>
        </w:rPr>
        <w:t>2012, Ley</w:t>
      </w:r>
      <w:r w:rsidRPr="00522F77">
        <w:rPr>
          <w:rFonts w:ascii="Arial" w:hAnsi="Arial" w:cs="Arial"/>
        </w:rPr>
        <w:t xml:space="preserve"> 80 de 1993, </w:t>
      </w:r>
      <w:r w:rsidR="003E20F6" w:rsidRPr="00522F77">
        <w:rPr>
          <w:rFonts w:ascii="Arial" w:hAnsi="Arial" w:cs="Arial"/>
        </w:rPr>
        <w:t>L</w:t>
      </w:r>
      <w:r w:rsidRPr="00522F77">
        <w:rPr>
          <w:rFonts w:ascii="Arial" w:hAnsi="Arial" w:cs="Arial"/>
        </w:rPr>
        <w:t xml:space="preserve">ey 1150 de 2007, </w:t>
      </w:r>
      <w:r w:rsidR="003E20F6" w:rsidRPr="00522F77">
        <w:rPr>
          <w:rFonts w:ascii="Arial" w:hAnsi="Arial" w:cs="Arial"/>
        </w:rPr>
        <w:t>D</w:t>
      </w:r>
      <w:r w:rsidRPr="00522F77">
        <w:rPr>
          <w:rFonts w:ascii="Arial" w:hAnsi="Arial" w:cs="Arial"/>
        </w:rPr>
        <w:t xml:space="preserve">ecreto 1082 de 2015 y </w:t>
      </w:r>
      <w:r w:rsidR="003E20F6" w:rsidRPr="00522F77">
        <w:rPr>
          <w:rFonts w:ascii="Arial" w:hAnsi="Arial" w:cs="Arial"/>
        </w:rPr>
        <w:t>L</w:t>
      </w:r>
      <w:r w:rsidRPr="00522F77">
        <w:rPr>
          <w:rFonts w:ascii="Arial" w:hAnsi="Arial" w:cs="Arial"/>
        </w:rPr>
        <w:t xml:space="preserve">ey 1474 de 2011.  </w:t>
      </w:r>
    </w:p>
    <w:p w14:paraId="77AC8B2B" w14:textId="77777777" w:rsidR="0091789E" w:rsidRPr="00522F77" w:rsidRDefault="0091789E" w:rsidP="00522F77">
      <w:pPr>
        <w:spacing w:after="0" w:line="240" w:lineRule="auto"/>
        <w:contextualSpacing/>
        <w:jc w:val="both"/>
        <w:rPr>
          <w:rFonts w:ascii="Arial" w:hAnsi="Arial" w:cs="Arial"/>
        </w:rPr>
      </w:pPr>
    </w:p>
    <w:p w14:paraId="3163F445" w14:textId="77777777" w:rsidR="003E20F6" w:rsidRPr="00522F77" w:rsidRDefault="0091789E" w:rsidP="00522F77">
      <w:pPr>
        <w:pStyle w:val="Prrafodelista"/>
        <w:numPr>
          <w:ilvl w:val="0"/>
          <w:numId w:val="2"/>
        </w:numPr>
        <w:spacing w:line="240" w:lineRule="auto"/>
        <w:ind w:left="567" w:hanging="567"/>
        <w:jc w:val="both"/>
        <w:rPr>
          <w:rFonts w:ascii="Arial" w:hAnsi="Arial" w:cs="Arial"/>
          <w:b/>
          <w:bCs/>
        </w:rPr>
      </w:pPr>
      <w:r w:rsidRPr="00522F77">
        <w:rPr>
          <w:rFonts w:ascii="Arial" w:hAnsi="Arial" w:cs="Arial"/>
          <w:b/>
          <w:bCs/>
        </w:rPr>
        <w:t xml:space="preserve">ESTUDIO DE LA DEMANDA </w:t>
      </w:r>
    </w:p>
    <w:p w14:paraId="44D826D9" w14:textId="77777777" w:rsidR="00EA7F43" w:rsidRDefault="00EA7F43" w:rsidP="00522F77">
      <w:pPr>
        <w:spacing w:after="0" w:line="240" w:lineRule="auto"/>
        <w:contextualSpacing/>
        <w:jc w:val="both"/>
        <w:rPr>
          <w:rFonts w:ascii="Arial" w:hAnsi="Arial" w:cs="Arial"/>
        </w:rPr>
      </w:pPr>
    </w:p>
    <w:p w14:paraId="629EDA73" w14:textId="5854B608" w:rsidR="00700198" w:rsidRPr="00522F77" w:rsidRDefault="00700198" w:rsidP="00522F77">
      <w:pPr>
        <w:spacing w:after="0" w:line="240" w:lineRule="auto"/>
        <w:contextualSpacing/>
        <w:jc w:val="both"/>
        <w:rPr>
          <w:rFonts w:ascii="Arial" w:hAnsi="Arial" w:cs="Arial"/>
        </w:rPr>
      </w:pPr>
      <w:r w:rsidRPr="00522F77">
        <w:rPr>
          <w:rFonts w:ascii="Arial" w:hAnsi="Arial" w:cs="Arial"/>
        </w:rPr>
        <w:t xml:space="preserve">Como parte del análisis de la demanda de estos mismos servicios contratados se realizó la búsqueda de información en el SECOP </w:t>
      </w:r>
      <w:r w:rsidR="00C16AB9" w:rsidRPr="00522F77">
        <w:rPr>
          <w:rFonts w:ascii="Arial" w:hAnsi="Arial" w:cs="Arial"/>
        </w:rPr>
        <w:t>sobre contrataciones</w:t>
      </w:r>
      <w:r w:rsidRPr="00522F77">
        <w:rPr>
          <w:rFonts w:ascii="Arial" w:hAnsi="Arial" w:cs="Arial"/>
        </w:rPr>
        <w:t xml:space="preserve"> similares que requieren adelantar procesos a cabalidad dentro del sector de tecnologías de información y comunicación, de acuerdo con el requerimiento de la Entidad, encontrando que </w:t>
      </w:r>
      <w:r w:rsidR="00CD5B59" w:rsidRPr="00522F77">
        <w:rPr>
          <w:rFonts w:ascii="Arial" w:hAnsi="Arial" w:cs="Arial"/>
        </w:rPr>
        <w:t>existe histórico</w:t>
      </w:r>
      <w:r w:rsidRPr="00522F77">
        <w:rPr>
          <w:rFonts w:ascii="Arial" w:hAnsi="Arial" w:cs="Arial"/>
        </w:rPr>
        <w:t xml:space="preserve"> de compras con similares</w:t>
      </w:r>
      <w:r w:rsidR="009F71D0" w:rsidRPr="00522F77">
        <w:rPr>
          <w:rFonts w:ascii="Arial" w:hAnsi="Arial" w:cs="Arial"/>
        </w:rPr>
        <w:t xml:space="preserve"> o diferentes</w:t>
      </w:r>
      <w:r w:rsidRPr="00522F77">
        <w:rPr>
          <w:rFonts w:ascii="Arial" w:hAnsi="Arial" w:cs="Arial"/>
        </w:rPr>
        <w:t xml:space="preserve"> características y referencias, tanto en INVIAS, como en otras </w:t>
      </w:r>
      <w:r w:rsidR="00D52C47" w:rsidRPr="00522F77">
        <w:rPr>
          <w:rFonts w:ascii="Arial" w:hAnsi="Arial" w:cs="Arial"/>
        </w:rPr>
        <w:t>e</w:t>
      </w:r>
      <w:r w:rsidRPr="00522F77">
        <w:rPr>
          <w:rFonts w:ascii="Arial" w:hAnsi="Arial" w:cs="Arial"/>
        </w:rPr>
        <w:t>ntidades, los cuales se relacionan continuación.</w:t>
      </w:r>
    </w:p>
    <w:p w14:paraId="032F5063" w14:textId="77777777" w:rsidR="00700198" w:rsidRPr="00522F77" w:rsidRDefault="00700198" w:rsidP="00522F77">
      <w:pPr>
        <w:spacing w:after="0" w:line="240" w:lineRule="auto"/>
        <w:contextualSpacing/>
        <w:jc w:val="both"/>
        <w:rPr>
          <w:rFonts w:ascii="Arial" w:hAnsi="Arial" w:cs="Arial"/>
          <w:b/>
          <w:bCs/>
        </w:rPr>
      </w:pPr>
    </w:p>
    <w:p w14:paraId="492B9AF0" w14:textId="5A7B4D5D" w:rsidR="00700198" w:rsidRPr="00522F77" w:rsidRDefault="00885B8D" w:rsidP="00522F77">
      <w:pPr>
        <w:pStyle w:val="Prrafodelista"/>
        <w:numPr>
          <w:ilvl w:val="1"/>
          <w:numId w:val="2"/>
        </w:numPr>
        <w:spacing w:line="240" w:lineRule="auto"/>
        <w:ind w:left="567" w:hanging="567"/>
        <w:jc w:val="both"/>
        <w:rPr>
          <w:rFonts w:ascii="Arial" w:hAnsi="Arial" w:cs="Arial"/>
          <w:b/>
          <w:bCs/>
        </w:rPr>
      </w:pPr>
      <w:r w:rsidRPr="00522F77">
        <w:rPr>
          <w:rFonts w:ascii="Arial" w:hAnsi="Arial" w:cs="Arial"/>
          <w:b/>
          <w:bCs/>
        </w:rPr>
        <w:t>HISTÓRICO DE ADQUISICIONES DE LA ENTIDAD</w:t>
      </w:r>
    </w:p>
    <w:p w14:paraId="66ECA05D" w14:textId="77777777" w:rsidR="00EA7F43" w:rsidRDefault="00EA7F43" w:rsidP="00522F77">
      <w:pPr>
        <w:spacing w:after="0" w:line="240" w:lineRule="auto"/>
        <w:contextualSpacing/>
        <w:jc w:val="both"/>
        <w:rPr>
          <w:rFonts w:ascii="Arial" w:hAnsi="Arial" w:cs="Arial"/>
        </w:rPr>
      </w:pPr>
    </w:p>
    <w:p w14:paraId="28E3D324" w14:textId="288D2B2B" w:rsidR="00961404" w:rsidRPr="00522F77" w:rsidRDefault="003E20F6" w:rsidP="00522F77">
      <w:pPr>
        <w:spacing w:after="0" w:line="240" w:lineRule="auto"/>
        <w:contextualSpacing/>
        <w:jc w:val="both"/>
        <w:rPr>
          <w:rFonts w:ascii="Arial" w:hAnsi="Arial" w:cs="Arial"/>
        </w:rPr>
      </w:pPr>
      <w:r w:rsidRPr="00522F77">
        <w:rPr>
          <w:rFonts w:ascii="Arial" w:hAnsi="Arial" w:cs="Arial"/>
        </w:rPr>
        <w:t xml:space="preserve">El </w:t>
      </w:r>
      <w:r w:rsidR="00700198" w:rsidRPr="00522F77">
        <w:rPr>
          <w:rFonts w:ascii="Arial" w:hAnsi="Arial" w:cs="Arial"/>
        </w:rPr>
        <w:t>INV</w:t>
      </w:r>
      <w:r w:rsidR="00961404" w:rsidRPr="00522F77">
        <w:rPr>
          <w:rFonts w:ascii="Arial" w:hAnsi="Arial" w:cs="Arial"/>
        </w:rPr>
        <w:t>Í</w:t>
      </w:r>
      <w:r w:rsidR="00700198" w:rsidRPr="00522F77">
        <w:rPr>
          <w:rFonts w:ascii="Arial" w:hAnsi="Arial" w:cs="Arial"/>
        </w:rPr>
        <w:t>AS</w:t>
      </w:r>
      <w:r w:rsidRPr="00522F77">
        <w:rPr>
          <w:rFonts w:ascii="Arial" w:hAnsi="Arial" w:cs="Arial"/>
        </w:rPr>
        <w:t xml:space="preserve"> ha adelantado </w:t>
      </w:r>
      <w:r w:rsidR="00700198" w:rsidRPr="00522F77">
        <w:rPr>
          <w:rFonts w:ascii="Arial" w:hAnsi="Arial" w:cs="Arial"/>
        </w:rPr>
        <w:t xml:space="preserve">procesos </w:t>
      </w:r>
      <w:r w:rsidRPr="00522F77">
        <w:rPr>
          <w:rFonts w:ascii="Arial" w:hAnsi="Arial" w:cs="Arial"/>
        </w:rPr>
        <w:t>de</w:t>
      </w:r>
      <w:r w:rsidR="00961404" w:rsidRPr="00522F77">
        <w:rPr>
          <w:rFonts w:ascii="Arial" w:hAnsi="Arial" w:cs="Arial"/>
        </w:rPr>
        <w:t xml:space="preserve"> selección para </w:t>
      </w:r>
      <w:r w:rsidR="00A34816" w:rsidRPr="00522F77">
        <w:rPr>
          <w:rFonts w:ascii="Arial" w:hAnsi="Arial" w:cs="Arial"/>
        </w:rPr>
        <w:t xml:space="preserve">algunas actividades relacionadas </w:t>
      </w:r>
      <w:r w:rsidR="00EA7F43" w:rsidRPr="00522F77">
        <w:rPr>
          <w:rFonts w:ascii="Arial" w:hAnsi="Arial" w:cs="Arial"/>
        </w:rPr>
        <w:t>con la</w:t>
      </w:r>
      <w:r w:rsidR="00A34816" w:rsidRPr="00522F77">
        <w:rPr>
          <w:rFonts w:ascii="Arial" w:hAnsi="Arial" w:cs="Arial"/>
        </w:rPr>
        <w:t xml:space="preserve"> necesidad que se pretende satisfacer</w:t>
      </w:r>
      <w:r w:rsidR="00961404" w:rsidRPr="00522F77">
        <w:rPr>
          <w:rFonts w:ascii="Arial" w:hAnsi="Arial" w:cs="Arial"/>
        </w:rPr>
        <w:t>,</w:t>
      </w:r>
      <w:r w:rsidR="00A34816" w:rsidRPr="00522F77">
        <w:rPr>
          <w:rFonts w:ascii="Arial" w:hAnsi="Arial" w:cs="Arial"/>
        </w:rPr>
        <w:t xml:space="preserve"> </w:t>
      </w:r>
      <w:r w:rsidR="00885B8D" w:rsidRPr="00522F77">
        <w:rPr>
          <w:rFonts w:ascii="Arial" w:hAnsi="Arial" w:cs="Arial"/>
        </w:rPr>
        <w:t>pero mediante</w:t>
      </w:r>
      <w:r w:rsidR="00961404" w:rsidRPr="00522F77">
        <w:rPr>
          <w:rFonts w:ascii="Arial" w:hAnsi="Arial" w:cs="Arial"/>
        </w:rPr>
        <w:t xml:space="preserve"> otros esquemas de</w:t>
      </w:r>
      <w:r w:rsidR="00A34816" w:rsidRPr="00522F77">
        <w:rPr>
          <w:rFonts w:ascii="Arial" w:hAnsi="Arial" w:cs="Arial"/>
        </w:rPr>
        <w:t xml:space="preserve"> contratación</w:t>
      </w:r>
      <w:r w:rsidR="00961404" w:rsidRPr="00522F77">
        <w:rPr>
          <w:rFonts w:ascii="Arial" w:hAnsi="Arial" w:cs="Arial"/>
        </w:rPr>
        <w:t>, así:</w:t>
      </w:r>
    </w:p>
    <w:p w14:paraId="4727D06A" w14:textId="77777777" w:rsidR="000D5C6E" w:rsidRPr="00522F77" w:rsidRDefault="000D5C6E" w:rsidP="00522F77">
      <w:pPr>
        <w:spacing w:after="0" w:line="240" w:lineRule="auto"/>
        <w:contextualSpacing/>
        <w:jc w:val="both"/>
        <w:rPr>
          <w:rFonts w:ascii="Arial" w:hAnsi="Arial" w:cs="Arial"/>
        </w:rPr>
      </w:pPr>
    </w:p>
    <w:tbl>
      <w:tblPr>
        <w:tblStyle w:val="Tablaconcuadrcula"/>
        <w:tblW w:w="0" w:type="auto"/>
        <w:tblLook w:val="04A0" w:firstRow="1" w:lastRow="0" w:firstColumn="1" w:lastColumn="0" w:noHBand="0" w:noVBand="1"/>
      </w:tblPr>
      <w:tblGrid>
        <w:gridCol w:w="1541"/>
        <w:gridCol w:w="4362"/>
        <w:gridCol w:w="1659"/>
        <w:gridCol w:w="1647"/>
      </w:tblGrid>
      <w:tr w:rsidR="0015660A" w:rsidRPr="002550B9" w14:paraId="5039616A" w14:textId="77777777" w:rsidTr="00CD5B59">
        <w:trPr>
          <w:tblHeader/>
        </w:trPr>
        <w:tc>
          <w:tcPr>
            <w:tcW w:w="1541" w:type="dxa"/>
          </w:tcPr>
          <w:p w14:paraId="5D733F28" w14:textId="77777777" w:rsidR="0015660A" w:rsidRPr="002550B9" w:rsidRDefault="0015660A" w:rsidP="00522F77">
            <w:pPr>
              <w:contextualSpacing/>
              <w:jc w:val="both"/>
              <w:rPr>
                <w:rFonts w:ascii="Arial" w:hAnsi="Arial" w:cs="Arial"/>
                <w:b/>
                <w:bCs/>
                <w:color w:val="0D0D0D" w:themeColor="text1" w:themeTint="F2"/>
                <w:sz w:val="18"/>
                <w:szCs w:val="18"/>
              </w:rPr>
            </w:pPr>
            <w:r w:rsidRPr="002550B9">
              <w:rPr>
                <w:rFonts w:ascii="Arial" w:hAnsi="Arial" w:cs="Arial"/>
                <w:b/>
                <w:bCs/>
                <w:color w:val="0D0D0D" w:themeColor="text1" w:themeTint="F2"/>
                <w:sz w:val="18"/>
                <w:szCs w:val="18"/>
              </w:rPr>
              <w:t>No. de proceso</w:t>
            </w:r>
          </w:p>
        </w:tc>
        <w:tc>
          <w:tcPr>
            <w:tcW w:w="4362" w:type="dxa"/>
          </w:tcPr>
          <w:p w14:paraId="294ADAC4" w14:textId="77777777" w:rsidR="0015660A" w:rsidRPr="002550B9" w:rsidRDefault="0015660A" w:rsidP="00522F77">
            <w:pPr>
              <w:contextualSpacing/>
              <w:jc w:val="center"/>
              <w:rPr>
                <w:rFonts w:ascii="Arial" w:hAnsi="Arial" w:cs="Arial"/>
                <w:b/>
                <w:bCs/>
                <w:color w:val="0D0D0D" w:themeColor="text1" w:themeTint="F2"/>
                <w:sz w:val="18"/>
                <w:szCs w:val="18"/>
              </w:rPr>
            </w:pPr>
            <w:r w:rsidRPr="002550B9">
              <w:rPr>
                <w:rFonts w:ascii="Arial" w:hAnsi="Arial" w:cs="Arial"/>
                <w:b/>
                <w:bCs/>
                <w:color w:val="0D0D0D" w:themeColor="text1" w:themeTint="F2"/>
                <w:sz w:val="18"/>
                <w:szCs w:val="18"/>
              </w:rPr>
              <w:t>Objeto</w:t>
            </w:r>
          </w:p>
        </w:tc>
        <w:tc>
          <w:tcPr>
            <w:tcW w:w="1659" w:type="dxa"/>
          </w:tcPr>
          <w:p w14:paraId="37B766FF" w14:textId="77777777" w:rsidR="0015660A" w:rsidRPr="002550B9" w:rsidRDefault="0015660A" w:rsidP="00522F77">
            <w:pPr>
              <w:contextualSpacing/>
              <w:jc w:val="center"/>
              <w:rPr>
                <w:rFonts w:ascii="Arial" w:hAnsi="Arial" w:cs="Arial"/>
                <w:b/>
                <w:bCs/>
                <w:color w:val="0D0D0D" w:themeColor="text1" w:themeTint="F2"/>
                <w:sz w:val="18"/>
                <w:szCs w:val="18"/>
              </w:rPr>
            </w:pPr>
            <w:r w:rsidRPr="002550B9">
              <w:rPr>
                <w:rFonts w:ascii="Arial" w:hAnsi="Arial" w:cs="Arial"/>
                <w:b/>
                <w:bCs/>
                <w:color w:val="0D0D0D" w:themeColor="text1" w:themeTint="F2"/>
                <w:sz w:val="18"/>
                <w:szCs w:val="18"/>
              </w:rPr>
              <w:t>Cuantía</w:t>
            </w:r>
          </w:p>
        </w:tc>
        <w:tc>
          <w:tcPr>
            <w:tcW w:w="1606" w:type="dxa"/>
          </w:tcPr>
          <w:p w14:paraId="11F71DA8" w14:textId="77777777" w:rsidR="0015660A" w:rsidRPr="002550B9" w:rsidRDefault="0015660A" w:rsidP="00522F77">
            <w:pPr>
              <w:contextualSpacing/>
              <w:jc w:val="center"/>
              <w:rPr>
                <w:rFonts w:ascii="Arial" w:hAnsi="Arial" w:cs="Arial"/>
                <w:b/>
                <w:bCs/>
                <w:color w:val="0D0D0D" w:themeColor="text1" w:themeTint="F2"/>
                <w:sz w:val="18"/>
                <w:szCs w:val="18"/>
              </w:rPr>
            </w:pPr>
            <w:r w:rsidRPr="002550B9">
              <w:rPr>
                <w:rFonts w:ascii="Arial" w:hAnsi="Arial" w:cs="Arial"/>
                <w:b/>
                <w:bCs/>
                <w:color w:val="0D0D0D" w:themeColor="text1" w:themeTint="F2"/>
                <w:sz w:val="18"/>
                <w:szCs w:val="18"/>
              </w:rPr>
              <w:t xml:space="preserve">Contratista </w:t>
            </w:r>
          </w:p>
        </w:tc>
      </w:tr>
      <w:tr w:rsidR="0015660A" w:rsidRPr="002550B9" w14:paraId="7CDE6969" w14:textId="77777777" w:rsidTr="00CD5B59">
        <w:tc>
          <w:tcPr>
            <w:tcW w:w="1541" w:type="dxa"/>
          </w:tcPr>
          <w:p w14:paraId="445AFFDE" w14:textId="77777777" w:rsidR="0015660A" w:rsidRPr="002550B9" w:rsidRDefault="0015660A" w:rsidP="00522F77">
            <w:pPr>
              <w:contextualSpacing/>
              <w:jc w:val="both"/>
              <w:rPr>
                <w:rFonts w:ascii="Arial" w:hAnsi="Arial" w:cs="Arial"/>
                <w:color w:val="0D0D0D" w:themeColor="text1" w:themeTint="F2"/>
                <w:sz w:val="18"/>
                <w:szCs w:val="18"/>
              </w:rPr>
            </w:pPr>
            <w:r w:rsidRPr="002550B9">
              <w:rPr>
                <w:rFonts w:ascii="Arial" w:hAnsi="Arial" w:cs="Arial"/>
                <w:color w:val="0D0D0D" w:themeColor="text1" w:themeTint="F2"/>
                <w:sz w:val="18"/>
                <w:szCs w:val="18"/>
                <w:shd w:val="clear" w:color="auto" w:fill="FFFFFF"/>
              </w:rPr>
              <w:t>SA-MC-SGA-PSCN-010-2008</w:t>
            </w:r>
          </w:p>
        </w:tc>
        <w:tc>
          <w:tcPr>
            <w:tcW w:w="4362" w:type="dxa"/>
          </w:tcPr>
          <w:p w14:paraId="7216B1C0" w14:textId="77777777" w:rsidR="0015660A" w:rsidRPr="002550B9" w:rsidRDefault="0015660A" w:rsidP="00522F77">
            <w:pPr>
              <w:contextualSpacing/>
              <w:jc w:val="both"/>
              <w:rPr>
                <w:rFonts w:ascii="Arial" w:hAnsi="Arial" w:cs="Arial"/>
                <w:color w:val="0D0D0D" w:themeColor="text1" w:themeTint="F2"/>
                <w:sz w:val="18"/>
                <w:szCs w:val="18"/>
                <w:shd w:val="clear" w:color="auto" w:fill="FFFFFF"/>
              </w:rPr>
            </w:pPr>
            <w:r w:rsidRPr="002550B9">
              <w:rPr>
                <w:rFonts w:ascii="Arial" w:hAnsi="Arial" w:cs="Arial"/>
                <w:color w:val="0D0D0D" w:themeColor="text1" w:themeTint="F2"/>
                <w:sz w:val="18"/>
                <w:szCs w:val="18"/>
                <w:shd w:val="clear" w:color="auto" w:fill="FFFFFF"/>
              </w:rPr>
              <w:t>SERVICIO DE MONITOREO SATELITAL PARA LOS VEHICULOS DEL PROGRAMA DE SEGURIDAD EN CARRETERAS NACIONALES</w:t>
            </w:r>
          </w:p>
        </w:tc>
        <w:tc>
          <w:tcPr>
            <w:tcW w:w="1659" w:type="dxa"/>
          </w:tcPr>
          <w:p w14:paraId="6BAE053D" w14:textId="77777777" w:rsidR="0015660A" w:rsidRPr="002550B9" w:rsidRDefault="0015660A" w:rsidP="00522F77">
            <w:pPr>
              <w:contextualSpacing/>
              <w:jc w:val="right"/>
              <w:rPr>
                <w:rFonts w:ascii="Arial" w:hAnsi="Arial" w:cs="Arial"/>
                <w:color w:val="0D0D0D" w:themeColor="text1" w:themeTint="F2"/>
                <w:sz w:val="18"/>
                <w:szCs w:val="18"/>
              </w:rPr>
            </w:pPr>
            <w:r w:rsidRPr="002550B9">
              <w:rPr>
                <w:rFonts w:ascii="Arial" w:hAnsi="Arial" w:cs="Arial"/>
                <w:color w:val="0D0D0D" w:themeColor="text1" w:themeTint="F2"/>
                <w:sz w:val="18"/>
                <w:szCs w:val="18"/>
                <w:shd w:val="clear" w:color="auto" w:fill="FFFFFF"/>
              </w:rPr>
              <w:t xml:space="preserve"> $4.152.148.814</w:t>
            </w:r>
          </w:p>
        </w:tc>
        <w:tc>
          <w:tcPr>
            <w:tcW w:w="1606" w:type="dxa"/>
          </w:tcPr>
          <w:p w14:paraId="0E0BE3FC" w14:textId="77777777" w:rsidR="00CD5B59" w:rsidRPr="002550B9" w:rsidRDefault="00CD5B59" w:rsidP="00522F77">
            <w:pPr>
              <w:contextualSpacing/>
              <w:jc w:val="center"/>
              <w:rPr>
                <w:rFonts w:ascii="Arial" w:hAnsi="Arial" w:cs="Arial"/>
                <w:color w:val="0D0D0D" w:themeColor="text1" w:themeTint="F2"/>
                <w:sz w:val="18"/>
                <w:szCs w:val="18"/>
                <w:shd w:val="clear" w:color="auto" w:fill="FFFFFF"/>
                <w:lang w:val="en-US"/>
              </w:rPr>
            </w:pPr>
            <w:r w:rsidRPr="002550B9">
              <w:rPr>
                <w:rFonts w:ascii="Arial" w:hAnsi="Arial" w:cs="Arial"/>
                <w:color w:val="0D0D0D" w:themeColor="text1" w:themeTint="F2"/>
                <w:sz w:val="18"/>
                <w:szCs w:val="18"/>
                <w:shd w:val="clear" w:color="auto" w:fill="FFFFFF"/>
                <w:lang w:val="en-US"/>
              </w:rPr>
              <w:t>UNIÓN TEMPORAL SIMS TECHNOLOGIES LTDA. – 3S S.A. – SIMS LTDA</w:t>
            </w:r>
          </w:p>
          <w:p w14:paraId="7935E088" w14:textId="77777777" w:rsidR="00CD5B59" w:rsidRPr="002550B9" w:rsidRDefault="00CD5B59" w:rsidP="00522F77">
            <w:pPr>
              <w:contextualSpacing/>
              <w:jc w:val="center"/>
              <w:rPr>
                <w:rFonts w:ascii="Arial" w:hAnsi="Arial" w:cs="Arial"/>
                <w:color w:val="0D0D0D" w:themeColor="text1" w:themeTint="F2"/>
                <w:sz w:val="18"/>
                <w:szCs w:val="18"/>
                <w:shd w:val="clear" w:color="auto" w:fill="FFFFFF"/>
                <w:lang w:val="en-US"/>
              </w:rPr>
            </w:pPr>
          </w:p>
          <w:p w14:paraId="22F3C522" w14:textId="77777777" w:rsidR="0015660A" w:rsidRPr="002550B9" w:rsidRDefault="00CD5B59" w:rsidP="00522F77">
            <w:pPr>
              <w:contextualSpacing/>
              <w:jc w:val="center"/>
              <w:rPr>
                <w:rFonts w:ascii="Arial" w:hAnsi="Arial" w:cs="Arial"/>
                <w:color w:val="0D0D0D" w:themeColor="text1" w:themeTint="F2"/>
                <w:sz w:val="18"/>
                <w:szCs w:val="18"/>
                <w:shd w:val="clear" w:color="auto" w:fill="FFFFFF"/>
              </w:rPr>
            </w:pPr>
            <w:r w:rsidRPr="002550B9">
              <w:rPr>
                <w:rFonts w:ascii="Arial" w:hAnsi="Arial" w:cs="Arial"/>
                <w:color w:val="0D0D0D" w:themeColor="text1" w:themeTint="F2"/>
                <w:sz w:val="18"/>
                <w:szCs w:val="18"/>
                <w:shd w:val="clear" w:color="auto" w:fill="FFFFFF"/>
              </w:rPr>
              <w:t xml:space="preserve">Integrantes: i) SIMS TECHNOLOGIES LTDA, SATELLITE AND SOLAR SERVICES S.A., y SISTEMA </w:t>
            </w:r>
            <w:r w:rsidRPr="002550B9">
              <w:rPr>
                <w:rFonts w:ascii="Arial" w:hAnsi="Arial" w:cs="Arial"/>
                <w:color w:val="0D0D0D" w:themeColor="text1" w:themeTint="F2"/>
                <w:sz w:val="18"/>
                <w:szCs w:val="18"/>
                <w:shd w:val="clear" w:color="auto" w:fill="FFFFFF"/>
              </w:rPr>
              <w:lastRenderedPageBreak/>
              <w:t>INTELIGENTE DE MONITOREO SATELITAL-SIMS LTDA</w:t>
            </w:r>
          </w:p>
        </w:tc>
      </w:tr>
      <w:tr w:rsidR="0015660A" w:rsidRPr="002550B9" w14:paraId="6E8A0F0F" w14:textId="77777777" w:rsidTr="00CD5B59">
        <w:tc>
          <w:tcPr>
            <w:tcW w:w="1541" w:type="dxa"/>
          </w:tcPr>
          <w:p w14:paraId="7B7EECF5" w14:textId="77777777" w:rsidR="0015660A" w:rsidRPr="002550B9" w:rsidRDefault="0015660A" w:rsidP="00522F77">
            <w:pPr>
              <w:contextualSpacing/>
              <w:jc w:val="both"/>
              <w:rPr>
                <w:rFonts w:ascii="Arial" w:hAnsi="Arial" w:cs="Arial"/>
                <w:color w:val="0D0D0D" w:themeColor="text1" w:themeTint="F2"/>
                <w:sz w:val="18"/>
                <w:szCs w:val="18"/>
              </w:rPr>
            </w:pPr>
            <w:r w:rsidRPr="002550B9">
              <w:rPr>
                <w:rFonts w:ascii="Arial" w:hAnsi="Arial" w:cs="Arial"/>
                <w:color w:val="0D0D0D" w:themeColor="text1" w:themeTint="F2"/>
                <w:sz w:val="18"/>
                <w:szCs w:val="18"/>
                <w:shd w:val="clear" w:color="auto" w:fill="FFFFFF"/>
              </w:rPr>
              <w:lastRenderedPageBreak/>
              <w:t>SA-MC-SGA-PSCN-078-2011</w:t>
            </w:r>
          </w:p>
        </w:tc>
        <w:tc>
          <w:tcPr>
            <w:tcW w:w="4362" w:type="dxa"/>
          </w:tcPr>
          <w:p w14:paraId="4F55711C" w14:textId="77777777" w:rsidR="0015660A" w:rsidRPr="002550B9" w:rsidRDefault="0015660A" w:rsidP="00522F77">
            <w:pPr>
              <w:contextualSpacing/>
              <w:jc w:val="both"/>
              <w:rPr>
                <w:rFonts w:ascii="Arial" w:hAnsi="Arial" w:cs="Arial"/>
                <w:color w:val="0D0D0D" w:themeColor="text1" w:themeTint="F2"/>
                <w:sz w:val="18"/>
                <w:szCs w:val="18"/>
                <w:shd w:val="clear" w:color="auto" w:fill="FFFFFF"/>
              </w:rPr>
            </w:pPr>
            <w:r w:rsidRPr="002550B9">
              <w:rPr>
                <w:rFonts w:ascii="Arial" w:hAnsi="Arial" w:cs="Arial"/>
                <w:color w:val="0D0D0D" w:themeColor="text1" w:themeTint="F2"/>
                <w:sz w:val="18"/>
                <w:szCs w:val="18"/>
                <w:shd w:val="clear" w:color="auto" w:fill="FFFFFF"/>
              </w:rPr>
              <w:t>SERVICIO INTEGRAL DE MONITOREO VIAL PARA EL PROGRAMA DE SEGURIDAD EN CARRETERAS NACIONALES</w:t>
            </w:r>
          </w:p>
        </w:tc>
        <w:tc>
          <w:tcPr>
            <w:tcW w:w="1659" w:type="dxa"/>
          </w:tcPr>
          <w:p w14:paraId="1BE10DA0" w14:textId="77777777" w:rsidR="0015660A" w:rsidRPr="002550B9" w:rsidRDefault="0015660A" w:rsidP="00522F77">
            <w:pPr>
              <w:contextualSpacing/>
              <w:jc w:val="right"/>
              <w:rPr>
                <w:rFonts w:ascii="Arial" w:hAnsi="Arial" w:cs="Arial"/>
                <w:color w:val="0D0D0D" w:themeColor="text1" w:themeTint="F2"/>
                <w:sz w:val="18"/>
                <w:szCs w:val="18"/>
                <w:shd w:val="clear" w:color="auto" w:fill="FFFFFF"/>
              </w:rPr>
            </w:pPr>
            <w:r w:rsidRPr="002550B9">
              <w:rPr>
                <w:rFonts w:ascii="Arial" w:hAnsi="Arial" w:cs="Arial"/>
                <w:color w:val="0D0D0D" w:themeColor="text1" w:themeTint="F2"/>
                <w:sz w:val="18"/>
                <w:szCs w:val="18"/>
                <w:shd w:val="clear" w:color="auto" w:fill="FFFFFF"/>
              </w:rPr>
              <w:t>$7.095.000.000</w:t>
            </w:r>
          </w:p>
        </w:tc>
        <w:tc>
          <w:tcPr>
            <w:tcW w:w="1606" w:type="dxa"/>
          </w:tcPr>
          <w:p w14:paraId="23D46D6C" w14:textId="77777777" w:rsidR="00CD5B59" w:rsidRPr="002550B9" w:rsidRDefault="00CD5B59" w:rsidP="00522F77">
            <w:pPr>
              <w:contextualSpacing/>
              <w:jc w:val="center"/>
              <w:rPr>
                <w:rFonts w:ascii="Arial" w:hAnsi="Arial" w:cs="Arial"/>
                <w:color w:val="0D0D0D" w:themeColor="text1" w:themeTint="F2"/>
                <w:sz w:val="18"/>
                <w:szCs w:val="18"/>
                <w:shd w:val="clear" w:color="auto" w:fill="FFFFFF"/>
                <w:lang w:val="en-US"/>
              </w:rPr>
            </w:pPr>
            <w:r w:rsidRPr="002550B9">
              <w:rPr>
                <w:rFonts w:ascii="Arial" w:hAnsi="Arial" w:cs="Arial"/>
                <w:color w:val="0D0D0D" w:themeColor="text1" w:themeTint="F2"/>
                <w:sz w:val="18"/>
                <w:szCs w:val="18"/>
                <w:shd w:val="clear" w:color="auto" w:fill="FFFFFF"/>
                <w:lang w:val="en-US"/>
              </w:rPr>
              <w:t>UNIÓN TEMPORAL SIMS TECHNOLOGIES LTDA. – 3S S.A. – SIMS LTDA</w:t>
            </w:r>
          </w:p>
          <w:p w14:paraId="277687DA" w14:textId="77777777" w:rsidR="00CD5B59" w:rsidRPr="002550B9" w:rsidRDefault="00CD5B59" w:rsidP="00522F77">
            <w:pPr>
              <w:contextualSpacing/>
              <w:jc w:val="center"/>
              <w:rPr>
                <w:rFonts w:ascii="Arial" w:hAnsi="Arial" w:cs="Arial"/>
                <w:color w:val="0D0D0D" w:themeColor="text1" w:themeTint="F2"/>
                <w:sz w:val="18"/>
                <w:szCs w:val="18"/>
                <w:shd w:val="clear" w:color="auto" w:fill="FFFFFF"/>
                <w:lang w:val="en-US"/>
              </w:rPr>
            </w:pPr>
          </w:p>
          <w:p w14:paraId="094671D8" w14:textId="77777777" w:rsidR="0015660A" w:rsidRPr="002550B9" w:rsidRDefault="00CD5B59" w:rsidP="00522F77">
            <w:pPr>
              <w:contextualSpacing/>
              <w:jc w:val="center"/>
              <w:rPr>
                <w:rFonts w:ascii="Arial" w:hAnsi="Arial" w:cs="Arial"/>
                <w:color w:val="0D0D0D" w:themeColor="text1" w:themeTint="F2"/>
                <w:sz w:val="18"/>
                <w:szCs w:val="18"/>
                <w:shd w:val="clear" w:color="auto" w:fill="FFFFFF"/>
              </w:rPr>
            </w:pPr>
            <w:r w:rsidRPr="002550B9">
              <w:rPr>
                <w:rFonts w:ascii="Arial" w:hAnsi="Arial" w:cs="Arial"/>
                <w:color w:val="0D0D0D" w:themeColor="text1" w:themeTint="F2"/>
                <w:sz w:val="18"/>
                <w:szCs w:val="18"/>
                <w:shd w:val="clear" w:color="auto" w:fill="FFFFFF"/>
              </w:rPr>
              <w:t>SIMS TECH S.A.S., 3S S.A.S. y SISTEMA INTELIGENTE DE MONITOREO SATELITAL SIMS LTDA</w:t>
            </w:r>
          </w:p>
        </w:tc>
      </w:tr>
      <w:tr w:rsidR="0015660A" w:rsidRPr="002550B9" w14:paraId="2E598B49" w14:textId="77777777" w:rsidTr="00CD5B59">
        <w:tc>
          <w:tcPr>
            <w:tcW w:w="1541" w:type="dxa"/>
          </w:tcPr>
          <w:p w14:paraId="41709701" w14:textId="77777777" w:rsidR="0015660A" w:rsidRPr="002550B9" w:rsidRDefault="0015660A" w:rsidP="00522F77">
            <w:pPr>
              <w:contextualSpacing/>
              <w:jc w:val="both"/>
              <w:rPr>
                <w:rFonts w:ascii="Arial" w:hAnsi="Arial" w:cs="Arial"/>
                <w:color w:val="0D0D0D" w:themeColor="text1" w:themeTint="F2"/>
                <w:sz w:val="18"/>
                <w:szCs w:val="18"/>
                <w:shd w:val="clear" w:color="auto" w:fill="FFFFFF"/>
              </w:rPr>
            </w:pPr>
            <w:r w:rsidRPr="002550B9">
              <w:rPr>
                <w:rFonts w:ascii="Arial" w:hAnsi="Arial" w:cs="Arial"/>
                <w:color w:val="0D0D0D" w:themeColor="text1" w:themeTint="F2"/>
                <w:sz w:val="18"/>
                <w:szCs w:val="18"/>
                <w:shd w:val="clear" w:color="auto" w:fill="FFFFFF"/>
                <w:lang w:val="en-US"/>
              </w:rPr>
              <w:t>SA-MC-SGA-PSCN-018-2013</w:t>
            </w:r>
          </w:p>
        </w:tc>
        <w:tc>
          <w:tcPr>
            <w:tcW w:w="4362" w:type="dxa"/>
          </w:tcPr>
          <w:p w14:paraId="175DD237" w14:textId="77777777" w:rsidR="0015660A" w:rsidRPr="002550B9" w:rsidRDefault="0015660A" w:rsidP="00522F77">
            <w:pPr>
              <w:contextualSpacing/>
              <w:jc w:val="both"/>
              <w:rPr>
                <w:rFonts w:ascii="Arial" w:hAnsi="Arial" w:cs="Arial"/>
                <w:color w:val="0D0D0D" w:themeColor="text1" w:themeTint="F2"/>
                <w:sz w:val="18"/>
                <w:szCs w:val="18"/>
                <w:shd w:val="clear" w:color="auto" w:fill="FFFFFF"/>
              </w:rPr>
            </w:pPr>
            <w:r w:rsidRPr="002550B9">
              <w:rPr>
                <w:rFonts w:ascii="Arial" w:hAnsi="Arial" w:cs="Arial"/>
                <w:color w:val="0D0D0D" w:themeColor="text1" w:themeTint="F2"/>
                <w:sz w:val="18"/>
                <w:szCs w:val="18"/>
                <w:shd w:val="clear" w:color="auto" w:fill="FFFFFF"/>
              </w:rPr>
              <w:t>SERVICIO INTEGRAL DE MONITOREO VIAL PARA EL PROGRAMA DE SEGURIDAD EN CARRETERAS NACIONALES</w:t>
            </w:r>
          </w:p>
        </w:tc>
        <w:tc>
          <w:tcPr>
            <w:tcW w:w="1659" w:type="dxa"/>
          </w:tcPr>
          <w:p w14:paraId="05563B16" w14:textId="77777777" w:rsidR="0015660A" w:rsidRPr="002550B9" w:rsidRDefault="0015660A" w:rsidP="00522F77">
            <w:pPr>
              <w:contextualSpacing/>
              <w:jc w:val="right"/>
              <w:rPr>
                <w:rFonts w:ascii="Arial" w:hAnsi="Arial" w:cs="Arial"/>
                <w:color w:val="0D0D0D" w:themeColor="text1" w:themeTint="F2"/>
                <w:sz w:val="18"/>
                <w:szCs w:val="18"/>
                <w:shd w:val="clear" w:color="auto" w:fill="FFFFFF"/>
              </w:rPr>
            </w:pPr>
            <w:r w:rsidRPr="002550B9">
              <w:rPr>
                <w:rFonts w:ascii="Arial" w:hAnsi="Arial" w:cs="Arial"/>
                <w:color w:val="0D0D0D" w:themeColor="text1" w:themeTint="F2"/>
                <w:sz w:val="18"/>
                <w:szCs w:val="18"/>
                <w:shd w:val="clear" w:color="auto" w:fill="FFFFFF"/>
              </w:rPr>
              <w:t>$4.513.253.060</w:t>
            </w:r>
          </w:p>
        </w:tc>
        <w:tc>
          <w:tcPr>
            <w:tcW w:w="1606" w:type="dxa"/>
          </w:tcPr>
          <w:p w14:paraId="582569D2" w14:textId="77777777" w:rsidR="0015660A" w:rsidRPr="002550B9" w:rsidRDefault="00CD5B59" w:rsidP="00522F77">
            <w:pPr>
              <w:contextualSpacing/>
              <w:jc w:val="center"/>
              <w:rPr>
                <w:rFonts w:ascii="Arial" w:hAnsi="Arial" w:cs="Arial"/>
                <w:color w:val="0D0D0D" w:themeColor="text1" w:themeTint="F2"/>
                <w:sz w:val="18"/>
                <w:szCs w:val="18"/>
                <w:shd w:val="clear" w:color="auto" w:fill="FFFFFF"/>
                <w:lang w:val="en-US"/>
              </w:rPr>
            </w:pPr>
            <w:r w:rsidRPr="002550B9">
              <w:rPr>
                <w:rFonts w:ascii="Arial" w:hAnsi="Arial" w:cs="Arial"/>
                <w:color w:val="0D0D0D" w:themeColor="text1" w:themeTint="F2"/>
                <w:sz w:val="18"/>
                <w:szCs w:val="18"/>
                <w:shd w:val="clear" w:color="auto" w:fill="FFFFFF"/>
                <w:lang w:val="en-US"/>
              </w:rPr>
              <w:t>SIMS TECHNOLOGIES S.A.S. – SIMS TECH</w:t>
            </w:r>
          </w:p>
        </w:tc>
      </w:tr>
      <w:tr w:rsidR="0015660A" w:rsidRPr="002550B9" w14:paraId="668DC863" w14:textId="77777777" w:rsidTr="00CD5B59">
        <w:tc>
          <w:tcPr>
            <w:tcW w:w="1541" w:type="dxa"/>
          </w:tcPr>
          <w:p w14:paraId="3C413BDF" w14:textId="77777777" w:rsidR="0015660A" w:rsidRPr="002550B9" w:rsidRDefault="0015660A" w:rsidP="00522F77">
            <w:pPr>
              <w:contextualSpacing/>
              <w:jc w:val="both"/>
              <w:rPr>
                <w:rFonts w:ascii="Arial" w:hAnsi="Arial" w:cs="Arial"/>
                <w:color w:val="0D0D0D" w:themeColor="text1" w:themeTint="F2"/>
                <w:sz w:val="18"/>
                <w:szCs w:val="18"/>
                <w:shd w:val="clear" w:color="auto" w:fill="FFFFFF"/>
              </w:rPr>
            </w:pPr>
            <w:r w:rsidRPr="002550B9">
              <w:rPr>
                <w:rFonts w:ascii="Arial" w:hAnsi="Arial" w:cs="Arial"/>
                <w:color w:val="0D0D0D" w:themeColor="text1" w:themeTint="F2"/>
                <w:sz w:val="18"/>
                <w:szCs w:val="18"/>
                <w:shd w:val="clear" w:color="auto" w:fill="FFFFFF"/>
                <w:lang w:val="en-US"/>
              </w:rPr>
              <w:t> </w:t>
            </w:r>
            <w:r w:rsidRPr="002550B9">
              <w:rPr>
                <w:rFonts w:ascii="Arial" w:hAnsi="Arial" w:cs="Arial"/>
                <w:color w:val="0D0D0D" w:themeColor="text1" w:themeTint="F2"/>
                <w:sz w:val="18"/>
                <w:szCs w:val="18"/>
                <w:shd w:val="clear" w:color="auto" w:fill="FFFFFF"/>
              </w:rPr>
              <w:t>SA-MC-SG-PSCN-031-2014</w:t>
            </w:r>
          </w:p>
        </w:tc>
        <w:tc>
          <w:tcPr>
            <w:tcW w:w="4362" w:type="dxa"/>
          </w:tcPr>
          <w:p w14:paraId="2DA2B760" w14:textId="77777777" w:rsidR="0015660A" w:rsidRPr="002550B9" w:rsidRDefault="0015660A" w:rsidP="00522F77">
            <w:pPr>
              <w:contextualSpacing/>
              <w:jc w:val="both"/>
              <w:rPr>
                <w:rFonts w:ascii="Arial" w:hAnsi="Arial" w:cs="Arial"/>
                <w:color w:val="0D0D0D" w:themeColor="text1" w:themeTint="F2"/>
                <w:sz w:val="18"/>
                <w:szCs w:val="18"/>
                <w:shd w:val="clear" w:color="auto" w:fill="FFFFFF"/>
              </w:rPr>
            </w:pPr>
            <w:r w:rsidRPr="002550B9">
              <w:rPr>
                <w:rFonts w:ascii="Arial" w:hAnsi="Arial" w:cs="Arial"/>
                <w:color w:val="0D0D0D" w:themeColor="text1" w:themeTint="F2"/>
                <w:sz w:val="18"/>
                <w:szCs w:val="18"/>
                <w:shd w:val="clear" w:color="auto" w:fill="FFFFFF"/>
              </w:rPr>
              <w:t>SERVICIO INTEGRAL DE MONITOREO VIAL PARA EL PROGRAMA DE SEGURIDAD EN CARRETERAS NACIONALES</w:t>
            </w:r>
          </w:p>
        </w:tc>
        <w:tc>
          <w:tcPr>
            <w:tcW w:w="1659" w:type="dxa"/>
          </w:tcPr>
          <w:p w14:paraId="56619DCA" w14:textId="77777777" w:rsidR="0015660A" w:rsidRPr="002550B9" w:rsidRDefault="0015660A" w:rsidP="00522F77">
            <w:pPr>
              <w:contextualSpacing/>
              <w:jc w:val="right"/>
              <w:rPr>
                <w:rFonts w:ascii="Arial" w:hAnsi="Arial" w:cs="Arial"/>
                <w:color w:val="0D0D0D" w:themeColor="text1" w:themeTint="F2"/>
                <w:sz w:val="18"/>
                <w:szCs w:val="18"/>
                <w:shd w:val="clear" w:color="auto" w:fill="FFFFFF"/>
              </w:rPr>
            </w:pPr>
            <w:r w:rsidRPr="002550B9">
              <w:rPr>
                <w:rFonts w:ascii="Arial" w:hAnsi="Arial" w:cs="Arial"/>
                <w:color w:val="0D0D0D" w:themeColor="text1" w:themeTint="F2"/>
                <w:sz w:val="18"/>
                <w:szCs w:val="18"/>
                <w:shd w:val="clear" w:color="auto" w:fill="FFFFFF"/>
              </w:rPr>
              <w:t>$12.127.371.960</w:t>
            </w:r>
          </w:p>
        </w:tc>
        <w:tc>
          <w:tcPr>
            <w:tcW w:w="1606" w:type="dxa"/>
          </w:tcPr>
          <w:p w14:paraId="79EF25E5" w14:textId="77777777" w:rsidR="0015660A" w:rsidRPr="002550B9" w:rsidRDefault="00CD5B59" w:rsidP="00522F77">
            <w:pPr>
              <w:contextualSpacing/>
              <w:jc w:val="center"/>
              <w:rPr>
                <w:rFonts w:ascii="Arial" w:hAnsi="Arial" w:cs="Arial"/>
                <w:color w:val="0D0D0D" w:themeColor="text1" w:themeTint="F2"/>
                <w:sz w:val="18"/>
                <w:szCs w:val="18"/>
                <w:shd w:val="clear" w:color="auto" w:fill="FFFFFF"/>
                <w:lang w:val="en-US"/>
              </w:rPr>
            </w:pPr>
            <w:r w:rsidRPr="002550B9">
              <w:rPr>
                <w:rFonts w:ascii="Arial" w:hAnsi="Arial" w:cs="Arial"/>
                <w:color w:val="0D0D0D" w:themeColor="text1" w:themeTint="F2"/>
                <w:sz w:val="18"/>
                <w:szCs w:val="18"/>
                <w:shd w:val="clear" w:color="auto" w:fill="FFFFFF"/>
                <w:lang w:val="en-US"/>
              </w:rPr>
              <w:t>SIMS TECHNOLOGIES S.A.S. – SIMS TECH</w:t>
            </w:r>
          </w:p>
        </w:tc>
      </w:tr>
      <w:tr w:rsidR="0015660A" w:rsidRPr="002550B9" w14:paraId="5599B844" w14:textId="77777777" w:rsidTr="00CD5B59">
        <w:tc>
          <w:tcPr>
            <w:tcW w:w="1541" w:type="dxa"/>
          </w:tcPr>
          <w:p w14:paraId="684D6417" w14:textId="77777777" w:rsidR="0015660A" w:rsidRPr="002550B9" w:rsidRDefault="0015660A" w:rsidP="00522F77">
            <w:pPr>
              <w:contextualSpacing/>
              <w:jc w:val="both"/>
              <w:rPr>
                <w:rFonts w:ascii="Arial" w:hAnsi="Arial" w:cs="Arial"/>
                <w:color w:val="0D0D0D" w:themeColor="text1" w:themeTint="F2"/>
                <w:sz w:val="18"/>
                <w:szCs w:val="18"/>
                <w:shd w:val="clear" w:color="auto" w:fill="FFFFFF"/>
              </w:rPr>
            </w:pPr>
            <w:r w:rsidRPr="002550B9">
              <w:rPr>
                <w:rFonts w:ascii="Arial" w:hAnsi="Arial" w:cs="Arial"/>
                <w:color w:val="0D0D0D" w:themeColor="text1" w:themeTint="F2"/>
                <w:sz w:val="18"/>
                <w:szCs w:val="18"/>
                <w:shd w:val="clear" w:color="auto" w:fill="FFFFFF"/>
              </w:rPr>
              <w:t>SA-MC-SG-PSCN-010-2016</w:t>
            </w:r>
          </w:p>
        </w:tc>
        <w:tc>
          <w:tcPr>
            <w:tcW w:w="4362" w:type="dxa"/>
          </w:tcPr>
          <w:p w14:paraId="7C05B64C" w14:textId="77777777" w:rsidR="0015660A" w:rsidRPr="002550B9" w:rsidRDefault="0015660A" w:rsidP="00522F77">
            <w:pPr>
              <w:contextualSpacing/>
              <w:jc w:val="both"/>
              <w:rPr>
                <w:rFonts w:ascii="Arial" w:hAnsi="Arial" w:cs="Arial"/>
                <w:color w:val="0D0D0D" w:themeColor="text1" w:themeTint="F2"/>
                <w:sz w:val="18"/>
                <w:szCs w:val="18"/>
                <w:shd w:val="clear" w:color="auto" w:fill="F4EFF9"/>
              </w:rPr>
            </w:pPr>
            <w:r w:rsidRPr="002550B9">
              <w:rPr>
                <w:rFonts w:ascii="Arial" w:hAnsi="Arial" w:cs="Arial"/>
                <w:color w:val="0D0D0D" w:themeColor="text1" w:themeTint="F2"/>
                <w:sz w:val="18"/>
                <w:szCs w:val="18"/>
                <w:shd w:val="clear" w:color="auto" w:fill="FFFFFF"/>
              </w:rPr>
              <w:t>SERVICIO INTEGRAL DE MONITOREO VIAL PARA EL PROGRAMA DE SEGURIDAD EN CARRETERAS</w:t>
            </w:r>
          </w:p>
        </w:tc>
        <w:tc>
          <w:tcPr>
            <w:tcW w:w="1659" w:type="dxa"/>
          </w:tcPr>
          <w:p w14:paraId="022F69B0" w14:textId="77777777" w:rsidR="0015660A" w:rsidRPr="002550B9" w:rsidRDefault="0015660A" w:rsidP="00522F77">
            <w:pPr>
              <w:contextualSpacing/>
              <w:jc w:val="right"/>
              <w:rPr>
                <w:rFonts w:ascii="Arial" w:hAnsi="Arial" w:cs="Arial"/>
                <w:color w:val="0D0D0D" w:themeColor="text1" w:themeTint="F2"/>
                <w:sz w:val="18"/>
                <w:szCs w:val="18"/>
                <w:shd w:val="clear" w:color="auto" w:fill="FFD2D2"/>
              </w:rPr>
            </w:pPr>
            <w:r w:rsidRPr="002550B9">
              <w:rPr>
                <w:rFonts w:ascii="Arial" w:hAnsi="Arial" w:cs="Arial"/>
                <w:color w:val="0D0D0D" w:themeColor="text1" w:themeTint="F2"/>
                <w:sz w:val="18"/>
                <w:szCs w:val="18"/>
                <w:shd w:val="clear" w:color="auto" w:fill="FFFFFF"/>
              </w:rPr>
              <w:t>$14.857.555.152</w:t>
            </w:r>
          </w:p>
        </w:tc>
        <w:tc>
          <w:tcPr>
            <w:tcW w:w="1606" w:type="dxa"/>
          </w:tcPr>
          <w:p w14:paraId="6FF643F3" w14:textId="77777777" w:rsidR="0015660A" w:rsidRPr="002550B9" w:rsidRDefault="00CD5B59" w:rsidP="00522F77">
            <w:pPr>
              <w:contextualSpacing/>
              <w:jc w:val="center"/>
              <w:rPr>
                <w:rFonts w:ascii="Arial" w:hAnsi="Arial" w:cs="Arial"/>
                <w:color w:val="0D0D0D" w:themeColor="text1" w:themeTint="F2"/>
                <w:sz w:val="18"/>
                <w:szCs w:val="18"/>
                <w:shd w:val="clear" w:color="auto" w:fill="FFFFFF"/>
                <w:lang w:val="en-US"/>
              </w:rPr>
            </w:pPr>
            <w:r w:rsidRPr="002550B9">
              <w:rPr>
                <w:rFonts w:ascii="Arial" w:hAnsi="Arial" w:cs="Arial"/>
                <w:color w:val="0D0D0D" w:themeColor="text1" w:themeTint="F2"/>
                <w:sz w:val="18"/>
                <w:szCs w:val="18"/>
                <w:shd w:val="clear" w:color="auto" w:fill="FFFFFF"/>
                <w:lang w:val="en-US"/>
              </w:rPr>
              <w:t>SIMS TECHNOLOGIES S.A.S. – SIMS TECH</w:t>
            </w:r>
          </w:p>
        </w:tc>
      </w:tr>
      <w:tr w:rsidR="00CD5B59" w:rsidRPr="002550B9" w14:paraId="73C56008" w14:textId="77777777" w:rsidTr="00CD5B59">
        <w:tc>
          <w:tcPr>
            <w:tcW w:w="1541" w:type="dxa"/>
          </w:tcPr>
          <w:p w14:paraId="053EE458" w14:textId="77777777" w:rsidR="00CD5B59" w:rsidRPr="002550B9" w:rsidRDefault="00CD5B59" w:rsidP="00522F77">
            <w:pPr>
              <w:contextualSpacing/>
              <w:jc w:val="both"/>
              <w:rPr>
                <w:rFonts w:ascii="Arial" w:hAnsi="Arial" w:cs="Arial"/>
                <w:color w:val="0D0D0D" w:themeColor="text1" w:themeTint="F2"/>
                <w:sz w:val="18"/>
                <w:szCs w:val="18"/>
                <w:shd w:val="clear" w:color="auto" w:fill="FFFFFF"/>
              </w:rPr>
            </w:pPr>
            <w:r w:rsidRPr="002550B9">
              <w:rPr>
                <w:rFonts w:ascii="Arial" w:hAnsi="Arial" w:cs="Arial"/>
                <w:color w:val="0D0D0D" w:themeColor="text1" w:themeTint="F2"/>
                <w:sz w:val="18"/>
                <w:szCs w:val="18"/>
                <w:shd w:val="clear" w:color="auto" w:fill="FFFFFF"/>
              </w:rPr>
              <w:t>SA-MC-SG-PSCN-016-2018</w:t>
            </w:r>
          </w:p>
        </w:tc>
        <w:tc>
          <w:tcPr>
            <w:tcW w:w="4362" w:type="dxa"/>
          </w:tcPr>
          <w:p w14:paraId="58CABD10" w14:textId="77777777" w:rsidR="00CD5B59" w:rsidRPr="002550B9" w:rsidRDefault="00CD5B59" w:rsidP="00522F77">
            <w:pPr>
              <w:contextualSpacing/>
              <w:jc w:val="both"/>
              <w:rPr>
                <w:rFonts w:ascii="Arial" w:hAnsi="Arial" w:cs="Arial"/>
                <w:color w:val="0D0D0D" w:themeColor="text1" w:themeTint="F2"/>
                <w:sz w:val="18"/>
                <w:szCs w:val="18"/>
                <w:shd w:val="clear" w:color="auto" w:fill="FFFFFF"/>
              </w:rPr>
            </w:pPr>
            <w:r w:rsidRPr="002550B9">
              <w:rPr>
                <w:rFonts w:ascii="Arial" w:hAnsi="Arial" w:cs="Arial"/>
                <w:color w:val="0D0D0D" w:themeColor="text1" w:themeTint="F2"/>
                <w:sz w:val="18"/>
                <w:szCs w:val="18"/>
                <w:shd w:val="clear" w:color="auto" w:fill="FFFFFF"/>
              </w:rPr>
              <w:t>SERVICIO INTEGRAL DE MONITOREO Y OTROS SERVICIOS TECNOLÓGICOS NECESARIOS PARA EL FORTALECIMIENTO DE LA SEGURIDAD CIUDADANA EN LAS VIAS NACIONALES EN CUMPLIMIENTO DE LOS OBJETIVOS DEL PSCN</w:t>
            </w:r>
          </w:p>
        </w:tc>
        <w:tc>
          <w:tcPr>
            <w:tcW w:w="1659" w:type="dxa"/>
          </w:tcPr>
          <w:p w14:paraId="74C3F862" w14:textId="77777777" w:rsidR="00CD5B59" w:rsidRPr="002550B9" w:rsidRDefault="00CD5B59" w:rsidP="00522F77">
            <w:pPr>
              <w:contextualSpacing/>
              <w:jc w:val="right"/>
              <w:rPr>
                <w:rFonts w:ascii="Arial" w:hAnsi="Arial" w:cs="Arial"/>
                <w:color w:val="0D0D0D" w:themeColor="text1" w:themeTint="F2"/>
                <w:sz w:val="18"/>
                <w:szCs w:val="18"/>
                <w:shd w:val="clear" w:color="auto" w:fill="FFFFFF"/>
              </w:rPr>
            </w:pPr>
            <w:r w:rsidRPr="002550B9">
              <w:rPr>
                <w:rFonts w:ascii="Arial" w:hAnsi="Arial" w:cs="Arial"/>
                <w:color w:val="0D0D0D" w:themeColor="text1" w:themeTint="F2"/>
                <w:sz w:val="18"/>
                <w:szCs w:val="18"/>
                <w:shd w:val="clear" w:color="auto" w:fill="FFFFFF"/>
              </w:rPr>
              <w:t>$5.652.097.736</w:t>
            </w:r>
          </w:p>
        </w:tc>
        <w:tc>
          <w:tcPr>
            <w:tcW w:w="1606" w:type="dxa"/>
          </w:tcPr>
          <w:p w14:paraId="1D1CC52F" w14:textId="77777777" w:rsidR="00CD5B59" w:rsidRPr="002550B9" w:rsidRDefault="00CD5B59" w:rsidP="00522F77">
            <w:pPr>
              <w:contextualSpacing/>
              <w:jc w:val="center"/>
              <w:rPr>
                <w:rFonts w:ascii="Arial" w:hAnsi="Arial" w:cs="Arial"/>
                <w:color w:val="0D0D0D" w:themeColor="text1" w:themeTint="F2"/>
                <w:sz w:val="18"/>
                <w:szCs w:val="18"/>
                <w:shd w:val="clear" w:color="auto" w:fill="FFFFFF"/>
                <w:lang w:val="fr-FR"/>
              </w:rPr>
            </w:pPr>
            <w:r w:rsidRPr="002550B9">
              <w:rPr>
                <w:rFonts w:ascii="Arial" w:hAnsi="Arial" w:cs="Arial"/>
                <w:color w:val="0D0D0D" w:themeColor="text1" w:themeTint="F2"/>
                <w:sz w:val="18"/>
                <w:szCs w:val="18"/>
                <w:shd w:val="clear" w:color="auto" w:fill="FFFFFF"/>
                <w:lang w:val="fr-FR"/>
              </w:rPr>
              <w:t>SIMS TECHNOLOGIES S.A.S.</w:t>
            </w:r>
          </w:p>
        </w:tc>
      </w:tr>
    </w:tbl>
    <w:p w14:paraId="76020971" w14:textId="77777777" w:rsidR="000D5C6E" w:rsidRPr="00224A42" w:rsidRDefault="000D5C6E" w:rsidP="00522F77">
      <w:pPr>
        <w:spacing w:after="0" w:line="240" w:lineRule="auto"/>
        <w:contextualSpacing/>
        <w:jc w:val="both"/>
        <w:rPr>
          <w:rFonts w:ascii="Arial" w:hAnsi="Arial" w:cs="Arial"/>
          <w:b/>
          <w:bCs/>
          <w:lang w:val="fr-FR"/>
        </w:rPr>
      </w:pPr>
    </w:p>
    <w:p w14:paraId="47311BAD" w14:textId="07B5F7D6" w:rsidR="00700198" w:rsidRPr="00522F77" w:rsidRDefault="00885B8D" w:rsidP="00522F77">
      <w:pPr>
        <w:pStyle w:val="Prrafodelista"/>
        <w:numPr>
          <w:ilvl w:val="1"/>
          <w:numId w:val="2"/>
        </w:numPr>
        <w:spacing w:line="240" w:lineRule="auto"/>
        <w:ind w:left="567" w:hanging="567"/>
        <w:jc w:val="both"/>
        <w:rPr>
          <w:rFonts w:ascii="Arial" w:hAnsi="Arial" w:cs="Arial"/>
          <w:b/>
          <w:bCs/>
        </w:rPr>
      </w:pPr>
      <w:r w:rsidRPr="00522F77">
        <w:rPr>
          <w:rFonts w:ascii="Arial" w:hAnsi="Arial" w:cs="Arial"/>
          <w:b/>
          <w:bCs/>
        </w:rPr>
        <w:t>HISTÓRICO DE ADQUISICIONES EN OTRAS ENTIDADES</w:t>
      </w:r>
    </w:p>
    <w:p w14:paraId="13D77F76" w14:textId="77777777" w:rsidR="00EA7F43" w:rsidRDefault="00EA7F43" w:rsidP="00522F77">
      <w:pPr>
        <w:spacing w:after="0" w:line="240" w:lineRule="auto"/>
        <w:contextualSpacing/>
        <w:jc w:val="both"/>
        <w:rPr>
          <w:rFonts w:ascii="Arial" w:hAnsi="Arial" w:cs="Arial"/>
        </w:rPr>
      </w:pPr>
    </w:p>
    <w:p w14:paraId="41FF9DC7" w14:textId="686FF946" w:rsidR="00700198" w:rsidRDefault="00700198" w:rsidP="00522F77">
      <w:pPr>
        <w:spacing w:after="0" w:line="240" w:lineRule="auto"/>
        <w:contextualSpacing/>
        <w:jc w:val="both"/>
        <w:rPr>
          <w:rFonts w:ascii="Arial" w:hAnsi="Arial" w:cs="Arial"/>
        </w:rPr>
      </w:pPr>
      <w:r w:rsidRPr="00522F77">
        <w:rPr>
          <w:rFonts w:ascii="Arial" w:hAnsi="Arial" w:cs="Arial"/>
        </w:rPr>
        <w:t xml:space="preserve">El propósito en este numeral es analizar el tipo de consumidor que existe para el sector que nos ocupa, dicha información fue tomada de la página del SECOP, encontrando algunos procesos en otras Entidades, sin </w:t>
      </w:r>
      <w:r w:rsidR="008F29A5" w:rsidRPr="00522F77">
        <w:rPr>
          <w:rFonts w:ascii="Arial" w:hAnsi="Arial" w:cs="Arial"/>
        </w:rPr>
        <w:t>embargo,</w:t>
      </w:r>
      <w:r w:rsidRPr="00522F77">
        <w:rPr>
          <w:rFonts w:ascii="Arial" w:hAnsi="Arial" w:cs="Arial"/>
        </w:rPr>
        <w:t xml:space="preserve"> las características y especificaciones técnicas en algunos casos difieren a las solicitadas en para este estudio. A </w:t>
      </w:r>
      <w:r w:rsidR="008F29A5" w:rsidRPr="00522F77">
        <w:rPr>
          <w:rFonts w:ascii="Arial" w:hAnsi="Arial" w:cs="Arial"/>
        </w:rPr>
        <w:t>continuación,</w:t>
      </w:r>
      <w:r w:rsidRPr="00522F77">
        <w:rPr>
          <w:rFonts w:ascii="Arial" w:hAnsi="Arial" w:cs="Arial"/>
        </w:rPr>
        <w:t xml:space="preserve"> se relacionan los resultados de la búsqueda llevada a cabo.</w:t>
      </w:r>
    </w:p>
    <w:p w14:paraId="2ABAECB7" w14:textId="77777777" w:rsidR="00885B8D" w:rsidRPr="00522F77" w:rsidRDefault="00885B8D" w:rsidP="00522F77">
      <w:pPr>
        <w:spacing w:after="0" w:line="240" w:lineRule="auto"/>
        <w:contextualSpacing/>
        <w:jc w:val="both"/>
        <w:rPr>
          <w:rFonts w:ascii="Arial" w:hAnsi="Arial" w:cs="Arial"/>
        </w:rPr>
      </w:pPr>
    </w:p>
    <w:tbl>
      <w:tblPr>
        <w:tblW w:w="9648" w:type="dxa"/>
        <w:jc w:val="center"/>
        <w:tblCellMar>
          <w:left w:w="70" w:type="dxa"/>
          <w:right w:w="70" w:type="dxa"/>
        </w:tblCellMar>
        <w:tblLook w:val="04A0" w:firstRow="1" w:lastRow="0" w:firstColumn="1" w:lastColumn="0" w:noHBand="0" w:noVBand="1"/>
      </w:tblPr>
      <w:tblGrid>
        <w:gridCol w:w="2280"/>
        <w:gridCol w:w="1937"/>
        <w:gridCol w:w="3402"/>
        <w:gridCol w:w="2029"/>
      </w:tblGrid>
      <w:tr w:rsidR="009055D5" w:rsidRPr="002550B9" w14:paraId="3898B71D" w14:textId="77777777" w:rsidTr="00EA7F43">
        <w:trPr>
          <w:trHeight w:val="300"/>
          <w:tblHeader/>
          <w:jc w:val="center"/>
        </w:trPr>
        <w:tc>
          <w:tcPr>
            <w:tcW w:w="2280" w:type="dxa"/>
            <w:tcBorders>
              <w:top w:val="single" w:sz="4" w:space="0" w:color="auto"/>
              <w:left w:val="single" w:sz="4" w:space="0" w:color="auto"/>
              <w:bottom w:val="single" w:sz="4" w:space="0" w:color="auto"/>
              <w:right w:val="single" w:sz="4" w:space="0" w:color="auto"/>
            </w:tcBorders>
            <w:shd w:val="clear" w:color="auto" w:fill="auto"/>
            <w:noWrap/>
            <w:hideMark/>
          </w:tcPr>
          <w:p w14:paraId="7D08B040" w14:textId="77777777" w:rsidR="009055D5" w:rsidRPr="002550B9" w:rsidRDefault="009055D5" w:rsidP="00522F77">
            <w:pPr>
              <w:spacing w:after="0" w:line="240" w:lineRule="auto"/>
              <w:contextualSpacing/>
              <w:jc w:val="center"/>
              <w:rPr>
                <w:rFonts w:ascii="Arial" w:eastAsia="Times New Roman" w:hAnsi="Arial" w:cs="Arial"/>
                <w:color w:val="000000"/>
                <w:sz w:val="18"/>
                <w:szCs w:val="18"/>
                <w:lang w:eastAsia="es-CO"/>
              </w:rPr>
            </w:pPr>
            <w:r w:rsidRPr="002550B9">
              <w:rPr>
                <w:rFonts w:ascii="Arial" w:hAnsi="Arial" w:cs="Arial"/>
                <w:b/>
                <w:bCs/>
                <w:color w:val="0D0D0D" w:themeColor="text1" w:themeTint="F2"/>
                <w:sz w:val="18"/>
                <w:szCs w:val="18"/>
              </w:rPr>
              <w:t>Numero de proceso</w:t>
            </w:r>
          </w:p>
        </w:tc>
        <w:tc>
          <w:tcPr>
            <w:tcW w:w="1937" w:type="dxa"/>
            <w:tcBorders>
              <w:top w:val="single" w:sz="4" w:space="0" w:color="auto"/>
              <w:left w:val="nil"/>
              <w:bottom w:val="single" w:sz="4" w:space="0" w:color="auto"/>
              <w:right w:val="single" w:sz="4" w:space="0" w:color="auto"/>
            </w:tcBorders>
            <w:shd w:val="clear" w:color="auto" w:fill="auto"/>
            <w:noWrap/>
            <w:hideMark/>
          </w:tcPr>
          <w:p w14:paraId="515E7DF0" w14:textId="77777777" w:rsidR="009055D5" w:rsidRPr="002550B9" w:rsidRDefault="009055D5" w:rsidP="00522F77">
            <w:pPr>
              <w:spacing w:after="0" w:line="240" w:lineRule="auto"/>
              <w:contextualSpacing/>
              <w:jc w:val="center"/>
              <w:rPr>
                <w:rFonts w:ascii="Arial" w:eastAsia="Times New Roman" w:hAnsi="Arial" w:cs="Arial"/>
                <w:color w:val="000000"/>
                <w:sz w:val="18"/>
                <w:szCs w:val="18"/>
                <w:lang w:eastAsia="es-CO"/>
              </w:rPr>
            </w:pPr>
            <w:r w:rsidRPr="002550B9">
              <w:rPr>
                <w:rFonts w:ascii="Arial" w:hAnsi="Arial" w:cs="Arial"/>
                <w:b/>
                <w:bCs/>
                <w:color w:val="0D0D0D" w:themeColor="text1" w:themeTint="F2"/>
                <w:sz w:val="18"/>
                <w:szCs w:val="18"/>
              </w:rPr>
              <w:t>Entidad Contratante</w:t>
            </w:r>
          </w:p>
        </w:tc>
        <w:tc>
          <w:tcPr>
            <w:tcW w:w="3402" w:type="dxa"/>
            <w:tcBorders>
              <w:top w:val="single" w:sz="4" w:space="0" w:color="auto"/>
              <w:left w:val="nil"/>
              <w:bottom w:val="single" w:sz="4" w:space="0" w:color="auto"/>
              <w:right w:val="single" w:sz="4" w:space="0" w:color="auto"/>
            </w:tcBorders>
            <w:shd w:val="clear" w:color="auto" w:fill="auto"/>
            <w:noWrap/>
            <w:hideMark/>
          </w:tcPr>
          <w:p w14:paraId="31122F3D" w14:textId="77777777" w:rsidR="009055D5" w:rsidRPr="002550B9" w:rsidRDefault="009055D5" w:rsidP="00522F77">
            <w:pPr>
              <w:spacing w:after="0" w:line="240" w:lineRule="auto"/>
              <w:contextualSpacing/>
              <w:jc w:val="center"/>
              <w:rPr>
                <w:rFonts w:ascii="Arial" w:eastAsia="Times New Roman" w:hAnsi="Arial" w:cs="Arial"/>
                <w:color w:val="000000"/>
                <w:sz w:val="18"/>
                <w:szCs w:val="18"/>
                <w:lang w:eastAsia="es-CO"/>
              </w:rPr>
            </w:pPr>
            <w:r w:rsidRPr="002550B9">
              <w:rPr>
                <w:rFonts w:ascii="Arial" w:hAnsi="Arial" w:cs="Arial"/>
                <w:b/>
                <w:bCs/>
                <w:color w:val="0D0D0D" w:themeColor="text1" w:themeTint="F2"/>
                <w:sz w:val="18"/>
                <w:szCs w:val="18"/>
              </w:rPr>
              <w:t>Objeto</w:t>
            </w:r>
          </w:p>
        </w:tc>
        <w:tc>
          <w:tcPr>
            <w:tcW w:w="2029" w:type="dxa"/>
            <w:tcBorders>
              <w:top w:val="single" w:sz="4" w:space="0" w:color="auto"/>
              <w:left w:val="nil"/>
              <w:bottom w:val="single" w:sz="4" w:space="0" w:color="auto"/>
              <w:right w:val="single" w:sz="4" w:space="0" w:color="auto"/>
            </w:tcBorders>
            <w:shd w:val="clear" w:color="auto" w:fill="auto"/>
            <w:noWrap/>
            <w:hideMark/>
          </w:tcPr>
          <w:p w14:paraId="21AB02D7" w14:textId="77777777" w:rsidR="009055D5" w:rsidRPr="002550B9" w:rsidRDefault="009055D5" w:rsidP="00522F77">
            <w:pPr>
              <w:spacing w:after="0" w:line="240" w:lineRule="auto"/>
              <w:contextualSpacing/>
              <w:jc w:val="center"/>
              <w:rPr>
                <w:rFonts w:ascii="Arial" w:eastAsia="Times New Roman" w:hAnsi="Arial" w:cs="Arial"/>
                <w:color w:val="000000"/>
                <w:sz w:val="18"/>
                <w:szCs w:val="18"/>
                <w:lang w:eastAsia="es-CO"/>
              </w:rPr>
            </w:pPr>
            <w:r w:rsidRPr="002550B9">
              <w:rPr>
                <w:rFonts w:ascii="Arial" w:hAnsi="Arial" w:cs="Arial"/>
                <w:b/>
                <w:bCs/>
                <w:color w:val="0D0D0D" w:themeColor="text1" w:themeTint="F2"/>
                <w:sz w:val="18"/>
                <w:szCs w:val="18"/>
              </w:rPr>
              <w:t>Cuantía</w:t>
            </w:r>
          </w:p>
        </w:tc>
      </w:tr>
      <w:tr w:rsidR="009055D5" w:rsidRPr="002550B9" w14:paraId="6A05D40D" w14:textId="77777777" w:rsidTr="00EA7F43">
        <w:trPr>
          <w:trHeight w:val="300"/>
          <w:jc w:val="center"/>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55B5B88A" w14:textId="77777777" w:rsidR="00067C0A" w:rsidRPr="002550B9" w:rsidRDefault="00067C0A" w:rsidP="00522F77">
            <w:pPr>
              <w:spacing w:after="0" w:line="240" w:lineRule="auto"/>
              <w:contextualSpacing/>
              <w:rPr>
                <w:rFonts w:ascii="Arial" w:eastAsia="Times New Roman" w:hAnsi="Arial" w:cs="Arial"/>
                <w:color w:val="000000"/>
                <w:sz w:val="18"/>
                <w:szCs w:val="18"/>
                <w:lang w:eastAsia="es-CO"/>
              </w:rPr>
            </w:pPr>
            <w:r w:rsidRPr="002550B9">
              <w:rPr>
                <w:rFonts w:ascii="Arial" w:eastAsia="Times New Roman" w:hAnsi="Arial" w:cs="Arial"/>
                <w:color w:val="000000"/>
                <w:sz w:val="18"/>
                <w:szCs w:val="18"/>
                <w:lang w:eastAsia="es-CO"/>
              </w:rPr>
              <w:t>SH-LP-003-2016</w:t>
            </w:r>
          </w:p>
        </w:tc>
        <w:tc>
          <w:tcPr>
            <w:tcW w:w="1937" w:type="dxa"/>
            <w:tcBorders>
              <w:top w:val="nil"/>
              <w:left w:val="nil"/>
              <w:bottom w:val="single" w:sz="4" w:space="0" w:color="auto"/>
              <w:right w:val="single" w:sz="4" w:space="0" w:color="auto"/>
            </w:tcBorders>
            <w:shd w:val="clear" w:color="auto" w:fill="auto"/>
            <w:noWrap/>
            <w:vAlign w:val="bottom"/>
            <w:hideMark/>
          </w:tcPr>
          <w:p w14:paraId="37755A47" w14:textId="77777777" w:rsidR="00067C0A" w:rsidRPr="002550B9" w:rsidRDefault="004055D1" w:rsidP="00522F77">
            <w:pPr>
              <w:spacing w:after="0" w:line="240" w:lineRule="auto"/>
              <w:contextualSpacing/>
              <w:rPr>
                <w:rFonts w:ascii="Arial" w:eastAsia="Times New Roman" w:hAnsi="Arial" w:cs="Arial"/>
                <w:color w:val="000000"/>
                <w:sz w:val="18"/>
                <w:szCs w:val="18"/>
                <w:lang w:eastAsia="es-CO"/>
              </w:rPr>
            </w:pPr>
            <w:r w:rsidRPr="002550B9">
              <w:rPr>
                <w:rFonts w:ascii="Arial" w:eastAsia="Times New Roman" w:hAnsi="Arial" w:cs="Arial"/>
                <w:color w:val="000000"/>
                <w:sz w:val="18"/>
                <w:szCs w:val="18"/>
                <w:lang w:eastAsia="es-CO"/>
              </w:rPr>
              <w:t>CUNDINAMARCA GOBERNACIÓN</w:t>
            </w:r>
          </w:p>
        </w:tc>
        <w:tc>
          <w:tcPr>
            <w:tcW w:w="3402" w:type="dxa"/>
            <w:tcBorders>
              <w:top w:val="nil"/>
              <w:left w:val="nil"/>
              <w:bottom w:val="single" w:sz="4" w:space="0" w:color="auto"/>
              <w:right w:val="single" w:sz="4" w:space="0" w:color="auto"/>
            </w:tcBorders>
            <w:shd w:val="clear" w:color="auto" w:fill="auto"/>
            <w:noWrap/>
            <w:vAlign w:val="bottom"/>
            <w:hideMark/>
          </w:tcPr>
          <w:p w14:paraId="2C152EF6" w14:textId="77777777" w:rsidR="00067C0A" w:rsidRPr="002550B9" w:rsidRDefault="00067C0A" w:rsidP="00522F77">
            <w:pPr>
              <w:spacing w:after="0" w:line="240" w:lineRule="auto"/>
              <w:contextualSpacing/>
              <w:rPr>
                <w:rFonts w:ascii="Arial" w:eastAsia="Times New Roman" w:hAnsi="Arial" w:cs="Arial"/>
                <w:color w:val="000000"/>
                <w:sz w:val="18"/>
                <w:szCs w:val="18"/>
                <w:lang w:eastAsia="es-CO"/>
              </w:rPr>
            </w:pPr>
            <w:r w:rsidRPr="002550B9">
              <w:rPr>
                <w:rFonts w:ascii="Arial" w:eastAsia="Times New Roman" w:hAnsi="Arial" w:cs="Arial"/>
                <w:color w:val="000000"/>
                <w:sz w:val="18"/>
                <w:szCs w:val="18"/>
                <w:lang w:eastAsia="es-CO"/>
              </w:rPr>
              <w:t>CONTRATAR EL SERVICIO DE COLOCATION - HOSTING, COMUNICACIONES, ADMINISTRACIÓN, SOPORTE BASIS Y MANTENIMIENT</w:t>
            </w:r>
          </w:p>
        </w:tc>
        <w:tc>
          <w:tcPr>
            <w:tcW w:w="2029" w:type="dxa"/>
            <w:tcBorders>
              <w:top w:val="nil"/>
              <w:left w:val="nil"/>
              <w:bottom w:val="single" w:sz="4" w:space="0" w:color="auto"/>
              <w:right w:val="single" w:sz="4" w:space="0" w:color="auto"/>
            </w:tcBorders>
            <w:shd w:val="clear" w:color="auto" w:fill="auto"/>
            <w:noWrap/>
            <w:vAlign w:val="bottom"/>
            <w:hideMark/>
          </w:tcPr>
          <w:p w14:paraId="43B74CB0" w14:textId="77777777" w:rsidR="00067C0A" w:rsidRPr="002550B9" w:rsidRDefault="00067C0A" w:rsidP="00522F77">
            <w:pPr>
              <w:spacing w:after="0" w:line="240" w:lineRule="auto"/>
              <w:contextualSpacing/>
              <w:jc w:val="right"/>
              <w:rPr>
                <w:rFonts w:ascii="Arial" w:eastAsia="Times New Roman" w:hAnsi="Arial" w:cs="Arial"/>
                <w:color w:val="000000"/>
                <w:sz w:val="18"/>
                <w:szCs w:val="18"/>
                <w:lang w:eastAsia="es-CO"/>
              </w:rPr>
            </w:pPr>
            <w:r w:rsidRPr="002550B9">
              <w:rPr>
                <w:rFonts w:ascii="Arial" w:eastAsia="Times New Roman" w:hAnsi="Arial" w:cs="Arial"/>
                <w:color w:val="000000"/>
                <w:sz w:val="18"/>
                <w:szCs w:val="18"/>
                <w:lang w:eastAsia="es-CO"/>
              </w:rPr>
              <w:t>13.489.999.900</w:t>
            </w:r>
          </w:p>
        </w:tc>
      </w:tr>
      <w:tr w:rsidR="009055D5" w:rsidRPr="002550B9" w14:paraId="7D5FD32A" w14:textId="77777777" w:rsidTr="00EA7F43">
        <w:trPr>
          <w:trHeight w:val="300"/>
          <w:jc w:val="center"/>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7CA4E7F0" w14:textId="77777777" w:rsidR="00067C0A" w:rsidRPr="002550B9" w:rsidRDefault="00067C0A" w:rsidP="00522F77">
            <w:pPr>
              <w:spacing w:after="0" w:line="240" w:lineRule="auto"/>
              <w:contextualSpacing/>
              <w:rPr>
                <w:rFonts w:ascii="Arial" w:eastAsia="Times New Roman" w:hAnsi="Arial" w:cs="Arial"/>
                <w:color w:val="000000"/>
                <w:sz w:val="18"/>
                <w:szCs w:val="18"/>
                <w:lang w:eastAsia="es-CO"/>
              </w:rPr>
            </w:pPr>
            <w:r w:rsidRPr="002550B9">
              <w:rPr>
                <w:rFonts w:ascii="Arial" w:eastAsia="Times New Roman" w:hAnsi="Arial" w:cs="Arial"/>
                <w:color w:val="000000"/>
                <w:sz w:val="18"/>
                <w:szCs w:val="18"/>
                <w:lang w:eastAsia="es-CO"/>
              </w:rPr>
              <w:t>CONTRATO - 230-2016</w:t>
            </w:r>
          </w:p>
        </w:tc>
        <w:tc>
          <w:tcPr>
            <w:tcW w:w="1937" w:type="dxa"/>
            <w:tcBorders>
              <w:top w:val="nil"/>
              <w:left w:val="nil"/>
              <w:bottom w:val="single" w:sz="4" w:space="0" w:color="auto"/>
              <w:right w:val="single" w:sz="4" w:space="0" w:color="auto"/>
            </w:tcBorders>
            <w:shd w:val="clear" w:color="auto" w:fill="auto"/>
            <w:noWrap/>
            <w:vAlign w:val="bottom"/>
            <w:hideMark/>
          </w:tcPr>
          <w:p w14:paraId="5D62CDA2" w14:textId="77777777" w:rsidR="00067C0A" w:rsidRPr="002550B9" w:rsidRDefault="00067C0A" w:rsidP="00522F77">
            <w:pPr>
              <w:spacing w:after="0" w:line="240" w:lineRule="auto"/>
              <w:contextualSpacing/>
              <w:rPr>
                <w:rFonts w:ascii="Arial" w:eastAsia="Times New Roman" w:hAnsi="Arial" w:cs="Arial"/>
                <w:color w:val="000000"/>
                <w:sz w:val="18"/>
                <w:szCs w:val="18"/>
                <w:lang w:eastAsia="es-CO"/>
              </w:rPr>
            </w:pPr>
            <w:r w:rsidRPr="002550B9">
              <w:rPr>
                <w:rFonts w:ascii="Arial" w:eastAsia="Times New Roman" w:hAnsi="Arial" w:cs="Arial"/>
                <w:color w:val="000000"/>
                <w:sz w:val="18"/>
                <w:szCs w:val="18"/>
                <w:lang w:eastAsia="es-CO"/>
              </w:rPr>
              <w:t>MINISTERIO DE MINAS Y ENERGÍA (MINMINAS)</w:t>
            </w:r>
          </w:p>
        </w:tc>
        <w:tc>
          <w:tcPr>
            <w:tcW w:w="3402" w:type="dxa"/>
            <w:tcBorders>
              <w:top w:val="nil"/>
              <w:left w:val="nil"/>
              <w:bottom w:val="single" w:sz="4" w:space="0" w:color="auto"/>
              <w:right w:val="single" w:sz="4" w:space="0" w:color="auto"/>
            </w:tcBorders>
            <w:shd w:val="clear" w:color="auto" w:fill="auto"/>
            <w:noWrap/>
            <w:vAlign w:val="bottom"/>
            <w:hideMark/>
          </w:tcPr>
          <w:p w14:paraId="3277ABF9" w14:textId="77777777" w:rsidR="00067C0A" w:rsidRPr="002550B9" w:rsidRDefault="00067C0A" w:rsidP="00522F77">
            <w:pPr>
              <w:spacing w:after="0" w:line="240" w:lineRule="auto"/>
              <w:contextualSpacing/>
              <w:rPr>
                <w:rFonts w:ascii="Arial" w:eastAsia="Times New Roman" w:hAnsi="Arial" w:cs="Arial"/>
                <w:color w:val="000000"/>
                <w:sz w:val="18"/>
                <w:szCs w:val="18"/>
                <w:lang w:eastAsia="es-CO"/>
              </w:rPr>
            </w:pPr>
            <w:r w:rsidRPr="002550B9">
              <w:rPr>
                <w:rFonts w:ascii="Arial" w:eastAsia="Times New Roman" w:hAnsi="Arial" w:cs="Arial"/>
                <w:color w:val="000000"/>
                <w:sz w:val="18"/>
                <w:szCs w:val="18"/>
                <w:lang w:eastAsia="es-CO"/>
              </w:rPr>
              <w:t xml:space="preserve">PRESTAR LOS SERVICIOS INTEGRALES DE ADMINISTRACIÓN, OPERACIÓN, MANTENIMIENTO Y EL ARRENDAMIENTO DE LA SOLUCIÓN TECNOLÓGICA BAJO EL ESQUEMA DE HOSTING, PARA EL SISTEMA DE </w:t>
            </w:r>
            <w:r w:rsidRPr="002550B9">
              <w:rPr>
                <w:rFonts w:ascii="Arial" w:eastAsia="Times New Roman" w:hAnsi="Arial" w:cs="Arial"/>
                <w:color w:val="000000"/>
                <w:sz w:val="18"/>
                <w:szCs w:val="18"/>
                <w:lang w:eastAsia="es-CO"/>
              </w:rPr>
              <w:lastRenderedPageBreak/>
              <w:t xml:space="preserve">INFORMACIÓN DE COMBUSTIBLES LÍQUIDOS - SICOM, DEL MINISTERIO DE MINAS Y ENERGÍA, DE CONFORMIDAD CON EL FOMATO DE CARACTERÍSTICAS TÉCNICAS MÍNIMAS </w:t>
            </w:r>
          </w:p>
        </w:tc>
        <w:tc>
          <w:tcPr>
            <w:tcW w:w="2029" w:type="dxa"/>
            <w:tcBorders>
              <w:top w:val="nil"/>
              <w:left w:val="nil"/>
              <w:bottom w:val="single" w:sz="4" w:space="0" w:color="auto"/>
              <w:right w:val="single" w:sz="4" w:space="0" w:color="auto"/>
            </w:tcBorders>
            <w:shd w:val="clear" w:color="auto" w:fill="auto"/>
            <w:noWrap/>
            <w:vAlign w:val="bottom"/>
            <w:hideMark/>
          </w:tcPr>
          <w:p w14:paraId="340D4D6B" w14:textId="77777777" w:rsidR="00067C0A" w:rsidRPr="002550B9" w:rsidRDefault="00067C0A" w:rsidP="00522F77">
            <w:pPr>
              <w:spacing w:after="0" w:line="240" w:lineRule="auto"/>
              <w:contextualSpacing/>
              <w:jc w:val="right"/>
              <w:rPr>
                <w:rFonts w:ascii="Arial" w:eastAsia="Times New Roman" w:hAnsi="Arial" w:cs="Arial"/>
                <w:color w:val="000000"/>
                <w:sz w:val="18"/>
                <w:szCs w:val="18"/>
                <w:lang w:eastAsia="es-CO"/>
              </w:rPr>
            </w:pPr>
            <w:r w:rsidRPr="002550B9">
              <w:rPr>
                <w:rFonts w:ascii="Arial" w:eastAsia="Times New Roman" w:hAnsi="Arial" w:cs="Arial"/>
                <w:color w:val="000000"/>
                <w:sz w:val="18"/>
                <w:szCs w:val="18"/>
                <w:lang w:eastAsia="es-CO"/>
              </w:rPr>
              <w:lastRenderedPageBreak/>
              <w:t>17.220.526.985</w:t>
            </w:r>
          </w:p>
        </w:tc>
      </w:tr>
      <w:tr w:rsidR="009055D5" w:rsidRPr="002550B9" w14:paraId="229E392A" w14:textId="77777777" w:rsidTr="00EA7F43">
        <w:trPr>
          <w:trHeight w:val="300"/>
          <w:jc w:val="center"/>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6034F588" w14:textId="77777777" w:rsidR="00067C0A" w:rsidRPr="002550B9" w:rsidRDefault="00067C0A" w:rsidP="00522F77">
            <w:pPr>
              <w:spacing w:after="0" w:line="240" w:lineRule="auto"/>
              <w:contextualSpacing/>
              <w:rPr>
                <w:rFonts w:ascii="Arial" w:eastAsia="Times New Roman" w:hAnsi="Arial" w:cs="Arial"/>
                <w:color w:val="000000"/>
                <w:sz w:val="18"/>
                <w:szCs w:val="18"/>
                <w:lang w:eastAsia="es-CO"/>
              </w:rPr>
            </w:pPr>
            <w:r w:rsidRPr="002550B9">
              <w:rPr>
                <w:rFonts w:ascii="Arial" w:eastAsia="Times New Roman" w:hAnsi="Arial" w:cs="Arial"/>
                <w:color w:val="000000"/>
                <w:sz w:val="18"/>
                <w:szCs w:val="18"/>
                <w:lang w:eastAsia="es-CO"/>
              </w:rPr>
              <w:t>00354-2015</w:t>
            </w:r>
          </w:p>
        </w:tc>
        <w:tc>
          <w:tcPr>
            <w:tcW w:w="1937" w:type="dxa"/>
            <w:tcBorders>
              <w:top w:val="nil"/>
              <w:left w:val="nil"/>
              <w:bottom w:val="single" w:sz="4" w:space="0" w:color="auto"/>
              <w:right w:val="single" w:sz="4" w:space="0" w:color="auto"/>
            </w:tcBorders>
            <w:shd w:val="clear" w:color="auto" w:fill="auto"/>
            <w:noWrap/>
            <w:vAlign w:val="bottom"/>
            <w:hideMark/>
          </w:tcPr>
          <w:p w14:paraId="6ABC453C" w14:textId="77777777" w:rsidR="00067C0A" w:rsidRPr="002550B9" w:rsidRDefault="00067C0A" w:rsidP="00522F77">
            <w:pPr>
              <w:spacing w:after="0" w:line="240" w:lineRule="auto"/>
              <w:contextualSpacing/>
              <w:rPr>
                <w:rFonts w:ascii="Arial" w:eastAsia="Times New Roman" w:hAnsi="Arial" w:cs="Arial"/>
                <w:color w:val="000000"/>
                <w:sz w:val="18"/>
                <w:szCs w:val="18"/>
                <w:lang w:eastAsia="es-CO"/>
              </w:rPr>
            </w:pPr>
            <w:r w:rsidRPr="002550B9">
              <w:rPr>
                <w:rFonts w:ascii="Arial" w:eastAsia="Times New Roman" w:hAnsi="Arial" w:cs="Arial"/>
                <w:color w:val="000000"/>
                <w:sz w:val="18"/>
                <w:szCs w:val="18"/>
                <w:lang w:eastAsia="es-CO"/>
              </w:rPr>
              <w:t>SERVICIOS POSTALES NACIONALES</w:t>
            </w:r>
          </w:p>
        </w:tc>
        <w:tc>
          <w:tcPr>
            <w:tcW w:w="3402" w:type="dxa"/>
            <w:tcBorders>
              <w:top w:val="nil"/>
              <w:left w:val="nil"/>
              <w:bottom w:val="single" w:sz="4" w:space="0" w:color="auto"/>
              <w:right w:val="single" w:sz="4" w:space="0" w:color="auto"/>
            </w:tcBorders>
            <w:shd w:val="clear" w:color="auto" w:fill="auto"/>
            <w:noWrap/>
            <w:vAlign w:val="bottom"/>
            <w:hideMark/>
          </w:tcPr>
          <w:p w14:paraId="53B8FF0A" w14:textId="77777777" w:rsidR="00067C0A" w:rsidRPr="002550B9" w:rsidRDefault="00067C0A" w:rsidP="00522F77">
            <w:pPr>
              <w:spacing w:after="0" w:line="240" w:lineRule="auto"/>
              <w:contextualSpacing/>
              <w:rPr>
                <w:rFonts w:ascii="Arial" w:eastAsia="Times New Roman" w:hAnsi="Arial" w:cs="Arial"/>
                <w:color w:val="000000"/>
                <w:sz w:val="18"/>
                <w:szCs w:val="18"/>
                <w:lang w:eastAsia="es-CO"/>
              </w:rPr>
            </w:pPr>
            <w:r w:rsidRPr="002550B9">
              <w:rPr>
                <w:rFonts w:ascii="Arial" w:eastAsia="Times New Roman" w:hAnsi="Arial" w:cs="Arial"/>
                <w:color w:val="000000"/>
                <w:sz w:val="18"/>
                <w:szCs w:val="18"/>
                <w:lang w:eastAsia="es-CO"/>
              </w:rPr>
              <w:t>CONTRATAR EL ALOJAMIENTO DE LAS APLICACIONES Y LA CONECTIVIDAD COMO SOLUCIÓN INTEGRAL DE ALTA DISPONIBILIDAD PARA LA OPERACIÓN, QUE INCLUYA EL SOPORTE Y EL MANTENIMIENTO DE LOS SISTEMAS DE INFORMACIÓN QUE MANEJA LA ENTIDAD</w:t>
            </w:r>
          </w:p>
        </w:tc>
        <w:tc>
          <w:tcPr>
            <w:tcW w:w="2029" w:type="dxa"/>
            <w:tcBorders>
              <w:top w:val="nil"/>
              <w:left w:val="nil"/>
              <w:bottom w:val="single" w:sz="4" w:space="0" w:color="auto"/>
              <w:right w:val="single" w:sz="4" w:space="0" w:color="auto"/>
            </w:tcBorders>
            <w:shd w:val="clear" w:color="auto" w:fill="auto"/>
            <w:noWrap/>
            <w:vAlign w:val="bottom"/>
            <w:hideMark/>
          </w:tcPr>
          <w:p w14:paraId="7B1D0037" w14:textId="77777777" w:rsidR="00067C0A" w:rsidRPr="002550B9" w:rsidRDefault="00067C0A" w:rsidP="00522F77">
            <w:pPr>
              <w:spacing w:after="0" w:line="240" w:lineRule="auto"/>
              <w:contextualSpacing/>
              <w:jc w:val="right"/>
              <w:rPr>
                <w:rFonts w:ascii="Arial" w:eastAsia="Times New Roman" w:hAnsi="Arial" w:cs="Arial"/>
                <w:color w:val="000000"/>
                <w:sz w:val="18"/>
                <w:szCs w:val="18"/>
                <w:lang w:eastAsia="es-CO"/>
              </w:rPr>
            </w:pPr>
            <w:r w:rsidRPr="002550B9">
              <w:rPr>
                <w:rFonts w:ascii="Arial" w:eastAsia="Times New Roman" w:hAnsi="Arial" w:cs="Arial"/>
                <w:color w:val="000000"/>
                <w:sz w:val="18"/>
                <w:szCs w:val="18"/>
                <w:lang w:eastAsia="es-CO"/>
              </w:rPr>
              <w:t>12.007.548.861</w:t>
            </w:r>
          </w:p>
        </w:tc>
      </w:tr>
    </w:tbl>
    <w:p w14:paraId="2B03CB6A" w14:textId="77777777" w:rsidR="00D57472" w:rsidRPr="00522F77" w:rsidRDefault="00D57472" w:rsidP="00522F77">
      <w:pPr>
        <w:spacing w:after="0" w:line="240" w:lineRule="auto"/>
        <w:contextualSpacing/>
        <w:jc w:val="both"/>
        <w:rPr>
          <w:rFonts w:ascii="Arial" w:hAnsi="Arial" w:cs="Arial"/>
          <w:b/>
          <w:bCs/>
        </w:rPr>
      </w:pPr>
    </w:p>
    <w:p w14:paraId="78443A5A" w14:textId="3491AD30" w:rsidR="00885B8D" w:rsidRDefault="00190F3D" w:rsidP="00522F77">
      <w:pPr>
        <w:spacing w:after="0" w:line="240" w:lineRule="auto"/>
        <w:contextualSpacing/>
        <w:jc w:val="both"/>
        <w:rPr>
          <w:rFonts w:ascii="Arial" w:hAnsi="Arial" w:cs="Arial"/>
        </w:rPr>
      </w:pPr>
      <w:r w:rsidRPr="00522F77">
        <w:rPr>
          <w:rFonts w:ascii="Arial" w:hAnsi="Arial" w:cs="Arial"/>
        </w:rPr>
        <w:t>Es necesario mencionar que</w:t>
      </w:r>
      <w:r w:rsidR="00BD3DA0" w:rsidRPr="00522F77">
        <w:rPr>
          <w:rFonts w:ascii="Arial" w:hAnsi="Arial" w:cs="Arial"/>
        </w:rPr>
        <w:t xml:space="preserve">, el </w:t>
      </w:r>
      <w:r w:rsidRPr="00522F77">
        <w:rPr>
          <w:rFonts w:ascii="Arial" w:hAnsi="Arial" w:cs="Arial"/>
        </w:rPr>
        <w:t>estado colombiano a través de Colombia Compra Eficiente negocio con varios proveedores servicios de conectividad</w:t>
      </w:r>
      <w:r w:rsidR="00737AE6" w:rsidRPr="00522F77">
        <w:rPr>
          <w:rFonts w:ascii="Arial" w:hAnsi="Arial" w:cs="Arial"/>
        </w:rPr>
        <w:t>,</w:t>
      </w:r>
      <w:r w:rsidR="00244557" w:rsidRPr="00522F77">
        <w:rPr>
          <w:rFonts w:ascii="Arial" w:hAnsi="Arial" w:cs="Arial"/>
        </w:rPr>
        <w:t xml:space="preserve"> por lo cual actualmente existe un Acuerdo de Conectividad</w:t>
      </w:r>
      <w:r w:rsidR="00737AE6" w:rsidRPr="00522F77">
        <w:rPr>
          <w:rFonts w:ascii="Arial" w:hAnsi="Arial" w:cs="Arial"/>
        </w:rPr>
        <w:t xml:space="preserve"> vigente hasta agosto de </w:t>
      </w:r>
      <w:r w:rsidR="00C375BA" w:rsidRPr="00522F77">
        <w:rPr>
          <w:rFonts w:ascii="Arial" w:hAnsi="Arial" w:cs="Arial"/>
        </w:rPr>
        <w:t>2020</w:t>
      </w:r>
      <w:r w:rsidR="00244557" w:rsidRPr="00522F77">
        <w:rPr>
          <w:rFonts w:ascii="Arial" w:hAnsi="Arial" w:cs="Arial"/>
        </w:rPr>
        <w:t xml:space="preserve">, </w:t>
      </w:r>
      <w:r w:rsidR="00737AE6" w:rsidRPr="00522F77">
        <w:rPr>
          <w:rFonts w:ascii="Arial" w:hAnsi="Arial" w:cs="Arial"/>
        </w:rPr>
        <w:t xml:space="preserve">no </w:t>
      </w:r>
      <w:r w:rsidR="00737851" w:rsidRPr="00522F77">
        <w:rPr>
          <w:rFonts w:ascii="Arial" w:hAnsi="Arial" w:cs="Arial"/>
        </w:rPr>
        <w:t xml:space="preserve">obstante, el INVIAS </w:t>
      </w:r>
      <w:r w:rsidR="00511AB1" w:rsidRPr="00522F77">
        <w:rPr>
          <w:rFonts w:ascii="Arial" w:hAnsi="Arial" w:cs="Arial"/>
        </w:rPr>
        <w:t>requiere de</w:t>
      </w:r>
      <w:r w:rsidR="00737851" w:rsidRPr="00522F77">
        <w:rPr>
          <w:rFonts w:ascii="Arial" w:hAnsi="Arial" w:cs="Arial"/>
        </w:rPr>
        <w:t xml:space="preserve"> una solución integral que incluye otros servicios como son el </w:t>
      </w:r>
      <w:r w:rsidR="00737851" w:rsidRPr="00522F77">
        <w:rPr>
          <w:rFonts w:ascii="Arial" w:hAnsi="Arial" w:cs="Arial"/>
          <w:b/>
          <w:bCs/>
        </w:rPr>
        <w:t xml:space="preserve">soporte </w:t>
      </w:r>
      <w:r w:rsidR="00737851" w:rsidRPr="00522F77">
        <w:rPr>
          <w:rFonts w:ascii="Arial" w:hAnsi="Arial" w:cs="Arial"/>
        </w:rPr>
        <w:t xml:space="preserve">de </w:t>
      </w:r>
      <w:r w:rsidR="00E91B29" w:rsidRPr="00522F77">
        <w:rPr>
          <w:rFonts w:ascii="Arial" w:hAnsi="Arial" w:cs="Arial"/>
        </w:rPr>
        <w:t>la infraestructura asociada</w:t>
      </w:r>
      <w:r w:rsidR="00737851" w:rsidRPr="00522F77">
        <w:rPr>
          <w:rFonts w:ascii="Arial" w:hAnsi="Arial" w:cs="Arial"/>
        </w:rPr>
        <w:t xml:space="preserve"> al Programa de Monitoreo, </w:t>
      </w:r>
      <w:r w:rsidR="00737AE6" w:rsidRPr="00522F77">
        <w:rPr>
          <w:rFonts w:ascii="Arial" w:hAnsi="Arial" w:cs="Arial"/>
        </w:rPr>
        <w:t xml:space="preserve">por lo cual </w:t>
      </w:r>
      <w:r w:rsidR="00012734" w:rsidRPr="00522F77">
        <w:rPr>
          <w:rFonts w:ascii="Arial" w:hAnsi="Arial" w:cs="Arial"/>
        </w:rPr>
        <w:t xml:space="preserve">este instrumento no satisface a cabalidad la necesidad de la </w:t>
      </w:r>
      <w:r w:rsidR="00D52C47" w:rsidRPr="00522F77">
        <w:rPr>
          <w:rFonts w:ascii="Arial" w:hAnsi="Arial" w:cs="Arial"/>
        </w:rPr>
        <w:t>E</w:t>
      </w:r>
      <w:r w:rsidR="00012734" w:rsidRPr="00522F77">
        <w:rPr>
          <w:rFonts w:ascii="Arial" w:hAnsi="Arial" w:cs="Arial"/>
        </w:rPr>
        <w:t>ntidad</w:t>
      </w:r>
      <w:r w:rsidR="00737AE6" w:rsidRPr="00522F77">
        <w:rPr>
          <w:rFonts w:ascii="Arial" w:hAnsi="Arial" w:cs="Arial"/>
        </w:rPr>
        <w:t xml:space="preserve">. </w:t>
      </w:r>
    </w:p>
    <w:p w14:paraId="194BC450" w14:textId="77777777" w:rsidR="00565E99" w:rsidRPr="00522F77" w:rsidRDefault="00565E99" w:rsidP="00522F77">
      <w:pPr>
        <w:spacing w:after="0" w:line="240" w:lineRule="auto"/>
        <w:contextualSpacing/>
        <w:jc w:val="both"/>
        <w:rPr>
          <w:rFonts w:ascii="Arial" w:hAnsi="Arial" w:cs="Arial"/>
        </w:rPr>
      </w:pPr>
    </w:p>
    <w:p w14:paraId="0AB6FB78" w14:textId="77777777" w:rsidR="00A34816" w:rsidRPr="00522F77" w:rsidRDefault="00A34816" w:rsidP="00522F77">
      <w:pPr>
        <w:pStyle w:val="Prrafodelista"/>
        <w:numPr>
          <w:ilvl w:val="0"/>
          <w:numId w:val="16"/>
        </w:numPr>
        <w:spacing w:line="240" w:lineRule="auto"/>
        <w:ind w:left="567" w:right="301" w:hanging="567"/>
        <w:jc w:val="both"/>
        <w:rPr>
          <w:rFonts w:ascii="Arial" w:hAnsi="Arial" w:cs="Arial"/>
          <w:b/>
          <w:bCs/>
        </w:rPr>
      </w:pPr>
      <w:r w:rsidRPr="00522F77">
        <w:rPr>
          <w:rFonts w:ascii="Arial" w:hAnsi="Arial" w:cs="Arial"/>
          <w:b/>
          <w:bCs/>
        </w:rPr>
        <w:t xml:space="preserve">ANÁLISIS FINANCIERO DEL SECTOR </w:t>
      </w:r>
    </w:p>
    <w:p w14:paraId="28D9EC3C" w14:textId="77777777" w:rsidR="00A34816" w:rsidRPr="00522F77" w:rsidRDefault="00A34816" w:rsidP="00522F77">
      <w:pPr>
        <w:spacing w:after="0" w:line="240" w:lineRule="auto"/>
        <w:contextualSpacing/>
        <w:jc w:val="both"/>
        <w:rPr>
          <w:rFonts w:ascii="Arial" w:hAnsi="Arial" w:cs="Arial"/>
        </w:rPr>
      </w:pPr>
    </w:p>
    <w:p w14:paraId="27FE2444" w14:textId="6D5CB074" w:rsidR="00020E14" w:rsidRPr="00522F77" w:rsidRDefault="00236866" w:rsidP="00522F77">
      <w:pPr>
        <w:spacing w:after="0" w:line="240" w:lineRule="auto"/>
        <w:contextualSpacing/>
        <w:jc w:val="both"/>
        <w:rPr>
          <w:rFonts w:ascii="Arial" w:hAnsi="Arial" w:cs="Arial"/>
        </w:rPr>
      </w:pPr>
      <w:r w:rsidRPr="00522F77">
        <w:rPr>
          <w:rFonts w:ascii="Arial" w:hAnsi="Arial" w:cs="Arial"/>
        </w:rPr>
        <w:t>Para establecer los indicadores financieros</w:t>
      </w:r>
      <w:r w:rsidR="00BD6955" w:rsidRPr="00522F77">
        <w:rPr>
          <w:rFonts w:ascii="Arial" w:hAnsi="Arial" w:cs="Arial"/>
        </w:rPr>
        <w:t xml:space="preserve"> </w:t>
      </w:r>
      <w:r w:rsidR="006B5915" w:rsidRPr="00522F77">
        <w:rPr>
          <w:rFonts w:ascii="Arial" w:hAnsi="Arial" w:cs="Arial"/>
        </w:rPr>
        <w:t xml:space="preserve">del presente </w:t>
      </w:r>
      <w:r w:rsidR="00BD6955" w:rsidRPr="00522F77">
        <w:rPr>
          <w:rFonts w:ascii="Arial" w:hAnsi="Arial" w:cs="Arial"/>
        </w:rPr>
        <w:t>proceso</w:t>
      </w:r>
      <w:r w:rsidRPr="00522F77">
        <w:rPr>
          <w:rFonts w:ascii="Arial" w:hAnsi="Arial" w:cs="Arial"/>
        </w:rPr>
        <w:t xml:space="preserve">, se </w:t>
      </w:r>
      <w:r w:rsidR="00EB1150" w:rsidRPr="00522F77">
        <w:rPr>
          <w:rFonts w:ascii="Arial" w:hAnsi="Arial" w:cs="Arial"/>
        </w:rPr>
        <w:t>utilizó como base el reporte de estados financieros con corte a 2018, publicado por la</w:t>
      </w:r>
      <w:r w:rsidR="00020E14" w:rsidRPr="00522F77">
        <w:rPr>
          <w:rFonts w:ascii="Arial" w:hAnsi="Arial" w:cs="Arial"/>
        </w:rPr>
        <w:t xml:space="preserve"> Superintendencia de Sociedades</w:t>
      </w:r>
      <w:r w:rsidR="00FC2A39" w:rsidRPr="00522F77">
        <w:rPr>
          <w:rFonts w:ascii="Arial" w:hAnsi="Arial" w:cs="Arial"/>
        </w:rPr>
        <w:t xml:space="preserve"> (</w:t>
      </w:r>
      <w:hyperlink r:id="rId31" w:history="1">
        <w:r w:rsidR="00FC2A39" w:rsidRPr="00522F77">
          <w:rPr>
            <w:rStyle w:val="Hipervnculo"/>
            <w:rFonts w:ascii="Arial" w:hAnsi="Arial" w:cs="Arial"/>
          </w:rPr>
          <w:t>www.supersociedades.gov.co</w:t>
        </w:r>
      </w:hyperlink>
      <w:r w:rsidR="00C15C0D" w:rsidRPr="00522F77">
        <w:rPr>
          <w:rFonts w:ascii="Arial" w:hAnsi="Arial" w:cs="Arial"/>
        </w:rPr>
        <w:t>)</w:t>
      </w:r>
      <w:r w:rsidR="00020E14" w:rsidRPr="00522F77">
        <w:rPr>
          <w:rFonts w:ascii="Arial" w:hAnsi="Arial" w:cs="Arial"/>
        </w:rPr>
        <w:t>, donde se seleccionaron las empresas ubicadas en la siguiente clasificación:</w:t>
      </w:r>
    </w:p>
    <w:p w14:paraId="3C3B044C" w14:textId="77777777" w:rsidR="00020E14" w:rsidRPr="00522F77" w:rsidRDefault="00020E14" w:rsidP="00522F77">
      <w:pPr>
        <w:spacing w:after="0" w:line="240" w:lineRule="auto"/>
        <w:contextualSpacing/>
        <w:jc w:val="both"/>
        <w:rPr>
          <w:rFonts w:ascii="Arial" w:hAnsi="Arial" w:cs="Arial"/>
        </w:rPr>
      </w:pPr>
    </w:p>
    <w:p w14:paraId="62057450" w14:textId="6D61A7CB" w:rsidR="00020E14" w:rsidRPr="00522F77" w:rsidRDefault="00020E14" w:rsidP="00522F77">
      <w:pPr>
        <w:pStyle w:val="Prrafodelista"/>
        <w:numPr>
          <w:ilvl w:val="0"/>
          <w:numId w:val="11"/>
        </w:numPr>
        <w:spacing w:line="240" w:lineRule="auto"/>
        <w:jc w:val="both"/>
        <w:rPr>
          <w:rFonts w:ascii="Arial" w:hAnsi="Arial" w:cs="Arial"/>
        </w:rPr>
      </w:pPr>
      <w:r w:rsidRPr="00522F77">
        <w:rPr>
          <w:rFonts w:ascii="Arial" w:hAnsi="Arial" w:cs="Arial"/>
        </w:rPr>
        <w:t>Macro Sector: Servicios</w:t>
      </w:r>
    </w:p>
    <w:p w14:paraId="17BA9E90" w14:textId="2C5FA8B8" w:rsidR="00020E14" w:rsidRPr="00522F77" w:rsidRDefault="00020E14" w:rsidP="00522F77">
      <w:pPr>
        <w:pStyle w:val="Prrafodelista"/>
        <w:spacing w:line="240" w:lineRule="auto"/>
        <w:jc w:val="both"/>
        <w:rPr>
          <w:rFonts w:ascii="Arial" w:hAnsi="Arial" w:cs="Arial"/>
        </w:rPr>
      </w:pPr>
      <w:r w:rsidRPr="00522F77">
        <w:rPr>
          <w:rFonts w:ascii="Arial" w:hAnsi="Arial" w:cs="Arial"/>
        </w:rPr>
        <w:t>Sector económico: Telecomunicaciones</w:t>
      </w:r>
    </w:p>
    <w:p w14:paraId="02802309" w14:textId="597BDDB6" w:rsidR="00020E14" w:rsidRPr="00522F77" w:rsidRDefault="00020E14" w:rsidP="00522F77">
      <w:pPr>
        <w:pStyle w:val="Prrafodelista"/>
        <w:spacing w:line="240" w:lineRule="auto"/>
        <w:jc w:val="both"/>
        <w:rPr>
          <w:rFonts w:ascii="Arial" w:hAnsi="Arial" w:cs="Arial"/>
        </w:rPr>
      </w:pPr>
      <w:r w:rsidRPr="00522F77">
        <w:rPr>
          <w:rFonts w:ascii="Arial" w:hAnsi="Arial" w:cs="Arial"/>
        </w:rPr>
        <w:t>Clasificación Industrial Internacional Uniforme:</w:t>
      </w:r>
    </w:p>
    <w:p w14:paraId="2FA1490A" w14:textId="001C015E" w:rsidR="00020E14" w:rsidRPr="00522F77" w:rsidRDefault="00020E14" w:rsidP="00522F77">
      <w:pPr>
        <w:pStyle w:val="Prrafodelista"/>
        <w:numPr>
          <w:ilvl w:val="0"/>
          <w:numId w:val="12"/>
        </w:numPr>
        <w:spacing w:line="240" w:lineRule="auto"/>
        <w:jc w:val="both"/>
        <w:rPr>
          <w:rFonts w:ascii="Arial" w:hAnsi="Arial" w:cs="Arial"/>
        </w:rPr>
      </w:pPr>
      <w:r w:rsidRPr="00522F77">
        <w:rPr>
          <w:rFonts w:ascii="Arial" w:hAnsi="Arial" w:cs="Arial"/>
        </w:rPr>
        <w:t>J6110 - Actividades de telecomunicaciones alámbricas</w:t>
      </w:r>
    </w:p>
    <w:p w14:paraId="66597FBF" w14:textId="012BB2F0" w:rsidR="00020E14" w:rsidRPr="00522F77" w:rsidRDefault="00020E14" w:rsidP="00522F77">
      <w:pPr>
        <w:pStyle w:val="Prrafodelista"/>
        <w:numPr>
          <w:ilvl w:val="0"/>
          <w:numId w:val="12"/>
        </w:numPr>
        <w:spacing w:line="240" w:lineRule="auto"/>
        <w:jc w:val="both"/>
        <w:rPr>
          <w:rFonts w:ascii="Arial" w:hAnsi="Arial" w:cs="Arial"/>
        </w:rPr>
      </w:pPr>
      <w:r w:rsidRPr="00522F77">
        <w:rPr>
          <w:rFonts w:ascii="Arial" w:hAnsi="Arial" w:cs="Arial"/>
        </w:rPr>
        <w:t>J6120 - Actividades de telecomunicaciones inalámbricas</w:t>
      </w:r>
    </w:p>
    <w:p w14:paraId="4C1BA93D" w14:textId="1E54B1EB" w:rsidR="00020E14" w:rsidRPr="00522F77" w:rsidRDefault="00020E14" w:rsidP="00522F77">
      <w:pPr>
        <w:pStyle w:val="Prrafodelista"/>
        <w:numPr>
          <w:ilvl w:val="0"/>
          <w:numId w:val="12"/>
        </w:numPr>
        <w:spacing w:line="240" w:lineRule="auto"/>
        <w:jc w:val="both"/>
        <w:rPr>
          <w:rFonts w:ascii="Arial" w:hAnsi="Arial" w:cs="Arial"/>
        </w:rPr>
      </w:pPr>
      <w:r w:rsidRPr="00522F77">
        <w:rPr>
          <w:rFonts w:ascii="Arial" w:hAnsi="Arial" w:cs="Arial"/>
        </w:rPr>
        <w:t>J6130 - Actividades de telecomunicación satelital</w:t>
      </w:r>
    </w:p>
    <w:p w14:paraId="047C51AC" w14:textId="397A256D" w:rsidR="00020E14" w:rsidRPr="00522F77" w:rsidRDefault="00020E14" w:rsidP="00522F77">
      <w:pPr>
        <w:pStyle w:val="Prrafodelista"/>
        <w:numPr>
          <w:ilvl w:val="0"/>
          <w:numId w:val="12"/>
        </w:numPr>
        <w:spacing w:line="240" w:lineRule="auto"/>
        <w:jc w:val="both"/>
        <w:rPr>
          <w:rFonts w:ascii="Arial" w:hAnsi="Arial" w:cs="Arial"/>
        </w:rPr>
      </w:pPr>
      <w:r w:rsidRPr="00522F77">
        <w:rPr>
          <w:rFonts w:ascii="Arial" w:hAnsi="Arial" w:cs="Arial"/>
        </w:rPr>
        <w:t>J6190 - Otras actividades de telecomunicaciones</w:t>
      </w:r>
    </w:p>
    <w:p w14:paraId="074733CB" w14:textId="77777777" w:rsidR="00020E14" w:rsidRPr="00522F77" w:rsidRDefault="00020E14" w:rsidP="00522F77">
      <w:pPr>
        <w:spacing w:after="0" w:line="240" w:lineRule="auto"/>
        <w:contextualSpacing/>
        <w:jc w:val="both"/>
        <w:rPr>
          <w:rFonts w:ascii="Arial" w:hAnsi="Arial" w:cs="Arial"/>
        </w:rPr>
      </w:pPr>
    </w:p>
    <w:p w14:paraId="519AB655" w14:textId="77777777" w:rsidR="00020E14" w:rsidRPr="00522F77" w:rsidRDefault="00020E14" w:rsidP="00522F77">
      <w:pPr>
        <w:pStyle w:val="Prrafodelista"/>
        <w:numPr>
          <w:ilvl w:val="0"/>
          <w:numId w:val="11"/>
        </w:numPr>
        <w:spacing w:line="240" w:lineRule="auto"/>
        <w:jc w:val="both"/>
        <w:rPr>
          <w:rFonts w:ascii="Arial" w:hAnsi="Arial" w:cs="Arial"/>
        </w:rPr>
      </w:pPr>
      <w:r w:rsidRPr="00522F77">
        <w:rPr>
          <w:rFonts w:ascii="Arial" w:hAnsi="Arial" w:cs="Arial"/>
        </w:rPr>
        <w:t>Macro Sector: Servicios</w:t>
      </w:r>
    </w:p>
    <w:p w14:paraId="3751AE93" w14:textId="0BC439F1" w:rsidR="00020E14" w:rsidRPr="00522F77" w:rsidRDefault="00020E14" w:rsidP="00522F77">
      <w:pPr>
        <w:pStyle w:val="Prrafodelista"/>
        <w:spacing w:line="240" w:lineRule="auto"/>
        <w:jc w:val="both"/>
        <w:rPr>
          <w:rFonts w:ascii="Arial" w:hAnsi="Arial" w:cs="Arial"/>
        </w:rPr>
      </w:pPr>
      <w:r w:rsidRPr="00522F77">
        <w:rPr>
          <w:rFonts w:ascii="Arial" w:hAnsi="Arial" w:cs="Arial"/>
        </w:rPr>
        <w:t>Sector económico: Actividades de servicio informático</w:t>
      </w:r>
    </w:p>
    <w:p w14:paraId="53A3131F" w14:textId="77777777" w:rsidR="00020E14" w:rsidRPr="00522F77" w:rsidRDefault="00020E14" w:rsidP="00522F77">
      <w:pPr>
        <w:pStyle w:val="Prrafodelista"/>
        <w:spacing w:line="240" w:lineRule="auto"/>
        <w:jc w:val="both"/>
        <w:rPr>
          <w:rFonts w:ascii="Arial" w:hAnsi="Arial" w:cs="Arial"/>
        </w:rPr>
      </w:pPr>
      <w:r w:rsidRPr="00522F77">
        <w:rPr>
          <w:rFonts w:ascii="Arial" w:hAnsi="Arial" w:cs="Arial"/>
        </w:rPr>
        <w:t>Clasificación Industrial Internacional Uniforme:</w:t>
      </w:r>
    </w:p>
    <w:p w14:paraId="452BD291" w14:textId="1BA05CD3" w:rsidR="00020E14" w:rsidRPr="00522F77" w:rsidRDefault="00FC2A39" w:rsidP="00522F77">
      <w:pPr>
        <w:pStyle w:val="Prrafodelista"/>
        <w:numPr>
          <w:ilvl w:val="0"/>
          <w:numId w:val="12"/>
        </w:numPr>
        <w:spacing w:line="240" w:lineRule="auto"/>
        <w:jc w:val="both"/>
        <w:rPr>
          <w:rFonts w:ascii="Arial" w:hAnsi="Arial" w:cs="Arial"/>
        </w:rPr>
      </w:pPr>
      <w:r w:rsidRPr="00522F77">
        <w:rPr>
          <w:rFonts w:ascii="Arial" w:hAnsi="Arial" w:cs="Arial"/>
        </w:rPr>
        <w:t>J6311 - Procesamiento de datos, alojamiento (hosting) y actividades relacionadas</w:t>
      </w:r>
    </w:p>
    <w:p w14:paraId="7215BBF4" w14:textId="77777777" w:rsidR="00FC2A39" w:rsidRPr="00522F77" w:rsidRDefault="00FC2A39" w:rsidP="00522F77">
      <w:pPr>
        <w:spacing w:after="0" w:line="240" w:lineRule="auto"/>
        <w:jc w:val="both"/>
        <w:rPr>
          <w:rFonts w:ascii="Arial" w:hAnsi="Arial" w:cs="Arial"/>
        </w:rPr>
      </w:pPr>
    </w:p>
    <w:p w14:paraId="22DC5C3B" w14:textId="11AE4EDA" w:rsidR="00FC2A39" w:rsidRPr="00522F77" w:rsidRDefault="00FC2A39" w:rsidP="00522F77">
      <w:pPr>
        <w:spacing w:after="0" w:line="240" w:lineRule="auto"/>
        <w:jc w:val="both"/>
        <w:rPr>
          <w:rFonts w:ascii="Arial" w:hAnsi="Arial" w:cs="Arial"/>
        </w:rPr>
      </w:pPr>
      <w:r w:rsidRPr="00522F77">
        <w:rPr>
          <w:rFonts w:ascii="Arial" w:hAnsi="Arial" w:cs="Arial"/>
        </w:rPr>
        <w:t>De la clasificación descrita, se identificaron 36 empresas que se relacionan en el cuadro a continuación.</w:t>
      </w:r>
    </w:p>
    <w:p w14:paraId="7E462167" w14:textId="77777777" w:rsidR="00A315A0" w:rsidRPr="00522F77" w:rsidRDefault="00A315A0" w:rsidP="00522F77">
      <w:pPr>
        <w:spacing w:after="0" w:line="240" w:lineRule="auto"/>
        <w:jc w:val="both"/>
        <w:rPr>
          <w:rFonts w:ascii="Arial" w:hAnsi="Arial" w:cs="Arial"/>
        </w:rPr>
      </w:pPr>
    </w:p>
    <w:tbl>
      <w:tblPr>
        <w:tblW w:w="9715" w:type="dxa"/>
        <w:jc w:val="center"/>
        <w:tblCellMar>
          <w:left w:w="70" w:type="dxa"/>
          <w:right w:w="70" w:type="dxa"/>
        </w:tblCellMar>
        <w:tblLook w:val="04A0" w:firstRow="1" w:lastRow="0" w:firstColumn="1" w:lastColumn="0" w:noHBand="0" w:noVBand="1"/>
      </w:tblPr>
      <w:tblGrid>
        <w:gridCol w:w="1696"/>
        <w:gridCol w:w="8019"/>
      </w:tblGrid>
      <w:tr w:rsidR="00C10986" w:rsidRPr="00A315A0" w14:paraId="2A311519" w14:textId="77777777" w:rsidTr="00A315A0">
        <w:trPr>
          <w:trHeight w:val="62"/>
          <w:tblHeader/>
          <w:jc w:val="cent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9A7A9A" w14:textId="77777777" w:rsidR="00C10986" w:rsidRPr="00A315A0" w:rsidRDefault="00C10986" w:rsidP="00522F77">
            <w:pPr>
              <w:spacing w:after="0" w:line="240" w:lineRule="auto"/>
              <w:jc w:val="center"/>
              <w:rPr>
                <w:rFonts w:ascii="Arial" w:eastAsia="Times New Roman" w:hAnsi="Arial" w:cs="Arial"/>
                <w:b/>
                <w:bCs/>
                <w:color w:val="000000"/>
                <w:sz w:val="20"/>
                <w:szCs w:val="20"/>
                <w:lang w:eastAsia="es-CO"/>
              </w:rPr>
            </w:pPr>
            <w:r w:rsidRPr="00A315A0">
              <w:rPr>
                <w:rFonts w:ascii="Arial" w:eastAsia="Times New Roman" w:hAnsi="Arial" w:cs="Arial"/>
                <w:b/>
                <w:bCs/>
                <w:color w:val="000000"/>
                <w:sz w:val="20"/>
                <w:szCs w:val="20"/>
                <w:lang w:eastAsia="es-CO"/>
              </w:rPr>
              <w:t>No</w:t>
            </w:r>
          </w:p>
        </w:tc>
        <w:tc>
          <w:tcPr>
            <w:tcW w:w="8019" w:type="dxa"/>
            <w:tcBorders>
              <w:top w:val="single" w:sz="4" w:space="0" w:color="auto"/>
              <w:left w:val="nil"/>
              <w:bottom w:val="single" w:sz="4" w:space="0" w:color="auto"/>
              <w:right w:val="single" w:sz="4" w:space="0" w:color="auto"/>
            </w:tcBorders>
            <w:shd w:val="clear" w:color="auto" w:fill="auto"/>
            <w:noWrap/>
            <w:vAlign w:val="center"/>
            <w:hideMark/>
          </w:tcPr>
          <w:p w14:paraId="725E640C" w14:textId="77777777" w:rsidR="00C10986" w:rsidRPr="00A315A0" w:rsidRDefault="00C10986" w:rsidP="00522F77">
            <w:pPr>
              <w:spacing w:after="0" w:line="240" w:lineRule="auto"/>
              <w:jc w:val="center"/>
              <w:rPr>
                <w:rFonts w:ascii="Arial" w:eastAsia="Times New Roman" w:hAnsi="Arial" w:cs="Arial"/>
                <w:b/>
                <w:bCs/>
                <w:color w:val="000000"/>
                <w:sz w:val="20"/>
                <w:szCs w:val="20"/>
                <w:lang w:eastAsia="es-CO"/>
              </w:rPr>
            </w:pPr>
            <w:r w:rsidRPr="00A315A0">
              <w:rPr>
                <w:rFonts w:ascii="Arial" w:eastAsia="Times New Roman" w:hAnsi="Arial" w:cs="Arial"/>
                <w:b/>
                <w:bCs/>
                <w:color w:val="000000"/>
                <w:sz w:val="20"/>
                <w:szCs w:val="20"/>
                <w:lang w:eastAsia="es-CO"/>
              </w:rPr>
              <w:t>Nombre de la Empresa</w:t>
            </w:r>
          </w:p>
        </w:tc>
      </w:tr>
      <w:tr w:rsidR="00C10986" w:rsidRPr="00A315A0" w14:paraId="0534432D"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380339EC"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1</w:t>
            </w:r>
          </w:p>
        </w:tc>
        <w:tc>
          <w:tcPr>
            <w:tcW w:w="8019" w:type="dxa"/>
            <w:tcBorders>
              <w:top w:val="nil"/>
              <w:left w:val="nil"/>
              <w:bottom w:val="single" w:sz="4" w:space="0" w:color="auto"/>
              <w:right w:val="single" w:sz="4" w:space="0" w:color="auto"/>
            </w:tcBorders>
            <w:shd w:val="clear" w:color="auto" w:fill="auto"/>
            <w:vAlign w:val="bottom"/>
            <w:hideMark/>
          </w:tcPr>
          <w:p w14:paraId="6ED1E467" w14:textId="77777777" w:rsidR="00C10986" w:rsidRPr="00A315A0" w:rsidRDefault="00C10986" w:rsidP="00522F77">
            <w:pPr>
              <w:spacing w:after="0" w:line="240" w:lineRule="auto"/>
              <w:rPr>
                <w:rFonts w:ascii="Arial" w:eastAsia="Times New Roman" w:hAnsi="Arial" w:cs="Arial"/>
                <w:sz w:val="20"/>
                <w:szCs w:val="20"/>
                <w:lang w:eastAsia="es-CO"/>
              </w:rPr>
            </w:pPr>
            <w:r w:rsidRPr="00A315A0">
              <w:rPr>
                <w:rFonts w:ascii="Arial" w:eastAsia="Times New Roman" w:hAnsi="Arial" w:cs="Arial"/>
                <w:sz w:val="20"/>
                <w:szCs w:val="20"/>
                <w:lang w:eastAsia="es-CO"/>
              </w:rPr>
              <w:t>Enlace Operativo S.A.</w:t>
            </w:r>
          </w:p>
        </w:tc>
      </w:tr>
      <w:tr w:rsidR="00C10986" w:rsidRPr="00A315A0" w14:paraId="4F904E61"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4101BD49"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2</w:t>
            </w:r>
          </w:p>
        </w:tc>
        <w:tc>
          <w:tcPr>
            <w:tcW w:w="8019" w:type="dxa"/>
            <w:tcBorders>
              <w:top w:val="nil"/>
              <w:left w:val="nil"/>
              <w:bottom w:val="single" w:sz="4" w:space="0" w:color="auto"/>
              <w:right w:val="single" w:sz="4" w:space="0" w:color="auto"/>
            </w:tcBorders>
            <w:shd w:val="clear" w:color="auto" w:fill="auto"/>
            <w:vAlign w:val="bottom"/>
            <w:hideMark/>
          </w:tcPr>
          <w:p w14:paraId="7AC76C3D" w14:textId="77777777" w:rsidR="00C10986" w:rsidRPr="00A315A0" w:rsidRDefault="00C10986" w:rsidP="00522F77">
            <w:pPr>
              <w:spacing w:after="0" w:line="240" w:lineRule="auto"/>
              <w:rPr>
                <w:rFonts w:ascii="Arial" w:eastAsia="Times New Roman" w:hAnsi="Arial" w:cs="Arial"/>
                <w:sz w:val="20"/>
                <w:szCs w:val="20"/>
                <w:lang w:eastAsia="es-CO"/>
              </w:rPr>
            </w:pPr>
            <w:r w:rsidRPr="00A315A0">
              <w:rPr>
                <w:rFonts w:ascii="Arial" w:eastAsia="Times New Roman" w:hAnsi="Arial" w:cs="Arial"/>
                <w:sz w:val="20"/>
                <w:szCs w:val="20"/>
                <w:lang w:eastAsia="es-CO"/>
              </w:rPr>
              <w:t>AZTECA COMUNICACIONES COLOMBIA SAS</w:t>
            </w:r>
          </w:p>
        </w:tc>
      </w:tr>
      <w:tr w:rsidR="00C10986" w:rsidRPr="00A315A0" w14:paraId="4EA9FECB"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6E1BC091"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3</w:t>
            </w:r>
          </w:p>
        </w:tc>
        <w:tc>
          <w:tcPr>
            <w:tcW w:w="8019" w:type="dxa"/>
            <w:tcBorders>
              <w:top w:val="nil"/>
              <w:left w:val="nil"/>
              <w:bottom w:val="single" w:sz="4" w:space="0" w:color="auto"/>
              <w:right w:val="single" w:sz="4" w:space="0" w:color="auto"/>
            </w:tcBorders>
            <w:shd w:val="clear" w:color="auto" w:fill="auto"/>
            <w:vAlign w:val="bottom"/>
            <w:hideMark/>
          </w:tcPr>
          <w:p w14:paraId="39B77901" w14:textId="5928D60A" w:rsidR="00C10986" w:rsidRPr="00A315A0" w:rsidRDefault="00C10986" w:rsidP="00522F77">
            <w:pPr>
              <w:spacing w:after="0" w:line="240" w:lineRule="auto"/>
              <w:rPr>
                <w:rFonts w:ascii="Arial" w:eastAsia="Times New Roman" w:hAnsi="Arial" w:cs="Arial"/>
                <w:sz w:val="20"/>
                <w:szCs w:val="20"/>
                <w:lang w:eastAsia="es-CO"/>
              </w:rPr>
            </w:pPr>
            <w:r w:rsidRPr="00A315A0">
              <w:rPr>
                <w:rFonts w:ascii="Arial" w:eastAsia="Times New Roman" w:hAnsi="Arial" w:cs="Arial"/>
                <w:sz w:val="20"/>
                <w:szCs w:val="20"/>
                <w:lang w:eastAsia="es-CO"/>
              </w:rPr>
              <w:t xml:space="preserve">Infraestructura Celular Colombiana S.A </w:t>
            </w:r>
            <w:r w:rsidR="001043D9">
              <w:rPr>
                <w:rFonts w:ascii="Arial" w:eastAsia="Times New Roman" w:hAnsi="Arial" w:cs="Arial"/>
                <w:sz w:val="20"/>
                <w:szCs w:val="20"/>
                <w:lang w:eastAsia="es-CO"/>
              </w:rPr>
              <w:t>–</w:t>
            </w:r>
            <w:r w:rsidRPr="00A315A0">
              <w:rPr>
                <w:rFonts w:ascii="Arial" w:eastAsia="Times New Roman" w:hAnsi="Arial" w:cs="Arial"/>
                <w:sz w:val="20"/>
                <w:szCs w:val="20"/>
                <w:lang w:eastAsia="es-CO"/>
              </w:rPr>
              <w:t xml:space="preserve"> ESP</w:t>
            </w:r>
          </w:p>
        </w:tc>
      </w:tr>
      <w:tr w:rsidR="00C10986" w:rsidRPr="00A315A0" w14:paraId="5713BF92"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6AA08D02"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4</w:t>
            </w:r>
          </w:p>
        </w:tc>
        <w:tc>
          <w:tcPr>
            <w:tcW w:w="8019" w:type="dxa"/>
            <w:tcBorders>
              <w:top w:val="nil"/>
              <w:left w:val="nil"/>
              <w:bottom w:val="single" w:sz="4" w:space="0" w:color="auto"/>
              <w:right w:val="single" w:sz="4" w:space="0" w:color="auto"/>
            </w:tcBorders>
            <w:shd w:val="clear" w:color="auto" w:fill="auto"/>
            <w:vAlign w:val="bottom"/>
            <w:hideMark/>
          </w:tcPr>
          <w:p w14:paraId="2C4E68B5" w14:textId="77777777" w:rsidR="00C10986" w:rsidRPr="00A315A0" w:rsidRDefault="00C10986" w:rsidP="00522F77">
            <w:pPr>
              <w:spacing w:after="0" w:line="240" w:lineRule="auto"/>
              <w:rPr>
                <w:rFonts w:ascii="Arial" w:eastAsia="Times New Roman" w:hAnsi="Arial" w:cs="Arial"/>
                <w:sz w:val="20"/>
                <w:szCs w:val="20"/>
                <w:lang w:eastAsia="es-CO"/>
              </w:rPr>
            </w:pPr>
            <w:r w:rsidRPr="00A315A0">
              <w:rPr>
                <w:rFonts w:ascii="Arial" w:eastAsia="Times New Roman" w:hAnsi="Arial" w:cs="Arial"/>
                <w:sz w:val="20"/>
                <w:szCs w:val="20"/>
                <w:lang w:eastAsia="es-CO"/>
              </w:rPr>
              <w:t>SPEEDCAST SUCURSAL COLOMBIA</w:t>
            </w:r>
          </w:p>
        </w:tc>
      </w:tr>
      <w:tr w:rsidR="00C10986" w:rsidRPr="00A315A0" w14:paraId="500A4E18"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2BA91962"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5</w:t>
            </w:r>
          </w:p>
        </w:tc>
        <w:tc>
          <w:tcPr>
            <w:tcW w:w="8019" w:type="dxa"/>
            <w:tcBorders>
              <w:top w:val="nil"/>
              <w:left w:val="nil"/>
              <w:bottom w:val="single" w:sz="4" w:space="0" w:color="auto"/>
              <w:right w:val="single" w:sz="4" w:space="0" w:color="auto"/>
            </w:tcBorders>
            <w:shd w:val="clear" w:color="auto" w:fill="auto"/>
            <w:vAlign w:val="bottom"/>
            <w:hideMark/>
          </w:tcPr>
          <w:p w14:paraId="113F9A2C" w14:textId="77777777" w:rsidR="00C10986" w:rsidRPr="00A315A0" w:rsidRDefault="00C10986" w:rsidP="00522F77">
            <w:pPr>
              <w:spacing w:after="0" w:line="240" w:lineRule="auto"/>
              <w:rPr>
                <w:rFonts w:ascii="Arial" w:eastAsia="Times New Roman" w:hAnsi="Arial" w:cs="Arial"/>
                <w:sz w:val="20"/>
                <w:szCs w:val="20"/>
                <w:lang w:eastAsia="es-CO"/>
              </w:rPr>
            </w:pPr>
            <w:r w:rsidRPr="00A315A0">
              <w:rPr>
                <w:rFonts w:ascii="Arial" w:eastAsia="Times New Roman" w:hAnsi="Arial" w:cs="Arial"/>
                <w:sz w:val="20"/>
                <w:szCs w:val="20"/>
                <w:lang w:eastAsia="es-CO"/>
              </w:rPr>
              <w:t>Desca Colombia S.A.</w:t>
            </w:r>
          </w:p>
        </w:tc>
      </w:tr>
      <w:tr w:rsidR="00C10986" w:rsidRPr="00A315A0" w14:paraId="72D42BEB"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3662CCD4"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6</w:t>
            </w:r>
          </w:p>
        </w:tc>
        <w:tc>
          <w:tcPr>
            <w:tcW w:w="8019" w:type="dxa"/>
            <w:tcBorders>
              <w:top w:val="nil"/>
              <w:left w:val="nil"/>
              <w:bottom w:val="single" w:sz="4" w:space="0" w:color="auto"/>
              <w:right w:val="single" w:sz="4" w:space="0" w:color="auto"/>
            </w:tcBorders>
            <w:shd w:val="clear" w:color="auto" w:fill="auto"/>
            <w:vAlign w:val="bottom"/>
            <w:hideMark/>
          </w:tcPr>
          <w:p w14:paraId="0758C041" w14:textId="77777777" w:rsidR="00C10986" w:rsidRPr="00A315A0" w:rsidRDefault="00C10986" w:rsidP="00522F77">
            <w:pPr>
              <w:spacing w:after="0" w:line="240" w:lineRule="auto"/>
              <w:rPr>
                <w:rFonts w:ascii="Arial" w:eastAsia="Times New Roman" w:hAnsi="Arial" w:cs="Arial"/>
                <w:sz w:val="20"/>
                <w:szCs w:val="20"/>
                <w:lang w:eastAsia="es-CO"/>
              </w:rPr>
            </w:pPr>
            <w:r w:rsidRPr="00A315A0">
              <w:rPr>
                <w:rFonts w:ascii="Arial" w:eastAsia="Times New Roman" w:hAnsi="Arial" w:cs="Arial"/>
                <w:sz w:val="20"/>
                <w:szCs w:val="20"/>
                <w:lang w:eastAsia="es-CO"/>
              </w:rPr>
              <w:t>.CO INTERNET SAS</w:t>
            </w:r>
          </w:p>
        </w:tc>
      </w:tr>
      <w:tr w:rsidR="00C10986" w:rsidRPr="00A315A0" w14:paraId="01126AEF"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50A5B9F3"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7</w:t>
            </w:r>
          </w:p>
        </w:tc>
        <w:tc>
          <w:tcPr>
            <w:tcW w:w="8019" w:type="dxa"/>
            <w:tcBorders>
              <w:top w:val="nil"/>
              <w:left w:val="nil"/>
              <w:bottom w:val="single" w:sz="4" w:space="0" w:color="auto"/>
              <w:right w:val="single" w:sz="4" w:space="0" w:color="auto"/>
            </w:tcBorders>
            <w:shd w:val="clear" w:color="auto" w:fill="auto"/>
            <w:vAlign w:val="bottom"/>
            <w:hideMark/>
          </w:tcPr>
          <w:p w14:paraId="00DB888E" w14:textId="77777777" w:rsidR="00C10986" w:rsidRPr="00A315A0" w:rsidRDefault="00C10986" w:rsidP="00522F77">
            <w:pPr>
              <w:spacing w:after="0" w:line="240" w:lineRule="auto"/>
              <w:rPr>
                <w:rFonts w:ascii="Arial" w:eastAsia="Times New Roman" w:hAnsi="Arial" w:cs="Arial"/>
                <w:sz w:val="20"/>
                <w:szCs w:val="20"/>
                <w:lang w:eastAsia="es-CO"/>
              </w:rPr>
            </w:pPr>
            <w:r w:rsidRPr="00A315A0">
              <w:rPr>
                <w:rFonts w:ascii="Arial" w:eastAsia="Times New Roman" w:hAnsi="Arial" w:cs="Arial"/>
                <w:sz w:val="20"/>
                <w:szCs w:val="20"/>
                <w:lang w:eastAsia="es-CO"/>
              </w:rPr>
              <w:t xml:space="preserve">Internexa S.A. </w:t>
            </w:r>
          </w:p>
        </w:tc>
      </w:tr>
      <w:tr w:rsidR="00C10986" w:rsidRPr="00A315A0" w14:paraId="7B23B562"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3A9D00E8"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lastRenderedPageBreak/>
              <w:t>Empresa No 8</w:t>
            </w:r>
          </w:p>
        </w:tc>
        <w:tc>
          <w:tcPr>
            <w:tcW w:w="8019" w:type="dxa"/>
            <w:tcBorders>
              <w:top w:val="nil"/>
              <w:left w:val="nil"/>
              <w:bottom w:val="single" w:sz="4" w:space="0" w:color="auto"/>
              <w:right w:val="single" w:sz="4" w:space="0" w:color="auto"/>
            </w:tcBorders>
            <w:shd w:val="clear" w:color="auto" w:fill="auto"/>
            <w:vAlign w:val="bottom"/>
            <w:hideMark/>
          </w:tcPr>
          <w:p w14:paraId="34389E75" w14:textId="77777777" w:rsidR="00C10986" w:rsidRPr="00A315A0" w:rsidRDefault="00C10986" w:rsidP="00522F77">
            <w:pPr>
              <w:spacing w:after="0" w:line="240" w:lineRule="auto"/>
              <w:rPr>
                <w:rFonts w:ascii="Arial" w:eastAsia="Times New Roman" w:hAnsi="Arial" w:cs="Arial"/>
                <w:sz w:val="20"/>
                <w:szCs w:val="20"/>
                <w:lang w:eastAsia="es-CO"/>
              </w:rPr>
            </w:pPr>
            <w:r w:rsidRPr="00A315A0">
              <w:rPr>
                <w:rFonts w:ascii="Arial" w:eastAsia="Times New Roman" w:hAnsi="Arial" w:cs="Arial"/>
                <w:sz w:val="20"/>
                <w:szCs w:val="20"/>
                <w:lang w:eastAsia="es-CO"/>
              </w:rPr>
              <w:t xml:space="preserve">IGT COMUNICACIONES COLOMBIA LTDA </w:t>
            </w:r>
          </w:p>
        </w:tc>
      </w:tr>
      <w:tr w:rsidR="00C10986" w:rsidRPr="00A315A0" w14:paraId="308481E4"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23F26A5D"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9</w:t>
            </w:r>
          </w:p>
        </w:tc>
        <w:tc>
          <w:tcPr>
            <w:tcW w:w="8019" w:type="dxa"/>
            <w:tcBorders>
              <w:top w:val="nil"/>
              <w:left w:val="nil"/>
              <w:bottom w:val="single" w:sz="4" w:space="0" w:color="auto"/>
              <w:right w:val="single" w:sz="4" w:space="0" w:color="auto"/>
            </w:tcBorders>
            <w:shd w:val="clear" w:color="auto" w:fill="auto"/>
            <w:vAlign w:val="bottom"/>
            <w:hideMark/>
          </w:tcPr>
          <w:p w14:paraId="25E72BB5" w14:textId="77777777" w:rsidR="00C10986" w:rsidRPr="00A315A0" w:rsidRDefault="00C10986" w:rsidP="00522F77">
            <w:pPr>
              <w:spacing w:after="0" w:line="240" w:lineRule="auto"/>
              <w:rPr>
                <w:rFonts w:ascii="Arial" w:eastAsia="Times New Roman" w:hAnsi="Arial" w:cs="Arial"/>
                <w:sz w:val="20"/>
                <w:szCs w:val="20"/>
                <w:lang w:eastAsia="es-CO"/>
              </w:rPr>
            </w:pPr>
            <w:r w:rsidRPr="00A315A0">
              <w:rPr>
                <w:rFonts w:ascii="Arial" w:eastAsia="Times New Roman" w:hAnsi="Arial" w:cs="Arial"/>
                <w:sz w:val="20"/>
                <w:szCs w:val="20"/>
                <w:lang w:eastAsia="es-CO"/>
              </w:rPr>
              <w:t>CENTURYLINK COLOMBIA S.A.</w:t>
            </w:r>
          </w:p>
        </w:tc>
      </w:tr>
      <w:tr w:rsidR="00C10986" w:rsidRPr="00A315A0" w14:paraId="5DF00921"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6677D813"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10</w:t>
            </w:r>
          </w:p>
        </w:tc>
        <w:tc>
          <w:tcPr>
            <w:tcW w:w="8019" w:type="dxa"/>
            <w:tcBorders>
              <w:top w:val="nil"/>
              <w:left w:val="nil"/>
              <w:bottom w:val="single" w:sz="4" w:space="0" w:color="auto"/>
              <w:right w:val="single" w:sz="4" w:space="0" w:color="auto"/>
            </w:tcBorders>
            <w:shd w:val="clear" w:color="auto" w:fill="auto"/>
            <w:vAlign w:val="bottom"/>
            <w:hideMark/>
          </w:tcPr>
          <w:p w14:paraId="1EA93F59" w14:textId="77777777" w:rsidR="00C10986" w:rsidRPr="00A315A0" w:rsidRDefault="00C10986" w:rsidP="00522F77">
            <w:pPr>
              <w:spacing w:after="0" w:line="240" w:lineRule="auto"/>
              <w:rPr>
                <w:rFonts w:ascii="Arial" w:eastAsia="Times New Roman" w:hAnsi="Arial" w:cs="Arial"/>
                <w:sz w:val="20"/>
                <w:szCs w:val="20"/>
                <w:lang w:eastAsia="es-CO"/>
              </w:rPr>
            </w:pPr>
            <w:r w:rsidRPr="00A315A0">
              <w:rPr>
                <w:rFonts w:ascii="Arial" w:eastAsia="Times New Roman" w:hAnsi="Arial" w:cs="Arial"/>
                <w:sz w:val="20"/>
                <w:szCs w:val="20"/>
                <w:lang w:eastAsia="es-CO"/>
              </w:rPr>
              <w:t>Payu Colombia S.A.S</w:t>
            </w:r>
          </w:p>
        </w:tc>
      </w:tr>
      <w:tr w:rsidR="00C10986" w:rsidRPr="00A315A0" w14:paraId="5E2A004A"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5C9B21FC"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11</w:t>
            </w:r>
          </w:p>
        </w:tc>
        <w:tc>
          <w:tcPr>
            <w:tcW w:w="8019" w:type="dxa"/>
            <w:tcBorders>
              <w:top w:val="nil"/>
              <w:left w:val="nil"/>
              <w:bottom w:val="single" w:sz="4" w:space="0" w:color="auto"/>
              <w:right w:val="single" w:sz="4" w:space="0" w:color="auto"/>
            </w:tcBorders>
            <w:shd w:val="clear" w:color="auto" w:fill="auto"/>
            <w:vAlign w:val="bottom"/>
            <w:hideMark/>
          </w:tcPr>
          <w:p w14:paraId="4673A912" w14:textId="77777777" w:rsidR="00C10986" w:rsidRPr="00A315A0" w:rsidRDefault="00C10986" w:rsidP="00522F77">
            <w:pPr>
              <w:spacing w:after="0" w:line="240" w:lineRule="auto"/>
              <w:rPr>
                <w:rFonts w:ascii="Arial" w:eastAsia="Times New Roman" w:hAnsi="Arial" w:cs="Arial"/>
                <w:sz w:val="20"/>
                <w:szCs w:val="20"/>
                <w:lang w:eastAsia="es-CO"/>
              </w:rPr>
            </w:pPr>
            <w:r w:rsidRPr="00A315A0">
              <w:rPr>
                <w:rFonts w:ascii="Arial" w:eastAsia="Times New Roman" w:hAnsi="Arial" w:cs="Arial"/>
                <w:sz w:val="20"/>
                <w:szCs w:val="20"/>
                <w:lang w:eastAsia="es-CO"/>
              </w:rPr>
              <w:t>Colombia Movil S.A. E.S.P.</w:t>
            </w:r>
          </w:p>
        </w:tc>
      </w:tr>
      <w:tr w:rsidR="00C10986" w:rsidRPr="002550B9" w14:paraId="00D812D9"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0C59EE2E"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12</w:t>
            </w:r>
          </w:p>
        </w:tc>
        <w:tc>
          <w:tcPr>
            <w:tcW w:w="8019" w:type="dxa"/>
            <w:tcBorders>
              <w:top w:val="nil"/>
              <w:left w:val="nil"/>
              <w:bottom w:val="single" w:sz="4" w:space="0" w:color="auto"/>
              <w:right w:val="single" w:sz="4" w:space="0" w:color="auto"/>
            </w:tcBorders>
            <w:shd w:val="clear" w:color="auto" w:fill="auto"/>
            <w:vAlign w:val="bottom"/>
            <w:hideMark/>
          </w:tcPr>
          <w:p w14:paraId="7112FF46" w14:textId="77777777" w:rsidR="00C10986" w:rsidRPr="00224A42" w:rsidRDefault="00C10986" w:rsidP="00522F77">
            <w:pPr>
              <w:spacing w:after="0" w:line="240" w:lineRule="auto"/>
              <w:rPr>
                <w:rFonts w:ascii="Arial" w:eastAsia="Times New Roman" w:hAnsi="Arial" w:cs="Arial"/>
                <w:sz w:val="20"/>
                <w:szCs w:val="20"/>
                <w:lang w:val="en-US" w:eastAsia="es-CO"/>
              </w:rPr>
            </w:pPr>
            <w:r w:rsidRPr="00224A42">
              <w:rPr>
                <w:rFonts w:ascii="Arial" w:eastAsia="Times New Roman" w:hAnsi="Arial" w:cs="Arial"/>
                <w:sz w:val="20"/>
                <w:szCs w:val="20"/>
                <w:lang w:val="en-US" w:eastAsia="es-CO"/>
              </w:rPr>
              <w:t>IMAGE QUALITY OUTSOURCING S.A.S.</w:t>
            </w:r>
          </w:p>
        </w:tc>
      </w:tr>
      <w:tr w:rsidR="00C10986" w:rsidRPr="002550B9" w14:paraId="40D73EE3"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7C57D064"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13</w:t>
            </w:r>
          </w:p>
        </w:tc>
        <w:tc>
          <w:tcPr>
            <w:tcW w:w="8019" w:type="dxa"/>
            <w:tcBorders>
              <w:top w:val="nil"/>
              <w:left w:val="nil"/>
              <w:bottom w:val="single" w:sz="4" w:space="0" w:color="auto"/>
              <w:right w:val="single" w:sz="4" w:space="0" w:color="auto"/>
            </w:tcBorders>
            <w:shd w:val="clear" w:color="auto" w:fill="auto"/>
            <w:vAlign w:val="bottom"/>
            <w:hideMark/>
          </w:tcPr>
          <w:p w14:paraId="4FE28A0F" w14:textId="77777777" w:rsidR="00C10986" w:rsidRPr="002550B9" w:rsidRDefault="00C10986" w:rsidP="00522F77">
            <w:pPr>
              <w:spacing w:after="0" w:line="240" w:lineRule="auto"/>
              <w:rPr>
                <w:rFonts w:ascii="Arial" w:eastAsia="Times New Roman" w:hAnsi="Arial" w:cs="Arial"/>
                <w:sz w:val="20"/>
                <w:szCs w:val="20"/>
                <w:lang w:val="en-US" w:eastAsia="es-CO"/>
              </w:rPr>
            </w:pPr>
            <w:r w:rsidRPr="002550B9">
              <w:rPr>
                <w:rFonts w:ascii="Arial" w:eastAsia="Times New Roman" w:hAnsi="Arial" w:cs="Arial"/>
                <w:sz w:val="20"/>
                <w:szCs w:val="20"/>
                <w:lang w:val="en-US" w:eastAsia="es-CO"/>
              </w:rPr>
              <w:t>ORANGE BUSINESS SERVICES COLOMBIA SA</w:t>
            </w:r>
          </w:p>
        </w:tc>
      </w:tr>
      <w:tr w:rsidR="00C10986" w:rsidRPr="00A315A0" w14:paraId="35003DC7"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1C945159"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14</w:t>
            </w:r>
          </w:p>
        </w:tc>
        <w:tc>
          <w:tcPr>
            <w:tcW w:w="8019" w:type="dxa"/>
            <w:tcBorders>
              <w:top w:val="nil"/>
              <w:left w:val="nil"/>
              <w:bottom w:val="single" w:sz="4" w:space="0" w:color="auto"/>
              <w:right w:val="single" w:sz="4" w:space="0" w:color="auto"/>
            </w:tcBorders>
            <w:shd w:val="clear" w:color="auto" w:fill="auto"/>
            <w:vAlign w:val="bottom"/>
            <w:hideMark/>
          </w:tcPr>
          <w:p w14:paraId="010196BB" w14:textId="77777777" w:rsidR="00C10986" w:rsidRPr="00A315A0" w:rsidRDefault="00C10986" w:rsidP="00522F77">
            <w:pPr>
              <w:spacing w:after="0" w:line="240" w:lineRule="auto"/>
              <w:rPr>
                <w:rFonts w:ascii="Arial" w:eastAsia="Times New Roman" w:hAnsi="Arial" w:cs="Arial"/>
                <w:sz w:val="20"/>
                <w:szCs w:val="20"/>
                <w:lang w:eastAsia="es-CO"/>
              </w:rPr>
            </w:pPr>
            <w:r w:rsidRPr="00A315A0">
              <w:rPr>
                <w:rFonts w:ascii="Arial" w:eastAsia="Times New Roman" w:hAnsi="Arial" w:cs="Arial"/>
                <w:sz w:val="20"/>
                <w:szCs w:val="20"/>
                <w:lang w:eastAsia="es-CO"/>
              </w:rPr>
              <w:t>UNIFY LTDA</w:t>
            </w:r>
          </w:p>
        </w:tc>
      </w:tr>
      <w:tr w:rsidR="00C10986" w:rsidRPr="00A315A0" w14:paraId="3C1335FF"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654EDDD3"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15</w:t>
            </w:r>
          </w:p>
        </w:tc>
        <w:tc>
          <w:tcPr>
            <w:tcW w:w="8019" w:type="dxa"/>
            <w:tcBorders>
              <w:top w:val="nil"/>
              <w:left w:val="nil"/>
              <w:bottom w:val="single" w:sz="4" w:space="0" w:color="auto"/>
              <w:right w:val="single" w:sz="4" w:space="0" w:color="auto"/>
            </w:tcBorders>
            <w:shd w:val="clear" w:color="auto" w:fill="auto"/>
            <w:vAlign w:val="bottom"/>
            <w:hideMark/>
          </w:tcPr>
          <w:p w14:paraId="1DA0C787" w14:textId="77777777" w:rsidR="00C10986" w:rsidRPr="00A315A0" w:rsidRDefault="00C10986" w:rsidP="00522F77">
            <w:pPr>
              <w:spacing w:after="0" w:line="240" w:lineRule="auto"/>
              <w:rPr>
                <w:rFonts w:ascii="Arial" w:eastAsia="Times New Roman" w:hAnsi="Arial" w:cs="Arial"/>
                <w:sz w:val="20"/>
                <w:szCs w:val="20"/>
                <w:lang w:eastAsia="es-CO"/>
              </w:rPr>
            </w:pPr>
            <w:r w:rsidRPr="00A315A0">
              <w:rPr>
                <w:rFonts w:ascii="Arial" w:eastAsia="Times New Roman" w:hAnsi="Arial" w:cs="Arial"/>
                <w:sz w:val="20"/>
                <w:szCs w:val="20"/>
                <w:lang w:eastAsia="es-CO"/>
              </w:rPr>
              <w:t>Skynet de Colombia SAS ESP</w:t>
            </w:r>
          </w:p>
        </w:tc>
      </w:tr>
      <w:tr w:rsidR="00C10986" w:rsidRPr="00A315A0" w14:paraId="111989AC"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480B5B11"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16</w:t>
            </w:r>
          </w:p>
        </w:tc>
        <w:tc>
          <w:tcPr>
            <w:tcW w:w="8019" w:type="dxa"/>
            <w:tcBorders>
              <w:top w:val="nil"/>
              <w:left w:val="nil"/>
              <w:bottom w:val="single" w:sz="4" w:space="0" w:color="auto"/>
              <w:right w:val="single" w:sz="4" w:space="0" w:color="auto"/>
            </w:tcBorders>
            <w:shd w:val="clear" w:color="auto" w:fill="auto"/>
            <w:vAlign w:val="bottom"/>
            <w:hideMark/>
          </w:tcPr>
          <w:p w14:paraId="76B1766F" w14:textId="77777777" w:rsidR="00C10986" w:rsidRPr="00A315A0" w:rsidRDefault="00C10986" w:rsidP="00522F77">
            <w:pPr>
              <w:spacing w:after="0" w:line="240" w:lineRule="auto"/>
              <w:rPr>
                <w:rFonts w:ascii="Arial" w:eastAsia="Times New Roman" w:hAnsi="Arial" w:cs="Arial"/>
                <w:sz w:val="20"/>
                <w:szCs w:val="20"/>
                <w:lang w:eastAsia="es-CO"/>
              </w:rPr>
            </w:pPr>
            <w:r w:rsidRPr="00A315A0">
              <w:rPr>
                <w:rFonts w:ascii="Arial" w:eastAsia="Times New Roman" w:hAnsi="Arial" w:cs="Arial"/>
                <w:sz w:val="20"/>
                <w:szCs w:val="20"/>
                <w:lang w:eastAsia="es-CO"/>
              </w:rPr>
              <w:t>APORTES EN LINEA SA</w:t>
            </w:r>
          </w:p>
        </w:tc>
      </w:tr>
      <w:tr w:rsidR="00C10986" w:rsidRPr="002550B9" w14:paraId="5BFFD8DD"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1BC33D04"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17</w:t>
            </w:r>
          </w:p>
        </w:tc>
        <w:tc>
          <w:tcPr>
            <w:tcW w:w="8019" w:type="dxa"/>
            <w:tcBorders>
              <w:top w:val="nil"/>
              <w:left w:val="nil"/>
              <w:bottom w:val="single" w:sz="4" w:space="0" w:color="auto"/>
              <w:right w:val="single" w:sz="4" w:space="0" w:color="auto"/>
            </w:tcBorders>
            <w:shd w:val="clear" w:color="auto" w:fill="auto"/>
            <w:vAlign w:val="bottom"/>
            <w:hideMark/>
          </w:tcPr>
          <w:p w14:paraId="2C087867" w14:textId="77777777" w:rsidR="00C10986" w:rsidRPr="002550B9" w:rsidRDefault="00C10986" w:rsidP="00522F77">
            <w:pPr>
              <w:spacing w:after="0" w:line="240" w:lineRule="auto"/>
              <w:rPr>
                <w:rFonts w:ascii="Arial" w:eastAsia="Times New Roman" w:hAnsi="Arial" w:cs="Arial"/>
                <w:sz w:val="20"/>
                <w:szCs w:val="20"/>
                <w:lang w:val="en-US" w:eastAsia="es-CO"/>
              </w:rPr>
            </w:pPr>
            <w:r w:rsidRPr="002550B9">
              <w:rPr>
                <w:rFonts w:ascii="Arial" w:eastAsia="Times New Roman" w:hAnsi="Arial" w:cs="Arial"/>
                <w:sz w:val="20"/>
                <w:szCs w:val="20"/>
                <w:lang w:val="en-US" w:eastAsia="es-CO"/>
              </w:rPr>
              <w:t>HUAWEI TECHNOLOGIES MANAGED SERVICE COLOMBIA S.A.S</w:t>
            </w:r>
          </w:p>
        </w:tc>
      </w:tr>
      <w:tr w:rsidR="00C10986" w:rsidRPr="00A315A0" w14:paraId="5A2B1B2E"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012F8123"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18</w:t>
            </w:r>
          </w:p>
        </w:tc>
        <w:tc>
          <w:tcPr>
            <w:tcW w:w="8019" w:type="dxa"/>
            <w:tcBorders>
              <w:top w:val="nil"/>
              <w:left w:val="nil"/>
              <w:bottom w:val="single" w:sz="4" w:space="0" w:color="auto"/>
              <w:right w:val="single" w:sz="4" w:space="0" w:color="auto"/>
            </w:tcBorders>
            <w:shd w:val="clear" w:color="auto" w:fill="auto"/>
            <w:vAlign w:val="bottom"/>
            <w:hideMark/>
          </w:tcPr>
          <w:p w14:paraId="1679CFF1" w14:textId="77777777" w:rsidR="00C10986" w:rsidRPr="00A315A0" w:rsidRDefault="00C10986" w:rsidP="00522F77">
            <w:pPr>
              <w:spacing w:after="0" w:line="240" w:lineRule="auto"/>
              <w:rPr>
                <w:rFonts w:ascii="Arial" w:eastAsia="Times New Roman" w:hAnsi="Arial" w:cs="Arial"/>
                <w:sz w:val="20"/>
                <w:szCs w:val="20"/>
                <w:lang w:eastAsia="es-CO"/>
              </w:rPr>
            </w:pPr>
            <w:r w:rsidRPr="00A315A0">
              <w:rPr>
                <w:rFonts w:ascii="Arial" w:eastAsia="Times New Roman" w:hAnsi="Arial" w:cs="Arial"/>
                <w:sz w:val="20"/>
                <w:szCs w:val="20"/>
                <w:lang w:eastAsia="es-CO"/>
              </w:rPr>
              <w:t>TIVIT COLOMBIA DC TERCERIZACION DE PROCESOS SERVICIOS Y TECNOLOGIA SAS</w:t>
            </w:r>
          </w:p>
        </w:tc>
      </w:tr>
      <w:tr w:rsidR="00C10986" w:rsidRPr="00A315A0" w14:paraId="7445848A"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42BE95C1"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19</w:t>
            </w:r>
          </w:p>
        </w:tc>
        <w:tc>
          <w:tcPr>
            <w:tcW w:w="8019" w:type="dxa"/>
            <w:tcBorders>
              <w:top w:val="nil"/>
              <w:left w:val="nil"/>
              <w:bottom w:val="single" w:sz="4" w:space="0" w:color="auto"/>
              <w:right w:val="single" w:sz="4" w:space="0" w:color="auto"/>
            </w:tcBorders>
            <w:shd w:val="clear" w:color="auto" w:fill="auto"/>
            <w:vAlign w:val="bottom"/>
            <w:hideMark/>
          </w:tcPr>
          <w:p w14:paraId="2483EDC6" w14:textId="77777777" w:rsidR="00C10986" w:rsidRPr="00A315A0" w:rsidRDefault="00C10986" w:rsidP="00522F77">
            <w:pPr>
              <w:spacing w:after="0" w:line="240" w:lineRule="auto"/>
              <w:rPr>
                <w:rFonts w:ascii="Arial" w:eastAsia="Times New Roman" w:hAnsi="Arial" w:cs="Arial"/>
                <w:sz w:val="20"/>
                <w:szCs w:val="20"/>
                <w:lang w:eastAsia="es-CO"/>
              </w:rPr>
            </w:pPr>
            <w:r w:rsidRPr="00A315A0">
              <w:rPr>
                <w:rFonts w:ascii="Arial" w:eastAsia="Times New Roman" w:hAnsi="Arial" w:cs="Arial"/>
                <w:sz w:val="20"/>
                <w:szCs w:val="20"/>
                <w:lang w:eastAsia="es-CO"/>
              </w:rPr>
              <w:t>BT COLOMBIA LTDA</w:t>
            </w:r>
          </w:p>
        </w:tc>
      </w:tr>
      <w:tr w:rsidR="00C10986" w:rsidRPr="00A315A0" w14:paraId="159C967C"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29FAAA81"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20</w:t>
            </w:r>
          </w:p>
        </w:tc>
        <w:tc>
          <w:tcPr>
            <w:tcW w:w="8019" w:type="dxa"/>
            <w:tcBorders>
              <w:top w:val="nil"/>
              <w:left w:val="nil"/>
              <w:bottom w:val="single" w:sz="4" w:space="0" w:color="auto"/>
              <w:right w:val="single" w:sz="4" w:space="0" w:color="auto"/>
            </w:tcBorders>
            <w:shd w:val="clear" w:color="auto" w:fill="auto"/>
            <w:vAlign w:val="bottom"/>
            <w:hideMark/>
          </w:tcPr>
          <w:p w14:paraId="106BE0D2" w14:textId="77777777" w:rsidR="00C10986" w:rsidRPr="00A315A0" w:rsidRDefault="00C10986" w:rsidP="00522F77">
            <w:pPr>
              <w:spacing w:after="0" w:line="240" w:lineRule="auto"/>
              <w:rPr>
                <w:rFonts w:ascii="Arial" w:eastAsia="Times New Roman" w:hAnsi="Arial" w:cs="Arial"/>
                <w:sz w:val="20"/>
                <w:szCs w:val="20"/>
                <w:lang w:eastAsia="es-CO"/>
              </w:rPr>
            </w:pPr>
            <w:r w:rsidRPr="00A315A0">
              <w:rPr>
                <w:rFonts w:ascii="Arial" w:eastAsia="Times New Roman" w:hAnsi="Arial" w:cs="Arial"/>
                <w:sz w:val="20"/>
                <w:szCs w:val="20"/>
                <w:lang w:eastAsia="es-CO"/>
              </w:rPr>
              <w:t>EQUINIX COLOMBIA INC SUCURSAL COLOMBIA</w:t>
            </w:r>
          </w:p>
        </w:tc>
      </w:tr>
      <w:tr w:rsidR="00C10986" w:rsidRPr="00A315A0" w14:paraId="4999E36C"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3345BD62"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21</w:t>
            </w:r>
          </w:p>
        </w:tc>
        <w:tc>
          <w:tcPr>
            <w:tcW w:w="8019" w:type="dxa"/>
            <w:tcBorders>
              <w:top w:val="nil"/>
              <w:left w:val="nil"/>
              <w:bottom w:val="single" w:sz="4" w:space="0" w:color="auto"/>
              <w:right w:val="single" w:sz="4" w:space="0" w:color="auto"/>
            </w:tcBorders>
            <w:shd w:val="clear" w:color="auto" w:fill="auto"/>
            <w:vAlign w:val="bottom"/>
            <w:hideMark/>
          </w:tcPr>
          <w:p w14:paraId="157F2422" w14:textId="77777777" w:rsidR="00C10986" w:rsidRPr="00A315A0" w:rsidRDefault="00C10986" w:rsidP="00522F77">
            <w:pPr>
              <w:spacing w:after="0" w:line="240" w:lineRule="auto"/>
              <w:rPr>
                <w:rFonts w:ascii="Arial" w:eastAsia="Times New Roman" w:hAnsi="Arial" w:cs="Arial"/>
                <w:sz w:val="20"/>
                <w:szCs w:val="20"/>
                <w:lang w:eastAsia="es-CO"/>
              </w:rPr>
            </w:pPr>
            <w:r w:rsidRPr="00A315A0">
              <w:rPr>
                <w:rFonts w:ascii="Arial" w:eastAsia="Times New Roman" w:hAnsi="Arial" w:cs="Arial"/>
                <w:sz w:val="20"/>
                <w:szCs w:val="20"/>
                <w:lang w:eastAsia="es-CO"/>
              </w:rPr>
              <w:t>UFINET COLOMBIA SA</w:t>
            </w:r>
          </w:p>
        </w:tc>
      </w:tr>
      <w:tr w:rsidR="00C10986" w:rsidRPr="00A315A0" w14:paraId="0717447A"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2FB6937B"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22</w:t>
            </w:r>
          </w:p>
        </w:tc>
        <w:tc>
          <w:tcPr>
            <w:tcW w:w="8019" w:type="dxa"/>
            <w:tcBorders>
              <w:top w:val="nil"/>
              <w:left w:val="nil"/>
              <w:bottom w:val="single" w:sz="4" w:space="0" w:color="auto"/>
              <w:right w:val="single" w:sz="4" w:space="0" w:color="auto"/>
            </w:tcBorders>
            <w:shd w:val="clear" w:color="auto" w:fill="auto"/>
            <w:vAlign w:val="bottom"/>
            <w:hideMark/>
          </w:tcPr>
          <w:p w14:paraId="0A44A915" w14:textId="77777777" w:rsidR="00C10986" w:rsidRPr="00A315A0" w:rsidRDefault="00C10986" w:rsidP="00522F77">
            <w:pPr>
              <w:spacing w:after="0" w:line="240" w:lineRule="auto"/>
              <w:rPr>
                <w:rFonts w:ascii="Arial" w:eastAsia="Times New Roman" w:hAnsi="Arial" w:cs="Arial"/>
                <w:sz w:val="20"/>
                <w:szCs w:val="20"/>
                <w:lang w:eastAsia="es-CO"/>
              </w:rPr>
            </w:pPr>
            <w:r w:rsidRPr="00A315A0">
              <w:rPr>
                <w:rFonts w:ascii="Arial" w:eastAsia="Times New Roman" w:hAnsi="Arial" w:cs="Arial"/>
                <w:sz w:val="20"/>
                <w:szCs w:val="20"/>
                <w:lang w:eastAsia="es-CO"/>
              </w:rPr>
              <w:t>AVANTEL SAS</w:t>
            </w:r>
          </w:p>
        </w:tc>
      </w:tr>
      <w:tr w:rsidR="00C10986" w:rsidRPr="00A315A0" w14:paraId="2EBE2B5D"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22AAB87D"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23</w:t>
            </w:r>
          </w:p>
        </w:tc>
        <w:tc>
          <w:tcPr>
            <w:tcW w:w="8019" w:type="dxa"/>
            <w:tcBorders>
              <w:top w:val="nil"/>
              <w:left w:val="nil"/>
              <w:bottom w:val="single" w:sz="4" w:space="0" w:color="auto"/>
              <w:right w:val="single" w:sz="4" w:space="0" w:color="auto"/>
            </w:tcBorders>
            <w:shd w:val="clear" w:color="auto" w:fill="auto"/>
            <w:vAlign w:val="bottom"/>
            <w:hideMark/>
          </w:tcPr>
          <w:p w14:paraId="0A7467C8" w14:textId="77777777" w:rsidR="00C10986" w:rsidRPr="00A315A0" w:rsidRDefault="00C10986" w:rsidP="00522F77">
            <w:pPr>
              <w:spacing w:after="0" w:line="240" w:lineRule="auto"/>
              <w:rPr>
                <w:rFonts w:ascii="Arial" w:eastAsia="Times New Roman" w:hAnsi="Arial" w:cs="Arial"/>
                <w:sz w:val="20"/>
                <w:szCs w:val="20"/>
                <w:lang w:eastAsia="es-CO"/>
              </w:rPr>
            </w:pPr>
            <w:r w:rsidRPr="00A315A0">
              <w:rPr>
                <w:rFonts w:ascii="Arial" w:eastAsia="Times New Roman" w:hAnsi="Arial" w:cs="Arial"/>
                <w:sz w:val="20"/>
                <w:szCs w:val="20"/>
                <w:lang w:eastAsia="es-CO"/>
              </w:rPr>
              <w:t>IGT COLOMBIA LTDA.</w:t>
            </w:r>
          </w:p>
        </w:tc>
      </w:tr>
      <w:tr w:rsidR="00C10986" w:rsidRPr="00A315A0" w14:paraId="6578D602"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5092621B"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24</w:t>
            </w:r>
          </w:p>
        </w:tc>
        <w:tc>
          <w:tcPr>
            <w:tcW w:w="8019" w:type="dxa"/>
            <w:tcBorders>
              <w:top w:val="nil"/>
              <w:left w:val="nil"/>
              <w:bottom w:val="single" w:sz="4" w:space="0" w:color="auto"/>
              <w:right w:val="single" w:sz="4" w:space="0" w:color="auto"/>
            </w:tcBorders>
            <w:shd w:val="clear" w:color="auto" w:fill="auto"/>
            <w:vAlign w:val="bottom"/>
            <w:hideMark/>
          </w:tcPr>
          <w:p w14:paraId="1ACA7F0D" w14:textId="77777777" w:rsidR="00C10986" w:rsidRPr="00A315A0" w:rsidRDefault="00C10986" w:rsidP="00522F77">
            <w:pPr>
              <w:spacing w:after="0" w:line="240" w:lineRule="auto"/>
              <w:rPr>
                <w:rFonts w:ascii="Arial" w:eastAsia="Times New Roman" w:hAnsi="Arial" w:cs="Arial"/>
                <w:sz w:val="20"/>
                <w:szCs w:val="20"/>
                <w:lang w:eastAsia="es-CO"/>
              </w:rPr>
            </w:pPr>
            <w:r w:rsidRPr="00A315A0">
              <w:rPr>
                <w:rFonts w:ascii="Arial" w:eastAsia="Times New Roman" w:hAnsi="Arial" w:cs="Arial"/>
                <w:sz w:val="20"/>
                <w:szCs w:val="20"/>
                <w:lang w:eastAsia="es-CO"/>
              </w:rPr>
              <w:t>Opciones Administrativas S.A.S</w:t>
            </w:r>
          </w:p>
        </w:tc>
      </w:tr>
      <w:tr w:rsidR="00C10986" w:rsidRPr="00A315A0" w14:paraId="1BBB9446"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67B70515"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25</w:t>
            </w:r>
          </w:p>
        </w:tc>
        <w:tc>
          <w:tcPr>
            <w:tcW w:w="8019" w:type="dxa"/>
            <w:tcBorders>
              <w:top w:val="nil"/>
              <w:left w:val="nil"/>
              <w:bottom w:val="single" w:sz="4" w:space="0" w:color="auto"/>
              <w:right w:val="single" w:sz="4" w:space="0" w:color="auto"/>
            </w:tcBorders>
            <w:shd w:val="clear" w:color="auto" w:fill="auto"/>
            <w:vAlign w:val="bottom"/>
            <w:hideMark/>
          </w:tcPr>
          <w:p w14:paraId="734AE838" w14:textId="77777777" w:rsidR="00C10986" w:rsidRPr="00A315A0" w:rsidRDefault="00C10986" w:rsidP="00522F77">
            <w:pPr>
              <w:spacing w:after="0" w:line="240" w:lineRule="auto"/>
              <w:rPr>
                <w:rFonts w:ascii="Arial" w:eastAsia="Times New Roman" w:hAnsi="Arial" w:cs="Arial"/>
                <w:sz w:val="20"/>
                <w:szCs w:val="20"/>
                <w:lang w:eastAsia="es-CO"/>
              </w:rPr>
            </w:pPr>
            <w:r w:rsidRPr="00A315A0">
              <w:rPr>
                <w:rFonts w:ascii="Arial" w:eastAsia="Times New Roman" w:hAnsi="Arial" w:cs="Arial"/>
                <w:sz w:val="20"/>
                <w:szCs w:val="20"/>
                <w:lang w:eastAsia="es-CO"/>
              </w:rPr>
              <w:t xml:space="preserve">"COMPAÑIA COLOMBIANA DE SERVICIOS DE VALOR AGREGADO Y TELEMATICOS COLVATEL S.A E.S.P  " </w:t>
            </w:r>
          </w:p>
        </w:tc>
      </w:tr>
      <w:tr w:rsidR="00C10986" w:rsidRPr="00A315A0" w14:paraId="08B9E288"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0633F283"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26</w:t>
            </w:r>
          </w:p>
        </w:tc>
        <w:tc>
          <w:tcPr>
            <w:tcW w:w="8019" w:type="dxa"/>
            <w:tcBorders>
              <w:top w:val="nil"/>
              <w:left w:val="nil"/>
              <w:bottom w:val="single" w:sz="4" w:space="0" w:color="auto"/>
              <w:right w:val="single" w:sz="4" w:space="0" w:color="auto"/>
            </w:tcBorders>
            <w:shd w:val="clear" w:color="auto" w:fill="auto"/>
            <w:vAlign w:val="bottom"/>
            <w:hideMark/>
          </w:tcPr>
          <w:p w14:paraId="11EB3E18" w14:textId="77777777" w:rsidR="00C10986" w:rsidRPr="00A315A0" w:rsidRDefault="00C10986" w:rsidP="00522F77">
            <w:pPr>
              <w:spacing w:after="0" w:line="240" w:lineRule="auto"/>
              <w:rPr>
                <w:rFonts w:ascii="Arial" w:eastAsia="Times New Roman" w:hAnsi="Arial" w:cs="Arial"/>
                <w:sz w:val="20"/>
                <w:szCs w:val="20"/>
                <w:lang w:eastAsia="es-CO"/>
              </w:rPr>
            </w:pPr>
            <w:r w:rsidRPr="00A315A0">
              <w:rPr>
                <w:rFonts w:ascii="Arial" w:eastAsia="Times New Roman" w:hAnsi="Arial" w:cs="Arial"/>
                <w:sz w:val="20"/>
                <w:szCs w:val="20"/>
                <w:lang w:eastAsia="es-CO"/>
              </w:rPr>
              <w:t>800144976 SERVICIOS BASICOS DE DIFUSION, TELEMATICOS, DE VALOR AGREGADO, DE TELECOMUNICACIONES</w:t>
            </w:r>
          </w:p>
        </w:tc>
      </w:tr>
      <w:tr w:rsidR="00C10986" w:rsidRPr="00A315A0" w14:paraId="1437B2C8"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5E343DA4"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27</w:t>
            </w:r>
          </w:p>
        </w:tc>
        <w:tc>
          <w:tcPr>
            <w:tcW w:w="8019" w:type="dxa"/>
            <w:tcBorders>
              <w:top w:val="nil"/>
              <w:left w:val="nil"/>
              <w:bottom w:val="single" w:sz="4" w:space="0" w:color="auto"/>
              <w:right w:val="single" w:sz="4" w:space="0" w:color="auto"/>
            </w:tcBorders>
            <w:shd w:val="clear" w:color="auto" w:fill="auto"/>
            <w:vAlign w:val="bottom"/>
            <w:hideMark/>
          </w:tcPr>
          <w:p w14:paraId="152DAC4D" w14:textId="77777777" w:rsidR="00C10986" w:rsidRPr="00A315A0" w:rsidRDefault="00C10986" w:rsidP="00522F77">
            <w:pPr>
              <w:spacing w:after="0" w:line="240" w:lineRule="auto"/>
              <w:rPr>
                <w:rFonts w:ascii="Arial" w:eastAsia="Times New Roman" w:hAnsi="Arial" w:cs="Arial"/>
                <w:sz w:val="20"/>
                <w:szCs w:val="20"/>
                <w:lang w:eastAsia="es-CO"/>
              </w:rPr>
            </w:pPr>
            <w:r w:rsidRPr="00A315A0">
              <w:rPr>
                <w:rFonts w:ascii="Arial" w:eastAsia="Times New Roman" w:hAnsi="Arial" w:cs="Arial"/>
                <w:sz w:val="20"/>
                <w:szCs w:val="20"/>
                <w:lang w:eastAsia="es-CO"/>
              </w:rPr>
              <w:t>I-NEW COLOMBIA SAS</w:t>
            </w:r>
          </w:p>
        </w:tc>
      </w:tr>
      <w:tr w:rsidR="00C10986" w:rsidRPr="00A315A0" w14:paraId="5C66D0CC"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37D26DF6"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28</w:t>
            </w:r>
          </w:p>
        </w:tc>
        <w:tc>
          <w:tcPr>
            <w:tcW w:w="8019" w:type="dxa"/>
            <w:tcBorders>
              <w:top w:val="nil"/>
              <w:left w:val="nil"/>
              <w:bottom w:val="single" w:sz="4" w:space="0" w:color="auto"/>
              <w:right w:val="single" w:sz="4" w:space="0" w:color="auto"/>
            </w:tcBorders>
            <w:shd w:val="clear" w:color="auto" w:fill="auto"/>
            <w:vAlign w:val="bottom"/>
            <w:hideMark/>
          </w:tcPr>
          <w:p w14:paraId="1ED13EE6" w14:textId="77777777" w:rsidR="00C10986" w:rsidRPr="00A315A0" w:rsidRDefault="00C10986" w:rsidP="00522F77">
            <w:pPr>
              <w:spacing w:after="0" w:line="240" w:lineRule="auto"/>
              <w:rPr>
                <w:rFonts w:ascii="Arial" w:eastAsia="Times New Roman" w:hAnsi="Arial" w:cs="Arial"/>
                <w:sz w:val="20"/>
                <w:szCs w:val="20"/>
                <w:lang w:eastAsia="es-CO"/>
              </w:rPr>
            </w:pPr>
            <w:r w:rsidRPr="00A315A0">
              <w:rPr>
                <w:rFonts w:ascii="Arial" w:eastAsia="Times New Roman" w:hAnsi="Arial" w:cs="Arial"/>
                <w:sz w:val="20"/>
                <w:szCs w:val="20"/>
                <w:lang w:eastAsia="es-CO"/>
              </w:rPr>
              <w:t>ITALTEL S P A</w:t>
            </w:r>
          </w:p>
        </w:tc>
      </w:tr>
      <w:tr w:rsidR="00C10986" w:rsidRPr="00A315A0" w14:paraId="1E79C6CF"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6F651ABE"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29</w:t>
            </w:r>
          </w:p>
        </w:tc>
        <w:tc>
          <w:tcPr>
            <w:tcW w:w="8019" w:type="dxa"/>
            <w:tcBorders>
              <w:top w:val="nil"/>
              <w:left w:val="nil"/>
              <w:bottom w:val="single" w:sz="4" w:space="0" w:color="auto"/>
              <w:right w:val="single" w:sz="4" w:space="0" w:color="auto"/>
            </w:tcBorders>
            <w:shd w:val="clear" w:color="auto" w:fill="auto"/>
            <w:vAlign w:val="bottom"/>
            <w:hideMark/>
          </w:tcPr>
          <w:p w14:paraId="14BFD5CD" w14:textId="77777777" w:rsidR="00C10986" w:rsidRPr="00A315A0" w:rsidRDefault="00C10986" w:rsidP="00522F77">
            <w:pPr>
              <w:spacing w:after="0" w:line="240" w:lineRule="auto"/>
              <w:rPr>
                <w:rFonts w:ascii="Arial" w:eastAsia="Times New Roman" w:hAnsi="Arial" w:cs="Arial"/>
                <w:sz w:val="20"/>
                <w:szCs w:val="20"/>
                <w:lang w:eastAsia="es-CO"/>
              </w:rPr>
            </w:pPr>
            <w:r w:rsidRPr="00A315A0">
              <w:rPr>
                <w:rFonts w:ascii="Arial" w:eastAsia="Times New Roman" w:hAnsi="Arial" w:cs="Arial"/>
                <w:sz w:val="20"/>
                <w:szCs w:val="20"/>
                <w:lang w:eastAsia="es-CO"/>
              </w:rPr>
              <w:t>TELXIUS CABLE COLOMBIA S A</w:t>
            </w:r>
          </w:p>
        </w:tc>
      </w:tr>
      <w:tr w:rsidR="00C10986" w:rsidRPr="00A315A0" w14:paraId="588363B8"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40CCA28E"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30</w:t>
            </w:r>
          </w:p>
        </w:tc>
        <w:tc>
          <w:tcPr>
            <w:tcW w:w="8019" w:type="dxa"/>
            <w:tcBorders>
              <w:top w:val="nil"/>
              <w:left w:val="nil"/>
              <w:bottom w:val="single" w:sz="4" w:space="0" w:color="auto"/>
              <w:right w:val="single" w:sz="4" w:space="0" w:color="auto"/>
            </w:tcBorders>
            <w:shd w:val="clear" w:color="auto" w:fill="auto"/>
            <w:vAlign w:val="bottom"/>
            <w:hideMark/>
          </w:tcPr>
          <w:p w14:paraId="0584F3A3" w14:textId="77777777" w:rsidR="00C10986" w:rsidRPr="00A315A0" w:rsidRDefault="00C10986" w:rsidP="00522F77">
            <w:pPr>
              <w:spacing w:after="0" w:line="240" w:lineRule="auto"/>
              <w:rPr>
                <w:rFonts w:ascii="Arial" w:eastAsia="Times New Roman" w:hAnsi="Arial" w:cs="Arial"/>
                <w:sz w:val="20"/>
                <w:szCs w:val="20"/>
                <w:lang w:eastAsia="es-CO"/>
              </w:rPr>
            </w:pPr>
            <w:r w:rsidRPr="00A315A0">
              <w:rPr>
                <w:rFonts w:ascii="Arial" w:eastAsia="Times New Roman" w:hAnsi="Arial" w:cs="Arial"/>
                <w:sz w:val="20"/>
                <w:szCs w:val="20"/>
                <w:lang w:eastAsia="es-CO"/>
              </w:rPr>
              <w:t>ERICSSON DE COLOMBIA S. A</w:t>
            </w:r>
          </w:p>
        </w:tc>
      </w:tr>
      <w:tr w:rsidR="00C10986" w:rsidRPr="00A315A0" w14:paraId="4DD6EF4F"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439569D4"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31</w:t>
            </w:r>
          </w:p>
        </w:tc>
        <w:tc>
          <w:tcPr>
            <w:tcW w:w="8019" w:type="dxa"/>
            <w:tcBorders>
              <w:top w:val="nil"/>
              <w:left w:val="nil"/>
              <w:bottom w:val="single" w:sz="4" w:space="0" w:color="auto"/>
              <w:right w:val="single" w:sz="4" w:space="0" w:color="auto"/>
            </w:tcBorders>
            <w:shd w:val="clear" w:color="auto" w:fill="auto"/>
            <w:vAlign w:val="bottom"/>
            <w:hideMark/>
          </w:tcPr>
          <w:p w14:paraId="5609B7A4" w14:textId="77777777" w:rsidR="00C10986" w:rsidRPr="00A315A0" w:rsidRDefault="00C10986" w:rsidP="00522F77">
            <w:pPr>
              <w:spacing w:after="0" w:line="240" w:lineRule="auto"/>
              <w:rPr>
                <w:rFonts w:ascii="Arial" w:eastAsia="Times New Roman" w:hAnsi="Arial" w:cs="Arial"/>
                <w:sz w:val="20"/>
                <w:szCs w:val="20"/>
                <w:lang w:eastAsia="es-CO"/>
              </w:rPr>
            </w:pPr>
            <w:r w:rsidRPr="00A315A0">
              <w:rPr>
                <w:rFonts w:ascii="Arial" w:eastAsia="Times New Roman" w:hAnsi="Arial" w:cs="Arial"/>
                <w:sz w:val="20"/>
                <w:szCs w:val="20"/>
                <w:lang w:eastAsia="es-CO"/>
              </w:rPr>
              <w:t>CODESA</w:t>
            </w:r>
          </w:p>
        </w:tc>
      </w:tr>
      <w:tr w:rsidR="00C10986" w:rsidRPr="00A315A0" w14:paraId="04913059"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49A796A5"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32</w:t>
            </w:r>
          </w:p>
        </w:tc>
        <w:tc>
          <w:tcPr>
            <w:tcW w:w="8019" w:type="dxa"/>
            <w:tcBorders>
              <w:top w:val="nil"/>
              <w:left w:val="nil"/>
              <w:bottom w:val="single" w:sz="4" w:space="0" w:color="auto"/>
              <w:right w:val="single" w:sz="4" w:space="0" w:color="auto"/>
            </w:tcBorders>
            <w:shd w:val="clear" w:color="auto" w:fill="auto"/>
            <w:vAlign w:val="bottom"/>
            <w:hideMark/>
          </w:tcPr>
          <w:p w14:paraId="3D4B15D4" w14:textId="77777777" w:rsidR="00C10986" w:rsidRPr="00A315A0" w:rsidRDefault="00C10986" w:rsidP="00522F77">
            <w:pPr>
              <w:spacing w:after="0" w:line="240" w:lineRule="auto"/>
              <w:rPr>
                <w:rFonts w:ascii="Arial" w:eastAsia="Times New Roman" w:hAnsi="Arial" w:cs="Arial"/>
                <w:sz w:val="20"/>
                <w:szCs w:val="20"/>
                <w:lang w:eastAsia="es-CO"/>
              </w:rPr>
            </w:pPr>
            <w:r w:rsidRPr="00A315A0">
              <w:rPr>
                <w:rFonts w:ascii="Arial" w:eastAsia="Times New Roman" w:hAnsi="Arial" w:cs="Arial"/>
                <w:sz w:val="20"/>
                <w:szCs w:val="20"/>
                <w:lang w:eastAsia="es-CO"/>
              </w:rPr>
              <w:t>ZTE COLOMBIA SAS</w:t>
            </w:r>
          </w:p>
        </w:tc>
      </w:tr>
      <w:tr w:rsidR="00C10986" w:rsidRPr="00A315A0" w14:paraId="21B2B8E8"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50F88100"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33</w:t>
            </w:r>
          </w:p>
        </w:tc>
        <w:tc>
          <w:tcPr>
            <w:tcW w:w="8019" w:type="dxa"/>
            <w:tcBorders>
              <w:top w:val="nil"/>
              <w:left w:val="nil"/>
              <w:bottom w:val="single" w:sz="4" w:space="0" w:color="auto"/>
              <w:right w:val="single" w:sz="4" w:space="0" w:color="auto"/>
            </w:tcBorders>
            <w:shd w:val="clear" w:color="auto" w:fill="auto"/>
            <w:vAlign w:val="bottom"/>
            <w:hideMark/>
          </w:tcPr>
          <w:p w14:paraId="6879BF74" w14:textId="77777777" w:rsidR="00C10986" w:rsidRPr="00A315A0" w:rsidRDefault="00C10986" w:rsidP="00522F77">
            <w:pPr>
              <w:spacing w:after="0" w:line="240" w:lineRule="auto"/>
              <w:rPr>
                <w:rFonts w:ascii="Arial" w:eastAsia="Times New Roman" w:hAnsi="Arial" w:cs="Arial"/>
                <w:sz w:val="20"/>
                <w:szCs w:val="20"/>
                <w:lang w:eastAsia="es-CO"/>
              </w:rPr>
            </w:pPr>
            <w:r w:rsidRPr="00A315A0">
              <w:rPr>
                <w:rFonts w:ascii="Arial" w:eastAsia="Times New Roman" w:hAnsi="Arial" w:cs="Arial"/>
                <w:sz w:val="20"/>
                <w:szCs w:val="20"/>
                <w:lang w:eastAsia="es-CO"/>
              </w:rPr>
              <w:t>COMPAÑIA DE COMUNICACIONES DE COLOMBIA SAS</w:t>
            </w:r>
          </w:p>
        </w:tc>
      </w:tr>
      <w:tr w:rsidR="00C10986" w:rsidRPr="002550B9" w14:paraId="4CE3D4A9"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606C681B"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34</w:t>
            </w:r>
          </w:p>
        </w:tc>
        <w:tc>
          <w:tcPr>
            <w:tcW w:w="8019" w:type="dxa"/>
            <w:tcBorders>
              <w:top w:val="nil"/>
              <w:left w:val="nil"/>
              <w:bottom w:val="single" w:sz="4" w:space="0" w:color="auto"/>
              <w:right w:val="single" w:sz="4" w:space="0" w:color="auto"/>
            </w:tcBorders>
            <w:shd w:val="clear" w:color="auto" w:fill="auto"/>
            <w:vAlign w:val="bottom"/>
            <w:hideMark/>
          </w:tcPr>
          <w:p w14:paraId="39E2CD1E" w14:textId="77777777" w:rsidR="00C10986" w:rsidRPr="002550B9" w:rsidRDefault="00C10986" w:rsidP="00522F77">
            <w:pPr>
              <w:spacing w:after="0" w:line="240" w:lineRule="auto"/>
              <w:rPr>
                <w:rFonts w:ascii="Arial" w:eastAsia="Times New Roman" w:hAnsi="Arial" w:cs="Arial"/>
                <w:sz w:val="20"/>
                <w:szCs w:val="20"/>
                <w:lang w:val="en-US" w:eastAsia="es-CO"/>
              </w:rPr>
            </w:pPr>
            <w:r w:rsidRPr="002550B9">
              <w:rPr>
                <w:rFonts w:ascii="Arial" w:eastAsia="Times New Roman" w:hAnsi="Arial" w:cs="Arial"/>
                <w:sz w:val="20"/>
                <w:szCs w:val="20"/>
                <w:lang w:val="en-US" w:eastAsia="es-CO"/>
              </w:rPr>
              <w:t>CONVERGYS CUSTOMER MANAGEMENT COLOMBIA S.A.S</w:t>
            </w:r>
          </w:p>
        </w:tc>
      </w:tr>
      <w:tr w:rsidR="00C10986" w:rsidRPr="00A315A0" w14:paraId="0DE33434"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5B622C49"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35</w:t>
            </w:r>
          </w:p>
        </w:tc>
        <w:tc>
          <w:tcPr>
            <w:tcW w:w="8019" w:type="dxa"/>
            <w:tcBorders>
              <w:top w:val="nil"/>
              <w:left w:val="nil"/>
              <w:bottom w:val="single" w:sz="4" w:space="0" w:color="auto"/>
              <w:right w:val="single" w:sz="4" w:space="0" w:color="auto"/>
            </w:tcBorders>
            <w:shd w:val="clear" w:color="auto" w:fill="auto"/>
            <w:vAlign w:val="bottom"/>
            <w:hideMark/>
          </w:tcPr>
          <w:p w14:paraId="6049E501" w14:textId="77777777" w:rsidR="00C10986" w:rsidRPr="00A315A0" w:rsidRDefault="00C10986" w:rsidP="00522F77">
            <w:pPr>
              <w:spacing w:after="0" w:line="240" w:lineRule="auto"/>
              <w:rPr>
                <w:rFonts w:ascii="Arial" w:eastAsia="Times New Roman" w:hAnsi="Arial" w:cs="Arial"/>
                <w:sz w:val="20"/>
                <w:szCs w:val="20"/>
                <w:lang w:eastAsia="es-CO"/>
              </w:rPr>
            </w:pPr>
            <w:r w:rsidRPr="00A315A0">
              <w:rPr>
                <w:rFonts w:ascii="Arial" w:eastAsia="Times New Roman" w:hAnsi="Arial" w:cs="Arial"/>
                <w:sz w:val="20"/>
                <w:szCs w:val="20"/>
                <w:lang w:eastAsia="es-CO"/>
              </w:rPr>
              <w:t>GILAT COLOMBIA S.A.S. E.S.P</w:t>
            </w:r>
          </w:p>
        </w:tc>
      </w:tr>
      <w:tr w:rsidR="00C10986" w:rsidRPr="00A315A0" w14:paraId="1BD659BB" w14:textId="77777777" w:rsidTr="00A315A0">
        <w:trPr>
          <w:trHeight w:val="62"/>
          <w:jc w:val="center"/>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60566463" w14:textId="77777777" w:rsidR="00C10986" w:rsidRPr="00A315A0" w:rsidRDefault="00C10986"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36</w:t>
            </w:r>
          </w:p>
        </w:tc>
        <w:tc>
          <w:tcPr>
            <w:tcW w:w="8019" w:type="dxa"/>
            <w:tcBorders>
              <w:top w:val="nil"/>
              <w:left w:val="nil"/>
              <w:bottom w:val="single" w:sz="4" w:space="0" w:color="auto"/>
              <w:right w:val="single" w:sz="4" w:space="0" w:color="auto"/>
            </w:tcBorders>
            <w:shd w:val="clear" w:color="auto" w:fill="auto"/>
            <w:vAlign w:val="bottom"/>
            <w:hideMark/>
          </w:tcPr>
          <w:p w14:paraId="6D561E53" w14:textId="77777777" w:rsidR="00C10986" w:rsidRPr="00A315A0" w:rsidRDefault="00C10986" w:rsidP="00522F77">
            <w:pPr>
              <w:spacing w:after="0" w:line="240" w:lineRule="auto"/>
              <w:rPr>
                <w:rFonts w:ascii="Arial" w:eastAsia="Times New Roman" w:hAnsi="Arial" w:cs="Arial"/>
                <w:sz w:val="20"/>
                <w:szCs w:val="20"/>
                <w:lang w:eastAsia="es-CO"/>
              </w:rPr>
            </w:pPr>
            <w:r w:rsidRPr="00A315A0">
              <w:rPr>
                <w:rFonts w:ascii="Arial" w:eastAsia="Times New Roman" w:hAnsi="Arial" w:cs="Arial"/>
                <w:sz w:val="20"/>
                <w:szCs w:val="20"/>
                <w:lang w:eastAsia="es-CO"/>
              </w:rPr>
              <w:t>GILAT NETWORKS COLOMBIA S.A.S ESP</w:t>
            </w:r>
          </w:p>
        </w:tc>
      </w:tr>
    </w:tbl>
    <w:p w14:paraId="065834F6" w14:textId="77777777" w:rsidR="008447F1" w:rsidRPr="00522F77" w:rsidRDefault="008447F1" w:rsidP="00522F77">
      <w:pPr>
        <w:spacing w:after="0" w:line="240" w:lineRule="auto"/>
        <w:jc w:val="both"/>
        <w:rPr>
          <w:rFonts w:ascii="Arial" w:hAnsi="Arial" w:cs="Arial"/>
        </w:rPr>
      </w:pPr>
    </w:p>
    <w:p w14:paraId="5C73FAE6" w14:textId="2AE09F9E" w:rsidR="005174F0" w:rsidRPr="00522F77" w:rsidRDefault="00E04713" w:rsidP="00522F77">
      <w:pPr>
        <w:spacing w:after="0" w:line="240" w:lineRule="auto"/>
        <w:jc w:val="both"/>
        <w:rPr>
          <w:rFonts w:ascii="Arial" w:hAnsi="Arial" w:cs="Arial"/>
        </w:rPr>
      </w:pPr>
      <w:r w:rsidRPr="00522F77">
        <w:rPr>
          <w:rFonts w:ascii="Arial" w:hAnsi="Arial" w:cs="Arial"/>
        </w:rPr>
        <w:t xml:space="preserve">Con base en </w:t>
      </w:r>
      <w:r w:rsidR="005174F0" w:rsidRPr="00522F77">
        <w:rPr>
          <w:rFonts w:ascii="Arial" w:hAnsi="Arial" w:cs="Arial"/>
        </w:rPr>
        <w:t xml:space="preserve">las cifras reportadas, por la SuperSociedades, para cada empresa relacionada en el cuadro anterior,  la tabla a continuación muestra los indicadores financieros, así: </w:t>
      </w:r>
    </w:p>
    <w:p w14:paraId="66809F8E" w14:textId="77777777" w:rsidR="005174F0" w:rsidRPr="00522F77" w:rsidRDefault="005174F0" w:rsidP="00522F77">
      <w:pPr>
        <w:spacing w:after="0" w:line="240" w:lineRule="auto"/>
        <w:jc w:val="both"/>
        <w:rPr>
          <w:rFonts w:ascii="Arial" w:hAnsi="Arial" w:cs="Arial"/>
        </w:rPr>
      </w:pPr>
    </w:p>
    <w:tbl>
      <w:tblPr>
        <w:tblW w:w="9715" w:type="dxa"/>
        <w:tblCellMar>
          <w:left w:w="70" w:type="dxa"/>
          <w:right w:w="70" w:type="dxa"/>
        </w:tblCellMar>
        <w:tblLook w:val="04A0" w:firstRow="1" w:lastRow="0" w:firstColumn="1" w:lastColumn="0" w:noHBand="0" w:noVBand="1"/>
      </w:tblPr>
      <w:tblGrid>
        <w:gridCol w:w="1696"/>
        <w:gridCol w:w="1200"/>
        <w:gridCol w:w="1896"/>
        <w:gridCol w:w="1503"/>
        <w:gridCol w:w="1800"/>
        <w:gridCol w:w="1620"/>
      </w:tblGrid>
      <w:tr w:rsidR="00DD2C38" w:rsidRPr="00A315A0" w14:paraId="2399A4FE" w14:textId="77777777" w:rsidTr="00A315A0">
        <w:trPr>
          <w:trHeight w:val="275"/>
          <w:tblHeader/>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7623E5"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No</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6F4BBDB0" w14:textId="23753B67" w:rsidR="00DD2C38" w:rsidRPr="00A315A0" w:rsidRDefault="00DD2C38"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LIQUIDEZ</w:t>
            </w:r>
          </w:p>
        </w:tc>
        <w:tc>
          <w:tcPr>
            <w:tcW w:w="1896" w:type="dxa"/>
            <w:tcBorders>
              <w:top w:val="single" w:sz="4" w:space="0" w:color="auto"/>
              <w:left w:val="nil"/>
              <w:bottom w:val="single" w:sz="4" w:space="0" w:color="auto"/>
              <w:right w:val="single" w:sz="4" w:space="0" w:color="auto"/>
            </w:tcBorders>
            <w:shd w:val="clear" w:color="auto" w:fill="auto"/>
            <w:vAlign w:val="center"/>
            <w:hideMark/>
          </w:tcPr>
          <w:p w14:paraId="47B8FD4D" w14:textId="6EC38B44"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NIVEL DE ENDEUDAMIENTO</w:t>
            </w:r>
          </w:p>
        </w:tc>
        <w:tc>
          <w:tcPr>
            <w:tcW w:w="1503" w:type="dxa"/>
            <w:tcBorders>
              <w:top w:val="single" w:sz="4" w:space="0" w:color="auto"/>
              <w:left w:val="nil"/>
              <w:bottom w:val="single" w:sz="4" w:space="0" w:color="auto"/>
              <w:right w:val="single" w:sz="4" w:space="0" w:color="auto"/>
            </w:tcBorders>
            <w:shd w:val="clear" w:color="auto" w:fill="auto"/>
            <w:vAlign w:val="center"/>
            <w:hideMark/>
          </w:tcPr>
          <w:p w14:paraId="1EDA5043" w14:textId="102D847E"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COBERTURA DE INTERESES</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3845D349"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RENTABILIDAD DE PATRIMONIO</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14:paraId="69C77328"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RENTABILIDAD DEL ACTIVO</w:t>
            </w:r>
          </w:p>
        </w:tc>
      </w:tr>
      <w:tr w:rsidR="00DD2C38" w:rsidRPr="00A315A0" w14:paraId="11D31A4E"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85B677C"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1</w:t>
            </w:r>
          </w:p>
        </w:tc>
        <w:tc>
          <w:tcPr>
            <w:tcW w:w="1200" w:type="dxa"/>
            <w:tcBorders>
              <w:top w:val="nil"/>
              <w:left w:val="nil"/>
              <w:bottom w:val="single" w:sz="4" w:space="0" w:color="auto"/>
              <w:right w:val="single" w:sz="4" w:space="0" w:color="auto"/>
            </w:tcBorders>
            <w:shd w:val="clear" w:color="auto" w:fill="auto"/>
            <w:noWrap/>
            <w:vAlign w:val="bottom"/>
            <w:hideMark/>
          </w:tcPr>
          <w:p w14:paraId="459DD743"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2,68</w:t>
            </w:r>
          </w:p>
        </w:tc>
        <w:tc>
          <w:tcPr>
            <w:tcW w:w="1896" w:type="dxa"/>
            <w:tcBorders>
              <w:top w:val="nil"/>
              <w:left w:val="nil"/>
              <w:bottom w:val="single" w:sz="4" w:space="0" w:color="auto"/>
              <w:right w:val="single" w:sz="4" w:space="0" w:color="auto"/>
            </w:tcBorders>
            <w:shd w:val="clear" w:color="auto" w:fill="auto"/>
            <w:noWrap/>
            <w:vAlign w:val="bottom"/>
            <w:hideMark/>
          </w:tcPr>
          <w:p w14:paraId="53580FAA"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37%</w:t>
            </w:r>
          </w:p>
        </w:tc>
        <w:tc>
          <w:tcPr>
            <w:tcW w:w="1503" w:type="dxa"/>
            <w:tcBorders>
              <w:top w:val="nil"/>
              <w:left w:val="nil"/>
              <w:bottom w:val="single" w:sz="4" w:space="0" w:color="auto"/>
              <w:right w:val="single" w:sz="4" w:space="0" w:color="auto"/>
            </w:tcBorders>
            <w:shd w:val="clear" w:color="auto" w:fill="auto"/>
            <w:noWrap/>
            <w:vAlign w:val="bottom"/>
            <w:hideMark/>
          </w:tcPr>
          <w:p w14:paraId="745DBCEE"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9,73</w:t>
            </w:r>
          </w:p>
        </w:tc>
        <w:tc>
          <w:tcPr>
            <w:tcW w:w="1800" w:type="dxa"/>
            <w:tcBorders>
              <w:top w:val="nil"/>
              <w:left w:val="nil"/>
              <w:bottom w:val="single" w:sz="4" w:space="0" w:color="auto"/>
              <w:right w:val="single" w:sz="4" w:space="0" w:color="auto"/>
            </w:tcBorders>
            <w:shd w:val="clear" w:color="auto" w:fill="auto"/>
            <w:noWrap/>
            <w:vAlign w:val="bottom"/>
            <w:hideMark/>
          </w:tcPr>
          <w:p w14:paraId="4B25DDF0"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29%</w:t>
            </w:r>
          </w:p>
        </w:tc>
        <w:tc>
          <w:tcPr>
            <w:tcW w:w="1620" w:type="dxa"/>
            <w:tcBorders>
              <w:top w:val="nil"/>
              <w:left w:val="nil"/>
              <w:bottom w:val="single" w:sz="4" w:space="0" w:color="auto"/>
              <w:right w:val="single" w:sz="4" w:space="0" w:color="auto"/>
            </w:tcBorders>
            <w:shd w:val="clear" w:color="auto" w:fill="auto"/>
            <w:noWrap/>
            <w:vAlign w:val="bottom"/>
            <w:hideMark/>
          </w:tcPr>
          <w:p w14:paraId="06C01430"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18%</w:t>
            </w:r>
          </w:p>
        </w:tc>
      </w:tr>
      <w:tr w:rsidR="00DD2C38" w:rsidRPr="00A315A0" w14:paraId="3BF20699"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AA4E3E5"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2</w:t>
            </w:r>
          </w:p>
        </w:tc>
        <w:tc>
          <w:tcPr>
            <w:tcW w:w="1200" w:type="dxa"/>
            <w:tcBorders>
              <w:top w:val="nil"/>
              <w:left w:val="nil"/>
              <w:bottom w:val="single" w:sz="4" w:space="0" w:color="auto"/>
              <w:right w:val="single" w:sz="4" w:space="0" w:color="auto"/>
            </w:tcBorders>
            <w:shd w:val="clear" w:color="auto" w:fill="auto"/>
            <w:noWrap/>
            <w:vAlign w:val="bottom"/>
            <w:hideMark/>
          </w:tcPr>
          <w:p w14:paraId="52C7C5EC"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2,33</w:t>
            </w:r>
          </w:p>
        </w:tc>
        <w:tc>
          <w:tcPr>
            <w:tcW w:w="1896" w:type="dxa"/>
            <w:tcBorders>
              <w:top w:val="nil"/>
              <w:left w:val="nil"/>
              <w:bottom w:val="single" w:sz="4" w:space="0" w:color="auto"/>
              <w:right w:val="single" w:sz="4" w:space="0" w:color="auto"/>
            </w:tcBorders>
            <w:shd w:val="clear" w:color="auto" w:fill="auto"/>
            <w:noWrap/>
            <w:vAlign w:val="bottom"/>
            <w:hideMark/>
          </w:tcPr>
          <w:p w14:paraId="5500C0A1"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57%</w:t>
            </w:r>
          </w:p>
        </w:tc>
        <w:tc>
          <w:tcPr>
            <w:tcW w:w="1503" w:type="dxa"/>
            <w:tcBorders>
              <w:top w:val="nil"/>
              <w:left w:val="nil"/>
              <w:bottom w:val="single" w:sz="4" w:space="0" w:color="auto"/>
              <w:right w:val="single" w:sz="4" w:space="0" w:color="auto"/>
            </w:tcBorders>
            <w:shd w:val="clear" w:color="auto" w:fill="auto"/>
            <w:noWrap/>
            <w:vAlign w:val="bottom"/>
            <w:hideMark/>
          </w:tcPr>
          <w:p w14:paraId="18EACEC9"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-4,58</w:t>
            </w:r>
          </w:p>
        </w:tc>
        <w:tc>
          <w:tcPr>
            <w:tcW w:w="1800" w:type="dxa"/>
            <w:tcBorders>
              <w:top w:val="nil"/>
              <w:left w:val="nil"/>
              <w:bottom w:val="single" w:sz="4" w:space="0" w:color="auto"/>
              <w:right w:val="single" w:sz="4" w:space="0" w:color="auto"/>
            </w:tcBorders>
            <w:shd w:val="clear" w:color="auto" w:fill="auto"/>
            <w:noWrap/>
            <w:vAlign w:val="bottom"/>
            <w:hideMark/>
          </w:tcPr>
          <w:p w14:paraId="030BB6E3"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-28%</w:t>
            </w:r>
          </w:p>
        </w:tc>
        <w:tc>
          <w:tcPr>
            <w:tcW w:w="1620" w:type="dxa"/>
            <w:tcBorders>
              <w:top w:val="nil"/>
              <w:left w:val="nil"/>
              <w:bottom w:val="single" w:sz="4" w:space="0" w:color="auto"/>
              <w:right w:val="single" w:sz="4" w:space="0" w:color="auto"/>
            </w:tcBorders>
            <w:shd w:val="clear" w:color="auto" w:fill="auto"/>
            <w:noWrap/>
            <w:vAlign w:val="bottom"/>
            <w:hideMark/>
          </w:tcPr>
          <w:p w14:paraId="7373C8FA"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-12%</w:t>
            </w:r>
          </w:p>
        </w:tc>
      </w:tr>
      <w:tr w:rsidR="00DD2C38" w:rsidRPr="00A315A0" w14:paraId="18889B69"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EF3FC04"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3</w:t>
            </w:r>
          </w:p>
        </w:tc>
        <w:tc>
          <w:tcPr>
            <w:tcW w:w="1200" w:type="dxa"/>
            <w:tcBorders>
              <w:top w:val="nil"/>
              <w:left w:val="nil"/>
              <w:bottom w:val="single" w:sz="4" w:space="0" w:color="auto"/>
              <w:right w:val="single" w:sz="4" w:space="0" w:color="auto"/>
            </w:tcBorders>
            <w:shd w:val="clear" w:color="auto" w:fill="auto"/>
            <w:noWrap/>
            <w:vAlign w:val="bottom"/>
            <w:hideMark/>
          </w:tcPr>
          <w:p w14:paraId="0117F688"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3,58</w:t>
            </w:r>
          </w:p>
        </w:tc>
        <w:tc>
          <w:tcPr>
            <w:tcW w:w="1896" w:type="dxa"/>
            <w:tcBorders>
              <w:top w:val="nil"/>
              <w:left w:val="nil"/>
              <w:bottom w:val="single" w:sz="4" w:space="0" w:color="auto"/>
              <w:right w:val="single" w:sz="4" w:space="0" w:color="auto"/>
            </w:tcBorders>
            <w:shd w:val="clear" w:color="auto" w:fill="auto"/>
            <w:noWrap/>
            <w:vAlign w:val="bottom"/>
            <w:hideMark/>
          </w:tcPr>
          <w:p w14:paraId="0F59610D"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6%</w:t>
            </w:r>
          </w:p>
        </w:tc>
        <w:tc>
          <w:tcPr>
            <w:tcW w:w="1503" w:type="dxa"/>
            <w:tcBorders>
              <w:top w:val="nil"/>
              <w:left w:val="nil"/>
              <w:bottom w:val="single" w:sz="4" w:space="0" w:color="auto"/>
              <w:right w:val="single" w:sz="4" w:space="0" w:color="auto"/>
            </w:tcBorders>
            <w:shd w:val="clear" w:color="auto" w:fill="auto"/>
            <w:noWrap/>
            <w:vAlign w:val="bottom"/>
            <w:hideMark/>
          </w:tcPr>
          <w:p w14:paraId="72ECF88D" w14:textId="77777777" w:rsidR="00DD2C38" w:rsidRPr="00A315A0" w:rsidRDefault="00DD2C38"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800" w:type="dxa"/>
            <w:tcBorders>
              <w:top w:val="nil"/>
              <w:left w:val="nil"/>
              <w:bottom w:val="single" w:sz="4" w:space="0" w:color="auto"/>
              <w:right w:val="single" w:sz="4" w:space="0" w:color="auto"/>
            </w:tcBorders>
            <w:shd w:val="clear" w:color="auto" w:fill="auto"/>
            <w:noWrap/>
            <w:vAlign w:val="bottom"/>
            <w:hideMark/>
          </w:tcPr>
          <w:p w14:paraId="080833D9"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9%</w:t>
            </w:r>
          </w:p>
        </w:tc>
        <w:tc>
          <w:tcPr>
            <w:tcW w:w="1620" w:type="dxa"/>
            <w:tcBorders>
              <w:top w:val="nil"/>
              <w:left w:val="nil"/>
              <w:bottom w:val="single" w:sz="4" w:space="0" w:color="auto"/>
              <w:right w:val="single" w:sz="4" w:space="0" w:color="auto"/>
            </w:tcBorders>
            <w:shd w:val="clear" w:color="auto" w:fill="auto"/>
            <w:noWrap/>
            <w:vAlign w:val="bottom"/>
            <w:hideMark/>
          </w:tcPr>
          <w:p w14:paraId="3DB9B604"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9%</w:t>
            </w:r>
          </w:p>
        </w:tc>
      </w:tr>
      <w:tr w:rsidR="00DD2C38" w:rsidRPr="00A315A0" w14:paraId="43107E1F"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BBECA75"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4</w:t>
            </w:r>
          </w:p>
        </w:tc>
        <w:tc>
          <w:tcPr>
            <w:tcW w:w="1200" w:type="dxa"/>
            <w:tcBorders>
              <w:top w:val="nil"/>
              <w:left w:val="nil"/>
              <w:bottom w:val="single" w:sz="4" w:space="0" w:color="auto"/>
              <w:right w:val="single" w:sz="4" w:space="0" w:color="auto"/>
            </w:tcBorders>
            <w:shd w:val="clear" w:color="auto" w:fill="auto"/>
            <w:noWrap/>
            <w:vAlign w:val="bottom"/>
            <w:hideMark/>
          </w:tcPr>
          <w:p w14:paraId="7169D6FF"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0,79</w:t>
            </w:r>
          </w:p>
        </w:tc>
        <w:tc>
          <w:tcPr>
            <w:tcW w:w="1896" w:type="dxa"/>
            <w:tcBorders>
              <w:top w:val="nil"/>
              <w:left w:val="nil"/>
              <w:bottom w:val="single" w:sz="4" w:space="0" w:color="auto"/>
              <w:right w:val="single" w:sz="4" w:space="0" w:color="auto"/>
            </w:tcBorders>
            <w:shd w:val="clear" w:color="auto" w:fill="auto"/>
            <w:noWrap/>
            <w:vAlign w:val="bottom"/>
            <w:hideMark/>
          </w:tcPr>
          <w:p w14:paraId="0469F571"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89%</w:t>
            </w:r>
          </w:p>
        </w:tc>
        <w:tc>
          <w:tcPr>
            <w:tcW w:w="1503" w:type="dxa"/>
            <w:tcBorders>
              <w:top w:val="nil"/>
              <w:left w:val="nil"/>
              <w:bottom w:val="single" w:sz="4" w:space="0" w:color="auto"/>
              <w:right w:val="single" w:sz="4" w:space="0" w:color="auto"/>
            </w:tcBorders>
            <w:shd w:val="clear" w:color="auto" w:fill="auto"/>
            <w:noWrap/>
            <w:vAlign w:val="bottom"/>
            <w:hideMark/>
          </w:tcPr>
          <w:p w14:paraId="6FF9ACD1"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4,86</w:t>
            </w:r>
          </w:p>
        </w:tc>
        <w:tc>
          <w:tcPr>
            <w:tcW w:w="1800" w:type="dxa"/>
            <w:tcBorders>
              <w:top w:val="nil"/>
              <w:left w:val="nil"/>
              <w:bottom w:val="single" w:sz="4" w:space="0" w:color="auto"/>
              <w:right w:val="single" w:sz="4" w:space="0" w:color="auto"/>
            </w:tcBorders>
            <w:shd w:val="clear" w:color="auto" w:fill="auto"/>
            <w:noWrap/>
            <w:vAlign w:val="bottom"/>
            <w:hideMark/>
          </w:tcPr>
          <w:p w14:paraId="5867B3AD"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45%</w:t>
            </w:r>
          </w:p>
        </w:tc>
        <w:tc>
          <w:tcPr>
            <w:tcW w:w="1620" w:type="dxa"/>
            <w:tcBorders>
              <w:top w:val="nil"/>
              <w:left w:val="nil"/>
              <w:bottom w:val="single" w:sz="4" w:space="0" w:color="auto"/>
              <w:right w:val="single" w:sz="4" w:space="0" w:color="auto"/>
            </w:tcBorders>
            <w:shd w:val="clear" w:color="auto" w:fill="auto"/>
            <w:noWrap/>
            <w:vAlign w:val="bottom"/>
            <w:hideMark/>
          </w:tcPr>
          <w:p w14:paraId="1D64E777"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5%</w:t>
            </w:r>
          </w:p>
        </w:tc>
      </w:tr>
      <w:tr w:rsidR="00DD2C38" w:rsidRPr="00A315A0" w14:paraId="07016A92"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AC34672"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5</w:t>
            </w:r>
          </w:p>
        </w:tc>
        <w:tc>
          <w:tcPr>
            <w:tcW w:w="1200" w:type="dxa"/>
            <w:tcBorders>
              <w:top w:val="nil"/>
              <w:left w:val="nil"/>
              <w:bottom w:val="single" w:sz="4" w:space="0" w:color="auto"/>
              <w:right w:val="single" w:sz="4" w:space="0" w:color="auto"/>
            </w:tcBorders>
            <w:shd w:val="clear" w:color="auto" w:fill="auto"/>
            <w:noWrap/>
            <w:vAlign w:val="bottom"/>
            <w:hideMark/>
          </w:tcPr>
          <w:p w14:paraId="607285CA"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1,50</w:t>
            </w:r>
          </w:p>
        </w:tc>
        <w:tc>
          <w:tcPr>
            <w:tcW w:w="1896" w:type="dxa"/>
            <w:tcBorders>
              <w:top w:val="nil"/>
              <w:left w:val="nil"/>
              <w:bottom w:val="single" w:sz="4" w:space="0" w:color="auto"/>
              <w:right w:val="single" w:sz="4" w:space="0" w:color="auto"/>
            </w:tcBorders>
            <w:shd w:val="clear" w:color="auto" w:fill="auto"/>
            <w:noWrap/>
            <w:vAlign w:val="bottom"/>
            <w:hideMark/>
          </w:tcPr>
          <w:p w14:paraId="24837252"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97%</w:t>
            </w:r>
          </w:p>
        </w:tc>
        <w:tc>
          <w:tcPr>
            <w:tcW w:w="1503" w:type="dxa"/>
            <w:tcBorders>
              <w:top w:val="nil"/>
              <w:left w:val="nil"/>
              <w:bottom w:val="single" w:sz="4" w:space="0" w:color="auto"/>
              <w:right w:val="single" w:sz="4" w:space="0" w:color="auto"/>
            </w:tcBorders>
            <w:shd w:val="clear" w:color="auto" w:fill="auto"/>
            <w:noWrap/>
            <w:vAlign w:val="bottom"/>
            <w:hideMark/>
          </w:tcPr>
          <w:p w14:paraId="61C588C2"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-2,14</w:t>
            </w:r>
          </w:p>
        </w:tc>
        <w:tc>
          <w:tcPr>
            <w:tcW w:w="1800" w:type="dxa"/>
            <w:tcBorders>
              <w:top w:val="nil"/>
              <w:left w:val="nil"/>
              <w:bottom w:val="single" w:sz="4" w:space="0" w:color="auto"/>
              <w:right w:val="single" w:sz="4" w:space="0" w:color="auto"/>
            </w:tcBorders>
            <w:shd w:val="clear" w:color="auto" w:fill="auto"/>
            <w:noWrap/>
            <w:vAlign w:val="bottom"/>
            <w:hideMark/>
          </w:tcPr>
          <w:p w14:paraId="721C5390"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-693%</w:t>
            </w:r>
          </w:p>
        </w:tc>
        <w:tc>
          <w:tcPr>
            <w:tcW w:w="1620" w:type="dxa"/>
            <w:tcBorders>
              <w:top w:val="nil"/>
              <w:left w:val="nil"/>
              <w:bottom w:val="single" w:sz="4" w:space="0" w:color="auto"/>
              <w:right w:val="single" w:sz="4" w:space="0" w:color="auto"/>
            </w:tcBorders>
            <w:shd w:val="clear" w:color="auto" w:fill="auto"/>
            <w:noWrap/>
            <w:vAlign w:val="bottom"/>
            <w:hideMark/>
          </w:tcPr>
          <w:p w14:paraId="43BEBA64"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-22%</w:t>
            </w:r>
          </w:p>
        </w:tc>
      </w:tr>
      <w:tr w:rsidR="00DD2C38" w:rsidRPr="00A315A0" w14:paraId="36A89B79"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C620727"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6</w:t>
            </w:r>
          </w:p>
        </w:tc>
        <w:tc>
          <w:tcPr>
            <w:tcW w:w="1200" w:type="dxa"/>
            <w:tcBorders>
              <w:top w:val="nil"/>
              <w:left w:val="nil"/>
              <w:bottom w:val="single" w:sz="4" w:space="0" w:color="auto"/>
              <w:right w:val="single" w:sz="4" w:space="0" w:color="auto"/>
            </w:tcBorders>
            <w:shd w:val="clear" w:color="auto" w:fill="auto"/>
            <w:noWrap/>
            <w:vAlign w:val="bottom"/>
            <w:hideMark/>
          </w:tcPr>
          <w:p w14:paraId="37B95223"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1,53</w:t>
            </w:r>
          </w:p>
        </w:tc>
        <w:tc>
          <w:tcPr>
            <w:tcW w:w="1896" w:type="dxa"/>
            <w:tcBorders>
              <w:top w:val="nil"/>
              <w:left w:val="nil"/>
              <w:bottom w:val="single" w:sz="4" w:space="0" w:color="auto"/>
              <w:right w:val="single" w:sz="4" w:space="0" w:color="auto"/>
            </w:tcBorders>
            <w:shd w:val="clear" w:color="auto" w:fill="auto"/>
            <w:noWrap/>
            <w:vAlign w:val="bottom"/>
            <w:hideMark/>
          </w:tcPr>
          <w:p w14:paraId="5B90E2ED"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73%</w:t>
            </w:r>
          </w:p>
        </w:tc>
        <w:tc>
          <w:tcPr>
            <w:tcW w:w="1503" w:type="dxa"/>
            <w:tcBorders>
              <w:top w:val="nil"/>
              <w:left w:val="nil"/>
              <w:bottom w:val="single" w:sz="4" w:space="0" w:color="auto"/>
              <w:right w:val="single" w:sz="4" w:space="0" w:color="auto"/>
            </w:tcBorders>
            <w:shd w:val="clear" w:color="auto" w:fill="auto"/>
            <w:noWrap/>
            <w:vAlign w:val="bottom"/>
            <w:hideMark/>
          </w:tcPr>
          <w:p w14:paraId="605E929C"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3,33</w:t>
            </w:r>
          </w:p>
        </w:tc>
        <w:tc>
          <w:tcPr>
            <w:tcW w:w="1800" w:type="dxa"/>
            <w:tcBorders>
              <w:top w:val="nil"/>
              <w:left w:val="nil"/>
              <w:bottom w:val="single" w:sz="4" w:space="0" w:color="auto"/>
              <w:right w:val="single" w:sz="4" w:space="0" w:color="auto"/>
            </w:tcBorders>
            <w:shd w:val="clear" w:color="auto" w:fill="auto"/>
            <w:noWrap/>
            <w:vAlign w:val="bottom"/>
            <w:hideMark/>
          </w:tcPr>
          <w:p w14:paraId="272B55D2"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118%</w:t>
            </w:r>
          </w:p>
        </w:tc>
        <w:tc>
          <w:tcPr>
            <w:tcW w:w="1620" w:type="dxa"/>
            <w:tcBorders>
              <w:top w:val="nil"/>
              <w:left w:val="nil"/>
              <w:bottom w:val="single" w:sz="4" w:space="0" w:color="auto"/>
              <w:right w:val="single" w:sz="4" w:space="0" w:color="auto"/>
            </w:tcBorders>
            <w:shd w:val="clear" w:color="auto" w:fill="auto"/>
            <w:noWrap/>
            <w:vAlign w:val="bottom"/>
            <w:hideMark/>
          </w:tcPr>
          <w:p w14:paraId="44882963"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32%</w:t>
            </w:r>
          </w:p>
        </w:tc>
      </w:tr>
      <w:tr w:rsidR="00DD2C38" w:rsidRPr="00A315A0" w14:paraId="6664C132"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D6148FF"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7</w:t>
            </w:r>
          </w:p>
        </w:tc>
        <w:tc>
          <w:tcPr>
            <w:tcW w:w="1200" w:type="dxa"/>
            <w:tcBorders>
              <w:top w:val="nil"/>
              <w:left w:val="nil"/>
              <w:bottom w:val="single" w:sz="4" w:space="0" w:color="auto"/>
              <w:right w:val="single" w:sz="4" w:space="0" w:color="auto"/>
            </w:tcBorders>
            <w:shd w:val="clear" w:color="auto" w:fill="auto"/>
            <w:noWrap/>
            <w:vAlign w:val="bottom"/>
            <w:hideMark/>
          </w:tcPr>
          <w:p w14:paraId="183A48E3"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0,93</w:t>
            </w:r>
          </w:p>
        </w:tc>
        <w:tc>
          <w:tcPr>
            <w:tcW w:w="1896" w:type="dxa"/>
            <w:tcBorders>
              <w:top w:val="nil"/>
              <w:left w:val="nil"/>
              <w:bottom w:val="single" w:sz="4" w:space="0" w:color="auto"/>
              <w:right w:val="single" w:sz="4" w:space="0" w:color="auto"/>
            </w:tcBorders>
            <w:shd w:val="clear" w:color="auto" w:fill="auto"/>
            <w:noWrap/>
            <w:vAlign w:val="bottom"/>
            <w:hideMark/>
          </w:tcPr>
          <w:p w14:paraId="0F0AF5D3"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81%</w:t>
            </w:r>
          </w:p>
        </w:tc>
        <w:tc>
          <w:tcPr>
            <w:tcW w:w="1503" w:type="dxa"/>
            <w:tcBorders>
              <w:top w:val="nil"/>
              <w:left w:val="nil"/>
              <w:bottom w:val="single" w:sz="4" w:space="0" w:color="auto"/>
              <w:right w:val="single" w:sz="4" w:space="0" w:color="auto"/>
            </w:tcBorders>
            <w:shd w:val="clear" w:color="auto" w:fill="auto"/>
            <w:noWrap/>
            <w:vAlign w:val="bottom"/>
            <w:hideMark/>
          </w:tcPr>
          <w:p w14:paraId="32854C76"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-4,64</w:t>
            </w:r>
          </w:p>
        </w:tc>
        <w:tc>
          <w:tcPr>
            <w:tcW w:w="1800" w:type="dxa"/>
            <w:tcBorders>
              <w:top w:val="nil"/>
              <w:left w:val="nil"/>
              <w:bottom w:val="single" w:sz="4" w:space="0" w:color="auto"/>
              <w:right w:val="single" w:sz="4" w:space="0" w:color="auto"/>
            </w:tcBorders>
            <w:shd w:val="clear" w:color="auto" w:fill="auto"/>
            <w:noWrap/>
            <w:vAlign w:val="bottom"/>
            <w:hideMark/>
          </w:tcPr>
          <w:p w14:paraId="3ED3162C"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-68%</w:t>
            </w:r>
          </w:p>
        </w:tc>
        <w:tc>
          <w:tcPr>
            <w:tcW w:w="1620" w:type="dxa"/>
            <w:tcBorders>
              <w:top w:val="nil"/>
              <w:left w:val="nil"/>
              <w:bottom w:val="single" w:sz="4" w:space="0" w:color="auto"/>
              <w:right w:val="single" w:sz="4" w:space="0" w:color="auto"/>
            </w:tcBorders>
            <w:shd w:val="clear" w:color="auto" w:fill="auto"/>
            <w:noWrap/>
            <w:vAlign w:val="bottom"/>
            <w:hideMark/>
          </w:tcPr>
          <w:p w14:paraId="43065E84"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-13%</w:t>
            </w:r>
          </w:p>
        </w:tc>
      </w:tr>
      <w:tr w:rsidR="00DD2C38" w:rsidRPr="00A315A0" w14:paraId="74F8C4D2"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25493CC"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8</w:t>
            </w:r>
          </w:p>
        </w:tc>
        <w:tc>
          <w:tcPr>
            <w:tcW w:w="1200" w:type="dxa"/>
            <w:tcBorders>
              <w:top w:val="nil"/>
              <w:left w:val="nil"/>
              <w:bottom w:val="single" w:sz="4" w:space="0" w:color="auto"/>
              <w:right w:val="single" w:sz="4" w:space="0" w:color="auto"/>
            </w:tcBorders>
            <w:shd w:val="clear" w:color="auto" w:fill="auto"/>
            <w:noWrap/>
            <w:vAlign w:val="bottom"/>
            <w:hideMark/>
          </w:tcPr>
          <w:p w14:paraId="41B6E3E2"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34,55</w:t>
            </w:r>
          </w:p>
        </w:tc>
        <w:tc>
          <w:tcPr>
            <w:tcW w:w="1896" w:type="dxa"/>
            <w:tcBorders>
              <w:top w:val="nil"/>
              <w:left w:val="nil"/>
              <w:bottom w:val="single" w:sz="4" w:space="0" w:color="auto"/>
              <w:right w:val="single" w:sz="4" w:space="0" w:color="auto"/>
            </w:tcBorders>
            <w:shd w:val="clear" w:color="auto" w:fill="auto"/>
            <w:noWrap/>
            <w:vAlign w:val="bottom"/>
            <w:hideMark/>
          </w:tcPr>
          <w:p w14:paraId="205128B9"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w:t>
            </w:r>
          </w:p>
        </w:tc>
        <w:tc>
          <w:tcPr>
            <w:tcW w:w="1503" w:type="dxa"/>
            <w:tcBorders>
              <w:top w:val="nil"/>
              <w:left w:val="nil"/>
              <w:bottom w:val="single" w:sz="4" w:space="0" w:color="auto"/>
              <w:right w:val="single" w:sz="4" w:space="0" w:color="auto"/>
            </w:tcBorders>
            <w:shd w:val="clear" w:color="auto" w:fill="auto"/>
            <w:noWrap/>
            <w:vAlign w:val="bottom"/>
            <w:hideMark/>
          </w:tcPr>
          <w:p w14:paraId="64940FF4"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239,63</w:t>
            </w:r>
          </w:p>
        </w:tc>
        <w:tc>
          <w:tcPr>
            <w:tcW w:w="1800" w:type="dxa"/>
            <w:tcBorders>
              <w:top w:val="nil"/>
              <w:left w:val="nil"/>
              <w:bottom w:val="single" w:sz="4" w:space="0" w:color="auto"/>
              <w:right w:val="single" w:sz="4" w:space="0" w:color="auto"/>
            </w:tcBorders>
            <w:shd w:val="clear" w:color="auto" w:fill="auto"/>
            <w:noWrap/>
            <w:vAlign w:val="bottom"/>
            <w:hideMark/>
          </w:tcPr>
          <w:p w14:paraId="1F35002C"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6%</w:t>
            </w:r>
          </w:p>
        </w:tc>
        <w:tc>
          <w:tcPr>
            <w:tcW w:w="1620" w:type="dxa"/>
            <w:tcBorders>
              <w:top w:val="nil"/>
              <w:left w:val="nil"/>
              <w:bottom w:val="single" w:sz="4" w:space="0" w:color="auto"/>
              <w:right w:val="single" w:sz="4" w:space="0" w:color="auto"/>
            </w:tcBorders>
            <w:shd w:val="clear" w:color="auto" w:fill="auto"/>
            <w:noWrap/>
            <w:vAlign w:val="bottom"/>
            <w:hideMark/>
          </w:tcPr>
          <w:p w14:paraId="4F546D7A"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6%</w:t>
            </w:r>
          </w:p>
        </w:tc>
      </w:tr>
      <w:tr w:rsidR="00DD2C38" w:rsidRPr="00A315A0" w14:paraId="74E594D4"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6A3B4E3"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9</w:t>
            </w:r>
          </w:p>
        </w:tc>
        <w:tc>
          <w:tcPr>
            <w:tcW w:w="1200" w:type="dxa"/>
            <w:tcBorders>
              <w:top w:val="nil"/>
              <w:left w:val="nil"/>
              <w:bottom w:val="single" w:sz="4" w:space="0" w:color="auto"/>
              <w:right w:val="single" w:sz="4" w:space="0" w:color="auto"/>
            </w:tcBorders>
            <w:shd w:val="clear" w:color="auto" w:fill="auto"/>
            <w:noWrap/>
            <w:vAlign w:val="bottom"/>
            <w:hideMark/>
          </w:tcPr>
          <w:p w14:paraId="515F2109"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1,21</w:t>
            </w:r>
          </w:p>
        </w:tc>
        <w:tc>
          <w:tcPr>
            <w:tcW w:w="1896" w:type="dxa"/>
            <w:tcBorders>
              <w:top w:val="nil"/>
              <w:left w:val="nil"/>
              <w:bottom w:val="single" w:sz="4" w:space="0" w:color="auto"/>
              <w:right w:val="single" w:sz="4" w:space="0" w:color="auto"/>
            </w:tcBorders>
            <w:shd w:val="clear" w:color="auto" w:fill="auto"/>
            <w:noWrap/>
            <w:vAlign w:val="bottom"/>
            <w:hideMark/>
          </w:tcPr>
          <w:p w14:paraId="4983356E"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39%</w:t>
            </w:r>
          </w:p>
        </w:tc>
        <w:tc>
          <w:tcPr>
            <w:tcW w:w="1503" w:type="dxa"/>
            <w:tcBorders>
              <w:top w:val="nil"/>
              <w:left w:val="nil"/>
              <w:bottom w:val="single" w:sz="4" w:space="0" w:color="auto"/>
              <w:right w:val="single" w:sz="4" w:space="0" w:color="auto"/>
            </w:tcBorders>
            <w:shd w:val="clear" w:color="auto" w:fill="auto"/>
            <w:noWrap/>
            <w:vAlign w:val="bottom"/>
            <w:hideMark/>
          </w:tcPr>
          <w:p w14:paraId="49A58AA9"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7,15</w:t>
            </w:r>
          </w:p>
        </w:tc>
        <w:tc>
          <w:tcPr>
            <w:tcW w:w="1800" w:type="dxa"/>
            <w:tcBorders>
              <w:top w:val="nil"/>
              <w:left w:val="nil"/>
              <w:bottom w:val="single" w:sz="4" w:space="0" w:color="auto"/>
              <w:right w:val="single" w:sz="4" w:space="0" w:color="auto"/>
            </w:tcBorders>
            <w:shd w:val="clear" w:color="auto" w:fill="auto"/>
            <w:noWrap/>
            <w:vAlign w:val="bottom"/>
            <w:hideMark/>
          </w:tcPr>
          <w:p w14:paraId="6EC55D18"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11%</w:t>
            </w:r>
          </w:p>
        </w:tc>
        <w:tc>
          <w:tcPr>
            <w:tcW w:w="1620" w:type="dxa"/>
            <w:tcBorders>
              <w:top w:val="nil"/>
              <w:left w:val="nil"/>
              <w:bottom w:val="single" w:sz="4" w:space="0" w:color="auto"/>
              <w:right w:val="single" w:sz="4" w:space="0" w:color="auto"/>
            </w:tcBorders>
            <w:shd w:val="clear" w:color="auto" w:fill="auto"/>
            <w:noWrap/>
            <w:vAlign w:val="bottom"/>
            <w:hideMark/>
          </w:tcPr>
          <w:p w14:paraId="24914A8C"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7%</w:t>
            </w:r>
          </w:p>
        </w:tc>
      </w:tr>
      <w:tr w:rsidR="00DD2C38" w:rsidRPr="00A315A0" w14:paraId="61C89BA8"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68B7D28"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10</w:t>
            </w:r>
          </w:p>
        </w:tc>
        <w:tc>
          <w:tcPr>
            <w:tcW w:w="1200" w:type="dxa"/>
            <w:tcBorders>
              <w:top w:val="nil"/>
              <w:left w:val="nil"/>
              <w:bottom w:val="single" w:sz="4" w:space="0" w:color="auto"/>
              <w:right w:val="single" w:sz="4" w:space="0" w:color="auto"/>
            </w:tcBorders>
            <w:shd w:val="clear" w:color="auto" w:fill="auto"/>
            <w:noWrap/>
            <w:vAlign w:val="bottom"/>
            <w:hideMark/>
          </w:tcPr>
          <w:p w14:paraId="504D2FFC"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0,88</w:t>
            </w:r>
          </w:p>
        </w:tc>
        <w:tc>
          <w:tcPr>
            <w:tcW w:w="1896" w:type="dxa"/>
            <w:tcBorders>
              <w:top w:val="nil"/>
              <w:left w:val="nil"/>
              <w:bottom w:val="single" w:sz="4" w:space="0" w:color="auto"/>
              <w:right w:val="single" w:sz="4" w:space="0" w:color="auto"/>
            </w:tcBorders>
            <w:shd w:val="clear" w:color="auto" w:fill="auto"/>
            <w:noWrap/>
            <w:vAlign w:val="bottom"/>
            <w:hideMark/>
          </w:tcPr>
          <w:p w14:paraId="3C36C930"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96%</w:t>
            </w:r>
          </w:p>
        </w:tc>
        <w:tc>
          <w:tcPr>
            <w:tcW w:w="1503" w:type="dxa"/>
            <w:tcBorders>
              <w:top w:val="nil"/>
              <w:left w:val="nil"/>
              <w:bottom w:val="single" w:sz="4" w:space="0" w:color="auto"/>
              <w:right w:val="single" w:sz="4" w:space="0" w:color="auto"/>
            </w:tcBorders>
            <w:shd w:val="clear" w:color="auto" w:fill="auto"/>
            <w:noWrap/>
            <w:vAlign w:val="bottom"/>
            <w:hideMark/>
          </w:tcPr>
          <w:p w14:paraId="1CD10CD5" w14:textId="77777777" w:rsidR="00DD2C38" w:rsidRPr="00A315A0" w:rsidRDefault="00DD2C38"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800" w:type="dxa"/>
            <w:tcBorders>
              <w:top w:val="nil"/>
              <w:left w:val="nil"/>
              <w:bottom w:val="single" w:sz="4" w:space="0" w:color="auto"/>
              <w:right w:val="single" w:sz="4" w:space="0" w:color="auto"/>
            </w:tcBorders>
            <w:shd w:val="clear" w:color="auto" w:fill="auto"/>
            <w:noWrap/>
            <w:vAlign w:val="bottom"/>
            <w:hideMark/>
          </w:tcPr>
          <w:p w14:paraId="1AE60B6B"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-244%</w:t>
            </w:r>
          </w:p>
        </w:tc>
        <w:tc>
          <w:tcPr>
            <w:tcW w:w="1620" w:type="dxa"/>
            <w:tcBorders>
              <w:top w:val="nil"/>
              <w:left w:val="nil"/>
              <w:bottom w:val="single" w:sz="4" w:space="0" w:color="auto"/>
              <w:right w:val="single" w:sz="4" w:space="0" w:color="auto"/>
            </w:tcBorders>
            <w:shd w:val="clear" w:color="auto" w:fill="auto"/>
            <w:noWrap/>
            <w:vAlign w:val="bottom"/>
            <w:hideMark/>
          </w:tcPr>
          <w:p w14:paraId="0650B8A7"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-10%</w:t>
            </w:r>
          </w:p>
        </w:tc>
      </w:tr>
      <w:tr w:rsidR="00DD2C38" w:rsidRPr="00A315A0" w14:paraId="00C45EAE"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80876B0"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11</w:t>
            </w:r>
          </w:p>
        </w:tc>
        <w:tc>
          <w:tcPr>
            <w:tcW w:w="1200" w:type="dxa"/>
            <w:tcBorders>
              <w:top w:val="nil"/>
              <w:left w:val="nil"/>
              <w:bottom w:val="single" w:sz="4" w:space="0" w:color="auto"/>
              <w:right w:val="single" w:sz="4" w:space="0" w:color="auto"/>
            </w:tcBorders>
            <w:shd w:val="clear" w:color="auto" w:fill="auto"/>
            <w:noWrap/>
            <w:vAlign w:val="bottom"/>
            <w:hideMark/>
          </w:tcPr>
          <w:p w14:paraId="27BE250A"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1,20</w:t>
            </w:r>
          </w:p>
        </w:tc>
        <w:tc>
          <w:tcPr>
            <w:tcW w:w="1896" w:type="dxa"/>
            <w:tcBorders>
              <w:top w:val="nil"/>
              <w:left w:val="nil"/>
              <w:bottom w:val="single" w:sz="4" w:space="0" w:color="auto"/>
              <w:right w:val="single" w:sz="4" w:space="0" w:color="auto"/>
            </w:tcBorders>
            <w:shd w:val="clear" w:color="auto" w:fill="auto"/>
            <w:noWrap/>
            <w:vAlign w:val="bottom"/>
            <w:hideMark/>
          </w:tcPr>
          <w:p w14:paraId="449FC813"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88%</w:t>
            </w:r>
          </w:p>
        </w:tc>
        <w:tc>
          <w:tcPr>
            <w:tcW w:w="1503" w:type="dxa"/>
            <w:tcBorders>
              <w:top w:val="nil"/>
              <w:left w:val="nil"/>
              <w:bottom w:val="single" w:sz="4" w:space="0" w:color="auto"/>
              <w:right w:val="single" w:sz="4" w:space="0" w:color="auto"/>
            </w:tcBorders>
            <w:shd w:val="clear" w:color="auto" w:fill="auto"/>
            <w:noWrap/>
            <w:vAlign w:val="bottom"/>
            <w:hideMark/>
          </w:tcPr>
          <w:p w14:paraId="40CB59C4"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0,78</w:t>
            </w:r>
          </w:p>
        </w:tc>
        <w:tc>
          <w:tcPr>
            <w:tcW w:w="1800" w:type="dxa"/>
            <w:tcBorders>
              <w:top w:val="nil"/>
              <w:left w:val="nil"/>
              <w:bottom w:val="single" w:sz="4" w:space="0" w:color="auto"/>
              <w:right w:val="single" w:sz="4" w:space="0" w:color="auto"/>
            </w:tcBorders>
            <w:shd w:val="clear" w:color="auto" w:fill="auto"/>
            <w:noWrap/>
            <w:vAlign w:val="bottom"/>
            <w:hideMark/>
          </w:tcPr>
          <w:p w14:paraId="543F9E60"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70%</w:t>
            </w:r>
          </w:p>
        </w:tc>
        <w:tc>
          <w:tcPr>
            <w:tcW w:w="1620" w:type="dxa"/>
            <w:tcBorders>
              <w:top w:val="nil"/>
              <w:left w:val="nil"/>
              <w:bottom w:val="single" w:sz="4" w:space="0" w:color="auto"/>
              <w:right w:val="single" w:sz="4" w:space="0" w:color="auto"/>
            </w:tcBorders>
            <w:shd w:val="clear" w:color="auto" w:fill="auto"/>
            <w:noWrap/>
            <w:vAlign w:val="bottom"/>
            <w:hideMark/>
          </w:tcPr>
          <w:p w14:paraId="27ABB17A"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8%</w:t>
            </w:r>
          </w:p>
        </w:tc>
      </w:tr>
      <w:tr w:rsidR="00DD2C38" w:rsidRPr="00A315A0" w14:paraId="6779A2ED"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870E606"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12</w:t>
            </w:r>
          </w:p>
        </w:tc>
        <w:tc>
          <w:tcPr>
            <w:tcW w:w="1200" w:type="dxa"/>
            <w:tcBorders>
              <w:top w:val="nil"/>
              <w:left w:val="nil"/>
              <w:bottom w:val="single" w:sz="4" w:space="0" w:color="auto"/>
              <w:right w:val="single" w:sz="4" w:space="0" w:color="auto"/>
            </w:tcBorders>
            <w:shd w:val="clear" w:color="auto" w:fill="auto"/>
            <w:noWrap/>
            <w:vAlign w:val="bottom"/>
            <w:hideMark/>
          </w:tcPr>
          <w:p w14:paraId="6E35191E"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1,38</w:t>
            </w:r>
          </w:p>
        </w:tc>
        <w:tc>
          <w:tcPr>
            <w:tcW w:w="1896" w:type="dxa"/>
            <w:tcBorders>
              <w:top w:val="nil"/>
              <w:left w:val="nil"/>
              <w:bottom w:val="single" w:sz="4" w:space="0" w:color="auto"/>
              <w:right w:val="single" w:sz="4" w:space="0" w:color="auto"/>
            </w:tcBorders>
            <w:shd w:val="clear" w:color="auto" w:fill="auto"/>
            <w:noWrap/>
            <w:vAlign w:val="bottom"/>
            <w:hideMark/>
          </w:tcPr>
          <w:p w14:paraId="06118E4C"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46%</w:t>
            </w:r>
          </w:p>
        </w:tc>
        <w:tc>
          <w:tcPr>
            <w:tcW w:w="1503" w:type="dxa"/>
            <w:tcBorders>
              <w:top w:val="nil"/>
              <w:left w:val="nil"/>
              <w:bottom w:val="single" w:sz="4" w:space="0" w:color="auto"/>
              <w:right w:val="single" w:sz="4" w:space="0" w:color="auto"/>
            </w:tcBorders>
            <w:shd w:val="clear" w:color="auto" w:fill="auto"/>
            <w:noWrap/>
            <w:vAlign w:val="bottom"/>
            <w:hideMark/>
          </w:tcPr>
          <w:p w14:paraId="6A8CB52D"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12,73</w:t>
            </w:r>
          </w:p>
        </w:tc>
        <w:tc>
          <w:tcPr>
            <w:tcW w:w="1800" w:type="dxa"/>
            <w:tcBorders>
              <w:top w:val="nil"/>
              <w:left w:val="nil"/>
              <w:bottom w:val="single" w:sz="4" w:space="0" w:color="auto"/>
              <w:right w:val="single" w:sz="4" w:space="0" w:color="auto"/>
            </w:tcBorders>
            <w:shd w:val="clear" w:color="auto" w:fill="auto"/>
            <w:noWrap/>
            <w:vAlign w:val="bottom"/>
            <w:hideMark/>
          </w:tcPr>
          <w:p w14:paraId="330F68B3"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12%</w:t>
            </w:r>
          </w:p>
        </w:tc>
        <w:tc>
          <w:tcPr>
            <w:tcW w:w="1620" w:type="dxa"/>
            <w:tcBorders>
              <w:top w:val="nil"/>
              <w:left w:val="nil"/>
              <w:bottom w:val="single" w:sz="4" w:space="0" w:color="auto"/>
              <w:right w:val="single" w:sz="4" w:space="0" w:color="auto"/>
            </w:tcBorders>
            <w:shd w:val="clear" w:color="auto" w:fill="auto"/>
            <w:noWrap/>
            <w:vAlign w:val="bottom"/>
            <w:hideMark/>
          </w:tcPr>
          <w:p w14:paraId="71305D56"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6%</w:t>
            </w:r>
          </w:p>
        </w:tc>
      </w:tr>
      <w:tr w:rsidR="00DD2C38" w:rsidRPr="00A315A0" w14:paraId="215BB787"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06C5383"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13</w:t>
            </w:r>
          </w:p>
        </w:tc>
        <w:tc>
          <w:tcPr>
            <w:tcW w:w="1200" w:type="dxa"/>
            <w:tcBorders>
              <w:top w:val="nil"/>
              <w:left w:val="nil"/>
              <w:bottom w:val="single" w:sz="4" w:space="0" w:color="auto"/>
              <w:right w:val="single" w:sz="4" w:space="0" w:color="auto"/>
            </w:tcBorders>
            <w:shd w:val="clear" w:color="auto" w:fill="auto"/>
            <w:noWrap/>
            <w:vAlign w:val="bottom"/>
            <w:hideMark/>
          </w:tcPr>
          <w:p w14:paraId="16CC9445"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2,36</w:t>
            </w:r>
          </w:p>
        </w:tc>
        <w:tc>
          <w:tcPr>
            <w:tcW w:w="1896" w:type="dxa"/>
            <w:tcBorders>
              <w:top w:val="nil"/>
              <w:left w:val="nil"/>
              <w:bottom w:val="single" w:sz="4" w:space="0" w:color="auto"/>
              <w:right w:val="single" w:sz="4" w:space="0" w:color="auto"/>
            </w:tcBorders>
            <w:shd w:val="clear" w:color="auto" w:fill="auto"/>
            <w:noWrap/>
            <w:vAlign w:val="bottom"/>
            <w:hideMark/>
          </w:tcPr>
          <w:p w14:paraId="4160E013"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16%</w:t>
            </w:r>
          </w:p>
        </w:tc>
        <w:tc>
          <w:tcPr>
            <w:tcW w:w="1503" w:type="dxa"/>
            <w:tcBorders>
              <w:top w:val="nil"/>
              <w:left w:val="nil"/>
              <w:bottom w:val="single" w:sz="4" w:space="0" w:color="auto"/>
              <w:right w:val="single" w:sz="4" w:space="0" w:color="auto"/>
            </w:tcBorders>
            <w:shd w:val="clear" w:color="auto" w:fill="auto"/>
            <w:noWrap/>
            <w:vAlign w:val="bottom"/>
            <w:hideMark/>
          </w:tcPr>
          <w:p w14:paraId="3C811DE8"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6,53</w:t>
            </w:r>
          </w:p>
        </w:tc>
        <w:tc>
          <w:tcPr>
            <w:tcW w:w="1800" w:type="dxa"/>
            <w:tcBorders>
              <w:top w:val="nil"/>
              <w:left w:val="nil"/>
              <w:bottom w:val="single" w:sz="4" w:space="0" w:color="auto"/>
              <w:right w:val="single" w:sz="4" w:space="0" w:color="auto"/>
            </w:tcBorders>
            <w:shd w:val="clear" w:color="auto" w:fill="auto"/>
            <w:noWrap/>
            <w:vAlign w:val="bottom"/>
            <w:hideMark/>
          </w:tcPr>
          <w:p w14:paraId="4065216D"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7%</w:t>
            </w:r>
          </w:p>
        </w:tc>
        <w:tc>
          <w:tcPr>
            <w:tcW w:w="1620" w:type="dxa"/>
            <w:tcBorders>
              <w:top w:val="nil"/>
              <w:left w:val="nil"/>
              <w:bottom w:val="single" w:sz="4" w:space="0" w:color="auto"/>
              <w:right w:val="single" w:sz="4" w:space="0" w:color="auto"/>
            </w:tcBorders>
            <w:shd w:val="clear" w:color="auto" w:fill="auto"/>
            <w:noWrap/>
            <w:vAlign w:val="bottom"/>
            <w:hideMark/>
          </w:tcPr>
          <w:p w14:paraId="02C02BC4"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6%</w:t>
            </w:r>
          </w:p>
        </w:tc>
      </w:tr>
      <w:tr w:rsidR="00DD2C38" w:rsidRPr="00A315A0" w14:paraId="48B35EF5"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569C67CC"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lastRenderedPageBreak/>
              <w:t>Empresa No 14</w:t>
            </w:r>
          </w:p>
        </w:tc>
        <w:tc>
          <w:tcPr>
            <w:tcW w:w="1200" w:type="dxa"/>
            <w:tcBorders>
              <w:top w:val="nil"/>
              <w:left w:val="nil"/>
              <w:bottom w:val="single" w:sz="4" w:space="0" w:color="auto"/>
              <w:right w:val="single" w:sz="4" w:space="0" w:color="auto"/>
            </w:tcBorders>
            <w:shd w:val="clear" w:color="auto" w:fill="auto"/>
            <w:noWrap/>
            <w:vAlign w:val="bottom"/>
            <w:hideMark/>
          </w:tcPr>
          <w:p w14:paraId="4946DEF7"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2,44</w:t>
            </w:r>
          </w:p>
        </w:tc>
        <w:tc>
          <w:tcPr>
            <w:tcW w:w="1896" w:type="dxa"/>
            <w:tcBorders>
              <w:top w:val="nil"/>
              <w:left w:val="nil"/>
              <w:bottom w:val="single" w:sz="4" w:space="0" w:color="auto"/>
              <w:right w:val="single" w:sz="4" w:space="0" w:color="auto"/>
            </w:tcBorders>
            <w:shd w:val="clear" w:color="auto" w:fill="auto"/>
            <w:noWrap/>
            <w:vAlign w:val="bottom"/>
            <w:hideMark/>
          </w:tcPr>
          <w:p w14:paraId="3EE48C1D"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31%</w:t>
            </w:r>
          </w:p>
        </w:tc>
        <w:tc>
          <w:tcPr>
            <w:tcW w:w="1503" w:type="dxa"/>
            <w:tcBorders>
              <w:top w:val="nil"/>
              <w:left w:val="nil"/>
              <w:bottom w:val="single" w:sz="4" w:space="0" w:color="auto"/>
              <w:right w:val="single" w:sz="4" w:space="0" w:color="auto"/>
            </w:tcBorders>
            <w:shd w:val="clear" w:color="auto" w:fill="auto"/>
            <w:noWrap/>
            <w:vAlign w:val="bottom"/>
            <w:hideMark/>
          </w:tcPr>
          <w:p w14:paraId="60DFFAF7"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-0,11</w:t>
            </w:r>
          </w:p>
        </w:tc>
        <w:tc>
          <w:tcPr>
            <w:tcW w:w="1800" w:type="dxa"/>
            <w:tcBorders>
              <w:top w:val="nil"/>
              <w:left w:val="nil"/>
              <w:bottom w:val="single" w:sz="4" w:space="0" w:color="auto"/>
              <w:right w:val="single" w:sz="4" w:space="0" w:color="auto"/>
            </w:tcBorders>
            <w:shd w:val="clear" w:color="auto" w:fill="auto"/>
            <w:noWrap/>
            <w:vAlign w:val="bottom"/>
            <w:hideMark/>
          </w:tcPr>
          <w:p w14:paraId="0BABCC0C"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0%</w:t>
            </w:r>
          </w:p>
        </w:tc>
        <w:tc>
          <w:tcPr>
            <w:tcW w:w="1620" w:type="dxa"/>
            <w:tcBorders>
              <w:top w:val="nil"/>
              <w:left w:val="nil"/>
              <w:bottom w:val="single" w:sz="4" w:space="0" w:color="auto"/>
              <w:right w:val="single" w:sz="4" w:space="0" w:color="auto"/>
            </w:tcBorders>
            <w:shd w:val="clear" w:color="auto" w:fill="auto"/>
            <w:noWrap/>
            <w:vAlign w:val="bottom"/>
            <w:hideMark/>
          </w:tcPr>
          <w:p w14:paraId="58BF9491"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0%</w:t>
            </w:r>
          </w:p>
        </w:tc>
      </w:tr>
      <w:tr w:rsidR="00DD2C38" w:rsidRPr="00A315A0" w14:paraId="4CD3E407"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44EC681"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15</w:t>
            </w:r>
          </w:p>
        </w:tc>
        <w:tc>
          <w:tcPr>
            <w:tcW w:w="1200" w:type="dxa"/>
            <w:tcBorders>
              <w:top w:val="nil"/>
              <w:left w:val="nil"/>
              <w:bottom w:val="single" w:sz="4" w:space="0" w:color="auto"/>
              <w:right w:val="single" w:sz="4" w:space="0" w:color="auto"/>
            </w:tcBorders>
            <w:shd w:val="clear" w:color="auto" w:fill="auto"/>
            <w:noWrap/>
            <w:vAlign w:val="bottom"/>
            <w:hideMark/>
          </w:tcPr>
          <w:p w14:paraId="7D22131C"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0,86</w:t>
            </w:r>
          </w:p>
        </w:tc>
        <w:tc>
          <w:tcPr>
            <w:tcW w:w="1896" w:type="dxa"/>
            <w:tcBorders>
              <w:top w:val="nil"/>
              <w:left w:val="nil"/>
              <w:bottom w:val="single" w:sz="4" w:space="0" w:color="auto"/>
              <w:right w:val="single" w:sz="4" w:space="0" w:color="auto"/>
            </w:tcBorders>
            <w:shd w:val="clear" w:color="auto" w:fill="auto"/>
            <w:noWrap/>
            <w:vAlign w:val="bottom"/>
            <w:hideMark/>
          </w:tcPr>
          <w:p w14:paraId="1F44079E"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87%</w:t>
            </w:r>
          </w:p>
        </w:tc>
        <w:tc>
          <w:tcPr>
            <w:tcW w:w="1503" w:type="dxa"/>
            <w:tcBorders>
              <w:top w:val="nil"/>
              <w:left w:val="nil"/>
              <w:bottom w:val="single" w:sz="4" w:space="0" w:color="auto"/>
              <w:right w:val="single" w:sz="4" w:space="0" w:color="auto"/>
            </w:tcBorders>
            <w:shd w:val="clear" w:color="auto" w:fill="auto"/>
            <w:noWrap/>
            <w:vAlign w:val="bottom"/>
            <w:hideMark/>
          </w:tcPr>
          <w:p w14:paraId="0FE5085A" w14:textId="77777777" w:rsidR="00DD2C38" w:rsidRPr="00A315A0" w:rsidRDefault="00DD2C38"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800" w:type="dxa"/>
            <w:tcBorders>
              <w:top w:val="nil"/>
              <w:left w:val="nil"/>
              <w:bottom w:val="single" w:sz="4" w:space="0" w:color="auto"/>
              <w:right w:val="single" w:sz="4" w:space="0" w:color="auto"/>
            </w:tcBorders>
            <w:shd w:val="clear" w:color="auto" w:fill="auto"/>
            <w:noWrap/>
            <w:vAlign w:val="bottom"/>
            <w:hideMark/>
          </w:tcPr>
          <w:p w14:paraId="607E10E7"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-98%</w:t>
            </w:r>
          </w:p>
        </w:tc>
        <w:tc>
          <w:tcPr>
            <w:tcW w:w="1620" w:type="dxa"/>
            <w:tcBorders>
              <w:top w:val="nil"/>
              <w:left w:val="nil"/>
              <w:bottom w:val="single" w:sz="4" w:space="0" w:color="auto"/>
              <w:right w:val="single" w:sz="4" w:space="0" w:color="auto"/>
            </w:tcBorders>
            <w:shd w:val="clear" w:color="auto" w:fill="auto"/>
            <w:noWrap/>
            <w:vAlign w:val="bottom"/>
            <w:hideMark/>
          </w:tcPr>
          <w:p w14:paraId="5F5B4E33"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-12%</w:t>
            </w:r>
          </w:p>
        </w:tc>
      </w:tr>
      <w:tr w:rsidR="00DD2C38" w:rsidRPr="00A315A0" w14:paraId="74744A90"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7DFB0CA"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16</w:t>
            </w:r>
          </w:p>
        </w:tc>
        <w:tc>
          <w:tcPr>
            <w:tcW w:w="1200" w:type="dxa"/>
            <w:tcBorders>
              <w:top w:val="nil"/>
              <w:left w:val="nil"/>
              <w:bottom w:val="single" w:sz="4" w:space="0" w:color="auto"/>
              <w:right w:val="single" w:sz="4" w:space="0" w:color="auto"/>
            </w:tcBorders>
            <w:shd w:val="clear" w:color="auto" w:fill="auto"/>
            <w:noWrap/>
            <w:vAlign w:val="bottom"/>
            <w:hideMark/>
          </w:tcPr>
          <w:p w14:paraId="5B8E23D3"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7,44</w:t>
            </w:r>
          </w:p>
        </w:tc>
        <w:tc>
          <w:tcPr>
            <w:tcW w:w="1896" w:type="dxa"/>
            <w:tcBorders>
              <w:top w:val="nil"/>
              <w:left w:val="nil"/>
              <w:bottom w:val="single" w:sz="4" w:space="0" w:color="auto"/>
              <w:right w:val="single" w:sz="4" w:space="0" w:color="auto"/>
            </w:tcBorders>
            <w:shd w:val="clear" w:color="auto" w:fill="auto"/>
            <w:noWrap/>
            <w:vAlign w:val="bottom"/>
            <w:hideMark/>
          </w:tcPr>
          <w:p w14:paraId="77014BF6"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13%</w:t>
            </w:r>
          </w:p>
        </w:tc>
        <w:tc>
          <w:tcPr>
            <w:tcW w:w="1503" w:type="dxa"/>
            <w:tcBorders>
              <w:top w:val="nil"/>
              <w:left w:val="nil"/>
              <w:bottom w:val="single" w:sz="4" w:space="0" w:color="auto"/>
              <w:right w:val="single" w:sz="4" w:space="0" w:color="auto"/>
            </w:tcBorders>
            <w:shd w:val="clear" w:color="auto" w:fill="auto"/>
            <w:noWrap/>
            <w:vAlign w:val="bottom"/>
            <w:hideMark/>
          </w:tcPr>
          <w:p w14:paraId="07CC154E" w14:textId="77777777" w:rsidR="00DD2C38" w:rsidRPr="00A315A0" w:rsidRDefault="00DD2C38"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800" w:type="dxa"/>
            <w:tcBorders>
              <w:top w:val="nil"/>
              <w:left w:val="nil"/>
              <w:bottom w:val="single" w:sz="4" w:space="0" w:color="auto"/>
              <w:right w:val="single" w:sz="4" w:space="0" w:color="auto"/>
            </w:tcBorders>
            <w:shd w:val="clear" w:color="auto" w:fill="auto"/>
            <w:noWrap/>
            <w:vAlign w:val="bottom"/>
            <w:hideMark/>
          </w:tcPr>
          <w:p w14:paraId="3B5A0B68"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45%</w:t>
            </w:r>
          </w:p>
        </w:tc>
        <w:tc>
          <w:tcPr>
            <w:tcW w:w="1620" w:type="dxa"/>
            <w:tcBorders>
              <w:top w:val="nil"/>
              <w:left w:val="nil"/>
              <w:bottom w:val="single" w:sz="4" w:space="0" w:color="auto"/>
              <w:right w:val="single" w:sz="4" w:space="0" w:color="auto"/>
            </w:tcBorders>
            <w:shd w:val="clear" w:color="auto" w:fill="auto"/>
            <w:noWrap/>
            <w:vAlign w:val="bottom"/>
            <w:hideMark/>
          </w:tcPr>
          <w:p w14:paraId="087465DB"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39%</w:t>
            </w:r>
          </w:p>
        </w:tc>
      </w:tr>
      <w:tr w:rsidR="00DD2C38" w:rsidRPr="00A315A0" w14:paraId="106C7814"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C5D6582"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17</w:t>
            </w:r>
          </w:p>
        </w:tc>
        <w:tc>
          <w:tcPr>
            <w:tcW w:w="1200" w:type="dxa"/>
            <w:tcBorders>
              <w:top w:val="nil"/>
              <w:left w:val="nil"/>
              <w:bottom w:val="single" w:sz="4" w:space="0" w:color="auto"/>
              <w:right w:val="single" w:sz="4" w:space="0" w:color="auto"/>
            </w:tcBorders>
            <w:shd w:val="clear" w:color="auto" w:fill="auto"/>
            <w:noWrap/>
            <w:vAlign w:val="bottom"/>
            <w:hideMark/>
          </w:tcPr>
          <w:p w14:paraId="160BF4FC"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0,52</w:t>
            </w:r>
          </w:p>
        </w:tc>
        <w:tc>
          <w:tcPr>
            <w:tcW w:w="1896" w:type="dxa"/>
            <w:tcBorders>
              <w:top w:val="nil"/>
              <w:left w:val="nil"/>
              <w:bottom w:val="single" w:sz="4" w:space="0" w:color="auto"/>
              <w:right w:val="single" w:sz="4" w:space="0" w:color="auto"/>
            </w:tcBorders>
            <w:shd w:val="clear" w:color="auto" w:fill="auto"/>
            <w:noWrap/>
            <w:vAlign w:val="bottom"/>
            <w:hideMark/>
          </w:tcPr>
          <w:p w14:paraId="63C22955"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266%</w:t>
            </w:r>
          </w:p>
        </w:tc>
        <w:tc>
          <w:tcPr>
            <w:tcW w:w="1503" w:type="dxa"/>
            <w:tcBorders>
              <w:top w:val="nil"/>
              <w:left w:val="nil"/>
              <w:bottom w:val="single" w:sz="4" w:space="0" w:color="auto"/>
              <w:right w:val="single" w:sz="4" w:space="0" w:color="auto"/>
            </w:tcBorders>
            <w:shd w:val="clear" w:color="auto" w:fill="auto"/>
            <w:noWrap/>
            <w:vAlign w:val="bottom"/>
            <w:hideMark/>
          </w:tcPr>
          <w:p w14:paraId="2AB88E27"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-3,75</w:t>
            </w:r>
          </w:p>
        </w:tc>
        <w:tc>
          <w:tcPr>
            <w:tcW w:w="1800" w:type="dxa"/>
            <w:tcBorders>
              <w:top w:val="nil"/>
              <w:left w:val="nil"/>
              <w:bottom w:val="single" w:sz="4" w:space="0" w:color="auto"/>
              <w:right w:val="single" w:sz="4" w:space="0" w:color="auto"/>
            </w:tcBorders>
            <w:shd w:val="clear" w:color="auto" w:fill="auto"/>
            <w:noWrap/>
            <w:vAlign w:val="bottom"/>
            <w:hideMark/>
          </w:tcPr>
          <w:p w14:paraId="053233B5"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35%</w:t>
            </w:r>
          </w:p>
        </w:tc>
        <w:tc>
          <w:tcPr>
            <w:tcW w:w="1620" w:type="dxa"/>
            <w:tcBorders>
              <w:top w:val="nil"/>
              <w:left w:val="nil"/>
              <w:bottom w:val="single" w:sz="4" w:space="0" w:color="auto"/>
              <w:right w:val="single" w:sz="4" w:space="0" w:color="auto"/>
            </w:tcBorders>
            <w:shd w:val="clear" w:color="auto" w:fill="auto"/>
            <w:noWrap/>
            <w:vAlign w:val="bottom"/>
            <w:hideMark/>
          </w:tcPr>
          <w:p w14:paraId="71F64971"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-58%</w:t>
            </w:r>
          </w:p>
        </w:tc>
      </w:tr>
      <w:tr w:rsidR="00DD2C38" w:rsidRPr="00A315A0" w14:paraId="1E7EB921"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C474CD7"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18</w:t>
            </w:r>
          </w:p>
        </w:tc>
        <w:tc>
          <w:tcPr>
            <w:tcW w:w="1200" w:type="dxa"/>
            <w:tcBorders>
              <w:top w:val="nil"/>
              <w:left w:val="nil"/>
              <w:bottom w:val="single" w:sz="4" w:space="0" w:color="auto"/>
              <w:right w:val="single" w:sz="4" w:space="0" w:color="auto"/>
            </w:tcBorders>
            <w:shd w:val="clear" w:color="auto" w:fill="auto"/>
            <w:noWrap/>
            <w:vAlign w:val="bottom"/>
            <w:hideMark/>
          </w:tcPr>
          <w:p w14:paraId="465BA913"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1,96</w:t>
            </w:r>
          </w:p>
        </w:tc>
        <w:tc>
          <w:tcPr>
            <w:tcW w:w="1896" w:type="dxa"/>
            <w:tcBorders>
              <w:top w:val="nil"/>
              <w:left w:val="nil"/>
              <w:bottom w:val="single" w:sz="4" w:space="0" w:color="auto"/>
              <w:right w:val="single" w:sz="4" w:space="0" w:color="auto"/>
            </w:tcBorders>
            <w:shd w:val="clear" w:color="auto" w:fill="auto"/>
            <w:noWrap/>
            <w:vAlign w:val="bottom"/>
            <w:hideMark/>
          </w:tcPr>
          <w:p w14:paraId="457216FE"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15%</w:t>
            </w:r>
          </w:p>
        </w:tc>
        <w:tc>
          <w:tcPr>
            <w:tcW w:w="1503" w:type="dxa"/>
            <w:tcBorders>
              <w:top w:val="nil"/>
              <w:left w:val="nil"/>
              <w:bottom w:val="single" w:sz="4" w:space="0" w:color="auto"/>
              <w:right w:val="single" w:sz="4" w:space="0" w:color="auto"/>
            </w:tcBorders>
            <w:shd w:val="clear" w:color="auto" w:fill="auto"/>
            <w:noWrap/>
            <w:vAlign w:val="bottom"/>
            <w:hideMark/>
          </w:tcPr>
          <w:p w14:paraId="44E8E6FD"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11,90</w:t>
            </w:r>
          </w:p>
        </w:tc>
        <w:tc>
          <w:tcPr>
            <w:tcW w:w="1800" w:type="dxa"/>
            <w:tcBorders>
              <w:top w:val="nil"/>
              <w:left w:val="nil"/>
              <w:bottom w:val="single" w:sz="4" w:space="0" w:color="auto"/>
              <w:right w:val="single" w:sz="4" w:space="0" w:color="auto"/>
            </w:tcBorders>
            <w:shd w:val="clear" w:color="auto" w:fill="auto"/>
            <w:noWrap/>
            <w:vAlign w:val="bottom"/>
            <w:hideMark/>
          </w:tcPr>
          <w:p w14:paraId="35F25426"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24%</w:t>
            </w:r>
          </w:p>
        </w:tc>
        <w:tc>
          <w:tcPr>
            <w:tcW w:w="1620" w:type="dxa"/>
            <w:tcBorders>
              <w:top w:val="nil"/>
              <w:left w:val="nil"/>
              <w:bottom w:val="single" w:sz="4" w:space="0" w:color="auto"/>
              <w:right w:val="single" w:sz="4" w:space="0" w:color="auto"/>
            </w:tcBorders>
            <w:shd w:val="clear" w:color="auto" w:fill="auto"/>
            <w:noWrap/>
            <w:vAlign w:val="bottom"/>
            <w:hideMark/>
          </w:tcPr>
          <w:p w14:paraId="2C930049"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21%</w:t>
            </w:r>
          </w:p>
        </w:tc>
      </w:tr>
      <w:tr w:rsidR="00DD2C38" w:rsidRPr="00A315A0" w14:paraId="7B54A601"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E90DAD6"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19</w:t>
            </w:r>
          </w:p>
        </w:tc>
        <w:tc>
          <w:tcPr>
            <w:tcW w:w="1200" w:type="dxa"/>
            <w:tcBorders>
              <w:top w:val="nil"/>
              <w:left w:val="nil"/>
              <w:bottom w:val="single" w:sz="4" w:space="0" w:color="auto"/>
              <w:right w:val="single" w:sz="4" w:space="0" w:color="auto"/>
            </w:tcBorders>
            <w:shd w:val="clear" w:color="auto" w:fill="auto"/>
            <w:noWrap/>
            <w:vAlign w:val="bottom"/>
            <w:hideMark/>
          </w:tcPr>
          <w:p w14:paraId="16283842"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8,09</w:t>
            </w:r>
          </w:p>
        </w:tc>
        <w:tc>
          <w:tcPr>
            <w:tcW w:w="1896" w:type="dxa"/>
            <w:tcBorders>
              <w:top w:val="nil"/>
              <w:left w:val="nil"/>
              <w:bottom w:val="single" w:sz="4" w:space="0" w:color="auto"/>
              <w:right w:val="single" w:sz="4" w:space="0" w:color="auto"/>
            </w:tcBorders>
            <w:shd w:val="clear" w:color="auto" w:fill="auto"/>
            <w:noWrap/>
            <w:vAlign w:val="bottom"/>
            <w:hideMark/>
          </w:tcPr>
          <w:p w14:paraId="200300D7"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10%</w:t>
            </w:r>
          </w:p>
        </w:tc>
        <w:tc>
          <w:tcPr>
            <w:tcW w:w="1503" w:type="dxa"/>
            <w:tcBorders>
              <w:top w:val="nil"/>
              <w:left w:val="nil"/>
              <w:bottom w:val="single" w:sz="4" w:space="0" w:color="auto"/>
              <w:right w:val="single" w:sz="4" w:space="0" w:color="auto"/>
            </w:tcBorders>
            <w:shd w:val="clear" w:color="auto" w:fill="auto"/>
            <w:noWrap/>
            <w:vAlign w:val="bottom"/>
            <w:hideMark/>
          </w:tcPr>
          <w:p w14:paraId="2E43E8CF"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3,41</w:t>
            </w:r>
          </w:p>
        </w:tc>
        <w:tc>
          <w:tcPr>
            <w:tcW w:w="1800" w:type="dxa"/>
            <w:tcBorders>
              <w:top w:val="nil"/>
              <w:left w:val="nil"/>
              <w:bottom w:val="single" w:sz="4" w:space="0" w:color="auto"/>
              <w:right w:val="single" w:sz="4" w:space="0" w:color="auto"/>
            </w:tcBorders>
            <w:shd w:val="clear" w:color="auto" w:fill="auto"/>
            <w:noWrap/>
            <w:vAlign w:val="bottom"/>
            <w:hideMark/>
          </w:tcPr>
          <w:p w14:paraId="7E472995"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47%</w:t>
            </w:r>
          </w:p>
        </w:tc>
        <w:tc>
          <w:tcPr>
            <w:tcW w:w="1620" w:type="dxa"/>
            <w:tcBorders>
              <w:top w:val="nil"/>
              <w:left w:val="nil"/>
              <w:bottom w:val="single" w:sz="4" w:space="0" w:color="auto"/>
              <w:right w:val="single" w:sz="4" w:space="0" w:color="auto"/>
            </w:tcBorders>
            <w:shd w:val="clear" w:color="auto" w:fill="auto"/>
            <w:noWrap/>
            <w:vAlign w:val="bottom"/>
            <w:hideMark/>
          </w:tcPr>
          <w:p w14:paraId="0B1337E9"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42%</w:t>
            </w:r>
          </w:p>
        </w:tc>
      </w:tr>
      <w:tr w:rsidR="00DD2C38" w:rsidRPr="00A315A0" w14:paraId="1F96D9E8"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97175B0"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20</w:t>
            </w:r>
          </w:p>
        </w:tc>
        <w:tc>
          <w:tcPr>
            <w:tcW w:w="1200" w:type="dxa"/>
            <w:tcBorders>
              <w:top w:val="nil"/>
              <w:left w:val="nil"/>
              <w:bottom w:val="single" w:sz="4" w:space="0" w:color="auto"/>
              <w:right w:val="single" w:sz="4" w:space="0" w:color="auto"/>
            </w:tcBorders>
            <w:shd w:val="clear" w:color="auto" w:fill="auto"/>
            <w:noWrap/>
            <w:vAlign w:val="bottom"/>
            <w:hideMark/>
          </w:tcPr>
          <w:p w14:paraId="10BCCE90"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2,16</w:t>
            </w:r>
          </w:p>
        </w:tc>
        <w:tc>
          <w:tcPr>
            <w:tcW w:w="1896" w:type="dxa"/>
            <w:tcBorders>
              <w:top w:val="nil"/>
              <w:left w:val="nil"/>
              <w:bottom w:val="single" w:sz="4" w:space="0" w:color="auto"/>
              <w:right w:val="single" w:sz="4" w:space="0" w:color="auto"/>
            </w:tcBorders>
            <w:shd w:val="clear" w:color="auto" w:fill="auto"/>
            <w:noWrap/>
            <w:vAlign w:val="bottom"/>
            <w:hideMark/>
          </w:tcPr>
          <w:p w14:paraId="364D13E6"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10%</w:t>
            </w:r>
          </w:p>
        </w:tc>
        <w:tc>
          <w:tcPr>
            <w:tcW w:w="1503" w:type="dxa"/>
            <w:tcBorders>
              <w:top w:val="nil"/>
              <w:left w:val="nil"/>
              <w:bottom w:val="single" w:sz="4" w:space="0" w:color="auto"/>
              <w:right w:val="single" w:sz="4" w:space="0" w:color="auto"/>
            </w:tcBorders>
            <w:shd w:val="clear" w:color="auto" w:fill="auto"/>
            <w:noWrap/>
            <w:vAlign w:val="bottom"/>
            <w:hideMark/>
          </w:tcPr>
          <w:p w14:paraId="46013120"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2,25</w:t>
            </w:r>
          </w:p>
        </w:tc>
        <w:tc>
          <w:tcPr>
            <w:tcW w:w="1800" w:type="dxa"/>
            <w:tcBorders>
              <w:top w:val="nil"/>
              <w:left w:val="nil"/>
              <w:bottom w:val="single" w:sz="4" w:space="0" w:color="auto"/>
              <w:right w:val="single" w:sz="4" w:space="0" w:color="auto"/>
            </w:tcBorders>
            <w:shd w:val="clear" w:color="auto" w:fill="auto"/>
            <w:noWrap/>
            <w:vAlign w:val="bottom"/>
            <w:hideMark/>
          </w:tcPr>
          <w:p w14:paraId="36C678E9"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12%</w:t>
            </w:r>
          </w:p>
        </w:tc>
        <w:tc>
          <w:tcPr>
            <w:tcW w:w="1620" w:type="dxa"/>
            <w:tcBorders>
              <w:top w:val="nil"/>
              <w:left w:val="nil"/>
              <w:bottom w:val="single" w:sz="4" w:space="0" w:color="auto"/>
              <w:right w:val="single" w:sz="4" w:space="0" w:color="auto"/>
            </w:tcBorders>
            <w:shd w:val="clear" w:color="auto" w:fill="auto"/>
            <w:noWrap/>
            <w:vAlign w:val="bottom"/>
            <w:hideMark/>
          </w:tcPr>
          <w:p w14:paraId="771945C7"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10%</w:t>
            </w:r>
          </w:p>
        </w:tc>
      </w:tr>
      <w:tr w:rsidR="00DD2C38" w:rsidRPr="00A315A0" w14:paraId="18850090"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932616F"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21</w:t>
            </w:r>
          </w:p>
        </w:tc>
        <w:tc>
          <w:tcPr>
            <w:tcW w:w="1200" w:type="dxa"/>
            <w:tcBorders>
              <w:top w:val="nil"/>
              <w:left w:val="nil"/>
              <w:bottom w:val="single" w:sz="4" w:space="0" w:color="auto"/>
              <w:right w:val="single" w:sz="4" w:space="0" w:color="auto"/>
            </w:tcBorders>
            <w:shd w:val="clear" w:color="auto" w:fill="auto"/>
            <w:noWrap/>
            <w:vAlign w:val="bottom"/>
            <w:hideMark/>
          </w:tcPr>
          <w:p w14:paraId="1CD0DC75"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0,59</w:t>
            </w:r>
          </w:p>
        </w:tc>
        <w:tc>
          <w:tcPr>
            <w:tcW w:w="1896" w:type="dxa"/>
            <w:tcBorders>
              <w:top w:val="nil"/>
              <w:left w:val="nil"/>
              <w:bottom w:val="single" w:sz="4" w:space="0" w:color="auto"/>
              <w:right w:val="single" w:sz="4" w:space="0" w:color="auto"/>
            </w:tcBorders>
            <w:shd w:val="clear" w:color="auto" w:fill="auto"/>
            <w:noWrap/>
            <w:vAlign w:val="bottom"/>
            <w:hideMark/>
          </w:tcPr>
          <w:p w14:paraId="13A6352C"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79%</w:t>
            </w:r>
          </w:p>
        </w:tc>
        <w:tc>
          <w:tcPr>
            <w:tcW w:w="1503" w:type="dxa"/>
            <w:tcBorders>
              <w:top w:val="nil"/>
              <w:left w:val="nil"/>
              <w:bottom w:val="single" w:sz="4" w:space="0" w:color="auto"/>
              <w:right w:val="single" w:sz="4" w:space="0" w:color="auto"/>
            </w:tcBorders>
            <w:shd w:val="clear" w:color="auto" w:fill="auto"/>
            <w:noWrap/>
            <w:vAlign w:val="bottom"/>
            <w:hideMark/>
          </w:tcPr>
          <w:p w14:paraId="6A528318"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5,50</w:t>
            </w:r>
          </w:p>
        </w:tc>
        <w:tc>
          <w:tcPr>
            <w:tcW w:w="1800" w:type="dxa"/>
            <w:tcBorders>
              <w:top w:val="nil"/>
              <w:left w:val="nil"/>
              <w:bottom w:val="single" w:sz="4" w:space="0" w:color="auto"/>
              <w:right w:val="single" w:sz="4" w:space="0" w:color="auto"/>
            </w:tcBorders>
            <w:shd w:val="clear" w:color="auto" w:fill="auto"/>
            <w:noWrap/>
            <w:vAlign w:val="bottom"/>
            <w:hideMark/>
          </w:tcPr>
          <w:p w14:paraId="7A7C0CB4"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74%</w:t>
            </w:r>
          </w:p>
        </w:tc>
        <w:tc>
          <w:tcPr>
            <w:tcW w:w="1620" w:type="dxa"/>
            <w:tcBorders>
              <w:top w:val="nil"/>
              <w:left w:val="nil"/>
              <w:bottom w:val="single" w:sz="4" w:space="0" w:color="auto"/>
              <w:right w:val="single" w:sz="4" w:space="0" w:color="auto"/>
            </w:tcBorders>
            <w:shd w:val="clear" w:color="auto" w:fill="auto"/>
            <w:noWrap/>
            <w:vAlign w:val="bottom"/>
            <w:hideMark/>
          </w:tcPr>
          <w:p w14:paraId="04003F31"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16%</w:t>
            </w:r>
          </w:p>
        </w:tc>
      </w:tr>
      <w:tr w:rsidR="00DD2C38" w:rsidRPr="00A315A0" w14:paraId="6FD07377"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1734BE9"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22</w:t>
            </w:r>
          </w:p>
        </w:tc>
        <w:tc>
          <w:tcPr>
            <w:tcW w:w="1200" w:type="dxa"/>
            <w:tcBorders>
              <w:top w:val="nil"/>
              <w:left w:val="nil"/>
              <w:bottom w:val="single" w:sz="4" w:space="0" w:color="auto"/>
              <w:right w:val="single" w:sz="4" w:space="0" w:color="auto"/>
            </w:tcBorders>
            <w:shd w:val="clear" w:color="auto" w:fill="auto"/>
            <w:noWrap/>
            <w:vAlign w:val="bottom"/>
            <w:hideMark/>
          </w:tcPr>
          <w:p w14:paraId="7F33FAF0"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0,30</w:t>
            </w:r>
          </w:p>
        </w:tc>
        <w:tc>
          <w:tcPr>
            <w:tcW w:w="1896" w:type="dxa"/>
            <w:tcBorders>
              <w:top w:val="nil"/>
              <w:left w:val="nil"/>
              <w:bottom w:val="single" w:sz="4" w:space="0" w:color="auto"/>
              <w:right w:val="single" w:sz="4" w:space="0" w:color="auto"/>
            </w:tcBorders>
            <w:shd w:val="clear" w:color="auto" w:fill="auto"/>
            <w:noWrap/>
            <w:vAlign w:val="bottom"/>
            <w:hideMark/>
          </w:tcPr>
          <w:p w14:paraId="082ECC77"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167%</w:t>
            </w:r>
          </w:p>
        </w:tc>
        <w:tc>
          <w:tcPr>
            <w:tcW w:w="1503" w:type="dxa"/>
            <w:tcBorders>
              <w:top w:val="nil"/>
              <w:left w:val="nil"/>
              <w:bottom w:val="single" w:sz="4" w:space="0" w:color="auto"/>
              <w:right w:val="single" w:sz="4" w:space="0" w:color="auto"/>
            </w:tcBorders>
            <w:shd w:val="clear" w:color="auto" w:fill="auto"/>
            <w:noWrap/>
            <w:vAlign w:val="bottom"/>
            <w:hideMark/>
          </w:tcPr>
          <w:p w14:paraId="0666ADB4"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-0,43</w:t>
            </w:r>
          </w:p>
        </w:tc>
        <w:tc>
          <w:tcPr>
            <w:tcW w:w="1800" w:type="dxa"/>
            <w:tcBorders>
              <w:top w:val="nil"/>
              <w:left w:val="nil"/>
              <w:bottom w:val="single" w:sz="4" w:space="0" w:color="auto"/>
              <w:right w:val="single" w:sz="4" w:space="0" w:color="auto"/>
            </w:tcBorders>
            <w:shd w:val="clear" w:color="auto" w:fill="auto"/>
            <w:noWrap/>
            <w:vAlign w:val="bottom"/>
            <w:hideMark/>
          </w:tcPr>
          <w:p w14:paraId="2C2275E8"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10%</w:t>
            </w:r>
          </w:p>
        </w:tc>
        <w:tc>
          <w:tcPr>
            <w:tcW w:w="1620" w:type="dxa"/>
            <w:tcBorders>
              <w:top w:val="nil"/>
              <w:left w:val="nil"/>
              <w:bottom w:val="single" w:sz="4" w:space="0" w:color="auto"/>
              <w:right w:val="single" w:sz="4" w:space="0" w:color="auto"/>
            </w:tcBorders>
            <w:shd w:val="clear" w:color="auto" w:fill="auto"/>
            <w:noWrap/>
            <w:vAlign w:val="bottom"/>
            <w:hideMark/>
          </w:tcPr>
          <w:p w14:paraId="411222DE"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-7%</w:t>
            </w:r>
          </w:p>
        </w:tc>
      </w:tr>
      <w:tr w:rsidR="00DD2C38" w:rsidRPr="00A315A0" w14:paraId="0075B729"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AEA8DC0"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23</w:t>
            </w:r>
          </w:p>
        </w:tc>
        <w:tc>
          <w:tcPr>
            <w:tcW w:w="1200" w:type="dxa"/>
            <w:tcBorders>
              <w:top w:val="nil"/>
              <w:left w:val="nil"/>
              <w:bottom w:val="single" w:sz="4" w:space="0" w:color="auto"/>
              <w:right w:val="single" w:sz="4" w:space="0" w:color="auto"/>
            </w:tcBorders>
            <w:shd w:val="clear" w:color="auto" w:fill="auto"/>
            <w:noWrap/>
            <w:vAlign w:val="bottom"/>
            <w:hideMark/>
          </w:tcPr>
          <w:p w14:paraId="034CB96C"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1,10</w:t>
            </w:r>
          </w:p>
        </w:tc>
        <w:tc>
          <w:tcPr>
            <w:tcW w:w="1896" w:type="dxa"/>
            <w:tcBorders>
              <w:top w:val="nil"/>
              <w:left w:val="nil"/>
              <w:bottom w:val="single" w:sz="4" w:space="0" w:color="auto"/>
              <w:right w:val="single" w:sz="4" w:space="0" w:color="auto"/>
            </w:tcBorders>
            <w:shd w:val="clear" w:color="auto" w:fill="auto"/>
            <w:noWrap/>
            <w:vAlign w:val="bottom"/>
            <w:hideMark/>
          </w:tcPr>
          <w:p w14:paraId="31722054"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90%</w:t>
            </w:r>
          </w:p>
        </w:tc>
        <w:tc>
          <w:tcPr>
            <w:tcW w:w="1503" w:type="dxa"/>
            <w:tcBorders>
              <w:top w:val="nil"/>
              <w:left w:val="nil"/>
              <w:bottom w:val="single" w:sz="4" w:space="0" w:color="auto"/>
              <w:right w:val="single" w:sz="4" w:space="0" w:color="auto"/>
            </w:tcBorders>
            <w:shd w:val="clear" w:color="auto" w:fill="auto"/>
            <w:noWrap/>
            <w:vAlign w:val="bottom"/>
            <w:hideMark/>
          </w:tcPr>
          <w:p w14:paraId="024F03EC"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4,50</w:t>
            </w:r>
          </w:p>
        </w:tc>
        <w:tc>
          <w:tcPr>
            <w:tcW w:w="1800" w:type="dxa"/>
            <w:tcBorders>
              <w:top w:val="nil"/>
              <w:left w:val="nil"/>
              <w:bottom w:val="single" w:sz="4" w:space="0" w:color="auto"/>
              <w:right w:val="single" w:sz="4" w:space="0" w:color="auto"/>
            </w:tcBorders>
            <w:shd w:val="clear" w:color="auto" w:fill="auto"/>
            <w:noWrap/>
            <w:vAlign w:val="bottom"/>
            <w:hideMark/>
          </w:tcPr>
          <w:p w14:paraId="2C563134"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80%</w:t>
            </w:r>
          </w:p>
        </w:tc>
        <w:tc>
          <w:tcPr>
            <w:tcW w:w="1620" w:type="dxa"/>
            <w:tcBorders>
              <w:top w:val="nil"/>
              <w:left w:val="nil"/>
              <w:bottom w:val="single" w:sz="4" w:space="0" w:color="auto"/>
              <w:right w:val="single" w:sz="4" w:space="0" w:color="auto"/>
            </w:tcBorders>
            <w:shd w:val="clear" w:color="auto" w:fill="auto"/>
            <w:noWrap/>
            <w:vAlign w:val="bottom"/>
            <w:hideMark/>
          </w:tcPr>
          <w:p w14:paraId="01AA61C7"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8%</w:t>
            </w:r>
          </w:p>
        </w:tc>
      </w:tr>
      <w:tr w:rsidR="00DD2C38" w:rsidRPr="00A315A0" w14:paraId="2E7337BE"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F004549"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24</w:t>
            </w:r>
          </w:p>
        </w:tc>
        <w:tc>
          <w:tcPr>
            <w:tcW w:w="1200" w:type="dxa"/>
            <w:tcBorders>
              <w:top w:val="nil"/>
              <w:left w:val="nil"/>
              <w:bottom w:val="single" w:sz="4" w:space="0" w:color="auto"/>
              <w:right w:val="single" w:sz="4" w:space="0" w:color="auto"/>
            </w:tcBorders>
            <w:shd w:val="clear" w:color="auto" w:fill="auto"/>
            <w:noWrap/>
            <w:vAlign w:val="bottom"/>
            <w:hideMark/>
          </w:tcPr>
          <w:p w14:paraId="086EE47F"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3,73</w:t>
            </w:r>
          </w:p>
        </w:tc>
        <w:tc>
          <w:tcPr>
            <w:tcW w:w="1896" w:type="dxa"/>
            <w:tcBorders>
              <w:top w:val="nil"/>
              <w:left w:val="nil"/>
              <w:bottom w:val="single" w:sz="4" w:space="0" w:color="auto"/>
              <w:right w:val="single" w:sz="4" w:space="0" w:color="auto"/>
            </w:tcBorders>
            <w:shd w:val="clear" w:color="auto" w:fill="auto"/>
            <w:noWrap/>
            <w:vAlign w:val="bottom"/>
            <w:hideMark/>
          </w:tcPr>
          <w:p w14:paraId="2140A0D9"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62%</w:t>
            </w:r>
          </w:p>
        </w:tc>
        <w:tc>
          <w:tcPr>
            <w:tcW w:w="1503" w:type="dxa"/>
            <w:tcBorders>
              <w:top w:val="nil"/>
              <w:left w:val="nil"/>
              <w:bottom w:val="single" w:sz="4" w:space="0" w:color="auto"/>
              <w:right w:val="single" w:sz="4" w:space="0" w:color="auto"/>
            </w:tcBorders>
            <w:shd w:val="clear" w:color="auto" w:fill="auto"/>
            <w:noWrap/>
            <w:vAlign w:val="bottom"/>
            <w:hideMark/>
          </w:tcPr>
          <w:p w14:paraId="47676DF6"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1,21</w:t>
            </w:r>
          </w:p>
        </w:tc>
        <w:tc>
          <w:tcPr>
            <w:tcW w:w="1800" w:type="dxa"/>
            <w:tcBorders>
              <w:top w:val="nil"/>
              <w:left w:val="nil"/>
              <w:bottom w:val="single" w:sz="4" w:space="0" w:color="auto"/>
              <w:right w:val="single" w:sz="4" w:space="0" w:color="auto"/>
            </w:tcBorders>
            <w:shd w:val="clear" w:color="auto" w:fill="auto"/>
            <w:noWrap/>
            <w:vAlign w:val="bottom"/>
            <w:hideMark/>
          </w:tcPr>
          <w:p w14:paraId="65F25AFE"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12%</w:t>
            </w:r>
          </w:p>
        </w:tc>
        <w:tc>
          <w:tcPr>
            <w:tcW w:w="1620" w:type="dxa"/>
            <w:tcBorders>
              <w:top w:val="nil"/>
              <w:left w:val="nil"/>
              <w:bottom w:val="single" w:sz="4" w:space="0" w:color="auto"/>
              <w:right w:val="single" w:sz="4" w:space="0" w:color="auto"/>
            </w:tcBorders>
            <w:shd w:val="clear" w:color="auto" w:fill="auto"/>
            <w:noWrap/>
            <w:vAlign w:val="bottom"/>
            <w:hideMark/>
          </w:tcPr>
          <w:p w14:paraId="1D99C04E"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5%</w:t>
            </w:r>
          </w:p>
        </w:tc>
      </w:tr>
      <w:tr w:rsidR="00DD2C38" w:rsidRPr="00A315A0" w14:paraId="67B8FB03"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52E51D6"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25</w:t>
            </w:r>
          </w:p>
        </w:tc>
        <w:tc>
          <w:tcPr>
            <w:tcW w:w="1200" w:type="dxa"/>
            <w:tcBorders>
              <w:top w:val="nil"/>
              <w:left w:val="nil"/>
              <w:bottom w:val="single" w:sz="4" w:space="0" w:color="auto"/>
              <w:right w:val="single" w:sz="4" w:space="0" w:color="auto"/>
            </w:tcBorders>
            <w:shd w:val="clear" w:color="auto" w:fill="auto"/>
            <w:noWrap/>
            <w:vAlign w:val="bottom"/>
            <w:hideMark/>
          </w:tcPr>
          <w:p w14:paraId="2D06421B"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2,55</w:t>
            </w:r>
          </w:p>
        </w:tc>
        <w:tc>
          <w:tcPr>
            <w:tcW w:w="1896" w:type="dxa"/>
            <w:tcBorders>
              <w:top w:val="nil"/>
              <w:left w:val="nil"/>
              <w:bottom w:val="single" w:sz="4" w:space="0" w:color="auto"/>
              <w:right w:val="single" w:sz="4" w:space="0" w:color="auto"/>
            </w:tcBorders>
            <w:shd w:val="clear" w:color="auto" w:fill="auto"/>
            <w:noWrap/>
            <w:vAlign w:val="bottom"/>
            <w:hideMark/>
          </w:tcPr>
          <w:p w14:paraId="6422C499"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37%</w:t>
            </w:r>
          </w:p>
        </w:tc>
        <w:tc>
          <w:tcPr>
            <w:tcW w:w="1503" w:type="dxa"/>
            <w:tcBorders>
              <w:top w:val="nil"/>
              <w:left w:val="nil"/>
              <w:bottom w:val="single" w:sz="4" w:space="0" w:color="auto"/>
              <w:right w:val="single" w:sz="4" w:space="0" w:color="auto"/>
            </w:tcBorders>
            <w:shd w:val="clear" w:color="auto" w:fill="auto"/>
            <w:noWrap/>
            <w:vAlign w:val="bottom"/>
            <w:hideMark/>
          </w:tcPr>
          <w:p w14:paraId="24DD03AA"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341,10</w:t>
            </w:r>
          </w:p>
        </w:tc>
        <w:tc>
          <w:tcPr>
            <w:tcW w:w="1800" w:type="dxa"/>
            <w:tcBorders>
              <w:top w:val="nil"/>
              <w:left w:val="nil"/>
              <w:bottom w:val="single" w:sz="4" w:space="0" w:color="auto"/>
              <w:right w:val="single" w:sz="4" w:space="0" w:color="auto"/>
            </w:tcBorders>
            <w:shd w:val="clear" w:color="auto" w:fill="auto"/>
            <w:noWrap/>
            <w:vAlign w:val="bottom"/>
            <w:hideMark/>
          </w:tcPr>
          <w:p w14:paraId="4DE261AE"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12%</w:t>
            </w:r>
          </w:p>
        </w:tc>
        <w:tc>
          <w:tcPr>
            <w:tcW w:w="1620" w:type="dxa"/>
            <w:tcBorders>
              <w:top w:val="nil"/>
              <w:left w:val="nil"/>
              <w:bottom w:val="single" w:sz="4" w:space="0" w:color="auto"/>
              <w:right w:val="single" w:sz="4" w:space="0" w:color="auto"/>
            </w:tcBorders>
            <w:shd w:val="clear" w:color="auto" w:fill="auto"/>
            <w:noWrap/>
            <w:vAlign w:val="bottom"/>
            <w:hideMark/>
          </w:tcPr>
          <w:p w14:paraId="00CA30A6"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7%</w:t>
            </w:r>
          </w:p>
        </w:tc>
      </w:tr>
      <w:tr w:rsidR="00DD2C38" w:rsidRPr="00A315A0" w14:paraId="573C2991"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E829076"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26</w:t>
            </w:r>
          </w:p>
        </w:tc>
        <w:tc>
          <w:tcPr>
            <w:tcW w:w="1200" w:type="dxa"/>
            <w:tcBorders>
              <w:top w:val="nil"/>
              <w:left w:val="nil"/>
              <w:bottom w:val="single" w:sz="4" w:space="0" w:color="auto"/>
              <w:right w:val="single" w:sz="4" w:space="0" w:color="auto"/>
            </w:tcBorders>
            <w:shd w:val="clear" w:color="auto" w:fill="auto"/>
            <w:noWrap/>
            <w:vAlign w:val="bottom"/>
            <w:hideMark/>
          </w:tcPr>
          <w:p w14:paraId="31ECD32A"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6,13</w:t>
            </w:r>
          </w:p>
        </w:tc>
        <w:tc>
          <w:tcPr>
            <w:tcW w:w="1896" w:type="dxa"/>
            <w:tcBorders>
              <w:top w:val="nil"/>
              <w:left w:val="nil"/>
              <w:bottom w:val="single" w:sz="4" w:space="0" w:color="auto"/>
              <w:right w:val="single" w:sz="4" w:space="0" w:color="auto"/>
            </w:tcBorders>
            <w:shd w:val="clear" w:color="auto" w:fill="auto"/>
            <w:noWrap/>
            <w:vAlign w:val="bottom"/>
            <w:hideMark/>
          </w:tcPr>
          <w:p w14:paraId="656DB2FE"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14%</w:t>
            </w:r>
          </w:p>
        </w:tc>
        <w:tc>
          <w:tcPr>
            <w:tcW w:w="1503" w:type="dxa"/>
            <w:tcBorders>
              <w:top w:val="nil"/>
              <w:left w:val="nil"/>
              <w:bottom w:val="single" w:sz="4" w:space="0" w:color="auto"/>
              <w:right w:val="single" w:sz="4" w:space="0" w:color="auto"/>
            </w:tcBorders>
            <w:shd w:val="clear" w:color="auto" w:fill="auto"/>
            <w:noWrap/>
            <w:vAlign w:val="bottom"/>
            <w:hideMark/>
          </w:tcPr>
          <w:p w14:paraId="3C78B814" w14:textId="77777777" w:rsidR="00DD2C38" w:rsidRPr="00A315A0" w:rsidRDefault="00DD2C38"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800" w:type="dxa"/>
            <w:tcBorders>
              <w:top w:val="nil"/>
              <w:left w:val="nil"/>
              <w:bottom w:val="single" w:sz="4" w:space="0" w:color="auto"/>
              <w:right w:val="single" w:sz="4" w:space="0" w:color="auto"/>
            </w:tcBorders>
            <w:shd w:val="clear" w:color="auto" w:fill="auto"/>
            <w:noWrap/>
            <w:vAlign w:val="bottom"/>
            <w:hideMark/>
          </w:tcPr>
          <w:p w14:paraId="7E3AB021"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w:t>
            </w:r>
          </w:p>
        </w:tc>
        <w:tc>
          <w:tcPr>
            <w:tcW w:w="1620" w:type="dxa"/>
            <w:tcBorders>
              <w:top w:val="nil"/>
              <w:left w:val="nil"/>
              <w:bottom w:val="single" w:sz="4" w:space="0" w:color="auto"/>
              <w:right w:val="single" w:sz="4" w:space="0" w:color="auto"/>
            </w:tcBorders>
            <w:shd w:val="clear" w:color="auto" w:fill="auto"/>
            <w:noWrap/>
            <w:vAlign w:val="bottom"/>
            <w:hideMark/>
          </w:tcPr>
          <w:p w14:paraId="2C83CC2A"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w:t>
            </w:r>
          </w:p>
        </w:tc>
      </w:tr>
      <w:tr w:rsidR="00DD2C38" w:rsidRPr="00A315A0" w14:paraId="163E219B"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A13965D"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27</w:t>
            </w:r>
          </w:p>
        </w:tc>
        <w:tc>
          <w:tcPr>
            <w:tcW w:w="1200" w:type="dxa"/>
            <w:tcBorders>
              <w:top w:val="nil"/>
              <w:left w:val="nil"/>
              <w:bottom w:val="single" w:sz="4" w:space="0" w:color="auto"/>
              <w:right w:val="single" w:sz="4" w:space="0" w:color="auto"/>
            </w:tcBorders>
            <w:shd w:val="clear" w:color="auto" w:fill="auto"/>
            <w:noWrap/>
            <w:vAlign w:val="bottom"/>
            <w:hideMark/>
          </w:tcPr>
          <w:p w14:paraId="1C7C3CD6"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1,01</w:t>
            </w:r>
          </w:p>
        </w:tc>
        <w:tc>
          <w:tcPr>
            <w:tcW w:w="1896" w:type="dxa"/>
            <w:tcBorders>
              <w:top w:val="nil"/>
              <w:left w:val="nil"/>
              <w:bottom w:val="single" w:sz="4" w:space="0" w:color="auto"/>
              <w:right w:val="single" w:sz="4" w:space="0" w:color="auto"/>
            </w:tcBorders>
            <w:shd w:val="clear" w:color="auto" w:fill="auto"/>
            <w:noWrap/>
            <w:vAlign w:val="bottom"/>
            <w:hideMark/>
          </w:tcPr>
          <w:p w14:paraId="6536A96B"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91%</w:t>
            </w:r>
          </w:p>
        </w:tc>
        <w:tc>
          <w:tcPr>
            <w:tcW w:w="1503" w:type="dxa"/>
            <w:tcBorders>
              <w:top w:val="nil"/>
              <w:left w:val="nil"/>
              <w:bottom w:val="single" w:sz="4" w:space="0" w:color="auto"/>
              <w:right w:val="single" w:sz="4" w:space="0" w:color="auto"/>
            </w:tcBorders>
            <w:shd w:val="clear" w:color="auto" w:fill="auto"/>
            <w:noWrap/>
            <w:vAlign w:val="bottom"/>
            <w:hideMark/>
          </w:tcPr>
          <w:p w14:paraId="7D0E593D"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1,39</w:t>
            </w:r>
          </w:p>
        </w:tc>
        <w:tc>
          <w:tcPr>
            <w:tcW w:w="1800" w:type="dxa"/>
            <w:tcBorders>
              <w:top w:val="nil"/>
              <w:left w:val="nil"/>
              <w:bottom w:val="single" w:sz="4" w:space="0" w:color="auto"/>
              <w:right w:val="single" w:sz="4" w:space="0" w:color="auto"/>
            </w:tcBorders>
            <w:shd w:val="clear" w:color="auto" w:fill="auto"/>
            <w:noWrap/>
            <w:vAlign w:val="bottom"/>
            <w:hideMark/>
          </w:tcPr>
          <w:p w14:paraId="2A828487"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95%</w:t>
            </w:r>
          </w:p>
        </w:tc>
        <w:tc>
          <w:tcPr>
            <w:tcW w:w="1620" w:type="dxa"/>
            <w:tcBorders>
              <w:top w:val="nil"/>
              <w:left w:val="nil"/>
              <w:bottom w:val="single" w:sz="4" w:space="0" w:color="auto"/>
              <w:right w:val="single" w:sz="4" w:space="0" w:color="auto"/>
            </w:tcBorders>
            <w:shd w:val="clear" w:color="auto" w:fill="auto"/>
            <w:noWrap/>
            <w:vAlign w:val="bottom"/>
            <w:hideMark/>
          </w:tcPr>
          <w:p w14:paraId="6C23032F"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9%</w:t>
            </w:r>
          </w:p>
        </w:tc>
      </w:tr>
      <w:tr w:rsidR="00DD2C38" w:rsidRPr="00A315A0" w14:paraId="2EB95262"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89BF0C7"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28</w:t>
            </w:r>
          </w:p>
        </w:tc>
        <w:tc>
          <w:tcPr>
            <w:tcW w:w="1200" w:type="dxa"/>
            <w:tcBorders>
              <w:top w:val="nil"/>
              <w:left w:val="nil"/>
              <w:bottom w:val="single" w:sz="4" w:space="0" w:color="auto"/>
              <w:right w:val="single" w:sz="4" w:space="0" w:color="auto"/>
            </w:tcBorders>
            <w:shd w:val="clear" w:color="auto" w:fill="auto"/>
            <w:noWrap/>
            <w:vAlign w:val="bottom"/>
            <w:hideMark/>
          </w:tcPr>
          <w:p w14:paraId="4170E858"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1,15</w:t>
            </w:r>
          </w:p>
        </w:tc>
        <w:tc>
          <w:tcPr>
            <w:tcW w:w="1896" w:type="dxa"/>
            <w:tcBorders>
              <w:top w:val="nil"/>
              <w:left w:val="nil"/>
              <w:bottom w:val="single" w:sz="4" w:space="0" w:color="auto"/>
              <w:right w:val="single" w:sz="4" w:space="0" w:color="auto"/>
            </w:tcBorders>
            <w:shd w:val="clear" w:color="auto" w:fill="auto"/>
            <w:noWrap/>
            <w:vAlign w:val="bottom"/>
            <w:hideMark/>
          </w:tcPr>
          <w:p w14:paraId="238E60F2"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79%</w:t>
            </w:r>
          </w:p>
        </w:tc>
        <w:tc>
          <w:tcPr>
            <w:tcW w:w="1503" w:type="dxa"/>
            <w:tcBorders>
              <w:top w:val="nil"/>
              <w:left w:val="nil"/>
              <w:bottom w:val="single" w:sz="4" w:space="0" w:color="auto"/>
              <w:right w:val="single" w:sz="4" w:space="0" w:color="auto"/>
            </w:tcBorders>
            <w:shd w:val="clear" w:color="auto" w:fill="auto"/>
            <w:noWrap/>
            <w:vAlign w:val="bottom"/>
            <w:hideMark/>
          </w:tcPr>
          <w:p w14:paraId="2829E9C0"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-4,22</w:t>
            </w:r>
          </w:p>
        </w:tc>
        <w:tc>
          <w:tcPr>
            <w:tcW w:w="1800" w:type="dxa"/>
            <w:tcBorders>
              <w:top w:val="nil"/>
              <w:left w:val="nil"/>
              <w:bottom w:val="single" w:sz="4" w:space="0" w:color="auto"/>
              <w:right w:val="single" w:sz="4" w:space="0" w:color="auto"/>
            </w:tcBorders>
            <w:shd w:val="clear" w:color="auto" w:fill="auto"/>
            <w:noWrap/>
            <w:vAlign w:val="bottom"/>
            <w:hideMark/>
          </w:tcPr>
          <w:p w14:paraId="6AF92950"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-26%</w:t>
            </w:r>
          </w:p>
        </w:tc>
        <w:tc>
          <w:tcPr>
            <w:tcW w:w="1620" w:type="dxa"/>
            <w:tcBorders>
              <w:top w:val="nil"/>
              <w:left w:val="nil"/>
              <w:bottom w:val="single" w:sz="4" w:space="0" w:color="auto"/>
              <w:right w:val="single" w:sz="4" w:space="0" w:color="auto"/>
            </w:tcBorders>
            <w:shd w:val="clear" w:color="auto" w:fill="auto"/>
            <w:noWrap/>
            <w:vAlign w:val="bottom"/>
            <w:hideMark/>
          </w:tcPr>
          <w:p w14:paraId="73B2D599"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-6%</w:t>
            </w:r>
          </w:p>
        </w:tc>
      </w:tr>
      <w:tr w:rsidR="00DD2C38" w:rsidRPr="00A315A0" w14:paraId="01F8D75D"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69A4090"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29</w:t>
            </w:r>
          </w:p>
        </w:tc>
        <w:tc>
          <w:tcPr>
            <w:tcW w:w="1200" w:type="dxa"/>
            <w:tcBorders>
              <w:top w:val="nil"/>
              <w:left w:val="nil"/>
              <w:bottom w:val="single" w:sz="4" w:space="0" w:color="auto"/>
              <w:right w:val="single" w:sz="4" w:space="0" w:color="auto"/>
            </w:tcBorders>
            <w:shd w:val="clear" w:color="auto" w:fill="auto"/>
            <w:noWrap/>
            <w:vAlign w:val="bottom"/>
            <w:hideMark/>
          </w:tcPr>
          <w:p w14:paraId="36AB8850"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1,78</w:t>
            </w:r>
          </w:p>
        </w:tc>
        <w:tc>
          <w:tcPr>
            <w:tcW w:w="1896" w:type="dxa"/>
            <w:tcBorders>
              <w:top w:val="nil"/>
              <w:left w:val="nil"/>
              <w:bottom w:val="single" w:sz="4" w:space="0" w:color="auto"/>
              <w:right w:val="single" w:sz="4" w:space="0" w:color="auto"/>
            </w:tcBorders>
            <w:shd w:val="clear" w:color="auto" w:fill="auto"/>
            <w:noWrap/>
            <w:vAlign w:val="bottom"/>
            <w:hideMark/>
          </w:tcPr>
          <w:p w14:paraId="6D994126"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68%</w:t>
            </w:r>
          </w:p>
        </w:tc>
        <w:tc>
          <w:tcPr>
            <w:tcW w:w="1503" w:type="dxa"/>
            <w:tcBorders>
              <w:top w:val="nil"/>
              <w:left w:val="nil"/>
              <w:bottom w:val="single" w:sz="4" w:space="0" w:color="auto"/>
              <w:right w:val="single" w:sz="4" w:space="0" w:color="auto"/>
            </w:tcBorders>
            <w:shd w:val="clear" w:color="auto" w:fill="auto"/>
            <w:noWrap/>
            <w:vAlign w:val="bottom"/>
            <w:hideMark/>
          </w:tcPr>
          <w:p w14:paraId="2B6531B6"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47,62</w:t>
            </w:r>
          </w:p>
        </w:tc>
        <w:tc>
          <w:tcPr>
            <w:tcW w:w="1800" w:type="dxa"/>
            <w:tcBorders>
              <w:top w:val="nil"/>
              <w:left w:val="nil"/>
              <w:bottom w:val="single" w:sz="4" w:space="0" w:color="auto"/>
              <w:right w:val="single" w:sz="4" w:space="0" w:color="auto"/>
            </w:tcBorders>
            <w:shd w:val="clear" w:color="auto" w:fill="auto"/>
            <w:noWrap/>
            <w:vAlign w:val="bottom"/>
            <w:hideMark/>
          </w:tcPr>
          <w:p w14:paraId="6430E3F7"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10%</w:t>
            </w:r>
          </w:p>
        </w:tc>
        <w:tc>
          <w:tcPr>
            <w:tcW w:w="1620" w:type="dxa"/>
            <w:tcBorders>
              <w:top w:val="nil"/>
              <w:left w:val="nil"/>
              <w:bottom w:val="single" w:sz="4" w:space="0" w:color="auto"/>
              <w:right w:val="single" w:sz="4" w:space="0" w:color="auto"/>
            </w:tcBorders>
            <w:shd w:val="clear" w:color="auto" w:fill="auto"/>
            <w:noWrap/>
            <w:vAlign w:val="bottom"/>
            <w:hideMark/>
          </w:tcPr>
          <w:p w14:paraId="42A65432"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w:t>
            </w:r>
          </w:p>
        </w:tc>
      </w:tr>
      <w:tr w:rsidR="00DD2C38" w:rsidRPr="00A315A0" w14:paraId="3DD4EDB0"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26AAC0E"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30</w:t>
            </w:r>
          </w:p>
        </w:tc>
        <w:tc>
          <w:tcPr>
            <w:tcW w:w="1200" w:type="dxa"/>
            <w:tcBorders>
              <w:top w:val="nil"/>
              <w:left w:val="nil"/>
              <w:bottom w:val="single" w:sz="4" w:space="0" w:color="auto"/>
              <w:right w:val="single" w:sz="4" w:space="0" w:color="auto"/>
            </w:tcBorders>
            <w:shd w:val="clear" w:color="auto" w:fill="auto"/>
            <w:noWrap/>
            <w:vAlign w:val="bottom"/>
            <w:hideMark/>
          </w:tcPr>
          <w:p w14:paraId="11576172"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1,01</w:t>
            </w:r>
          </w:p>
        </w:tc>
        <w:tc>
          <w:tcPr>
            <w:tcW w:w="1896" w:type="dxa"/>
            <w:tcBorders>
              <w:top w:val="nil"/>
              <w:left w:val="nil"/>
              <w:bottom w:val="single" w:sz="4" w:space="0" w:color="auto"/>
              <w:right w:val="single" w:sz="4" w:space="0" w:color="auto"/>
            </w:tcBorders>
            <w:shd w:val="clear" w:color="auto" w:fill="auto"/>
            <w:noWrap/>
            <w:vAlign w:val="bottom"/>
            <w:hideMark/>
          </w:tcPr>
          <w:p w14:paraId="6041FA0D"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98%</w:t>
            </w:r>
          </w:p>
        </w:tc>
        <w:tc>
          <w:tcPr>
            <w:tcW w:w="1503" w:type="dxa"/>
            <w:tcBorders>
              <w:top w:val="nil"/>
              <w:left w:val="nil"/>
              <w:bottom w:val="single" w:sz="4" w:space="0" w:color="auto"/>
              <w:right w:val="single" w:sz="4" w:space="0" w:color="auto"/>
            </w:tcBorders>
            <w:shd w:val="clear" w:color="auto" w:fill="auto"/>
            <w:noWrap/>
            <w:vAlign w:val="bottom"/>
            <w:hideMark/>
          </w:tcPr>
          <w:p w14:paraId="5E22A1EF"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-1,62</w:t>
            </w:r>
          </w:p>
        </w:tc>
        <w:tc>
          <w:tcPr>
            <w:tcW w:w="1800" w:type="dxa"/>
            <w:tcBorders>
              <w:top w:val="nil"/>
              <w:left w:val="nil"/>
              <w:bottom w:val="single" w:sz="4" w:space="0" w:color="auto"/>
              <w:right w:val="single" w:sz="4" w:space="0" w:color="auto"/>
            </w:tcBorders>
            <w:shd w:val="clear" w:color="auto" w:fill="auto"/>
            <w:noWrap/>
            <w:vAlign w:val="bottom"/>
            <w:hideMark/>
          </w:tcPr>
          <w:p w14:paraId="71AB2629"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-178%</w:t>
            </w:r>
          </w:p>
        </w:tc>
        <w:tc>
          <w:tcPr>
            <w:tcW w:w="1620" w:type="dxa"/>
            <w:tcBorders>
              <w:top w:val="nil"/>
              <w:left w:val="nil"/>
              <w:bottom w:val="single" w:sz="4" w:space="0" w:color="auto"/>
              <w:right w:val="single" w:sz="4" w:space="0" w:color="auto"/>
            </w:tcBorders>
            <w:shd w:val="clear" w:color="auto" w:fill="auto"/>
            <w:noWrap/>
            <w:vAlign w:val="bottom"/>
            <w:hideMark/>
          </w:tcPr>
          <w:p w14:paraId="4DE3F904"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-4%</w:t>
            </w:r>
          </w:p>
        </w:tc>
      </w:tr>
      <w:tr w:rsidR="00DD2C38" w:rsidRPr="00A315A0" w14:paraId="64FF0305"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CAF4D9C"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31</w:t>
            </w:r>
          </w:p>
        </w:tc>
        <w:tc>
          <w:tcPr>
            <w:tcW w:w="1200" w:type="dxa"/>
            <w:tcBorders>
              <w:top w:val="nil"/>
              <w:left w:val="nil"/>
              <w:bottom w:val="single" w:sz="4" w:space="0" w:color="auto"/>
              <w:right w:val="single" w:sz="4" w:space="0" w:color="auto"/>
            </w:tcBorders>
            <w:shd w:val="clear" w:color="auto" w:fill="auto"/>
            <w:noWrap/>
            <w:vAlign w:val="bottom"/>
            <w:hideMark/>
          </w:tcPr>
          <w:p w14:paraId="5C4116E3"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0,98</w:t>
            </w:r>
          </w:p>
        </w:tc>
        <w:tc>
          <w:tcPr>
            <w:tcW w:w="1896" w:type="dxa"/>
            <w:tcBorders>
              <w:top w:val="nil"/>
              <w:left w:val="nil"/>
              <w:bottom w:val="single" w:sz="4" w:space="0" w:color="auto"/>
              <w:right w:val="single" w:sz="4" w:space="0" w:color="auto"/>
            </w:tcBorders>
            <w:shd w:val="clear" w:color="auto" w:fill="auto"/>
            <w:noWrap/>
            <w:vAlign w:val="bottom"/>
            <w:hideMark/>
          </w:tcPr>
          <w:p w14:paraId="4817EBAA"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52%</w:t>
            </w:r>
          </w:p>
        </w:tc>
        <w:tc>
          <w:tcPr>
            <w:tcW w:w="1503" w:type="dxa"/>
            <w:tcBorders>
              <w:top w:val="nil"/>
              <w:left w:val="nil"/>
              <w:bottom w:val="single" w:sz="4" w:space="0" w:color="auto"/>
              <w:right w:val="single" w:sz="4" w:space="0" w:color="auto"/>
            </w:tcBorders>
            <w:shd w:val="clear" w:color="auto" w:fill="auto"/>
            <w:noWrap/>
            <w:vAlign w:val="bottom"/>
            <w:hideMark/>
          </w:tcPr>
          <w:p w14:paraId="58B8B37F"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1,68</w:t>
            </w:r>
          </w:p>
        </w:tc>
        <w:tc>
          <w:tcPr>
            <w:tcW w:w="1800" w:type="dxa"/>
            <w:tcBorders>
              <w:top w:val="nil"/>
              <w:left w:val="nil"/>
              <w:bottom w:val="single" w:sz="4" w:space="0" w:color="auto"/>
              <w:right w:val="single" w:sz="4" w:space="0" w:color="auto"/>
            </w:tcBorders>
            <w:shd w:val="clear" w:color="auto" w:fill="auto"/>
            <w:noWrap/>
            <w:vAlign w:val="bottom"/>
            <w:hideMark/>
          </w:tcPr>
          <w:p w14:paraId="40CAE7B4"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20%</w:t>
            </w:r>
          </w:p>
        </w:tc>
        <w:tc>
          <w:tcPr>
            <w:tcW w:w="1620" w:type="dxa"/>
            <w:tcBorders>
              <w:top w:val="nil"/>
              <w:left w:val="nil"/>
              <w:bottom w:val="single" w:sz="4" w:space="0" w:color="auto"/>
              <w:right w:val="single" w:sz="4" w:space="0" w:color="auto"/>
            </w:tcBorders>
            <w:shd w:val="clear" w:color="auto" w:fill="auto"/>
            <w:noWrap/>
            <w:vAlign w:val="bottom"/>
            <w:hideMark/>
          </w:tcPr>
          <w:p w14:paraId="4327B2B1"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10%</w:t>
            </w:r>
          </w:p>
        </w:tc>
      </w:tr>
      <w:tr w:rsidR="00DD2C38" w:rsidRPr="00A315A0" w14:paraId="522ED289"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623C50A"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32</w:t>
            </w:r>
          </w:p>
        </w:tc>
        <w:tc>
          <w:tcPr>
            <w:tcW w:w="1200" w:type="dxa"/>
            <w:tcBorders>
              <w:top w:val="nil"/>
              <w:left w:val="nil"/>
              <w:bottom w:val="single" w:sz="4" w:space="0" w:color="auto"/>
              <w:right w:val="single" w:sz="4" w:space="0" w:color="auto"/>
            </w:tcBorders>
            <w:shd w:val="clear" w:color="auto" w:fill="auto"/>
            <w:noWrap/>
            <w:vAlign w:val="bottom"/>
            <w:hideMark/>
          </w:tcPr>
          <w:p w14:paraId="454ACB87"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2,43</w:t>
            </w:r>
          </w:p>
        </w:tc>
        <w:tc>
          <w:tcPr>
            <w:tcW w:w="1896" w:type="dxa"/>
            <w:tcBorders>
              <w:top w:val="nil"/>
              <w:left w:val="nil"/>
              <w:bottom w:val="single" w:sz="4" w:space="0" w:color="auto"/>
              <w:right w:val="single" w:sz="4" w:space="0" w:color="auto"/>
            </w:tcBorders>
            <w:shd w:val="clear" w:color="auto" w:fill="auto"/>
            <w:noWrap/>
            <w:vAlign w:val="bottom"/>
            <w:hideMark/>
          </w:tcPr>
          <w:p w14:paraId="616ECB0A"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37%</w:t>
            </w:r>
          </w:p>
        </w:tc>
        <w:tc>
          <w:tcPr>
            <w:tcW w:w="1503" w:type="dxa"/>
            <w:tcBorders>
              <w:top w:val="nil"/>
              <w:left w:val="nil"/>
              <w:bottom w:val="single" w:sz="4" w:space="0" w:color="auto"/>
              <w:right w:val="single" w:sz="4" w:space="0" w:color="auto"/>
            </w:tcBorders>
            <w:shd w:val="clear" w:color="auto" w:fill="auto"/>
            <w:noWrap/>
            <w:vAlign w:val="bottom"/>
            <w:hideMark/>
          </w:tcPr>
          <w:p w14:paraId="72702608" w14:textId="77777777" w:rsidR="00DD2C38" w:rsidRPr="00A315A0" w:rsidRDefault="00DD2C38"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800" w:type="dxa"/>
            <w:tcBorders>
              <w:top w:val="nil"/>
              <w:left w:val="nil"/>
              <w:bottom w:val="single" w:sz="4" w:space="0" w:color="auto"/>
              <w:right w:val="single" w:sz="4" w:space="0" w:color="auto"/>
            </w:tcBorders>
            <w:shd w:val="clear" w:color="auto" w:fill="auto"/>
            <w:noWrap/>
            <w:vAlign w:val="bottom"/>
            <w:hideMark/>
          </w:tcPr>
          <w:p w14:paraId="536FF438"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-53%</w:t>
            </w:r>
          </w:p>
        </w:tc>
        <w:tc>
          <w:tcPr>
            <w:tcW w:w="1620" w:type="dxa"/>
            <w:tcBorders>
              <w:top w:val="nil"/>
              <w:left w:val="nil"/>
              <w:bottom w:val="single" w:sz="4" w:space="0" w:color="auto"/>
              <w:right w:val="single" w:sz="4" w:space="0" w:color="auto"/>
            </w:tcBorders>
            <w:shd w:val="clear" w:color="auto" w:fill="auto"/>
            <w:noWrap/>
            <w:vAlign w:val="bottom"/>
            <w:hideMark/>
          </w:tcPr>
          <w:p w14:paraId="08F8F72B"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-33%</w:t>
            </w:r>
          </w:p>
        </w:tc>
      </w:tr>
      <w:tr w:rsidR="00DD2C38" w:rsidRPr="00A315A0" w14:paraId="0A5B0361"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94FA829"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33</w:t>
            </w:r>
          </w:p>
        </w:tc>
        <w:tc>
          <w:tcPr>
            <w:tcW w:w="1200" w:type="dxa"/>
            <w:tcBorders>
              <w:top w:val="nil"/>
              <w:left w:val="nil"/>
              <w:bottom w:val="single" w:sz="4" w:space="0" w:color="auto"/>
              <w:right w:val="single" w:sz="4" w:space="0" w:color="auto"/>
            </w:tcBorders>
            <w:shd w:val="clear" w:color="auto" w:fill="auto"/>
            <w:noWrap/>
            <w:vAlign w:val="bottom"/>
            <w:hideMark/>
          </w:tcPr>
          <w:p w14:paraId="2FF3174B"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1,33</w:t>
            </w:r>
          </w:p>
        </w:tc>
        <w:tc>
          <w:tcPr>
            <w:tcW w:w="1896" w:type="dxa"/>
            <w:tcBorders>
              <w:top w:val="nil"/>
              <w:left w:val="nil"/>
              <w:bottom w:val="single" w:sz="4" w:space="0" w:color="auto"/>
              <w:right w:val="single" w:sz="4" w:space="0" w:color="auto"/>
            </w:tcBorders>
            <w:shd w:val="clear" w:color="auto" w:fill="auto"/>
            <w:noWrap/>
            <w:vAlign w:val="bottom"/>
            <w:hideMark/>
          </w:tcPr>
          <w:p w14:paraId="1BD16F64"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72%</w:t>
            </w:r>
          </w:p>
        </w:tc>
        <w:tc>
          <w:tcPr>
            <w:tcW w:w="1503" w:type="dxa"/>
            <w:tcBorders>
              <w:top w:val="nil"/>
              <w:left w:val="nil"/>
              <w:bottom w:val="single" w:sz="4" w:space="0" w:color="auto"/>
              <w:right w:val="single" w:sz="4" w:space="0" w:color="auto"/>
            </w:tcBorders>
            <w:shd w:val="clear" w:color="auto" w:fill="auto"/>
            <w:noWrap/>
            <w:vAlign w:val="bottom"/>
            <w:hideMark/>
          </w:tcPr>
          <w:p w14:paraId="4CAB0C52"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76,18</w:t>
            </w:r>
          </w:p>
        </w:tc>
        <w:tc>
          <w:tcPr>
            <w:tcW w:w="1800" w:type="dxa"/>
            <w:tcBorders>
              <w:top w:val="nil"/>
              <w:left w:val="nil"/>
              <w:bottom w:val="single" w:sz="4" w:space="0" w:color="auto"/>
              <w:right w:val="single" w:sz="4" w:space="0" w:color="auto"/>
            </w:tcBorders>
            <w:shd w:val="clear" w:color="auto" w:fill="auto"/>
            <w:noWrap/>
            <w:vAlign w:val="bottom"/>
            <w:hideMark/>
          </w:tcPr>
          <w:p w14:paraId="59047A15"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24%</w:t>
            </w:r>
          </w:p>
        </w:tc>
        <w:tc>
          <w:tcPr>
            <w:tcW w:w="1620" w:type="dxa"/>
            <w:tcBorders>
              <w:top w:val="nil"/>
              <w:left w:val="nil"/>
              <w:bottom w:val="single" w:sz="4" w:space="0" w:color="auto"/>
              <w:right w:val="single" w:sz="4" w:space="0" w:color="auto"/>
            </w:tcBorders>
            <w:shd w:val="clear" w:color="auto" w:fill="auto"/>
            <w:noWrap/>
            <w:vAlign w:val="bottom"/>
            <w:hideMark/>
          </w:tcPr>
          <w:p w14:paraId="1BCC5EBC"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7%</w:t>
            </w:r>
          </w:p>
        </w:tc>
      </w:tr>
      <w:tr w:rsidR="00DD2C38" w:rsidRPr="00A315A0" w14:paraId="013A2330"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09D52BD"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34</w:t>
            </w:r>
          </w:p>
        </w:tc>
        <w:tc>
          <w:tcPr>
            <w:tcW w:w="1200" w:type="dxa"/>
            <w:tcBorders>
              <w:top w:val="nil"/>
              <w:left w:val="nil"/>
              <w:bottom w:val="single" w:sz="4" w:space="0" w:color="auto"/>
              <w:right w:val="single" w:sz="4" w:space="0" w:color="auto"/>
            </w:tcBorders>
            <w:shd w:val="clear" w:color="auto" w:fill="auto"/>
            <w:noWrap/>
            <w:vAlign w:val="bottom"/>
            <w:hideMark/>
          </w:tcPr>
          <w:p w14:paraId="0E7C06D6"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1,92</w:t>
            </w:r>
          </w:p>
        </w:tc>
        <w:tc>
          <w:tcPr>
            <w:tcW w:w="1896" w:type="dxa"/>
            <w:tcBorders>
              <w:top w:val="nil"/>
              <w:left w:val="nil"/>
              <w:bottom w:val="single" w:sz="4" w:space="0" w:color="auto"/>
              <w:right w:val="single" w:sz="4" w:space="0" w:color="auto"/>
            </w:tcBorders>
            <w:shd w:val="clear" w:color="auto" w:fill="auto"/>
            <w:noWrap/>
            <w:vAlign w:val="bottom"/>
            <w:hideMark/>
          </w:tcPr>
          <w:p w14:paraId="471F01FB"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97%</w:t>
            </w:r>
          </w:p>
        </w:tc>
        <w:tc>
          <w:tcPr>
            <w:tcW w:w="1503" w:type="dxa"/>
            <w:tcBorders>
              <w:top w:val="nil"/>
              <w:left w:val="nil"/>
              <w:bottom w:val="single" w:sz="4" w:space="0" w:color="auto"/>
              <w:right w:val="single" w:sz="4" w:space="0" w:color="auto"/>
            </w:tcBorders>
            <w:shd w:val="clear" w:color="auto" w:fill="auto"/>
            <w:noWrap/>
            <w:vAlign w:val="bottom"/>
            <w:hideMark/>
          </w:tcPr>
          <w:p w14:paraId="0B9BC38B"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1,17</w:t>
            </w:r>
          </w:p>
        </w:tc>
        <w:tc>
          <w:tcPr>
            <w:tcW w:w="1800" w:type="dxa"/>
            <w:tcBorders>
              <w:top w:val="nil"/>
              <w:left w:val="nil"/>
              <w:bottom w:val="single" w:sz="4" w:space="0" w:color="auto"/>
              <w:right w:val="single" w:sz="4" w:space="0" w:color="auto"/>
            </w:tcBorders>
            <w:shd w:val="clear" w:color="auto" w:fill="auto"/>
            <w:noWrap/>
            <w:vAlign w:val="bottom"/>
            <w:hideMark/>
          </w:tcPr>
          <w:p w14:paraId="71A9584D"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471%</w:t>
            </w:r>
          </w:p>
        </w:tc>
        <w:tc>
          <w:tcPr>
            <w:tcW w:w="1620" w:type="dxa"/>
            <w:tcBorders>
              <w:top w:val="nil"/>
              <w:left w:val="nil"/>
              <w:bottom w:val="single" w:sz="4" w:space="0" w:color="auto"/>
              <w:right w:val="single" w:sz="4" w:space="0" w:color="auto"/>
            </w:tcBorders>
            <w:shd w:val="clear" w:color="auto" w:fill="auto"/>
            <w:noWrap/>
            <w:vAlign w:val="bottom"/>
            <w:hideMark/>
          </w:tcPr>
          <w:p w14:paraId="08AD73A5"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12%</w:t>
            </w:r>
          </w:p>
        </w:tc>
      </w:tr>
      <w:tr w:rsidR="00DD2C38" w:rsidRPr="00A315A0" w14:paraId="0A191DEA"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2E649C4A"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35</w:t>
            </w:r>
          </w:p>
        </w:tc>
        <w:tc>
          <w:tcPr>
            <w:tcW w:w="1200" w:type="dxa"/>
            <w:tcBorders>
              <w:top w:val="nil"/>
              <w:left w:val="nil"/>
              <w:bottom w:val="single" w:sz="4" w:space="0" w:color="auto"/>
              <w:right w:val="single" w:sz="4" w:space="0" w:color="auto"/>
            </w:tcBorders>
            <w:shd w:val="clear" w:color="auto" w:fill="auto"/>
            <w:noWrap/>
            <w:vAlign w:val="bottom"/>
            <w:hideMark/>
          </w:tcPr>
          <w:p w14:paraId="64CC9108"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2,14</w:t>
            </w:r>
          </w:p>
        </w:tc>
        <w:tc>
          <w:tcPr>
            <w:tcW w:w="1896" w:type="dxa"/>
            <w:tcBorders>
              <w:top w:val="nil"/>
              <w:left w:val="nil"/>
              <w:bottom w:val="single" w:sz="4" w:space="0" w:color="auto"/>
              <w:right w:val="single" w:sz="4" w:space="0" w:color="auto"/>
            </w:tcBorders>
            <w:shd w:val="clear" w:color="auto" w:fill="auto"/>
            <w:noWrap/>
            <w:vAlign w:val="bottom"/>
            <w:hideMark/>
          </w:tcPr>
          <w:p w14:paraId="16E4D68F"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54%</w:t>
            </w:r>
          </w:p>
        </w:tc>
        <w:tc>
          <w:tcPr>
            <w:tcW w:w="1503" w:type="dxa"/>
            <w:tcBorders>
              <w:top w:val="nil"/>
              <w:left w:val="nil"/>
              <w:bottom w:val="single" w:sz="4" w:space="0" w:color="auto"/>
              <w:right w:val="single" w:sz="4" w:space="0" w:color="auto"/>
            </w:tcBorders>
            <w:shd w:val="clear" w:color="auto" w:fill="auto"/>
            <w:noWrap/>
            <w:vAlign w:val="bottom"/>
            <w:hideMark/>
          </w:tcPr>
          <w:p w14:paraId="6407E44B" w14:textId="77777777" w:rsidR="00DD2C38" w:rsidRPr="00A315A0" w:rsidRDefault="00DD2C38"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800" w:type="dxa"/>
            <w:tcBorders>
              <w:top w:val="nil"/>
              <w:left w:val="nil"/>
              <w:bottom w:val="single" w:sz="4" w:space="0" w:color="auto"/>
              <w:right w:val="single" w:sz="4" w:space="0" w:color="auto"/>
            </w:tcBorders>
            <w:shd w:val="clear" w:color="auto" w:fill="auto"/>
            <w:noWrap/>
            <w:vAlign w:val="bottom"/>
            <w:hideMark/>
          </w:tcPr>
          <w:p w14:paraId="1DCE01DE"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89%</w:t>
            </w:r>
          </w:p>
        </w:tc>
        <w:tc>
          <w:tcPr>
            <w:tcW w:w="1620" w:type="dxa"/>
            <w:tcBorders>
              <w:top w:val="nil"/>
              <w:left w:val="nil"/>
              <w:bottom w:val="single" w:sz="4" w:space="0" w:color="auto"/>
              <w:right w:val="single" w:sz="4" w:space="0" w:color="auto"/>
            </w:tcBorders>
            <w:shd w:val="clear" w:color="auto" w:fill="auto"/>
            <w:noWrap/>
            <w:vAlign w:val="bottom"/>
            <w:hideMark/>
          </w:tcPr>
          <w:p w14:paraId="032A555A"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41%</w:t>
            </w:r>
          </w:p>
        </w:tc>
      </w:tr>
      <w:tr w:rsidR="00DD2C38" w:rsidRPr="00A315A0" w14:paraId="18F3A413"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09D40AD" w14:textId="77777777" w:rsidR="00DD2C38" w:rsidRPr="00A315A0" w:rsidRDefault="00DD2C38"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36</w:t>
            </w:r>
          </w:p>
        </w:tc>
        <w:tc>
          <w:tcPr>
            <w:tcW w:w="1200" w:type="dxa"/>
            <w:tcBorders>
              <w:top w:val="nil"/>
              <w:left w:val="nil"/>
              <w:bottom w:val="single" w:sz="4" w:space="0" w:color="auto"/>
              <w:right w:val="single" w:sz="4" w:space="0" w:color="auto"/>
            </w:tcBorders>
            <w:shd w:val="clear" w:color="auto" w:fill="auto"/>
            <w:noWrap/>
            <w:vAlign w:val="bottom"/>
            <w:hideMark/>
          </w:tcPr>
          <w:p w14:paraId="2BC6ECD4"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12,79</w:t>
            </w:r>
          </w:p>
        </w:tc>
        <w:tc>
          <w:tcPr>
            <w:tcW w:w="1896" w:type="dxa"/>
            <w:tcBorders>
              <w:top w:val="nil"/>
              <w:left w:val="nil"/>
              <w:bottom w:val="single" w:sz="4" w:space="0" w:color="auto"/>
              <w:right w:val="single" w:sz="4" w:space="0" w:color="auto"/>
            </w:tcBorders>
            <w:shd w:val="clear" w:color="auto" w:fill="auto"/>
            <w:noWrap/>
            <w:vAlign w:val="bottom"/>
            <w:hideMark/>
          </w:tcPr>
          <w:p w14:paraId="0978503F"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w:t>
            </w:r>
          </w:p>
        </w:tc>
        <w:tc>
          <w:tcPr>
            <w:tcW w:w="1503" w:type="dxa"/>
            <w:tcBorders>
              <w:top w:val="nil"/>
              <w:left w:val="nil"/>
              <w:bottom w:val="single" w:sz="4" w:space="0" w:color="auto"/>
              <w:right w:val="single" w:sz="4" w:space="0" w:color="auto"/>
            </w:tcBorders>
            <w:shd w:val="clear" w:color="auto" w:fill="auto"/>
            <w:noWrap/>
            <w:vAlign w:val="bottom"/>
            <w:hideMark/>
          </w:tcPr>
          <w:p w14:paraId="67AB470E"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507,67</w:t>
            </w:r>
          </w:p>
        </w:tc>
        <w:tc>
          <w:tcPr>
            <w:tcW w:w="1800" w:type="dxa"/>
            <w:tcBorders>
              <w:top w:val="nil"/>
              <w:left w:val="nil"/>
              <w:bottom w:val="single" w:sz="4" w:space="0" w:color="auto"/>
              <w:right w:val="single" w:sz="4" w:space="0" w:color="auto"/>
            </w:tcBorders>
            <w:shd w:val="clear" w:color="auto" w:fill="auto"/>
            <w:noWrap/>
            <w:vAlign w:val="bottom"/>
            <w:hideMark/>
          </w:tcPr>
          <w:p w14:paraId="30D1D531"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25%</w:t>
            </w:r>
          </w:p>
        </w:tc>
        <w:tc>
          <w:tcPr>
            <w:tcW w:w="1620" w:type="dxa"/>
            <w:tcBorders>
              <w:top w:val="nil"/>
              <w:left w:val="nil"/>
              <w:bottom w:val="single" w:sz="4" w:space="0" w:color="auto"/>
              <w:right w:val="single" w:sz="4" w:space="0" w:color="auto"/>
            </w:tcBorders>
            <w:shd w:val="clear" w:color="auto" w:fill="auto"/>
            <w:noWrap/>
            <w:vAlign w:val="bottom"/>
            <w:hideMark/>
          </w:tcPr>
          <w:p w14:paraId="7CEC8693"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24%</w:t>
            </w:r>
          </w:p>
        </w:tc>
      </w:tr>
      <w:tr w:rsidR="00DD2C38" w:rsidRPr="00A315A0" w14:paraId="1A399846" w14:textId="77777777" w:rsidTr="00A315A0">
        <w:trPr>
          <w:trHeight w:val="300"/>
        </w:trPr>
        <w:tc>
          <w:tcPr>
            <w:tcW w:w="1696" w:type="dxa"/>
            <w:tcBorders>
              <w:top w:val="nil"/>
              <w:left w:val="nil"/>
              <w:bottom w:val="nil"/>
              <w:right w:val="nil"/>
            </w:tcBorders>
            <w:shd w:val="clear" w:color="auto" w:fill="auto"/>
            <w:noWrap/>
            <w:vAlign w:val="bottom"/>
            <w:hideMark/>
          </w:tcPr>
          <w:p w14:paraId="55EA2B51"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p>
        </w:tc>
        <w:tc>
          <w:tcPr>
            <w:tcW w:w="1200" w:type="dxa"/>
            <w:tcBorders>
              <w:top w:val="nil"/>
              <w:left w:val="nil"/>
              <w:bottom w:val="nil"/>
              <w:right w:val="nil"/>
            </w:tcBorders>
            <w:shd w:val="clear" w:color="auto" w:fill="auto"/>
            <w:noWrap/>
            <w:vAlign w:val="bottom"/>
            <w:hideMark/>
          </w:tcPr>
          <w:p w14:paraId="138CA808" w14:textId="77777777" w:rsidR="00DD2C38" w:rsidRPr="00A315A0" w:rsidRDefault="00DD2C38" w:rsidP="00522F77">
            <w:pPr>
              <w:spacing w:after="0" w:line="240" w:lineRule="auto"/>
              <w:jc w:val="center"/>
              <w:rPr>
                <w:rFonts w:ascii="Arial" w:eastAsia="Times New Roman" w:hAnsi="Arial" w:cs="Arial"/>
                <w:sz w:val="20"/>
                <w:szCs w:val="20"/>
                <w:lang w:eastAsia="es-CO"/>
              </w:rPr>
            </w:pPr>
          </w:p>
        </w:tc>
        <w:tc>
          <w:tcPr>
            <w:tcW w:w="1896" w:type="dxa"/>
            <w:tcBorders>
              <w:top w:val="nil"/>
              <w:left w:val="nil"/>
              <w:bottom w:val="nil"/>
              <w:right w:val="nil"/>
            </w:tcBorders>
            <w:shd w:val="clear" w:color="auto" w:fill="auto"/>
            <w:noWrap/>
            <w:vAlign w:val="bottom"/>
            <w:hideMark/>
          </w:tcPr>
          <w:p w14:paraId="1616FA13" w14:textId="77777777" w:rsidR="00DD2C38" w:rsidRPr="00A315A0" w:rsidRDefault="00DD2C38" w:rsidP="00522F77">
            <w:pPr>
              <w:spacing w:after="0" w:line="240" w:lineRule="auto"/>
              <w:rPr>
                <w:rFonts w:ascii="Arial" w:eastAsia="Times New Roman" w:hAnsi="Arial" w:cs="Arial"/>
                <w:sz w:val="20"/>
                <w:szCs w:val="20"/>
                <w:lang w:eastAsia="es-CO"/>
              </w:rPr>
            </w:pPr>
          </w:p>
        </w:tc>
        <w:tc>
          <w:tcPr>
            <w:tcW w:w="1503" w:type="dxa"/>
            <w:tcBorders>
              <w:top w:val="nil"/>
              <w:left w:val="nil"/>
              <w:bottom w:val="nil"/>
              <w:right w:val="nil"/>
            </w:tcBorders>
            <w:shd w:val="clear" w:color="auto" w:fill="auto"/>
            <w:noWrap/>
            <w:vAlign w:val="bottom"/>
            <w:hideMark/>
          </w:tcPr>
          <w:p w14:paraId="0A84631A" w14:textId="77777777" w:rsidR="00DD2C38" w:rsidRPr="00A315A0" w:rsidRDefault="00DD2C38" w:rsidP="00522F77">
            <w:pPr>
              <w:spacing w:after="0" w:line="240" w:lineRule="auto"/>
              <w:rPr>
                <w:rFonts w:ascii="Arial" w:eastAsia="Times New Roman" w:hAnsi="Arial" w:cs="Arial"/>
                <w:sz w:val="20"/>
                <w:szCs w:val="20"/>
                <w:lang w:eastAsia="es-CO"/>
              </w:rPr>
            </w:pPr>
          </w:p>
        </w:tc>
        <w:tc>
          <w:tcPr>
            <w:tcW w:w="1800" w:type="dxa"/>
            <w:tcBorders>
              <w:top w:val="nil"/>
              <w:left w:val="nil"/>
              <w:bottom w:val="nil"/>
              <w:right w:val="nil"/>
            </w:tcBorders>
            <w:shd w:val="clear" w:color="auto" w:fill="auto"/>
            <w:noWrap/>
            <w:vAlign w:val="bottom"/>
            <w:hideMark/>
          </w:tcPr>
          <w:p w14:paraId="13DA98C4" w14:textId="77777777" w:rsidR="00DD2C38" w:rsidRPr="00A315A0" w:rsidRDefault="00DD2C38" w:rsidP="00522F77">
            <w:pPr>
              <w:spacing w:after="0" w:line="240" w:lineRule="auto"/>
              <w:rPr>
                <w:rFonts w:ascii="Arial" w:eastAsia="Times New Roman" w:hAnsi="Arial" w:cs="Arial"/>
                <w:sz w:val="20"/>
                <w:szCs w:val="20"/>
                <w:lang w:eastAsia="es-CO"/>
              </w:rPr>
            </w:pPr>
          </w:p>
        </w:tc>
        <w:tc>
          <w:tcPr>
            <w:tcW w:w="1620" w:type="dxa"/>
            <w:tcBorders>
              <w:top w:val="nil"/>
              <w:left w:val="nil"/>
              <w:bottom w:val="nil"/>
              <w:right w:val="nil"/>
            </w:tcBorders>
            <w:shd w:val="clear" w:color="auto" w:fill="auto"/>
            <w:noWrap/>
            <w:vAlign w:val="bottom"/>
            <w:hideMark/>
          </w:tcPr>
          <w:p w14:paraId="44235325" w14:textId="77777777" w:rsidR="00DD2C38" w:rsidRPr="00A315A0" w:rsidRDefault="00DD2C38" w:rsidP="00522F77">
            <w:pPr>
              <w:spacing w:after="0" w:line="240" w:lineRule="auto"/>
              <w:rPr>
                <w:rFonts w:ascii="Arial" w:eastAsia="Times New Roman" w:hAnsi="Arial" w:cs="Arial"/>
                <w:sz w:val="20"/>
                <w:szCs w:val="20"/>
                <w:lang w:eastAsia="es-CO"/>
              </w:rPr>
            </w:pPr>
          </w:p>
        </w:tc>
      </w:tr>
      <w:tr w:rsidR="00DD2C38" w:rsidRPr="00A315A0" w14:paraId="58BEFB02" w14:textId="77777777" w:rsidTr="00A315A0">
        <w:trPr>
          <w:trHeight w:val="62"/>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936323" w14:textId="77777777" w:rsidR="00DD2C38" w:rsidRPr="00A315A0" w:rsidRDefault="00DD2C38"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Promedio</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674F07E9"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3,31</w:t>
            </w:r>
          </w:p>
        </w:tc>
        <w:tc>
          <w:tcPr>
            <w:tcW w:w="1896" w:type="dxa"/>
            <w:tcBorders>
              <w:top w:val="single" w:sz="4" w:space="0" w:color="auto"/>
              <w:left w:val="nil"/>
              <w:bottom w:val="single" w:sz="4" w:space="0" w:color="auto"/>
              <w:right w:val="single" w:sz="4" w:space="0" w:color="auto"/>
            </w:tcBorders>
            <w:shd w:val="clear" w:color="auto" w:fill="auto"/>
            <w:noWrap/>
            <w:vAlign w:val="bottom"/>
            <w:hideMark/>
          </w:tcPr>
          <w:p w14:paraId="5DEF5973"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63%</w:t>
            </w:r>
          </w:p>
        </w:tc>
        <w:tc>
          <w:tcPr>
            <w:tcW w:w="1503" w:type="dxa"/>
            <w:tcBorders>
              <w:top w:val="single" w:sz="4" w:space="0" w:color="auto"/>
              <w:left w:val="nil"/>
              <w:bottom w:val="single" w:sz="4" w:space="0" w:color="auto"/>
              <w:right w:val="single" w:sz="4" w:space="0" w:color="auto"/>
            </w:tcBorders>
            <w:shd w:val="clear" w:color="auto" w:fill="auto"/>
            <w:noWrap/>
            <w:vAlign w:val="bottom"/>
            <w:hideMark/>
          </w:tcPr>
          <w:p w14:paraId="42476885"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35,25</w:t>
            </w:r>
          </w:p>
        </w:tc>
        <w:tc>
          <w:tcPr>
            <w:tcW w:w="1800" w:type="dxa"/>
            <w:tcBorders>
              <w:top w:val="single" w:sz="4" w:space="0" w:color="auto"/>
              <w:left w:val="nil"/>
              <w:bottom w:val="single" w:sz="4" w:space="0" w:color="auto"/>
              <w:right w:val="single" w:sz="4" w:space="0" w:color="auto"/>
            </w:tcBorders>
            <w:shd w:val="clear" w:color="auto" w:fill="auto"/>
            <w:noWrap/>
            <w:vAlign w:val="bottom"/>
            <w:hideMark/>
          </w:tcPr>
          <w:p w14:paraId="488184B1"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0,25%</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14:paraId="2BCC53FE"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5%</w:t>
            </w:r>
          </w:p>
        </w:tc>
      </w:tr>
      <w:tr w:rsidR="00DD2C38" w:rsidRPr="00A315A0" w14:paraId="4E0C0FAF"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1B05D5C" w14:textId="77777777" w:rsidR="00DD2C38" w:rsidRPr="00A315A0" w:rsidRDefault="00DD2C38"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Min</w:t>
            </w:r>
          </w:p>
        </w:tc>
        <w:tc>
          <w:tcPr>
            <w:tcW w:w="1200" w:type="dxa"/>
            <w:tcBorders>
              <w:top w:val="nil"/>
              <w:left w:val="nil"/>
              <w:bottom w:val="single" w:sz="4" w:space="0" w:color="auto"/>
              <w:right w:val="single" w:sz="4" w:space="0" w:color="auto"/>
            </w:tcBorders>
            <w:shd w:val="clear" w:color="auto" w:fill="auto"/>
            <w:noWrap/>
            <w:vAlign w:val="bottom"/>
            <w:hideMark/>
          </w:tcPr>
          <w:p w14:paraId="55FA5FE6"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0,30</w:t>
            </w:r>
          </w:p>
        </w:tc>
        <w:tc>
          <w:tcPr>
            <w:tcW w:w="1896" w:type="dxa"/>
            <w:tcBorders>
              <w:top w:val="nil"/>
              <w:left w:val="nil"/>
              <w:bottom w:val="single" w:sz="4" w:space="0" w:color="auto"/>
              <w:right w:val="single" w:sz="4" w:space="0" w:color="auto"/>
            </w:tcBorders>
            <w:shd w:val="clear" w:color="auto" w:fill="auto"/>
            <w:noWrap/>
            <w:vAlign w:val="bottom"/>
            <w:hideMark/>
          </w:tcPr>
          <w:p w14:paraId="013DCD5B"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w:t>
            </w:r>
          </w:p>
        </w:tc>
        <w:tc>
          <w:tcPr>
            <w:tcW w:w="1503" w:type="dxa"/>
            <w:tcBorders>
              <w:top w:val="nil"/>
              <w:left w:val="nil"/>
              <w:bottom w:val="single" w:sz="4" w:space="0" w:color="auto"/>
              <w:right w:val="single" w:sz="4" w:space="0" w:color="auto"/>
            </w:tcBorders>
            <w:shd w:val="clear" w:color="auto" w:fill="auto"/>
            <w:noWrap/>
            <w:vAlign w:val="bottom"/>
            <w:hideMark/>
          </w:tcPr>
          <w:p w14:paraId="3AFBC485"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-4,64</w:t>
            </w:r>
          </w:p>
        </w:tc>
        <w:tc>
          <w:tcPr>
            <w:tcW w:w="1800" w:type="dxa"/>
            <w:tcBorders>
              <w:top w:val="nil"/>
              <w:left w:val="nil"/>
              <w:bottom w:val="single" w:sz="4" w:space="0" w:color="auto"/>
              <w:right w:val="single" w:sz="4" w:space="0" w:color="auto"/>
            </w:tcBorders>
            <w:shd w:val="clear" w:color="auto" w:fill="auto"/>
            <w:noWrap/>
            <w:vAlign w:val="bottom"/>
            <w:hideMark/>
          </w:tcPr>
          <w:p w14:paraId="67AEFF74"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-692,51%</w:t>
            </w:r>
          </w:p>
        </w:tc>
        <w:tc>
          <w:tcPr>
            <w:tcW w:w="1620" w:type="dxa"/>
            <w:tcBorders>
              <w:top w:val="nil"/>
              <w:left w:val="nil"/>
              <w:bottom w:val="single" w:sz="4" w:space="0" w:color="auto"/>
              <w:right w:val="single" w:sz="4" w:space="0" w:color="auto"/>
            </w:tcBorders>
            <w:shd w:val="clear" w:color="auto" w:fill="auto"/>
            <w:noWrap/>
            <w:vAlign w:val="bottom"/>
            <w:hideMark/>
          </w:tcPr>
          <w:p w14:paraId="3F8AE1FA"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-58%</w:t>
            </w:r>
          </w:p>
        </w:tc>
      </w:tr>
      <w:tr w:rsidR="00DD2C38" w:rsidRPr="00A315A0" w14:paraId="494BB031" w14:textId="77777777" w:rsidTr="00A315A0">
        <w:trPr>
          <w:trHeight w:val="62"/>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FC27A93" w14:textId="77777777" w:rsidR="00DD2C38" w:rsidRPr="00A315A0" w:rsidRDefault="00DD2C38"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Max</w:t>
            </w:r>
          </w:p>
        </w:tc>
        <w:tc>
          <w:tcPr>
            <w:tcW w:w="1200" w:type="dxa"/>
            <w:tcBorders>
              <w:top w:val="nil"/>
              <w:left w:val="nil"/>
              <w:bottom w:val="single" w:sz="4" w:space="0" w:color="auto"/>
              <w:right w:val="single" w:sz="4" w:space="0" w:color="auto"/>
            </w:tcBorders>
            <w:shd w:val="clear" w:color="auto" w:fill="auto"/>
            <w:noWrap/>
            <w:vAlign w:val="bottom"/>
            <w:hideMark/>
          </w:tcPr>
          <w:p w14:paraId="22E5369E"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34,55</w:t>
            </w:r>
          </w:p>
        </w:tc>
        <w:tc>
          <w:tcPr>
            <w:tcW w:w="1896" w:type="dxa"/>
            <w:tcBorders>
              <w:top w:val="nil"/>
              <w:left w:val="nil"/>
              <w:bottom w:val="single" w:sz="4" w:space="0" w:color="auto"/>
              <w:right w:val="single" w:sz="4" w:space="0" w:color="auto"/>
            </w:tcBorders>
            <w:shd w:val="clear" w:color="auto" w:fill="auto"/>
            <w:noWrap/>
            <w:vAlign w:val="bottom"/>
            <w:hideMark/>
          </w:tcPr>
          <w:p w14:paraId="4E6CFD60"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266%</w:t>
            </w:r>
          </w:p>
        </w:tc>
        <w:tc>
          <w:tcPr>
            <w:tcW w:w="1503" w:type="dxa"/>
            <w:tcBorders>
              <w:top w:val="nil"/>
              <w:left w:val="nil"/>
              <w:bottom w:val="single" w:sz="4" w:space="0" w:color="auto"/>
              <w:right w:val="single" w:sz="4" w:space="0" w:color="auto"/>
            </w:tcBorders>
            <w:shd w:val="clear" w:color="auto" w:fill="auto"/>
            <w:noWrap/>
            <w:vAlign w:val="bottom"/>
            <w:hideMark/>
          </w:tcPr>
          <w:p w14:paraId="46412BA2"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507,67</w:t>
            </w:r>
          </w:p>
        </w:tc>
        <w:tc>
          <w:tcPr>
            <w:tcW w:w="1800" w:type="dxa"/>
            <w:tcBorders>
              <w:top w:val="nil"/>
              <w:left w:val="nil"/>
              <w:bottom w:val="single" w:sz="4" w:space="0" w:color="auto"/>
              <w:right w:val="single" w:sz="4" w:space="0" w:color="auto"/>
            </w:tcBorders>
            <w:shd w:val="clear" w:color="auto" w:fill="auto"/>
            <w:noWrap/>
            <w:vAlign w:val="bottom"/>
            <w:hideMark/>
          </w:tcPr>
          <w:p w14:paraId="4D33C4EF"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470,71%</w:t>
            </w:r>
          </w:p>
        </w:tc>
        <w:tc>
          <w:tcPr>
            <w:tcW w:w="1620" w:type="dxa"/>
            <w:tcBorders>
              <w:top w:val="nil"/>
              <w:left w:val="nil"/>
              <w:bottom w:val="single" w:sz="4" w:space="0" w:color="auto"/>
              <w:right w:val="single" w:sz="4" w:space="0" w:color="auto"/>
            </w:tcBorders>
            <w:shd w:val="clear" w:color="auto" w:fill="auto"/>
            <w:noWrap/>
            <w:vAlign w:val="bottom"/>
            <w:hideMark/>
          </w:tcPr>
          <w:p w14:paraId="5616F1EB" w14:textId="77777777" w:rsidR="00DD2C38" w:rsidRPr="00A315A0" w:rsidRDefault="00DD2C38"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42%</w:t>
            </w:r>
          </w:p>
        </w:tc>
      </w:tr>
    </w:tbl>
    <w:p w14:paraId="1A194C24" w14:textId="77777777" w:rsidR="005174F0" w:rsidRPr="00522F77" w:rsidRDefault="005174F0" w:rsidP="00522F77">
      <w:pPr>
        <w:spacing w:after="0" w:line="240" w:lineRule="auto"/>
        <w:jc w:val="both"/>
        <w:rPr>
          <w:rFonts w:ascii="Arial" w:hAnsi="Arial" w:cs="Arial"/>
        </w:rPr>
      </w:pPr>
    </w:p>
    <w:p w14:paraId="007FFE35" w14:textId="5870BACE" w:rsidR="005174F0" w:rsidRPr="00522F77" w:rsidRDefault="00A27113" w:rsidP="00522F77">
      <w:pPr>
        <w:spacing w:after="0" w:line="240" w:lineRule="auto"/>
        <w:jc w:val="both"/>
        <w:rPr>
          <w:rFonts w:ascii="Arial" w:hAnsi="Arial" w:cs="Arial"/>
        </w:rPr>
      </w:pPr>
      <w:r w:rsidRPr="00522F77">
        <w:rPr>
          <w:rFonts w:ascii="Arial" w:hAnsi="Arial" w:cs="Arial"/>
        </w:rPr>
        <w:t>Teniendo en cuenta los anteriores resultados se identificó una serie de indicadores de algunas empresas que se encontraban ubicados en puntos dispersos, donde la gráfica a continuación esquematiza</w:t>
      </w:r>
      <w:r w:rsidR="00CE3A5E" w:rsidRPr="00522F77">
        <w:rPr>
          <w:rFonts w:ascii="Arial" w:hAnsi="Arial" w:cs="Arial"/>
        </w:rPr>
        <w:t xml:space="preserve"> cada uno de los indicadores</w:t>
      </w:r>
      <w:r w:rsidRPr="00522F77">
        <w:rPr>
          <w:rFonts w:ascii="Arial" w:hAnsi="Arial" w:cs="Arial"/>
        </w:rPr>
        <w:t>:</w:t>
      </w:r>
    </w:p>
    <w:p w14:paraId="69198FE7" w14:textId="77777777" w:rsidR="00A27113" w:rsidRPr="00522F77" w:rsidRDefault="00A27113" w:rsidP="00522F77">
      <w:pPr>
        <w:spacing w:after="0" w:line="240" w:lineRule="auto"/>
        <w:jc w:val="both"/>
        <w:rPr>
          <w:rFonts w:ascii="Arial" w:hAnsi="Arial" w:cs="Arial"/>
        </w:rPr>
      </w:pPr>
    </w:p>
    <w:p w14:paraId="14B27D7E" w14:textId="3663BF50" w:rsidR="00A27113" w:rsidRPr="00522F77" w:rsidRDefault="00CE3A5E" w:rsidP="006C1EED">
      <w:pPr>
        <w:spacing w:after="0" w:line="240" w:lineRule="auto"/>
        <w:jc w:val="center"/>
        <w:rPr>
          <w:rFonts w:ascii="Arial" w:hAnsi="Arial" w:cs="Arial"/>
        </w:rPr>
      </w:pPr>
      <w:r w:rsidRPr="00522F77">
        <w:rPr>
          <w:rFonts w:ascii="Arial" w:hAnsi="Arial" w:cs="Arial"/>
          <w:noProof/>
          <w:lang w:eastAsia="es-CO"/>
        </w:rPr>
        <w:drawing>
          <wp:inline distT="0" distB="0" distL="0" distR="0" wp14:anchorId="77270F1D" wp14:editId="5E537B2E">
            <wp:extent cx="3130128" cy="18720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130128" cy="1872000"/>
                    </a:xfrm>
                    <a:prstGeom prst="rect">
                      <a:avLst/>
                    </a:prstGeom>
                    <a:noFill/>
                    <a:ln>
                      <a:noFill/>
                    </a:ln>
                  </pic:spPr>
                </pic:pic>
              </a:graphicData>
            </a:graphic>
          </wp:inline>
        </w:drawing>
      </w:r>
      <w:r w:rsidRPr="00522F77">
        <w:rPr>
          <w:rFonts w:ascii="Arial" w:hAnsi="Arial" w:cs="Arial"/>
          <w:noProof/>
          <w:lang w:eastAsia="es-CO"/>
        </w:rPr>
        <w:drawing>
          <wp:inline distT="0" distB="0" distL="0" distR="0" wp14:anchorId="0F6EB1BA" wp14:editId="36BEC01C">
            <wp:extent cx="2863421" cy="187200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863421" cy="1872000"/>
                    </a:xfrm>
                    <a:prstGeom prst="rect">
                      <a:avLst/>
                    </a:prstGeom>
                    <a:noFill/>
                    <a:ln>
                      <a:noFill/>
                    </a:ln>
                  </pic:spPr>
                </pic:pic>
              </a:graphicData>
            </a:graphic>
          </wp:inline>
        </w:drawing>
      </w:r>
    </w:p>
    <w:p w14:paraId="72ACCD96" w14:textId="4C3831B1" w:rsidR="00A27113" w:rsidRPr="00522F77" w:rsidRDefault="00CE3A5E" w:rsidP="006C1EED">
      <w:pPr>
        <w:spacing w:after="0" w:line="240" w:lineRule="auto"/>
        <w:jc w:val="center"/>
        <w:rPr>
          <w:rFonts w:ascii="Arial" w:hAnsi="Arial" w:cs="Arial"/>
        </w:rPr>
      </w:pPr>
      <w:r w:rsidRPr="00522F77">
        <w:rPr>
          <w:rFonts w:ascii="Arial" w:hAnsi="Arial" w:cs="Arial"/>
          <w:noProof/>
          <w:lang w:eastAsia="es-CO"/>
        </w:rPr>
        <w:lastRenderedPageBreak/>
        <w:drawing>
          <wp:inline distT="0" distB="0" distL="0" distR="0" wp14:anchorId="640C2545" wp14:editId="25BC0108">
            <wp:extent cx="2914650" cy="1870596"/>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933685" cy="1882812"/>
                    </a:xfrm>
                    <a:prstGeom prst="rect">
                      <a:avLst/>
                    </a:prstGeom>
                    <a:noFill/>
                    <a:ln>
                      <a:noFill/>
                    </a:ln>
                  </pic:spPr>
                </pic:pic>
              </a:graphicData>
            </a:graphic>
          </wp:inline>
        </w:drawing>
      </w:r>
    </w:p>
    <w:p w14:paraId="7812BE6D" w14:textId="77777777" w:rsidR="007F3034" w:rsidRPr="00522F77" w:rsidRDefault="007F3034" w:rsidP="006C1EED">
      <w:pPr>
        <w:spacing w:after="0" w:line="240" w:lineRule="auto"/>
        <w:jc w:val="center"/>
        <w:rPr>
          <w:rFonts w:ascii="Arial" w:hAnsi="Arial" w:cs="Arial"/>
        </w:rPr>
      </w:pPr>
    </w:p>
    <w:p w14:paraId="1078E650" w14:textId="0C251CCD" w:rsidR="007F3034" w:rsidRPr="00522F77" w:rsidRDefault="007F3034" w:rsidP="006C1EED">
      <w:pPr>
        <w:spacing w:after="0" w:line="240" w:lineRule="auto"/>
        <w:jc w:val="center"/>
        <w:rPr>
          <w:rFonts w:ascii="Arial" w:hAnsi="Arial" w:cs="Arial"/>
        </w:rPr>
      </w:pPr>
      <w:r w:rsidRPr="00522F77">
        <w:rPr>
          <w:rFonts w:ascii="Arial" w:hAnsi="Arial" w:cs="Arial"/>
          <w:noProof/>
          <w:lang w:eastAsia="es-CO"/>
        </w:rPr>
        <w:drawing>
          <wp:inline distT="0" distB="0" distL="0" distR="0" wp14:anchorId="2EEDABAF" wp14:editId="6B574F01">
            <wp:extent cx="2895600" cy="2469407"/>
            <wp:effectExtent l="0" t="0" r="0" b="762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600" cy="2469407"/>
                    </a:xfrm>
                    <a:prstGeom prst="rect">
                      <a:avLst/>
                    </a:prstGeom>
                    <a:noFill/>
                    <a:ln>
                      <a:noFill/>
                    </a:ln>
                  </pic:spPr>
                </pic:pic>
              </a:graphicData>
            </a:graphic>
          </wp:inline>
        </w:drawing>
      </w:r>
      <w:r w:rsidRPr="00522F77">
        <w:rPr>
          <w:rFonts w:ascii="Arial" w:hAnsi="Arial" w:cs="Arial"/>
          <w:noProof/>
          <w:lang w:eastAsia="es-CO"/>
        </w:rPr>
        <w:drawing>
          <wp:inline distT="0" distB="0" distL="0" distR="0" wp14:anchorId="03A141F8" wp14:editId="69316FB5">
            <wp:extent cx="2940607" cy="2469600"/>
            <wp:effectExtent l="0" t="0" r="0" b="698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940607" cy="2469600"/>
                    </a:xfrm>
                    <a:prstGeom prst="rect">
                      <a:avLst/>
                    </a:prstGeom>
                    <a:noFill/>
                    <a:ln>
                      <a:noFill/>
                    </a:ln>
                  </pic:spPr>
                </pic:pic>
              </a:graphicData>
            </a:graphic>
          </wp:inline>
        </w:drawing>
      </w:r>
    </w:p>
    <w:p w14:paraId="69A8F225" w14:textId="77777777" w:rsidR="007F3034" w:rsidRPr="00522F77" w:rsidRDefault="007F3034" w:rsidP="00522F77">
      <w:pPr>
        <w:spacing w:after="0" w:line="240" w:lineRule="auto"/>
        <w:jc w:val="both"/>
        <w:rPr>
          <w:rFonts w:ascii="Arial" w:hAnsi="Arial" w:cs="Arial"/>
        </w:rPr>
      </w:pPr>
    </w:p>
    <w:p w14:paraId="139C07AB" w14:textId="3EAB4B96" w:rsidR="001B1946" w:rsidRPr="00522F77" w:rsidRDefault="001B1946" w:rsidP="00522F77">
      <w:pPr>
        <w:spacing w:after="0" w:line="240" w:lineRule="auto"/>
        <w:jc w:val="both"/>
        <w:rPr>
          <w:rFonts w:ascii="Arial" w:hAnsi="Arial" w:cs="Arial"/>
        </w:rPr>
      </w:pPr>
      <w:r w:rsidRPr="00522F77">
        <w:rPr>
          <w:rFonts w:ascii="Arial" w:hAnsi="Arial" w:cs="Arial"/>
        </w:rPr>
        <w:t>Se definen los siguientes límites inferiores y superiores, tomando como base la gráfica de dispersión de los indicadores financieros analizados.</w:t>
      </w:r>
    </w:p>
    <w:p w14:paraId="1FC2F2F7" w14:textId="77777777" w:rsidR="007F3034" w:rsidRPr="00522F77" w:rsidRDefault="007F3034" w:rsidP="00522F77">
      <w:pPr>
        <w:spacing w:after="0" w:line="240" w:lineRule="auto"/>
        <w:jc w:val="both"/>
        <w:rPr>
          <w:rFonts w:ascii="Arial" w:hAnsi="Arial" w:cs="Arial"/>
        </w:rPr>
      </w:pPr>
    </w:p>
    <w:tbl>
      <w:tblPr>
        <w:tblW w:w="9715" w:type="dxa"/>
        <w:tblLayout w:type="fixed"/>
        <w:tblCellMar>
          <w:left w:w="70" w:type="dxa"/>
          <w:right w:w="70" w:type="dxa"/>
        </w:tblCellMar>
        <w:tblLook w:val="04A0" w:firstRow="1" w:lastRow="0" w:firstColumn="1" w:lastColumn="0" w:noHBand="0" w:noVBand="1"/>
      </w:tblPr>
      <w:tblGrid>
        <w:gridCol w:w="1615"/>
        <w:gridCol w:w="1074"/>
        <w:gridCol w:w="1986"/>
        <w:gridCol w:w="1440"/>
        <w:gridCol w:w="1800"/>
        <w:gridCol w:w="1800"/>
      </w:tblGrid>
      <w:tr w:rsidR="007F3034" w:rsidRPr="00A315A0" w14:paraId="5F8EBB77" w14:textId="77777777" w:rsidTr="00A315A0">
        <w:trPr>
          <w:trHeight w:val="614"/>
        </w:trPr>
        <w:tc>
          <w:tcPr>
            <w:tcW w:w="16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E4C00C" w14:textId="77777777" w:rsidR="007F3034" w:rsidRPr="00A315A0" w:rsidRDefault="007F3034"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Indicador</w:t>
            </w:r>
          </w:p>
        </w:tc>
        <w:tc>
          <w:tcPr>
            <w:tcW w:w="1074" w:type="dxa"/>
            <w:tcBorders>
              <w:top w:val="single" w:sz="4" w:space="0" w:color="auto"/>
              <w:left w:val="nil"/>
              <w:bottom w:val="single" w:sz="4" w:space="0" w:color="auto"/>
              <w:right w:val="single" w:sz="4" w:space="0" w:color="auto"/>
            </w:tcBorders>
            <w:shd w:val="clear" w:color="auto" w:fill="auto"/>
            <w:vAlign w:val="center"/>
            <w:hideMark/>
          </w:tcPr>
          <w:p w14:paraId="03A84D2D" w14:textId="77777777" w:rsidR="007F3034" w:rsidRPr="00A315A0" w:rsidRDefault="007F3034"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LIQUIDEZ</w:t>
            </w:r>
          </w:p>
        </w:tc>
        <w:tc>
          <w:tcPr>
            <w:tcW w:w="1986" w:type="dxa"/>
            <w:tcBorders>
              <w:top w:val="single" w:sz="4" w:space="0" w:color="auto"/>
              <w:left w:val="nil"/>
              <w:bottom w:val="single" w:sz="4" w:space="0" w:color="auto"/>
              <w:right w:val="single" w:sz="4" w:space="0" w:color="auto"/>
            </w:tcBorders>
            <w:shd w:val="clear" w:color="auto" w:fill="auto"/>
            <w:vAlign w:val="center"/>
            <w:hideMark/>
          </w:tcPr>
          <w:p w14:paraId="6AA56F64" w14:textId="77777777" w:rsidR="007F3034" w:rsidRPr="00A315A0" w:rsidRDefault="007F3034"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NIVEL DE ENDEUDAMIENTO</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67AF4A6F" w14:textId="77777777" w:rsidR="007F3034" w:rsidRPr="00A315A0" w:rsidRDefault="007F3034"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COBERTURA DE INTERESES</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4AC76EDF" w14:textId="77777777" w:rsidR="007F3034" w:rsidRPr="00A315A0" w:rsidRDefault="007F3034"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RENTABILIDAD DE PATRIMONIO</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5FF54617" w14:textId="77777777" w:rsidR="007F3034" w:rsidRPr="00A315A0" w:rsidRDefault="007F3034"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RENTABILIDAD DEL ACTIVO</w:t>
            </w:r>
          </w:p>
        </w:tc>
      </w:tr>
      <w:tr w:rsidR="007F3034" w:rsidRPr="00A315A0" w14:paraId="47A98B73" w14:textId="77777777" w:rsidTr="00A315A0">
        <w:trPr>
          <w:trHeight w:val="62"/>
        </w:trPr>
        <w:tc>
          <w:tcPr>
            <w:tcW w:w="1615" w:type="dxa"/>
            <w:tcBorders>
              <w:top w:val="nil"/>
              <w:left w:val="single" w:sz="4" w:space="0" w:color="auto"/>
              <w:bottom w:val="single" w:sz="4" w:space="0" w:color="auto"/>
              <w:right w:val="single" w:sz="4" w:space="0" w:color="auto"/>
            </w:tcBorders>
            <w:shd w:val="clear" w:color="auto" w:fill="auto"/>
            <w:noWrap/>
            <w:vAlign w:val="bottom"/>
            <w:hideMark/>
          </w:tcPr>
          <w:p w14:paraId="01BABFA4" w14:textId="77777777" w:rsidR="007F3034" w:rsidRPr="00A315A0" w:rsidRDefault="007F3034"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Límite superior</w:t>
            </w:r>
          </w:p>
        </w:tc>
        <w:tc>
          <w:tcPr>
            <w:tcW w:w="1074" w:type="dxa"/>
            <w:tcBorders>
              <w:top w:val="nil"/>
              <w:left w:val="nil"/>
              <w:bottom w:val="single" w:sz="4" w:space="0" w:color="auto"/>
              <w:right w:val="single" w:sz="4" w:space="0" w:color="auto"/>
            </w:tcBorders>
            <w:shd w:val="clear" w:color="auto" w:fill="auto"/>
            <w:noWrap/>
            <w:vAlign w:val="bottom"/>
            <w:hideMark/>
          </w:tcPr>
          <w:p w14:paraId="7456B045" w14:textId="77777777" w:rsidR="007F3034" w:rsidRPr="00A315A0" w:rsidRDefault="007F3034"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10,00</w:t>
            </w:r>
          </w:p>
        </w:tc>
        <w:tc>
          <w:tcPr>
            <w:tcW w:w="1986" w:type="dxa"/>
            <w:tcBorders>
              <w:top w:val="nil"/>
              <w:left w:val="nil"/>
              <w:bottom w:val="single" w:sz="4" w:space="0" w:color="auto"/>
              <w:right w:val="single" w:sz="4" w:space="0" w:color="auto"/>
            </w:tcBorders>
            <w:shd w:val="clear" w:color="auto" w:fill="auto"/>
            <w:noWrap/>
            <w:vAlign w:val="bottom"/>
            <w:hideMark/>
          </w:tcPr>
          <w:p w14:paraId="3CB54207" w14:textId="77777777" w:rsidR="007F3034" w:rsidRPr="00A315A0" w:rsidRDefault="007F3034"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70%</w:t>
            </w:r>
          </w:p>
        </w:tc>
        <w:tc>
          <w:tcPr>
            <w:tcW w:w="1440" w:type="dxa"/>
            <w:tcBorders>
              <w:top w:val="nil"/>
              <w:left w:val="nil"/>
              <w:bottom w:val="single" w:sz="4" w:space="0" w:color="auto"/>
              <w:right w:val="single" w:sz="4" w:space="0" w:color="auto"/>
            </w:tcBorders>
            <w:shd w:val="clear" w:color="auto" w:fill="auto"/>
            <w:noWrap/>
            <w:vAlign w:val="bottom"/>
            <w:hideMark/>
          </w:tcPr>
          <w:p w14:paraId="10B2D3CC" w14:textId="77777777" w:rsidR="007F3034" w:rsidRPr="00A315A0" w:rsidRDefault="007F3034"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10,00</w:t>
            </w:r>
          </w:p>
        </w:tc>
        <w:tc>
          <w:tcPr>
            <w:tcW w:w="1800" w:type="dxa"/>
            <w:tcBorders>
              <w:top w:val="nil"/>
              <w:left w:val="nil"/>
              <w:bottom w:val="single" w:sz="4" w:space="0" w:color="auto"/>
              <w:right w:val="single" w:sz="4" w:space="0" w:color="auto"/>
            </w:tcBorders>
            <w:shd w:val="clear" w:color="auto" w:fill="auto"/>
            <w:noWrap/>
            <w:vAlign w:val="bottom"/>
            <w:hideMark/>
          </w:tcPr>
          <w:p w14:paraId="3773F700" w14:textId="77777777" w:rsidR="007F3034" w:rsidRPr="00A315A0" w:rsidRDefault="007F3034"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25%</w:t>
            </w:r>
          </w:p>
        </w:tc>
        <w:tc>
          <w:tcPr>
            <w:tcW w:w="1800" w:type="dxa"/>
            <w:tcBorders>
              <w:top w:val="nil"/>
              <w:left w:val="nil"/>
              <w:bottom w:val="single" w:sz="4" w:space="0" w:color="auto"/>
              <w:right w:val="single" w:sz="4" w:space="0" w:color="auto"/>
            </w:tcBorders>
            <w:shd w:val="clear" w:color="auto" w:fill="auto"/>
            <w:noWrap/>
            <w:vAlign w:val="bottom"/>
            <w:hideMark/>
          </w:tcPr>
          <w:p w14:paraId="76D7962F" w14:textId="77777777" w:rsidR="007F3034" w:rsidRPr="00A315A0" w:rsidRDefault="007F3034"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25%</w:t>
            </w:r>
          </w:p>
        </w:tc>
      </w:tr>
      <w:tr w:rsidR="007F3034" w:rsidRPr="00A315A0" w14:paraId="0F7BF001" w14:textId="77777777" w:rsidTr="00A315A0">
        <w:trPr>
          <w:trHeight w:val="62"/>
        </w:trPr>
        <w:tc>
          <w:tcPr>
            <w:tcW w:w="1615" w:type="dxa"/>
            <w:tcBorders>
              <w:top w:val="nil"/>
              <w:left w:val="single" w:sz="4" w:space="0" w:color="auto"/>
              <w:bottom w:val="single" w:sz="4" w:space="0" w:color="auto"/>
              <w:right w:val="single" w:sz="4" w:space="0" w:color="auto"/>
            </w:tcBorders>
            <w:shd w:val="clear" w:color="auto" w:fill="auto"/>
            <w:noWrap/>
            <w:vAlign w:val="bottom"/>
            <w:hideMark/>
          </w:tcPr>
          <w:p w14:paraId="4E5796B7" w14:textId="77777777" w:rsidR="007F3034" w:rsidRPr="00A315A0" w:rsidRDefault="007F3034"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Límite inferior</w:t>
            </w:r>
          </w:p>
        </w:tc>
        <w:tc>
          <w:tcPr>
            <w:tcW w:w="1074" w:type="dxa"/>
            <w:tcBorders>
              <w:top w:val="nil"/>
              <w:left w:val="nil"/>
              <w:bottom w:val="single" w:sz="4" w:space="0" w:color="auto"/>
              <w:right w:val="single" w:sz="4" w:space="0" w:color="auto"/>
            </w:tcBorders>
            <w:shd w:val="clear" w:color="auto" w:fill="auto"/>
            <w:noWrap/>
            <w:vAlign w:val="bottom"/>
            <w:hideMark/>
          </w:tcPr>
          <w:p w14:paraId="113DBF74" w14:textId="77777777" w:rsidR="007F3034" w:rsidRPr="00A315A0" w:rsidRDefault="007F3034"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1,00</w:t>
            </w:r>
          </w:p>
        </w:tc>
        <w:tc>
          <w:tcPr>
            <w:tcW w:w="1986" w:type="dxa"/>
            <w:tcBorders>
              <w:top w:val="nil"/>
              <w:left w:val="nil"/>
              <w:bottom w:val="single" w:sz="4" w:space="0" w:color="auto"/>
              <w:right w:val="single" w:sz="4" w:space="0" w:color="auto"/>
            </w:tcBorders>
            <w:shd w:val="clear" w:color="auto" w:fill="auto"/>
            <w:noWrap/>
            <w:vAlign w:val="bottom"/>
            <w:hideMark/>
          </w:tcPr>
          <w:p w14:paraId="08E677DF" w14:textId="77777777" w:rsidR="007F3034" w:rsidRPr="00A315A0" w:rsidRDefault="007F3034"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0%</w:t>
            </w:r>
          </w:p>
        </w:tc>
        <w:tc>
          <w:tcPr>
            <w:tcW w:w="1440" w:type="dxa"/>
            <w:tcBorders>
              <w:top w:val="nil"/>
              <w:left w:val="nil"/>
              <w:bottom w:val="single" w:sz="4" w:space="0" w:color="auto"/>
              <w:right w:val="single" w:sz="4" w:space="0" w:color="auto"/>
            </w:tcBorders>
            <w:shd w:val="clear" w:color="auto" w:fill="auto"/>
            <w:noWrap/>
            <w:vAlign w:val="bottom"/>
            <w:hideMark/>
          </w:tcPr>
          <w:p w14:paraId="0C91585E" w14:textId="77777777" w:rsidR="007F3034" w:rsidRPr="00A315A0" w:rsidRDefault="007F3034"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1,00</w:t>
            </w:r>
          </w:p>
        </w:tc>
        <w:tc>
          <w:tcPr>
            <w:tcW w:w="1800" w:type="dxa"/>
            <w:tcBorders>
              <w:top w:val="nil"/>
              <w:left w:val="nil"/>
              <w:bottom w:val="single" w:sz="4" w:space="0" w:color="auto"/>
              <w:right w:val="single" w:sz="4" w:space="0" w:color="auto"/>
            </w:tcBorders>
            <w:shd w:val="clear" w:color="auto" w:fill="auto"/>
            <w:noWrap/>
            <w:vAlign w:val="bottom"/>
            <w:hideMark/>
          </w:tcPr>
          <w:p w14:paraId="3EF7C406" w14:textId="77777777" w:rsidR="007F3034" w:rsidRPr="00A315A0" w:rsidRDefault="007F3034"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5%</w:t>
            </w:r>
          </w:p>
        </w:tc>
        <w:tc>
          <w:tcPr>
            <w:tcW w:w="1800" w:type="dxa"/>
            <w:tcBorders>
              <w:top w:val="nil"/>
              <w:left w:val="nil"/>
              <w:bottom w:val="single" w:sz="4" w:space="0" w:color="auto"/>
              <w:right w:val="single" w:sz="4" w:space="0" w:color="auto"/>
            </w:tcBorders>
            <w:shd w:val="clear" w:color="auto" w:fill="auto"/>
            <w:noWrap/>
            <w:vAlign w:val="bottom"/>
            <w:hideMark/>
          </w:tcPr>
          <w:p w14:paraId="4227E4A9" w14:textId="77777777" w:rsidR="007F3034" w:rsidRPr="00A315A0" w:rsidRDefault="007F3034"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w:t>
            </w:r>
          </w:p>
        </w:tc>
      </w:tr>
    </w:tbl>
    <w:p w14:paraId="14EFA508" w14:textId="77777777" w:rsidR="007F3034" w:rsidRPr="00522F77" w:rsidRDefault="007F3034" w:rsidP="00522F77">
      <w:pPr>
        <w:spacing w:after="0" w:line="240" w:lineRule="auto"/>
        <w:jc w:val="both"/>
        <w:rPr>
          <w:rFonts w:ascii="Arial" w:hAnsi="Arial" w:cs="Arial"/>
        </w:rPr>
      </w:pPr>
    </w:p>
    <w:p w14:paraId="1463DC5D" w14:textId="2EA2797D" w:rsidR="002701FA" w:rsidRPr="00522F77" w:rsidRDefault="002701FA" w:rsidP="00522F77">
      <w:pPr>
        <w:spacing w:after="0" w:line="240" w:lineRule="auto"/>
        <w:jc w:val="both"/>
        <w:rPr>
          <w:rFonts w:ascii="Arial" w:hAnsi="Arial" w:cs="Arial"/>
        </w:rPr>
      </w:pPr>
      <w:r w:rsidRPr="00522F77">
        <w:rPr>
          <w:rFonts w:ascii="Arial" w:hAnsi="Arial" w:cs="Arial"/>
        </w:rPr>
        <w:t>Con los límites fijados se tienen los resultados que se presentan en la tabla a continuación.</w:t>
      </w:r>
    </w:p>
    <w:p w14:paraId="6A57F8CA" w14:textId="77777777" w:rsidR="00A27113" w:rsidRPr="00522F77" w:rsidRDefault="00A27113" w:rsidP="00522F77">
      <w:pPr>
        <w:spacing w:after="0" w:line="240" w:lineRule="auto"/>
        <w:jc w:val="both"/>
        <w:rPr>
          <w:rFonts w:ascii="Arial" w:hAnsi="Arial" w:cs="Arial"/>
        </w:rPr>
      </w:pPr>
    </w:p>
    <w:tbl>
      <w:tblPr>
        <w:tblW w:w="9715" w:type="dxa"/>
        <w:jc w:val="center"/>
        <w:tblLayout w:type="fixed"/>
        <w:tblCellMar>
          <w:left w:w="70" w:type="dxa"/>
          <w:right w:w="70" w:type="dxa"/>
        </w:tblCellMar>
        <w:tblLook w:val="04A0" w:firstRow="1" w:lastRow="0" w:firstColumn="1" w:lastColumn="0" w:noHBand="0" w:noVBand="1"/>
      </w:tblPr>
      <w:tblGrid>
        <w:gridCol w:w="1795"/>
        <w:gridCol w:w="1065"/>
        <w:gridCol w:w="1992"/>
        <w:gridCol w:w="1489"/>
        <w:gridCol w:w="1636"/>
        <w:gridCol w:w="1738"/>
      </w:tblGrid>
      <w:tr w:rsidR="002701FA" w:rsidRPr="00522F77" w14:paraId="146656AF" w14:textId="77777777" w:rsidTr="00A315A0">
        <w:trPr>
          <w:trHeight w:val="765"/>
          <w:tblHeader/>
          <w:jc w:val="center"/>
        </w:trPr>
        <w:tc>
          <w:tcPr>
            <w:tcW w:w="17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41EA09"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No</w:t>
            </w:r>
          </w:p>
        </w:tc>
        <w:tc>
          <w:tcPr>
            <w:tcW w:w="1065" w:type="dxa"/>
            <w:tcBorders>
              <w:top w:val="single" w:sz="4" w:space="0" w:color="auto"/>
              <w:left w:val="nil"/>
              <w:bottom w:val="single" w:sz="4" w:space="0" w:color="auto"/>
              <w:right w:val="single" w:sz="4" w:space="0" w:color="auto"/>
            </w:tcBorders>
            <w:shd w:val="clear" w:color="auto" w:fill="auto"/>
            <w:vAlign w:val="center"/>
            <w:hideMark/>
          </w:tcPr>
          <w:p w14:paraId="12BC1245"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LIQUIDEZ</w:t>
            </w:r>
          </w:p>
        </w:tc>
        <w:tc>
          <w:tcPr>
            <w:tcW w:w="1992" w:type="dxa"/>
            <w:tcBorders>
              <w:top w:val="single" w:sz="4" w:space="0" w:color="auto"/>
              <w:left w:val="nil"/>
              <w:bottom w:val="single" w:sz="4" w:space="0" w:color="auto"/>
              <w:right w:val="single" w:sz="4" w:space="0" w:color="auto"/>
            </w:tcBorders>
            <w:shd w:val="clear" w:color="auto" w:fill="auto"/>
            <w:vAlign w:val="center"/>
            <w:hideMark/>
          </w:tcPr>
          <w:p w14:paraId="5415A0FB"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NIVEL DE ENDEUDAMIENTO</w:t>
            </w:r>
          </w:p>
        </w:tc>
        <w:tc>
          <w:tcPr>
            <w:tcW w:w="1489" w:type="dxa"/>
            <w:tcBorders>
              <w:top w:val="single" w:sz="4" w:space="0" w:color="auto"/>
              <w:left w:val="nil"/>
              <w:bottom w:val="single" w:sz="4" w:space="0" w:color="auto"/>
              <w:right w:val="single" w:sz="4" w:space="0" w:color="auto"/>
            </w:tcBorders>
            <w:shd w:val="clear" w:color="auto" w:fill="auto"/>
            <w:vAlign w:val="center"/>
            <w:hideMark/>
          </w:tcPr>
          <w:p w14:paraId="5CCDABB4"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COBERTURA DE INTERESES</w:t>
            </w:r>
          </w:p>
        </w:tc>
        <w:tc>
          <w:tcPr>
            <w:tcW w:w="1636" w:type="dxa"/>
            <w:tcBorders>
              <w:top w:val="single" w:sz="4" w:space="0" w:color="auto"/>
              <w:left w:val="nil"/>
              <w:bottom w:val="single" w:sz="4" w:space="0" w:color="auto"/>
              <w:right w:val="single" w:sz="4" w:space="0" w:color="auto"/>
            </w:tcBorders>
            <w:shd w:val="clear" w:color="auto" w:fill="auto"/>
            <w:vAlign w:val="center"/>
            <w:hideMark/>
          </w:tcPr>
          <w:p w14:paraId="5940EF28"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RENTABILIDAD DE PATRIMONIO</w:t>
            </w:r>
          </w:p>
        </w:tc>
        <w:tc>
          <w:tcPr>
            <w:tcW w:w="1738" w:type="dxa"/>
            <w:tcBorders>
              <w:top w:val="single" w:sz="4" w:space="0" w:color="auto"/>
              <w:left w:val="nil"/>
              <w:bottom w:val="single" w:sz="4" w:space="0" w:color="auto"/>
              <w:right w:val="single" w:sz="4" w:space="0" w:color="auto"/>
            </w:tcBorders>
            <w:shd w:val="clear" w:color="auto" w:fill="auto"/>
            <w:vAlign w:val="center"/>
            <w:hideMark/>
          </w:tcPr>
          <w:p w14:paraId="2B23B869"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RENTABILIDAD DEL ACTIVO</w:t>
            </w:r>
          </w:p>
        </w:tc>
      </w:tr>
      <w:tr w:rsidR="002701FA" w:rsidRPr="00522F77" w14:paraId="4F893432"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35183671"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1</w:t>
            </w:r>
          </w:p>
        </w:tc>
        <w:tc>
          <w:tcPr>
            <w:tcW w:w="1065" w:type="dxa"/>
            <w:tcBorders>
              <w:top w:val="nil"/>
              <w:left w:val="nil"/>
              <w:bottom w:val="single" w:sz="4" w:space="0" w:color="auto"/>
              <w:right w:val="single" w:sz="4" w:space="0" w:color="auto"/>
            </w:tcBorders>
            <w:shd w:val="clear" w:color="auto" w:fill="auto"/>
            <w:noWrap/>
            <w:vAlign w:val="bottom"/>
            <w:hideMark/>
          </w:tcPr>
          <w:p w14:paraId="7CED4FBC"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2,68</w:t>
            </w:r>
          </w:p>
        </w:tc>
        <w:tc>
          <w:tcPr>
            <w:tcW w:w="1992" w:type="dxa"/>
            <w:tcBorders>
              <w:top w:val="nil"/>
              <w:left w:val="nil"/>
              <w:bottom w:val="single" w:sz="4" w:space="0" w:color="auto"/>
              <w:right w:val="single" w:sz="4" w:space="0" w:color="auto"/>
            </w:tcBorders>
            <w:shd w:val="clear" w:color="auto" w:fill="auto"/>
            <w:noWrap/>
            <w:vAlign w:val="bottom"/>
            <w:hideMark/>
          </w:tcPr>
          <w:p w14:paraId="3718D276"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37%</w:t>
            </w:r>
          </w:p>
        </w:tc>
        <w:tc>
          <w:tcPr>
            <w:tcW w:w="1489" w:type="dxa"/>
            <w:tcBorders>
              <w:top w:val="nil"/>
              <w:left w:val="nil"/>
              <w:bottom w:val="single" w:sz="4" w:space="0" w:color="auto"/>
              <w:right w:val="single" w:sz="4" w:space="0" w:color="auto"/>
            </w:tcBorders>
            <w:shd w:val="clear" w:color="auto" w:fill="auto"/>
            <w:noWrap/>
            <w:vAlign w:val="bottom"/>
            <w:hideMark/>
          </w:tcPr>
          <w:p w14:paraId="4E4ED9C0"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9,73</w:t>
            </w:r>
          </w:p>
        </w:tc>
        <w:tc>
          <w:tcPr>
            <w:tcW w:w="1636" w:type="dxa"/>
            <w:tcBorders>
              <w:top w:val="nil"/>
              <w:left w:val="nil"/>
              <w:bottom w:val="single" w:sz="4" w:space="0" w:color="auto"/>
              <w:right w:val="single" w:sz="4" w:space="0" w:color="auto"/>
            </w:tcBorders>
            <w:shd w:val="clear" w:color="auto" w:fill="auto"/>
            <w:noWrap/>
            <w:vAlign w:val="bottom"/>
            <w:hideMark/>
          </w:tcPr>
          <w:p w14:paraId="42046F45"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738" w:type="dxa"/>
            <w:tcBorders>
              <w:top w:val="nil"/>
              <w:left w:val="nil"/>
              <w:bottom w:val="single" w:sz="4" w:space="0" w:color="auto"/>
              <w:right w:val="single" w:sz="4" w:space="0" w:color="auto"/>
            </w:tcBorders>
            <w:shd w:val="clear" w:color="auto" w:fill="auto"/>
            <w:noWrap/>
            <w:vAlign w:val="bottom"/>
            <w:hideMark/>
          </w:tcPr>
          <w:p w14:paraId="3F2D7FB6"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18,2%</w:t>
            </w:r>
          </w:p>
        </w:tc>
      </w:tr>
      <w:tr w:rsidR="002701FA" w:rsidRPr="00522F77" w14:paraId="18618964"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5DA43C27"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2</w:t>
            </w:r>
          </w:p>
        </w:tc>
        <w:tc>
          <w:tcPr>
            <w:tcW w:w="1065" w:type="dxa"/>
            <w:tcBorders>
              <w:top w:val="nil"/>
              <w:left w:val="nil"/>
              <w:bottom w:val="single" w:sz="4" w:space="0" w:color="auto"/>
              <w:right w:val="single" w:sz="4" w:space="0" w:color="auto"/>
            </w:tcBorders>
            <w:shd w:val="clear" w:color="auto" w:fill="auto"/>
            <w:noWrap/>
            <w:vAlign w:val="bottom"/>
            <w:hideMark/>
          </w:tcPr>
          <w:p w14:paraId="00A483C8"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2,33</w:t>
            </w:r>
          </w:p>
        </w:tc>
        <w:tc>
          <w:tcPr>
            <w:tcW w:w="1992" w:type="dxa"/>
            <w:tcBorders>
              <w:top w:val="nil"/>
              <w:left w:val="nil"/>
              <w:bottom w:val="single" w:sz="4" w:space="0" w:color="auto"/>
              <w:right w:val="single" w:sz="4" w:space="0" w:color="auto"/>
            </w:tcBorders>
            <w:shd w:val="clear" w:color="auto" w:fill="auto"/>
            <w:noWrap/>
            <w:vAlign w:val="bottom"/>
            <w:hideMark/>
          </w:tcPr>
          <w:p w14:paraId="42603A71"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57%</w:t>
            </w:r>
          </w:p>
        </w:tc>
        <w:tc>
          <w:tcPr>
            <w:tcW w:w="1489" w:type="dxa"/>
            <w:tcBorders>
              <w:top w:val="nil"/>
              <w:left w:val="nil"/>
              <w:bottom w:val="single" w:sz="4" w:space="0" w:color="auto"/>
              <w:right w:val="single" w:sz="4" w:space="0" w:color="auto"/>
            </w:tcBorders>
            <w:shd w:val="clear" w:color="auto" w:fill="auto"/>
            <w:noWrap/>
            <w:vAlign w:val="bottom"/>
            <w:hideMark/>
          </w:tcPr>
          <w:p w14:paraId="00AED008"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636" w:type="dxa"/>
            <w:tcBorders>
              <w:top w:val="nil"/>
              <w:left w:val="nil"/>
              <w:bottom w:val="single" w:sz="4" w:space="0" w:color="auto"/>
              <w:right w:val="single" w:sz="4" w:space="0" w:color="auto"/>
            </w:tcBorders>
            <w:shd w:val="clear" w:color="auto" w:fill="auto"/>
            <w:noWrap/>
            <w:vAlign w:val="bottom"/>
            <w:hideMark/>
          </w:tcPr>
          <w:p w14:paraId="4D6F6CB7"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738" w:type="dxa"/>
            <w:tcBorders>
              <w:top w:val="nil"/>
              <w:left w:val="nil"/>
              <w:bottom w:val="single" w:sz="4" w:space="0" w:color="auto"/>
              <w:right w:val="single" w:sz="4" w:space="0" w:color="auto"/>
            </w:tcBorders>
            <w:shd w:val="clear" w:color="auto" w:fill="auto"/>
            <w:noWrap/>
            <w:vAlign w:val="bottom"/>
            <w:hideMark/>
          </w:tcPr>
          <w:p w14:paraId="46AA8FF5"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r>
      <w:tr w:rsidR="002701FA" w:rsidRPr="00522F77" w14:paraId="3214CA02"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70E07D91"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3</w:t>
            </w:r>
          </w:p>
        </w:tc>
        <w:tc>
          <w:tcPr>
            <w:tcW w:w="1065" w:type="dxa"/>
            <w:tcBorders>
              <w:top w:val="nil"/>
              <w:left w:val="nil"/>
              <w:bottom w:val="single" w:sz="4" w:space="0" w:color="auto"/>
              <w:right w:val="single" w:sz="4" w:space="0" w:color="auto"/>
            </w:tcBorders>
            <w:shd w:val="clear" w:color="auto" w:fill="auto"/>
            <w:noWrap/>
            <w:vAlign w:val="bottom"/>
            <w:hideMark/>
          </w:tcPr>
          <w:p w14:paraId="6F3E2560"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3,58</w:t>
            </w:r>
          </w:p>
        </w:tc>
        <w:tc>
          <w:tcPr>
            <w:tcW w:w="1992" w:type="dxa"/>
            <w:tcBorders>
              <w:top w:val="nil"/>
              <w:left w:val="nil"/>
              <w:bottom w:val="single" w:sz="4" w:space="0" w:color="auto"/>
              <w:right w:val="single" w:sz="4" w:space="0" w:color="auto"/>
            </w:tcBorders>
            <w:shd w:val="clear" w:color="auto" w:fill="auto"/>
            <w:noWrap/>
            <w:vAlign w:val="bottom"/>
            <w:hideMark/>
          </w:tcPr>
          <w:p w14:paraId="3E2CBDE6"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6%</w:t>
            </w:r>
          </w:p>
        </w:tc>
        <w:tc>
          <w:tcPr>
            <w:tcW w:w="1489" w:type="dxa"/>
            <w:tcBorders>
              <w:top w:val="nil"/>
              <w:left w:val="nil"/>
              <w:bottom w:val="single" w:sz="4" w:space="0" w:color="auto"/>
              <w:right w:val="single" w:sz="4" w:space="0" w:color="auto"/>
            </w:tcBorders>
            <w:shd w:val="clear" w:color="auto" w:fill="auto"/>
            <w:noWrap/>
            <w:vAlign w:val="bottom"/>
            <w:hideMark/>
          </w:tcPr>
          <w:p w14:paraId="557DFB4B"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636" w:type="dxa"/>
            <w:tcBorders>
              <w:top w:val="nil"/>
              <w:left w:val="nil"/>
              <w:bottom w:val="single" w:sz="4" w:space="0" w:color="auto"/>
              <w:right w:val="single" w:sz="4" w:space="0" w:color="auto"/>
            </w:tcBorders>
            <w:shd w:val="clear" w:color="auto" w:fill="auto"/>
            <w:noWrap/>
            <w:vAlign w:val="bottom"/>
            <w:hideMark/>
          </w:tcPr>
          <w:p w14:paraId="5D1E44CF"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9,4%</w:t>
            </w:r>
          </w:p>
        </w:tc>
        <w:tc>
          <w:tcPr>
            <w:tcW w:w="1738" w:type="dxa"/>
            <w:tcBorders>
              <w:top w:val="nil"/>
              <w:left w:val="nil"/>
              <w:bottom w:val="single" w:sz="4" w:space="0" w:color="auto"/>
              <w:right w:val="single" w:sz="4" w:space="0" w:color="auto"/>
            </w:tcBorders>
            <w:shd w:val="clear" w:color="auto" w:fill="auto"/>
            <w:noWrap/>
            <w:vAlign w:val="bottom"/>
            <w:hideMark/>
          </w:tcPr>
          <w:p w14:paraId="6D42ADDC"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8,9%</w:t>
            </w:r>
          </w:p>
        </w:tc>
      </w:tr>
      <w:tr w:rsidR="002701FA" w:rsidRPr="00522F77" w14:paraId="375D0956"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62967695"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4</w:t>
            </w:r>
          </w:p>
        </w:tc>
        <w:tc>
          <w:tcPr>
            <w:tcW w:w="1065" w:type="dxa"/>
            <w:tcBorders>
              <w:top w:val="nil"/>
              <w:left w:val="nil"/>
              <w:bottom w:val="single" w:sz="4" w:space="0" w:color="auto"/>
              <w:right w:val="single" w:sz="4" w:space="0" w:color="auto"/>
            </w:tcBorders>
            <w:shd w:val="clear" w:color="auto" w:fill="auto"/>
            <w:noWrap/>
            <w:vAlign w:val="bottom"/>
            <w:hideMark/>
          </w:tcPr>
          <w:p w14:paraId="41501363"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992" w:type="dxa"/>
            <w:tcBorders>
              <w:top w:val="nil"/>
              <w:left w:val="nil"/>
              <w:bottom w:val="single" w:sz="4" w:space="0" w:color="auto"/>
              <w:right w:val="single" w:sz="4" w:space="0" w:color="auto"/>
            </w:tcBorders>
            <w:shd w:val="clear" w:color="auto" w:fill="auto"/>
            <w:noWrap/>
            <w:vAlign w:val="bottom"/>
            <w:hideMark/>
          </w:tcPr>
          <w:p w14:paraId="38048DF7"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489" w:type="dxa"/>
            <w:tcBorders>
              <w:top w:val="nil"/>
              <w:left w:val="nil"/>
              <w:bottom w:val="single" w:sz="4" w:space="0" w:color="auto"/>
              <w:right w:val="single" w:sz="4" w:space="0" w:color="auto"/>
            </w:tcBorders>
            <w:shd w:val="clear" w:color="auto" w:fill="auto"/>
            <w:noWrap/>
            <w:vAlign w:val="bottom"/>
            <w:hideMark/>
          </w:tcPr>
          <w:p w14:paraId="21C6FDC5"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4,86</w:t>
            </w:r>
          </w:p>
        </w:tc>
        <w:tc>
          <w:tcPr>
            <w:tcW w:w="1636" w:type="dxa"/>
            <w:tcBorders>
              <w:top w:val="nil"/>
              <w:left w:val="nil"/>
              <w:bottom w:val="single" w:sz="4" w:space="0" w:color="auto"/>
              <w:right w:val="single" w:sz="4" w:space="0" w:color="auto"/>
            </w:tcBorders>
            <w:shd w:val="clear" w:color="auto" w:fill="auto"/>
            <w:noWrap/>
            <w:vAlign w:val="bottom"/>
            <w:hideMark/>
          </w:tcPr>
          <w:p w14:paraId="6A023B84"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738" w:type="dxa"/>
            <w:tcBorders>
              <w:top w:val="nil"/>
              <w:left w:val="nil"/>
              <w:bottom w:val="single" w:sz="4" w:space="0" w:color="auto"/>
              <w:right w:val="single" w:sz="4" w:space="0" w:color="auto"/>
            </w:tcBorders>
            <w:shd w:val="clear" w:color="auto" w:fill="auto"/>
            <w:noWrap/>
            <w:vAlign w:val="bottom"/>
            <w:hideMark/>
          </w:tcPr>
          <w:p w14:paraId="72B225B2"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4,7%</w:t>
            </w:r>
          </w:p>
        </w:tc>
      </w:tr>
      <w:tr w:rsidR="002701FA" w:rsidRPr="00522F77" w14:paraId="4218CDD7"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073C02D6"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5</w:t>
            </w:r>
          </w:p>
        </w:tc>
        <w:tc>
          <w:tcPr>
            <w:tcW w:w="1065" w:type="dxa"/>
            <w:tcBorders>
              <w:top w:val="nil"/>
              <w:left w:val="nil"/>
              <w:bottom w:val="single" w:sz="4" w:space="0" w:color="auto"/>
              <w:right w:val="single" w:sz="4" w:space="0" w:color="auto"/>
            </w:tcBorders>
            <w:shd w:val="clear" w:color="auto" w:fill="auto"/>
            <w:noWrap/>
            <w:vAlign w:val="bottom"/>
            <w:hideMark/>
          </w:tcPr>
          <w:p w14:paraId="24457002"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1,50</w:t>
            </w:r>
          </w:p>
        </w:tc>
        <w:tc>
          <w:tcPr>
            <w:tcW w:w="1992" w:type="dxa"/>
            <w:tcBorders>
              <w:top w:val="nil"/>
              <w:left w:val="nil"/>
              <w:bottom w:val="single" w:sz="4" w:space="0" w:color="auto"/>
              <w:right w:val="single" w:sz="4" w:space="0" w:color="auto"/>
            </w:tcBorders>
            <w:shd w:val="clear" w:color="auto" w:fill="auto"/>
            <w:noWrap/>
            <w:vAlign w:val="bottom"/>
            <w:hideMark/>
          </w:tcPr>
          <w:p w14:paraId="16E6D346"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489" w:type="dxa"/>
            <w:tcBorders>
              <w:top w:val="nil"/>
              <w:left w:val="nil"/>
              <w:bottom w:val="single" w:sz="4" w:space="0" w:color="auto"/>
              <w:right w:val="single" w:sz="4" w:space="0" w:color="auto"/>
            </w:tcBorders>
            <w:shd w:val="clear" w:color="auto" w:fill="auto"/>
            <w:noWrap/>
            <w:vAlign w:val="bottom"/>
            <w:hideMark/>
          </w:tcPr>
          <w:p w14:paraId="3043D00A"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636" w:type="dxa"/>
            <w:tcBorders>
              <w:top w:val="nil"/>
              <w:left w:val="nil"/>
              <w:bottom w:val="single" w:sz="4" w:space="0" w:color="auto"/>
              <w:right w:val="single" w:sz="4" w:space="0" w:color="auto"/>
            </w:tcBorders>
            <w:shd w:val="clear" w:color="auto" w:fill="auto"/>
            <w:noWrap/>
            <w:vAlign w:val="bottom"/>
            <w:hideMark/>
          </w:tcPr>
          <w:p w14:paraId="3490DE89"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738" w:type="dxa"/>
            <w:tcBorders>
              <w:top w:val="nil"/>
              <w:left w:val="nil"/>
              <w:bottom w:val="single" w:sz="4" w:space="0" w:color="auto"/>
              <w:right w:val="single" w:sz="4" w:space="0" w:color="auto"/>
            </w:tcBorders>
            <w:shd w:val="clear" w:color="auto" w:fill="auto"/>
            <w:noWrap/>
            <w:vAlign w:val="bottom"/>
            <w:hideMark/>
          </w:tcPr>
          <w:p w14:paraId="34B5EB83"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r>
      <w:tr w:rsidR="002701FA" w:rsidRPr="00522F77" w14:paraId="04188F5A"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4C9D955C"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6</w:t>
            </w:r>
          </w:p>
        </w:tc>
        <w:tc>
          <w:tcPr>
            <w:tcW w:w="1065" w:type="dxa"/>
            <w:tcBorders>
              <w:top w:val="nil"/>
              <w:left w:val="nil"/>
              <w:bottom w:val="single" w:sz="4" w:space="0" w:color="auto"/>
              <w:right w:val="single" w:sz="4" w:space="0" w:color="auto"/>
            </w:tcBorders>
            <w:shd w:val="clear" w:color="auto" w:fill="auto"/>
            <w:noWrap/>
            <w:vAlign w:val="bottom"/>
            <w:hideMark/>
          </w:tcPr>
          <w:p w14:paraId="5477C59C"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1,53</w:t>
            </w:r>
          </w:p>
        </w:tc>
        <w:tc>
          <w:tcPr>
            <w:tcW w:w="1992" w:type="dxa"/>
            <w:tcBorders>
              <w:top w:val="nil"/>
              <w:left w:val="nil"/>
              <w:bottom w:val="single" w:sz="4" w:space="0" w:color="auto"/>
              <w:right w:val="single" w:sz="4" w:space="0" w:color="auto"/>
            </w:tcBorders>
            <w:shd w:val="clear" w:color="auto" w:fill="auto"/>
            <w:noWrap/>
            <w:vAlign w:val="bottom"/>
            <w:hideMark/>
          </w:tcPr>
          <w:p w14:paraId="11E4CDB0"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489" w:type="dxa"/>
            <w:tcBorders>
              <w:top w:val="nil"/>
              <w:left w:val="nil"/>
              <w:bottom w:val="single" w:sz="4" w:space="0" w:color="auto"/>
              <w:right w:val="single" w:sz="4" w:space="0" w:color="auto"/>
            </w:tcBorders>
            <w:shd w:val="clear" w:color="auto" w:fill="auto"/>
            <w:noWrap/>
            <w:vAlign w:val="bottom"/>
            <w:hideMark/>
          </w:tcPr>
          <w:p w14:paraId="11B38E84"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3,33</w:t>
            </w:r>
          </w:p>
        </w:tc>
        <w:tc>
          <w:tcPr>
            <w:tcW w:w="1636" w:type="dxa"/>
            <w:tcBorders>
              <w:top w:val="nil"/>
              <w:left w:val="nil"/>
              <w:bottom w:val="single" w:sz="4" w:space="0" w:color="auto"/>
              <w:right w:val="single" w:sz="4" w:space="0" w:color="auto"/>
            </w:tcBorders>
            <w:shd w:val="clear" w:color="auto" w:fill="auto"/>
            <w:noWrap/>
            <w:vAlign w:val="bottom"/>
            <w:hideMark/>
          </w:tcPr>
          <w:p w14:paraId="306F0C8F"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738" w:type="dxa"/>
            <w:tcBorders>
              <w:top w:val="nil"/>
              <w:left w:val="nil"/>
              <w:bottom w:val="single" w:sz="4" w:space="0" w:color="auto"/>
              <w:right w:val="single" w:sz="4" w:space="0" w:color="auto"/>
            </w:tcBorders>
            <w:shd w:val="clear" w:color="auto" w:fill="auto"/>
            <w:noWrap/>
            <w:vAlign w:val="bottom"/>
            <w:hideMark/>
          </w:tcPr>
          <w:p w14:paraId="2F41A30A"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r>
      <w:tr w:rsidR="002701FA" w:rsidRPr="00522F77" w14:paraId="7C1E3C7B"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3D402592"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7</w:t>
            </w:r>
          </w:p>
        </w:tc>
        <w:tc>
          <w:tcPr>
            <w:tcW w:w="1065" w:type="dxa"/>
            <w:tcBorders>
              <w:top w:val="nil"/>
              <w:left w:val="nil"/>
              <w:bottom w:val="single" w:sz="4" w:space="0" w:color="auto"/>
              <w:right w:val="single" w:sz="4" w:space="0" w:color="auto"/>
            </w:tcBorders>
            <w:shd w:val="clear" w:color="auto" w:fill="auto"/>
            <w:noWrap/>
            <w:vAlign w:val="bottom"/>
            <w:hideMark/>
          </w:tcPr>
          <w:p w14:paraId="60EE1C84"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992" w:type="dxa"/>
            <w:tcBorders>
              <w:top w:val="nil"/>
              <w:left w:val="nil"/>
              <w:bottom w:val="single" w:sz="4" w:space="0" w:color="auto"/>
              <w:right w:val="single" w:sz="4" w:space="0" w:color="auto"/>
            </w:tcBorders>
            <w:shd w:val="clear" w:color="auto" w:fill="auto"/>
            <w:noWrap/>
            <w:vAlign w:val="bottom"/>
            <w:hideMark/>
          </w:tcPr>
          <w:p w14:paraId="29C8E2EC"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489" w:type="dxa"/>
            <w:tcBorders>
              <w:top w:val="nil"/>
              <w:left w:val="nil"/>
              <w:bottom w:val="single" w:sz="4" w:space="0" w:color="auto"/>
              <w:right w:val="single" w:sz="4" w:space="0" w:color="auto"/>
            </w:tcBorders>
            <w:shd w:val="clear" w:color="auto" w:fill="auto"/>
            <w:noWrap/>
            <w:vAlign w:val="bottom"/>
            <w:hideMark/>
          </w:tcPr>
          <w:p w14:paraId="1AB651F3"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636" w:type="dxa"/>
            <w:tcBorders>
              <w:top w:val="nil"/>
              <w:left w:val="nil"/>
              <w:bottom w:val="single" w:sz="4" w:space="0" w:color="auto"/>
              <w:right w:val="single" w:sz="4" w:space="0" w:color="auto"/>
            </w:tcBorders>
            <w:shd w:val="clear" w:color="auto" w:fill="auto"/>
            <w:noWrap/>
            <w:vAlign w:val="bottom"/>
            <w:hideMark/>
          </w:tcPr>
          <w:p w14:paraId="5F72A56D"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738" w:type="dxa"/>
            <w:tcBorders>
              <w:top w:val="nil"/>
              <w:left w:val="nil"/>
              <w:bottom w:val="single" w:sz="4" w:space="0" w:color="auto"/>
              <w:right w:val="single" w:sz="4" w:space="0" w:color="auto"/>
            </w:tcBorders>
            <w:shd w:val="clear" w:color="auto" w:fill="auto"/>
            <w:noWrap/>
            <w:vAlign w:val="bottom"/>
            <w:hideMark/>
          </w:tcPr>
          <w:p w14:paraId="4C4131BF"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r>
      <w:tr w:rsidR="002701FA" w:rsidRPr="00522F77" w14:paraId="29220629"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2F03418E"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8</w:t>
            </w:r>
          </w:p>
        </w:tc>
        <w:tc>
          <w:tcPr>
            <w:tcW w:w="1065" w:type="dxa"/>
            <w:tcBorders>
              <w:top w:val="nil"/>
              <w:left w:val="nil"/>
              <w:bottom w:val="single" w:sz="4" w:space="0" w:color="auto"/>
              <w:right w:val="single" w:sz="4" w:space="0" w:color="auto"/>
            </w:tcBorders>
            <w:shd w:val="clear" w:color="auto" w:fill="auto"/>
            <w:noWrap/>
            <w:vAlign w:val="bottom"/>
            <w:hideMark/>
          </w:tcPr>
          <w:p w14:paraId="2AF6BCA1"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992" w:type="dxa"/>
            <w:tcBorders>
              <w:top w:val="nil"/>
              <w:left w:val="nil"/>
              <w:bottom w:val="single" w:sz="4" w:space="0" w:color="auto"/>
              <w:right w:val="single" w:sz="4" w:space="0" w:color="auto"/>
            </w:tcBorders>
            <w:shd w:val="clear" w:color="auto" w:fill="auto"/>
            <w:noWrap/>
            <w:vAlign w:val="bottom"/>
            <w:hideMark/>
          </w:tcPr>
          <w:p w14:paraId="56AF305F"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w:t>
            </w:r>
          </w:p>
        </w:tc>
        <w:tc>
          <w:tcPr>
            <w:tcW w:w="1489" w:type="dxa"/>
            <w:tcBorders>
              <w:top w:val="nil"/>
              <w:left w:val="nil"/>
              <w:bottom w:val="single" w:sz="4" w:space="0" w:color="auto"/>
              <w:right w:val="single" w:sz="4" w:space="0" w:color="auto"/>
            </w:tcBorders>
            <w:shd w:val="clear" w:color="auto" w:fill="auto"/>
            <w:noWrap/>
            <w:vAlign w:val="bottom"/>
            <w:hideMark/>
          </w:tcPr>
          <w:p w14:paraId="19DF9C15"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636" w:type="dxa"/>
            <w:tcBorders>
              <w:top w:val="nil"/>
              <w:left w:val="nil"/>
              <w:bottom w:val="single" w:sz="4" w:space="0" w:color="auto"/>
              <w:right w:val="single" w:sz="4" w:space="0" w:color="auto"/>
            </w:tcBorders>
            <w:shd w:val="clear" w:color="auto" w:fill="auto"/>
            <w:noWrap/>
            <w:vAlign w:val="bottom"/>
            <w:hideMark/>
          </w:tcPr>
          <w:p w14:paraId="327396DD"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5,7%</w:t>
            </w:r>
          </w:p>
        </w:tc>
        <w:tc>
          <w:tcPr>
            <w:tcW w:w="1738" w:type="dxa"/>
            <w:tcBorders>
              <w:top w:val="nil"/>
              <w:left w:val="nil"/>
              <w:bottom w:val="single" w:sz="4" w:space="0" w:color="auto"/>
              <w:right w:val="single" w:sz="4" w:space="0" w:color="auto"/>
            </w:tcBorders>
            <w:shd w:val="clear" w:color="auto" w:fill="auto"/>
            <w:noWrap/>
            <w:vAlign w:val="bottom"/>
            <w:hideMark/>
          </w:tcPr>
          <w:p w14:paraId="176F6FD5"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5,5%</w:t>
            </w:r>
          </w:p>
        </w:tc>
      </w:tr>
      <w:tr w:rsidR="002701FA" w:rsidRPr="00522F77" w14:paraId="2973A789"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19532D30"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lastRenderedPageBreak/>
              <w:t>Empresa No 9</w:t>
            </w:r>
          </w:p>
        </w:tc>
        <w:tc>
          <w:tcPr>
            <w:tcW w:w="1065" w:type="dxa"/>
            <w:tcBorders>
              <w:top w:val="nil"/>
              <w:left w:val="nil"/>
              <w:bottom w:val="single" w:sz="4" w:space="0" w:color="auto"/>
              <w:right w:val="single" w:sz="4" w:space="0" w:color="auto"/>
            </w:tcBorders>
            <w:shd w:val="clear" w:color="auto" w:fill="auto"/>
            <w:noWrap/>
            <w:vAlign w:val="bottom"/>
            <w:hideMark/>
          </w:tcPr>
          <w:p w14:paraId="26F93932"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1,21</w:t>
            </w:r>
          </w:p>
        </w:tc>
        <w:tc>
          <w:tcPr>
            <w:tcW w:w="1992" w:type="dxa"/>
            <w:tcBorders>
              <w:top w:val="nil"/>
              <w:left w:val="nil"/>
              <w:bottom w:val="single" w:sz="4" w:space="0" w:color="auto"/>
              <w:right w:val="single" w:sz="4" w:space="0" w:color="auto"/>
            </w:tcBorders>
            <w:shd w:val="clear" w:color="auto" w:fill="auto"/>
            <w:noWrap/>
            <w:vAlign w:val="bottom"/>
            <w:hideMark/>
          </w:tcPr>
          <w:p w14:paraId="4213F3D4"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39%</w:t>
            </w:r>
          </w:p>
        </w:tc>
        <w:tc>
          <w:tcPr>
            <w:tcW w:w="1489" w:type="dxa"/>
            <w:tcBorders>
              <w:top w:val="nil"/>
              <w:left w:val="nil"/>
              <w:bottom w:val="single" w:sz="4" w:space="0" w:color="auto"/>
              <w:right w:val="single" w:sz="4" w:space="0" w:color="auto"/>
            </w:tcBorders>
            <w:shd w:val="clear" w:color="auto" w:fill="auto"/>
            <w:noWrap/>
            <w:vAlign w:val="bottom"/>
            <w:hideMark/>
          </w:tcPr>
          <w:p w14:paraId="127DDC7E"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7,15</w:t>
            </w:r>
          </w:p>
        </w:tc>
        <w:tc>
          <w:tcPr>
            <w:tcW w:w="1636" w:type="dxa"/>
            <w:tcBorders>
              <w:top w:val="nil"/>
              <w:left w:val="nil"/>
              <w:bottom w:val="single" w:sz="4" w:space="0" w:color="auto"/>
              <w:right w:val="single" w:sz="4" w:space="0" w:color="auto"/>
            </w:tcBorders>
            <w:shd w:val="clear" w:color="auto" w:fill="auto"/>
            <w:noWrap/>
            <w:vAlign w:val="bottom"/>
            <w:hideMark/>
          </w:tcPr>
          <w:p w14:paraId="01808466"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11,1%</w:t>
            </w:r>
          </w:p>
        </w:tc>
        <w:tc>
          <w:tcPr>
            <w:tcW w:w="1738" w:type="dxa"/>
            <w:tcBorders>
              <w:top w:val="nil"/>
              <w:left w:val="nil"/>
              <w:bottom w:val="single" w:sz="4" w:space="0" w:color="auto"/>
              <w:right w:val="single" w:sz="4" w:space="0" w:color="auto"/>
            </w:tcBorders>
            <w:shd w:val="clear" w:color="auto" w:fill="auto"/>
            <w:noWrap/>
            <w:vAlign w:val="bottom"/>
            <w:hideMark/>
          </w:tcPr>
          <w:p w14:paraId="3A64007E"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6,8%</w:t>
            </w:r>
          </w:p>
        </w:tc>
      </w:tr>
      <w:tr w:rsidR="002701FA" w:rsidRPr="00522F77" w14:paraId="6C904103"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54EEF5D4"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10</w:t>
            </w:r>
          </w:p>
        </w:tc>
        <w:tc>
          <w:tcPr>
            <w:tcW w:w="1065" w:type="dxa"/>
            <w:tcBorders>
              <w:top w:val="nil"/>
              <w:left w:val="nil"/>
              <w:bottom w:val="single" w:sz="4" w:space="0" w:color="auto"/>
              <w:right w:val="single" w:sz="4" w:space="0" w:color="auto"/>
            </w:tcBorders>
            <w:shd w:val="clear" w:color="auto" w:fill="auto"/>
            <w:noWrap/>
            <w:vAlign w:val="bottom"/>
            <w:hideMark/>
          </w:tcPr>
          <w:p w14:paraId="6E59B5A8"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992" w:type="dxa"/>
            <w:tcBorders>
              <w:top w:val="nil"/>
              <w:left w:val="nil"/>
              <w:bottom w:val="single" w:sz="4" w:space="0" w:color="auto"/>
              <w:right w:val="single" w:sz="4" w:space="0" w:color="auto"/>
            </w:tcBorders>
            <w:shd w:val="clear" w:color="auto" w:fill="auto"/>
            <w:noWrap/>
            <w:vAlign w:val="bottom"/>
            <w:hideMark/>
          </w:tcPr>
          <w:p w14:paraId="029AE09A"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489" w:type="dxa"/>
            <w:tcBorders>
              <w:top w:val="nil"/>
              <w:left w:val="nil"/>
              <w:bottom w:val="single" w:sz="4" w:space="0" w:color="auto"/>
              <w:right w:val="single" w:sz="4" w:space="0" w:color="auto"/>
            </w:tcBorders>
            <w:shd w:val="clear" w:color="auto" w:fill="auto"/>
            <w:noWrap/>
            <w:vAlign w:val="bottom"/>
            <w:hideMark/>
          </w:tcPr>
          <w:p w14:paraId="0AA71D16"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636" w:type="dxa"/>
            <w:tcBorders>
              <w:top w:val="nil"/>
              <w:left w:val="nil"/>
              <w:bottom w:val="single" w:sz="4" w:space="0" w:color="auto"/>
              <w:right w:val="single" w:sz="4" w:space="0" w:color="auto"/>
            </w:tcBorders>
            <w:shd w:val="clear" w:color="auto" w:fill="auto"/>
            <w:noWrap/>
            <w:vAlign w:val="bottom"/>
            <w:hideMark/>
          </w:tcPr>
          <w:p w14:paraId="48137DC1"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738" w:type="dxa"/>
            <w:tcBorders>
              <w:top w:val="nil"/>
              <w:left w:val="nil"/>
              <w:bottom w:val="single" w:sz="4" w:space="0" w:color="auto"/>
              <w:right w:val="single" w:sz="4" w:space="0" w:color="auto"/>
            </w:tcBorders>
            <w:shd w:val="clear" w:color="auto" w:fill="auto"/>
            <w:noWrap/>
            <w:vAlign w:val="bottom"/>
            <w:hideMark/>
          </w:tcPr>
          <w:p w14:paraId="2ECC3EC1"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r>
      <w:tr w:rsidR="002701FA" w:rsidRPr="00522F77" w14:paraId="0EE6ED05"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751AF431"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11</w:t>
            </w:r>
          </w:p>
        </w:tc>
        <w:tc>
          <w:tcPr>
            <w:tcW w:w="1065" w:type="dxa"/>
            <w:tcBorders>
              <w:top w:val="nil"/>
              <w:left w:val="nil"/>
              <w:bottom w:val="single" w:sz="4" w:space="0" w:color="auto"/>
              <w:right w:val="single" w:sz="4" w:space="0" w:color="auto"/>
            </w:tcBorders>
            <w:shd w:val="clear" w:color="auto" w:fill="auto"/>
            <w:noWrap/>
            <w:vAlign w:val="bottom"/>
            <w:hideMark/>
          </w:tcPr>
          <w:p w14:paraId="2616EF6B"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1,20</w:t>
            </w:r>
          </w:p>
        </w:tc>
        <w:tc>
          <w:tcPr>
            <w:tcW w:w="1992" w:type="dxa"/>
            <w:tcBorders>
              <w:top w:val="nil"/>
              <w:left w:val="nil"/>
              <w:bottom w:val="single" w:sz="4" w:space="0" w:color="auto"/>
              <w:right w:val="single" w:sz="4" w:space="0" w:color="auto"/>
            </w:tcBorders>
            <w:shd w:val="clear" w:color="auto" w:fill="auto"/>
            <w:noWrap/>
            <w:vAlign w:val="bottom"/>
            <w:hideMark/>
          </w:tcPr>
          <w:p w14:paraId="58EB99D6"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489" w:type="dxa"/>
            <w:tcBorders>
              <w:top w:val="nil"/>
              <w:left w:val="nil"/>
              <w:bottom w:val="single" w:sz="4" w:space="0" w:color="auto"/>
              <w:right w:val="single" w:sz="4" w:space="0" w:color="auto"/>
            </w:tcBorders>
            <w:shd w:val="clear" w:color="auto" w:fill="auto"/>
            <w:noWrap/>
            <w:vAlign w:val="bottom"/>
            <w:hideMark/>
          </w:tcPr>
          <w:p w14:paraId="617988E6"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636" w:type="dxa"/>
            <w:tcBorders>
              <w:top w:val="nil"/>
              <w:left w:val="nil"/>
              <w:bottom w:val="single" w:sz="4" w:space="0" w:color="auto"/>
              <w:right w:val="single" w:sz="4" w:space="0" w:color="auto"/>
            </w:tcBorders>
            <w:shd w:val="clear" w:color="auto" w:fill="auto"/>
            <w:noWrap/>
            <w:vAlign w:val="bottom"/>
            <w:hideMark/>
          </w:tcPr>
          <w:p w14:paraId="0E85B773"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738" w:type="dxa"/>
            <w:tcBorders>
              <w:top w:val="nil"/>
              <w:left w:val="nil"/>
              <w:bottom w:val="single" w:sz="4" w:space="0" w:color="auto"/>
              <w:right w:val="single" w:sz="4" w:space="0" w:color="auto"/>
            </w:tcBorders>
            <w:shd w:val="clear" w:color="auto" w:fill="auto"/>
            <w:noWrap/>
            <w:vAlign w:val="bottom"/>
            <w:hideMark/>
          </w:tcPr>
          <w:p w14:paraId="3ADB6CBA"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8,4%</w:t>
            </w:r>
          </w:p>
        </w:tc>
      </w:tr>
      <w:tr w:rsidR="002701FA" w:rsidRPr="00522F77" w14:paraId="07420EA3"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4C1F9D4D"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12</w:t>
            </w:r>
          </w:p>
        </w:tc>
        <w:tc>
          <w:tcPr>
            <w:tcW w:w="1065" w:type="dxa"/>
            <w:tcBorders>
              <w:top w:val="nil"/>
              <w:left w:val="nil"/>
              <w:bottom w:val="single" w:sz="4" w:space="0" w:color="auto"/>
              <w:right w:val="single" w:sz="4" w:space="0" w:color="auto"/>
            </w:tcBorders>
            <w:shd w:val="clear" w:color="auto" w:fill="auto"/>
            <w:noWrap/>
            <w:vAlign w:val="bottom"/>
            <w:hideMark/>
          </w:tcPr>
          <w:p w14:paraId="73E26D8F"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1,38</w:t>
            </w:r>
          </w:p>
        </w:tc>
        <w:tc>
          <w:tcPr>
            <w:tcW w:w="1992" w:type="dxa"/>
            <w:tcBorders>
              <w:top w:val="nil"/>
              <w:left w:val="nil"/>
              <w:bottom w:val="single" w:sz="4" w:space="0" w:color="auto"/>
              <w:right w:val="single" w:sz="4" w:space="0" w:color="auto"/>
            </w:tcBorders>
            <w:shd w:val="clear" w:color="auto" w:fill="auto"/>
            <w:noWrap/>
            <w:vAlign w:val="bottom"/>
            <w:hideMark/>
          </w:tcPr>
          <w:p w14:paraId="5091F7F1"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46%</w:t>
            </w:r>
          </w:p>
        </w:tc>
        <w:tc>
          <w:tcPr>
            <w:tcW w:w="1489" w:type="dxa"/>
            <w:tcBorders>
              <w:top w:val="nil"/>
              <w:left w:val="nil"/>
              <w:bottom w:val="single" w:sz="4" w:space="0" w:color="auto"/>
              <w:right w:val="single" w:sz="4" w:space="0" w:color="auto"/>
            </w:tcBorders>
            <w:shd w:val="clear" w:color="auto" w:fill="auto"/>
            <w:noWrap/>
            <w:vAlign w:val="bottom"/>
            <w:hideMark/>
          </w:tcPr>
          <w:p w14:paraId="0AE1AF19"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636" w:type="dxa"/>
            <w:tcBorders>
              <w:top w:val="nil"/>
              <w:left w:val="nil"/>
              <w:bottom w:val="single" w:sz="4" w:space="0" w:color="auto"/>
              <w:right w:val="single" w:sz="4" w:space="0" w:color="auto"/>
            </w:tcBorders>
            <w:shd w:val="clear" w:color="auto" w:fill="auto"/>
            <w:noWrap/>
            <w:vAlign w:val="bottom"/>
            <w:hideMark/>
          </w:tcPr>
          <w:p w14:paraId="0F06FDB2"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11,9%</w:t>
            </w:r>
          </w:p>
        </w:tc>
        <w:tc>
          <w:tcPr>
            <w:tcW w:w="1738" w:type="dxa"/>
            <w:tcBorders>
              <w:top w:val="nil"/>
              <w:left w:val="nil"/>
              <w:bottom w:val="single" w:sz="4" w:space="0" w:color="auto"/>
              <w:right w:val="single" w:sz="4" w:space="0" w:color="auto"/>
            </w:tcBorders>
            <w:shd w:val="clear" w:color="auto" w:fill="auto"/>
            <w:noWrap/>
            <w:vAlign w:val="bottom"/>
            <w:hideMark/>
          </w:tcPr>
          <w:p w14:paraId="1A3F3E34"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6,5%</w:t>
            </w:r>
          </w:p>
        </w:tc>
      </w:tr>
      <w:tr w:rsidR="002701FA" w:rsidRPr="00522F77" w14:paraId="3A171595"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0C382A1B"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13</w:t>
            </w:r>
          </w:p>
        </w:tc>
        <w:tc>
          <w:tcPr>
            <w:tcW w:w="1065" w:type="dxa"/>
            <w:tcBorders>
              <w:top w:val="nil"/>
              <w:left w:val="nil"/>
              <w:bottom w:val="single" w:sz="4" w:space="0" w:color="auto"/>
              <w:right w:val="single" w:sz="4" w:space="0" w:color="auto"/>
            </w:tcBorders>
            <w:shd w:val="clear" w:color="auto" w:fill="auto"/>
            <w:noWrap/>
            <w:vAlign w:val="bottom"/>
            <w:hideMark/>
          </w:tcPr>
          <w:p w14:paraId="61B40BB3"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2,36</w:t>
            </w:r>
          </w:p>
        </w:tc>
        <w:tc>
          <w:tcPr>
            <w:tcW w:w="1992" w:type="dxa"/>
            <w:tcBorders>
              <w:top w:val="nil"/>
              <w:left w:val="nil"/>
              <w:bottom w:val="single" w:sz="4" w:space="0" w:color="auto"/>
              <w:right w:val="single" w:sz="4" w:space="0" w:color="auto"/>
            </w:tcBorders>
            <w:shd w:val="clear" w:color="auto" w:fill="auto"/>
            <w:noWrap/>
            <w:vAlign w:val="bottom"/>
            <w:hideMark/>
          </w:tcPr>
          <w:p w14:paraId="5331AD37"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16%</w:t>
            </w:r>
          </w:p>
        </w:tc>
        <w:tc>
          <w:tcPr>
            <w:tcW w:w="1489" w:type="dxa"/>
            <w:tcBorders>
              <w:top w:val="nil"/>
              <w:left w:val="nil"/>
              <w:bottom w:val="single" w:sz="4" w:space="0" w:color="auto"/>
              <w:right w:val="single" w:sz="4" w:space="0" w:color="auto"/>
            </w:tcBorders>
            <w:shd w:val="clear" w:color="auto" w:fill="auto"/>
            <w:noWrap/>
            <w:vAlign w:val="bottom"/>
            <w:hideMark/>
          </w:tcPr>
          <w:p w14:paraId="33CEF2FE"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6,53</w:t>
            </w:r>
          </w:p>
        </w:tc>
        <w:tc>
          <w:tcPr>
            <w:tcW w:w="1636" w:type="dxa"/>
            <w:tcBorders>
              <w:top w:val="nil"/>
              <w:left w:val="nil"/>
              <w:bottom w:val="single" w:sz="4" w:space="0" w:color="auto"/>
              <w:right w:val="single" w:sz="4" w:space="0" w:color="auto"/>
            </w:tcBorders>
            <w:shd w:val="clear" w:color="auto" w:fill="auto"/>
            <w:noWrap/>
            <w:vAlign w:val="bottom"/>
            <w:hideMark/>
          </w:tcPr>
          <w:p w14:paraId="254CD636"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6,9%</w:t>
            </w:r>
          </w:p>
        </w:tc>
        <w:tc>
          <w:tcPr>
            <w:tcW w:w="1738" w:type="dxa"/>
            <w:tcBorders>
              <w:top w:val="nil"/>
              <w:left w:val="nil"/>
              <w:bottom w:val="single" w:sz="4" w:space="0" w:color="auto"/>
              <w:right w:val="single" w:sz="4" w:space="0" w:color="auto"/>
            </w:tcBorders>
            <w:shd w:val="clear" w:color="auto" w:fill="auto"/>
            <w:noWrap/>
            <w:vAlign w:val="bottom"/>
            <w:hideMark/>
          </w:tcPr>
          <w:p w14:paraId="0FC2AA97"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5,8%</w:t>
            </w:r>
          </w:p>
        </w:tc>
      </w:tr>
      <w:tr w:rsidR="002701FA" w:rsidRPr="00522F77" w14:paraId="7EB1DC69"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22A3CDD9"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14</w:t>
            </w:r>
          </w:p>
        </w:tc>
        <w:tc>
          <w:tcPr>
            <w:tcW w:w="1065" w:type="dxa"/>
            <w:tcBorders>
              <w:top w:val="nil"/>
              <w:left w:val="nil"/>
              <w:bottom w:val="single" w:sz="4" w:space="0" w:color="auto"/>
              <w:right w:val="single" w:sz="4" w:space="0" w:color="auto"/>
            </w:tcBorders>
            <w:shd w:val="clear" w:color="auto" w:fill="auto"/>
            <w:noWrap/>
            <w:vAlign w:val="bottom"/>
            <w:hideMark/>
          </w:tcPr>
          <w:p w14:paraId="011CB3B6"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2,44</w:t>
            </w:r>
          </w:p>
        </w:tc>
        <w:tc>
          <w:tcPr>
            <w:tcW w:w="1992" w:type="dxa"/>
            <w:tcBorders>
              <w:top w:val="nil"/>
              <w:left w:val="nil"/>
              <w:bottom w:val="single" w:sz="4" w:space="0" w:color="auto"/>
              <w:right w:val="single" w:sz="4" w:space="0" w:color="auto"/>
            </w:tcBorders>
            <w:shd w:val="clear" w:color="auto" w:fill="auto"/>
            <w:noWrap/>
            <w:vAlign w:val="bottom"/>
            <w:hideMark/>
          </w:tcPr>
          <w:p w14:paraId="4526F13C"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31%</w:t>
            </w:r>
          </w:p>
        </w:tc>
        <w:tc>
          <w:tcPr>
            <w:tcW w:w="1489" w:type="dxa"/>
            <w:tcBorders>
              <w:top w:val="nil"/>
              <w:left w:val="nil"/>
              <w:bottom w:val="single" w:sz="4" w:space="0" w:color="auto"/>
              <w:right w:val="single" w:sz="4" w:space="0" w:color="auto"/>
            </w:tcBorders>
            <w:shd w:val="clear" w:color="auto" w:fill="auto"/>
            <w:noWrap/>
            <w:vAlign w:val="bottom"/>
            <w:hideMark/>
          </w:tcPr>
          <w:p w14:paraId="02015368"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636" w:type="dxa"/>
            <w:tcBorders>
              <w:top w:val="nil"/>
              <w:left w:val="nil"/>
              <w:bottom w:val="single" w:sz="4" w:space="0" w:color="auto"/>
              <w:right w:val="single" w:sz="4" w:space="0" w:color="auto"/>
            </w:tcBorders>
            <w:shd w:val="clear" w:color="auto" w:fill="auto"/>
            <w:noWrap/>
            <w:vAlign w:val="bottom"/>
            <w:hideMark/>
          </w:tcPr>
          <w:p w14:paraId="07E97C19"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738" w:type="dxa"/>
            <w:tcBorders>
              <w:top w:val="nil"/>
              <w:left w:val="nil"/>
              <w:bottom w:val="single" w:sz="4" w:space="0" w:color="auto"/>
              <w:right w:val="single" w:sz="4" w:space="0" w:color="auto"/>
            </w:tcBorders>
            <w:shd w:val="clear" w:color="auto" w:fill="auto"/>
            <w:noWrap/>
            <w:vAlign w:val="bottom"/>
            <w:hideMark/>
          </w:tcPr>
          <w:p w14:paraId="234A9138"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r>
      <w:tr w:rsidR="002701FA" w:rsidRPr="00522F77" w14:paraId="7BBFAB44"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08619941"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15</w:t>
            </w:r>
          </w:p>
        </w:tc>
        <w:tc>
          <w:tcPr>
            <w:tcW w:w="1065" w:type="dxa"/>
            <w:tcBorders>
              <w:top w:val="nil"/>
              <w:left w:val="nil"/>
              <w:bottom w:val="single" w:sz="4" w:space="0" w:color="auto"/>
              <w:right w:val="single" w:sz="4" w:space="0" w:color="auto"/>
            </w:tcBorders>
            <w:shd w:val="clear" w:color="auto" w:fill="auto"/>
            <w:noWrap/>
            <w:vAlign w:val="bottom"/>
            <w:hideMark/>
          </w:tcPr>
          <w:p w14:paraId="2340FA1A"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992" w:type="dxa"/>
            <w:tcBorders>
              <w:top w:val="nil"/>
              <w:left w:val="nil"/>
              <w:bottom w:val="single" w:sz="4" w:space="0" w:color="auto"/>
              <w:right w:val="single" w:sz="4" w:space="0" w:color="auto"/>
            </w:tcBorders>
            <w:shd w:val="clear" w:color="auto" w:fill="auto"/>
            <w:noWrap/>
            <w:vAlign w:val="bottom"/>
            <w:hideMark/>
          </w:tcPr>
          <w:p w14:paraId="0EC786B9"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489" w:type="dxa"/>
            <w:tcBorders>
              <w:top w:val="nil"/>
              <w:left w:val="nil"/>
              <w:bottom w:val="single" w:sz="4" w:space="0" w:color="auto"/>
              <w:right w:val="single" w:sz="4" w:space="0" w:color="auto"/>
            </w:tcBorders>
            <w:shd w:val="clear" w:color="auto" w:fill="auto"/>
            <w:noWrap/>
            <w:vAlign w:val="bottom"/>
            <w:hideMark/>
          </w:tcPr>
          <w:p w14:paraId="1788216E"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636" w:type="dxa"/>
            <w:tcBorders>
              <w:top w:val="nil"/>
              <w:left w:val="nil"/>
              <w:bottom w:val="single" w:sz="4" w:space="0" w:color="auto"/>
              <w:right w:val="single" w:sz="4" w:space="0" w:color="auto"/>
            </w:tcBorders>
            <w:shd w:val="clear" w:color="auto" w:fill="auto"/>
            <w:noWrap/>
            <w:vAlign w:val="bottom"/>
            <w:hideMark/>
          </w:tcPr>
          <w:p w14:paraId="5C77319B"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738" w:type="dxa"/>
            <w:tcBorders>
              <w:top w:val="nil"/>
              <w:left w:val="nil"/>
              <w:bottom w:val="single" w:sz="4" w:space="0" w:color="auto"/>
              <w:right w:val="single" w:sz="4" w:space="0" w:color="auto"/>
            </w:tcBorders>
            <w:shd w:val="clear" w:color="auto" w:fill="auto"/>
            <w:noWrap/>
            <w:vAlign w:val="bottom"/>
            <w:hideMark/>
          </w:tcPr>
          <w:p w14:paraId="63B6ED6F"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r>
      <w:tr w:rsidR="002701FA" w:rsidRPr="00522F77" w14:paraId="2AACF532"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031A37C8"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16</w:t>
            </w:r>
          </w:p>
        </w:tc>
        <w:tc>
          <w:tcPr>
            <w:tcW w:w="1065" w:type="dxa"/>
            <w:tcBorders>
              <w:top w:val="nil"/>
              <w:left w:val="nil"/>
              <w:bottom w:val="single" w:sz="4" w:space="0" w:color="auto"/>
              <w:right w:val="single" w:sz="4" w:space="0" w:color="auto"/>
            </w:tcBorders>
            <w:shd w:val="clear" w:color="auto" w:fill="auto"/>
            <w:noWrap/>
            <w:vAlign w:val="bottom"/>
            <w:hideMark/>
          </w:tcPr>
          <w:p w14:paraId="1FDAB2AC"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7,44</w:t>
            </w:r>
          </w:p>
        </w:tc>
        <w:tc>
          <w:tcPr>
            <w:tcW w:w="1992" w:type="dxa"/>
            <w:tcBorders>
              <w:top w:val="nil"/>
              <w:left w:val="nil"/>
              <w:bottom w:val="single" w:sz="4" w:space="0" w:color="auto"/>
              <w:right w:val="single" w:sz="4" w:space="0" w:color="auto"/>
            </w:tcBorders>
            <w:shd w:val="clear" w:color="auto" w:fill="auto"/>
            <w:noWrap/>
            <w:vAlign w:val="bottom"/>
            <w:hideMark/>
          </w:tcPr>
          <w:p w14:paraId="2405411D"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13%</w:t>
            </w:r>
          </w:p>
        </w:tc>
        <w:tc>
          <w:tcPr>
            <w:tcW w:w="1489" w:type="dxa"/>
            <w:tcBorders>
              <w:top w:val="nil"/>
              <w:left w:val="nil"/>
              <w:bottom w:val="single" w:sz="4" w:space="0" w:color="auto"/>
              <w:right w:val="single" w:sz="4" w:space="0" w:color="auto"/>
            </w:tcBorders>
            <w:shd w:val="clear" w:color="auto" w:fill="auto"/>
            <w:noWrap/>
            <w:vAlign w:val="bottom"/>
            <w:hideMark/>
          </w:tcPr>
          <w:p w14:paraId="789FAABB"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636" w:type="dxa"/>
            <w:tcBorders>
              <w:top w:val="nil"/>
              <w:left w:val="nil"/>
              <w:bottom w:val="single" w:sz="4" w:space="0" w:color="auto"/>
              <w:right w:val="single" w:sz="4" w:space="0" w:color="auto"/>
            </w:tcBorders>
            <w:shd w:val="clear" w:color="auto" w:fill="auto"/>
            <w:noWrap/>
            <w:vAlign w:val="bottom"/>
            <w:hideMark/>
          </w:tcPr>
          <w:p w14:paraId="2065C6CA"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738" w:type="dxa"/>
            <w:tcBorders>
              <w:top w:val="nil"/>
              <w:left w:val="nil"/>
              <w:bottom w:val="single" w:sz="4" w:space="0" w:color="auto"/>
              <w:right w:val="single" w:sz="4" w:space="0" w:color="auto"/>
            </w:tcBorders>
            <w:shd w:val="clear" w:color="auto" w:fill="auto"/>
            <w:noWrap/>
            <w:vAlign w:val="bottom"/>
            <w:hideMark/>
          </w:tcPr>
          <w:p w14:paraId="7B87FAC9"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r>
      <w:tr w:rsidR="002701FA" w:rsidRPr="00522F77" w14:paraId="71E21519"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48474286"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17</w:t>
            </w:r>
          </w:p>
        </w:tc>
        <w:tc>
          <w:tcPr>
            <w:tcW w:w="1065" w:type="dxa"/>
            <w:tcBorders>
              <w:top w:val="nil"/>
              <w:left w:val="nil"/>
              <w:bottom w:val="single" w:sz="4" w:space="0" w:color="auto"/>
              <w:right w:val="single" w:sz="4" w:space="0" w:color="auto"/>
            </w:tcBorders>
            <w:shd w:val="clear" w:color="auto" w:fill="auto"/>
            <w:noWrap/>
            <w:vAlign w:val="bottom"/>
            <w:hideMark/>
          </w:tcPr>
          <w:p w14:paraId="70CFF3D5"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992" w:type="dxa"/>
            <w:tcBorders>
              <w:top w:val="nil"/>
              <w:left w:val="nil"/>
              <w:bottom w:val="single" w:sz="4" w:space="0" w:color="auto"/>
              <w:right w:val="single" w:sz="4" w:space="0" w:color="auto"/>
            </w:tcBorders>
            <w:shd w:val="clear" w:color="auto" w:fill="auto"/>
            <w:noWrap/>
            <w:vAlign w:val="bottom"/>
            <w:hideMark/>
          </w:tcPr>
          <w:p w14:paraId="74CA1475"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489" w:type="dxa"/>
            <w:tcBorders>
              <w:top w:val="nil"/>
              <w:left w:val="nil"/>
              <w:bottom w:val="single" w:sz="4" w:space="0" w:color="auto"/>
              <w:right w:val="single" w:sz="4" w:space="0" w:color="auto"/>
            </w:tcBorders>
            <w:shd w:val="clear" w:color="auto" w:fill="auto"/>
            <w:noWrap/>
            <w:vAlign w:val="bottom"/>
            <w:hideMark/>
          </w:tcPr>
          <w:p w14:paraId="077FC3DE"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636" w:type="dxa"/>
            <w:tcBorders>
              <w:top w:val="nil"/>
              <w:left w:val="nil"/>
              <w:bottom w:val="single" w:sz="4" w:space="0" w:color="auto"/>
              <w:right w:val="single" w:sz="4" w:space="0" w:color="auto"/>
            </w:tcBorders>
            <w:shd w:val="clear" w:color="auto" w:fill="auto"/>
            <w:noWrap/>
            <w:vAlign w:val="bottom"/>
            <w:hideMark/>
          </w:tcPr>
          <w:p w14:paraId="4B89DCC3"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738" w:type="dxa"/>
            <w:tcBorders>
              <w:top w:val="nil"/>
              <w:left w:val="nil"/>
              <w:bottom w:val="single" w:sz="4" w:space="0" w:color="auto"/>
              <w:right w:val="single" w:sz="4" w:space="0" w:color="auto"/>
            </w:tcBorders>
            <w:shd w:val="clear" w:color="auto" w:fill="auto"/>
            <w:noWrap/>
            <w:vAlign w:val="bottom"/>
            <w:hideMark/>
          </w:tcPr>
          <w:p w14:paraId="02E6F8C3"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r>
      <w:tr w:rsidR="002701FA" w:rsidRPr="00522F77" w14:paraId="5B0F5502"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09504C22"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18</w:t>
            </w:r>
          </w:p>
        </w:tc>
        <w:tc>
          <w:tcPr>
            <w:tcW w:w="1065" w:type="dxa"/>
            <w:tcBorders>
              <w:top w:val="nil"/>
              <w:left w:val="nil"/>
              <w:bottom w:val="single" w:sz="4" w:space="0" w:color="auto"/>
              <w:right w:val="single" w:sz="4" w:space="0" w:color="auto"/>
            </w:tcBorders>
            <w:shd w:val="clear" w:color="auto" w:fill="auto"/>
            <w:noWrap/>
            <w:vAlign w:val="bottom"/>
            <w:hideMark/>
          </w:tcPr>
          <w:p w14:paraId="68857C0E"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1,96</w:t>
            </w:r>
          </w:p>
        </w:tc>
        <w:tc>
          <w:tcPr>
            <w:tcW w:w="1992" w:type="dxa"/>
            <w:tcBorders>
              <w:top w:val="nil"/>
              <w:left w:val="nil"/>
              <w:bottom w:val="single" w:sz="4" w:space="0" w:color="auto"/>
              <w:right w:val="single" w:sz="4" w:space="0" w:color="auto"/>
            </w:tcBorders>
            <w:shd w:val="clear" w:color="auto" w:fill="auto"/>
            <w:noWrap/>
            <w:vAlign w:val="bottom"/>
            <w:hideMark/>
          </w:tcPr>
          <w:p w14:paraId="63F51EC5"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15%</w:t>
            </w:r>
          </w:p>
        </w:tc>
        <w:tc>
          <w:tcPr>
            <w:tcW w:w="1489" w:type="dxa"/>
            <w:tcBorders>
              <w:top w:val="nil"/>
              <w:left w:val="nil"/>
              <w:bottom w:val="single" w:sz="4" w:space="0" w:color="auto"/>
              <w:right w:val="single" w:sz="4" w:space="0" w:color="auto"/>
            </w:tcBorders>
            <w:shd w:val="clear" w:color="auto" w:fill="auto"/>
            <w:noWrap/>
            <w:vAlign w:val="bottom"/>
            <w:hideMark/>
          </w:tcPr>
          <w:p w14:paraId="4DAA44CE"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636" w:type="dxa"/>
            <w:tcBorders>
              <w:top w:val="nil"/>
              <w:left w:val="nil"/>
              <w:bottom w:val="single" w:sz="4" w:space="0" w:color="auto"/>
              <w:right w:val="single" w:sz="4" w:space="0" w:color="auto"/>
            </w:tcBorders>
            <w:shd w:val="clear" w:color="auto" w:fill="auto"/>
            <w:noWrap/>
            <w:vAlign w:val="bottom"/>
            <w:hideMark/>
          </w:tcPr>
          <w:p w14:paraId="181E797E"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24,4%</w:t>
            </w:r>
          </w:p>
        </w:tc>
        <w:tc>
          <w:tcPr>
            <w:tcW w:w="1738" w:type="dxa"/>
            <w:tcBorders>
              <w:top w:val="nil"/>
              <w:left w:val="nil"/>
              <w:bottom w:val="single" w:sz="4" w:space="0" w:color="auto"/>
              <w:right w:val="single" w:sz="4" w:space="0" w:color="auto"/>
            </w:tcBorders>
            <w:shd w:val="clear" w:color="auto" w:fill="auto"/>
            <w:noWrap/>
            <w:vAlign w:val="bottom"/>
            <w:hideMark/>
          </w:tcPr>
          <w:p w14:paraId="64278467"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20,6%</w:t>
            </w:r>
          </w:p>
        </w:tc>
      </w:tr>
      <w:tr w:rsidR="002701FA" w:rsidRPr="00522F77" w14:paraId="38C2612F"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763D15A6"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19</w:t>
            </w:r>
          </w:p>
        </w:tc>
        <w:tc>
          <w:tcPr>
            <w:tcW w:w="1065" w:type="dxa"/>
            <w:tcBorders>
              <w:top w:val="nil"/>
              <w:left w:val="nil"/>
              <w:bottom w:val="single" w:sz="4" w:space="0" w:color="auto"/>
              <w:right w:val="single" w:sz="4" w:space="0" w:color="auto"/>
            </w:tcBorders>
            <w:shd w:val="clear" w:color="auto" w:fill="auto"/>
            <w:noWrap/>
            <w:vAlign w:val="bottom"/>
            <w:hideMark/>
          </w:tcPr>
          <w:p w14:paraId="20747F09"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8,09</w:t>
            </w:r>
          </w:p>
        </w:tc>
        <w:tc>
          <w:tcPr>
            <w:tcW w:w="1992" w:type="dxa"/>
            <w:tcBorders>
              <w:top w:val="nil"/>
              <w:left w:val="nil"/>
              <w:bottom w:val="single" w:sz="4" w:space="0" w:color="auto"/>
              <w:right w:val="single" w:sz="4" w:space="0" w:color="auto"/>
            </w:tcBorders>
            <w:shd w:val="clear" w:color="auto" w:fill="auto"/>
            <w:noWrap/>
            <w:vAlign w:val="bottom"/>
            <w:hideMark/>
          </w:tcPr>
          <w:p w14:paraId="303A4E51"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10%</w:t>
            </w:r>
          </w:p>
        </w:tc>
        <w:tc>
          <w:tcPr>
            <w:tcW w:w="1489" w:type="dxa"/>
            <w:tcBorders>
              <w:top w:val="nil"/>
              <w:left w:val="nil"/>
              <w:bottom w:val="single" w:sz="4" w:space="0" w:color="auto"/>
              <w:right w:val="single" w:sz="4" w:space="0" w:color="auto"/>
            </w:tcBorders>
            <w:shd w:val="clear" w:color="auto" w:fill="auto"/>
            <w:noWrap/>
            <w:vAlign w:val="bottom"/>
            <w:hideMark/>
          </w:tcPr>
          <w:p w14:paraId="47DB4F4B"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3,41</w:t>
            </w:r>
          </w:p>
        </w:tc>
        <w:tc>
          <w:tcPr>
            <w:tcW w:w="1636" w:type="dxa"/>
            <w:tcBorders>
              <w:top w:val="nil"/>
              <w:left w:val="nil"/>
              <w:bottom w:val="single" w:sz="4" w:space="0" w:color="auto"/>
              <w:right w:val="single" w:sz="4" w:space="0" w:color="auto"/>
            </w:tcBorders>
            <w:shd w:val="clear" w:color="auto" w:fill="auto"/>
            <w:noWrap/>
            <w:vAlign w:val="bottom"/>
            <w:hideMark/>
          </w:tcPr>
          <w:p w14:paraId="437DD03B"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738" w:type="dxa"/>
            <w:tcBorders>
              <w:top w:val="nil"/>
              <w:left w:val="nil"/>
              <w:bottom w:val="single" w:sz="4" w:space="0" w:color="auto"/>
              <w:right w:val="single" w:sz="4" w:space="0" w:color="auto"/>
            </w:tcBorders>
            <w:shd w:val="clear" w:color="auto" w:fill="auto"/>
            <w:noWrap/>
            <w:vAlign w:val="bottom"/>
            <w:hideMark/>
          </w:tcPr>
          <w:p w14:paraId="4CAA350F"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r>
      <w:tr w:rsidR="002701FA" w:rsidRPr="00522F77" w14:paraId="74609066"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14170EA9"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20</w:t>
            </w:r>
          </w:p>
        </w:tc>
        <w:tc>
          <w:tcPr>
            <w:tcW w:w="1065" w:type="dxa"/>
            <w:tcBorders>
              <w:top w:val="nil"/>
              <w:left w:val="nil"/>
              <w:bottom w:val="single" w:sz="4" w:space="0" w:color="auto"/>
              <w:right w:val="single" w:sz="4" w:space="0" w:color="auto"/>
            </w:tcBorders>
            <w:shd w:val="clear" w:color="auto" w:fill="auto"/>
            <w:noWrap/>
            <w:vAlign w:val="bottom"/>
            <w:hideMark/>
          </w:tcPr>
          <w:p w14:paraId="539A20EA"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2,16</w:t>
            </w:r>
          </w:p>
        </w:tc>
        <w:tc>
          <w:tcPr>
            <w:tcW w:w="1992" w:type="dxa"/>
            <w:tcBorders>
              <w:top w:val="nil"/>
              <w:left w:val="nil"/>
              <w:bottom w:val="single" w:sz="4" w:space="0" w:color="auto"/>
              <w:right w:val="single" w:sz="4" w:space="0" w:color="auto"/>
            </w:tcBorders>
            <w:shd w:val="clear" w:color="auto" w:fill="auto"/>
            <w:noWrap/>
            <w:vAlign w:val="bottom"/>
            <w:hideMark/>
          </w:tcPr>
          <w:p w14:paraId="5AEDA1B3"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10%</w:t>
            </w:r>
          </w:p>
        </w:tc>
        <w:tc>
          <w:tcPr>
            <w:tcW w:w="1489" w:type="dxa"/>
            <w:tcBorders>
              <w:top w:val="nil"/>
              <w:left w:val="nil"/>
              <w:bottom w:val="single" w:sz="4" w:space="0" w:color="auto"/>
              <w:right w:val="single" w:sz="4" w:space="0" w:color="auto"/>
            </w:tcBorders>
            <w:shd w:val="clear" w:color="auto" w:fill="auto"/>
            <w:noWrap/>
            <w:vAlign w:val="bottom"/>
            <w:hideMark/>
          </w:tcPr>
          <w:p w14:paraId="6961310F"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2,25</w:t>
            </w:r>
          </w:p>
        </w:tc>
        <w:tc>
          <w:tcPr>
            <w:tcW w:w="1636" w:type="dxa"/>
            <w:tcBorders>
              <w:top w:val="nil"/>
              <w:left w:val="nil"/>
              <w:bottom w:val="single" w:sz="4" w:space="0" w:color="auto"/>
              <w:right w:val="single" w:sz="4" w:space="0" w:color="auto"/>
            </w:tcBorders>
            <w:shd w:val="clear" w:color="auto" w:fill="auto"/>
            <w:noWrap/>
            <w:vAlign w:val="bottom"/>
            <w:hideMark/>
          </w:tcPr>
          <w:p w14:paraId="50A3EEE8"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11,6%</w:t>
            </w:r>
          </w:p>
        </w:tc>
        <w:tc>
          <w:tcPr>
            <w:tcW w:w="1738" w:type="dxa"/>
            <w:tcBorders>
              <w:top w:val="nil"/>
              <w:left w:val="nil"/>
              <w:bottom w:val="single" w:sz="4" w:space="0" w:color="auto"/>
              <w:right w:val="single" w:sz="4" w:space="0" w:color="auto"/>
            </w:tcBorders>
            <w:shd w:val="clear" w:color="auto" w:fill="auto"/>
            <w:noWrap/>
            <w:vAlign w:val="bottom"/>
            <w:hideMark/>
          </w:tcPr>
          <w:p w14:paraId="3C1107AF"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10,4%</w:t>
            </w:r>
          </w:p>
        </w:tc>
      </w:tr>
      <w:tr w:rsidR="002701FA" w:rsidRPr="00522F77" w14:paraId="59B2D463"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3790925D"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21</w:t>
            </w:r>
          </w:p>
        </w:tc>
        <w:tc>
          <w:tcPr>
            <w:tcW w:w="1065" w:type="dxa"/>
            <w:tcBorders>
              <w:top w:val="nil"/>
              <w:left w:val="nil"/>
              <w:bottom w:val="single" w:sz="4" w:space="0" w:color="auto"/>
              <w:right w:val="single" w:sz="4" w:space="0" w:color="auto"/>
            </w:tcBorders>
            <w:shd w:val="clear" w:color="auto" w:fill="auto"/>
            <w:noWrap/>
            <w:vAlign w:val="bottom"/>
            <w:hideMark/>
          </w:tcPr>
          <w:p w14:paraId="404BD69F"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992" w:type="dxa"/>
            <w:tcBorders>
              <w:top w:val="nil"/>
              <w:left w:val="nil"/>
              <w:bottom w:val="single" w:sz="4" w:space="0" w:color="auto"/>
              <w:right w:val="single" w:sz="4" w:space="0" w:color="auto"/>
            </w:tcBorders>
            <w:shd w:val="clear" w:color="auto" w:fill="auto"/>
            <w:noWrap/>
            <w:vAlign w:val="bottom"/>
            <w:hideMark/>
          </w:tcPr>
          <w:p w14:paraId="38756DA0"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489" w:type="dxa"/>
            <w:tcBorders>
              <w:top w:val="nil"/>
              <w:left w:val="nil"/>
              <w:bottom w:val="single" w:sz="4" w:space="0" w:color="auto"/>
              <w:right w:val="single" w:sz="4" w:space="0" w:color="auto"/>
            </w:tcBorders>
            <w:shd w:val="clear" w:color="auto" w:fill="auto"/>
            <w:noWrap/>
            <w:vAlign w:val="bottom"/>
            <w:hideMark/>
          </w:tcPr>
          <w:p w14:paraId="0BFB6121"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5,50</w:t>
            </w:r>
          </w:p>
        </w:tc>
        <w:tc>
          <w:tcPr>
            <w:tcW w:w="1636" w:type="dxa"/>
            <w:tcBorders>
              <w:top w:val="nil"/>
              <w:left w:val="nil"/>
              <w:bottom w:val="single" w:sz="4" w:space="0" w:color="auto"/>
              <w:right w:val="single" w:sz="4" w:space="0" w:color="auto"/>
            </w:tcBorders>
            <w:shd w:val="clear" w:color="auto" w:fill="auto"/>
            <w:noWrap/>
            <w:vAlign w:val="bottom"/>
            <w:hideMark/>
          </w:tcPr>
          <w:p w14:paraId="45C9E5D6"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738" w:type="dxa"/>
            <w:tcBorders>
              <w:top w:val="nil"/>
              <w:left w:val="nil"/>
              <w:bottom w:val="single" w:sz="4" w:space="0" w:color="auto"/>
              <w:right w:val="single" w:sz="4" w:space="0" w:color="auto"/>
            </w:tcBorders>
            <w:shd w:val="clear" w:color="auto" w:fill="auto"/>
            <w:noWrap/>
            <w:vAlign w:val="bottom"/>
            <w:hideMark/>
          </w:tcPr>
          <w:p w14:paraId="6D831B15"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15,9%</w:t>
            </w:r>
          </w:p>
        </w:tc>
      </w:tr>
      <w:tr w:rsidR="002701FA" w:rsidRPr="00522F77" w14:paraId="7752027B"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3C8AB933"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22</w:t>
            </w:r>
          </w:p>
        </w:tc>
        <w:tc>
          <w:tcPr>
            <w:tcW w:w="1065" w:type="dxa"/>
            <w:tcBorders>
              <w:top w:val="nil"/>
              <w:left w:val="nil"/>
              <w:bottom w:val="single" w:sz="4" w:space="0" w:color="auto"/>
              <w:right w:val="single" w:sz="4" w:space="0" w:color="auto"/>
            </w:tcBorders>
            <w:shd w:val="clear" w:color="auto" w:fill="auto"/>
            <w:noWrap/>
            <w:vAlign w:val="bottom"/>
            <w:hideMark/>
          </w:tcPr>
          <w:p w14:paraId="30EFAE33"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992" w:type="dxa"/>
            <w:tcBorders>
              <w:top w:val="nil"/>
              <w:left w:val="nil"/>
              <w:bottom w:val="single" w:sz="4" w:space="0" w:color="auto"/>
              <w:right w:val="single" w:sz="4" w:space="0" w:color="auto"/>
            </w:tcBorders>
            <w:shd w:val="clear" w:color="auto" w:fill="auto"/>
            <w:noWrap/>
            <w:vAlign w:val="bottom"/>
            <w:hideMark/>
          </w:tcPr>
          <w:p w14:paraId="75FA97BE"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489" w:type="dxa"/>
            <w:tcBorders>
              <w:top w:val="nil"/>
              <w:left w:val="nil"/>
              <w:bottom w:val="single" w:sz="4" w:space="0" w:color="auto"/>
              <w:right w:val="single" w:sz="4" w:space="0" w:color="auto"/>
            </w:tcBorders>
            <w:shd w:val="clear" w:color="auto" w:fill="auto"/>
            <w:noWrap/>
            <w:vAlign w:val="bottom"/>
            <w:hideMark/>
          </w:tcPr>
          <w:p w14:paraId="299C3D39"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636" w:type="dxa"/>
            <w:tcBorders>
              <w:top w:val="nil"/>
              <w:left w:val="nil"/>
              <w:bottom w:val="single" w:sz="4" w:space="0" w:color="auto"/>
              <w:right w:val="single" w:sz="4" w:space="0" w:color="auto"/>
            </w:tcBorders>
            <w:shd w:val="clear" w:color="auto" w:fill="auto"/>
            <w:noWrap/>
            <w:vAlign w:val="bottom"/>
            <w:hideMark/>
          </w:tcPr>
          <w:p w14:paraId="69E58E71"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10,4%</w:t>
            </w:r>
          </w:p>
        </w:tc>
        <w:tc>
          <w:tcPr>
            <w:tcW w:w="1738" w:type="dxa"/>
            <w:tcBorders>
              <w:top w:val="nil"/>
              <w:left w:val="nil"/>
              <w:bottom w:val="single" w:sz="4" w:space="0" w:color="auto"/>
              <w:right w:val="single" w:sz="4" w:space="0" w:color="auto"/>
            </w:tcBorders>
            <w:shd w:val="clear" w:color="auto" w:fill="auto"/>
            <w:noWrap/>
            <w:vAlign w:val="bottom"/>
            <w:hideMark/>
          </w:tcPr>
          <w:p w14:paraId="269683FB"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r>
      <w:tr w:rsidR="002701FA" w:rsidRPr="00522F77" w14:paraId="479127BD"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203621C5"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23</w:t>
            </w:r>
          </w:p>
        </w:tc>
        <w:tc>
          <w:tcPr>
            <w:tcW w:w="1065" w:type="dxa"/>
            <w:tcBorders>
              <w:top w:val="nil"/>
              <w:left w:val="nil"/>
              <w:bottom w:val="single" w:sz="4" w:space="0" w:color="auto"/>
              <w:right w:val="single" w:sz="4" w:space="0" w:color="auto"/>
            </w:tcBorders>
            <w:shd w:val="clear" w:color="auto" w:fill="auto"/>
            <w:noWrap/>
            <w:vAlign w:val="bottom"/>
            <w:hideMark/>
          </w:tcPr>
          <w:p w14:paraId="57BA4A6C"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1,10</w:t>
            </w:r>
          </w:p>
        </w:tc>
        <w:tc>
          <w:tcPr>
            <w:tcW w:w="1992" w:type="dxa"/>
            <w:tcBorders>
              <w:top w:val="nil"/>
              <w:left w:val="nil"/>
              <w:bottom w:val="single" w:sz="4" w:space="0" w:color="auto"/>
              <w:right w:val="single" w:sz="4" w:space="0" w:color="auto"/>
            </w:tcBorders>
            <w:shd w:val="clear" w:color="auto" w:fill="auto"/>
            <w:noWrap/>
            <w:vAlign w:val="bottom"/>
            <w:hideMark/>
          </w:tcPr>
          <w:p w14:paraId="20C5F27E"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489" w:type="dxa"/>
            <w:tcBorders>
              <w:top w:val="nil"/>
              <w:left w:val="nil"/>
              <w:bottom w:val="single" w:sz="4" w:space="0" w:color="auto"/>
              <w:right w:val="single" w:sz="4" w:space="0" w:color="auto"/>
            </w:tcBorders>
            <w:shd w:val="clear" w:color="auto" w:fill="auto"/>
            <w:noWrap/>
            <w:vAlign w:val="bottom"/>
            <w:hideMark/>
          </w:tcPr>
          <w:p w14:paraId="64F49CC5"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4,50</w:t>
            </w:r>
          </w:p>
        </w:tc>
        <w:tc>
          <w:tcPr>
            <w:tcW w:w="1636" w:type="dxa"/>
            <w:tcBorders>
              <w:top w:val="nil"/>
              <w:left w:val="nil"/>
              <w:bottom w:val="single" w:sz="4" w:space="0" w:color="auto"/>
              <w:right w:val="single" w:sz="4" w:space="0" w:color="auto"/>
            </w:tcBorders>
            <w:shd w:val="clear" w:color="auto" w:fill="auto"/>
            <w:noWrap/>
            <w:vAlign w:val="bottom"/>
            <w:hideMark/>
          </w:tcPr>
          <w:p w14:paraId="172F18F8"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738" w:type="dxa"/>
            <w:tcBorders>
              <w:top w:val="nil"/>
              <w:left w:val="nil"/>
              <w:bottom w:val="single" w:sz="4" w:space="0" w:color="auto"/>
              <w:right w:val="single" w:sz="4" w:space="0" w:color="auto"/>
            </w:tcBorders>
            <w:shd w:val="clear" w:color="auto" w:fill="auto"/>
            <w:noWrap/>
            <w:vAlign w:val="bottom"/>
            <w:hideMark/>
          </w:tcPr>
          <w:p w14:paraId="04DDAF0D"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7,8%</w:t>
            </w:r>
          </w:p>
        </w:tc>
      </w:tr>
      <w:tr w:rsidR="002701FA" w:rsidRPr="00522F77" w14:paraId="7CBF1860"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26AE6955"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24</w:t>
            </w:r>
          </w:p>
        </w:tc>
        <w:tc>
          <w:tcPr>
            <w:tcW w:w="1065" w:type="dxa"/>
            <w:tcBorders>
              <w:top w:val="nil"/>
              <w:left w:val="nil"/>
              <w:bottom w:val="single" w:sz="4" w:space="0" w:color="auto"/>
              <w:right w:val="single" w:sz="4" w:space="0" w:color="auto"/>
            </w:tcBorders>
            <w:shd w:val="clear" w:color="auto" w:fill="auto"/>
            <w:noWrap/>
            <w:vAlign w:val="bottom"/>
            <w:hideMark/>
          </w:tcPr>
          <w:p w14:paraId="0C0BBC65"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3,73</w:t>
            </w:r>
          </w:p>
        </w:tc>
        <w:tc>
          <w:tcPr>
            <w:tcW w:w="1992" w:type="dxa"/>
            <w:tcBorders>
              <w:top w:val="nil"/>
              <w:left w:val="nil"/>
              <w:bottom w:val="single" w:sz="4" w:space="0" w:color="auto"/>
              <w:right w:val="single" w:sz="4" w:space="0" w:color="auto"/>
            </w:tcBorders>
            <w:shd w:val="clear" w:color="auto" w:fill="auto"/>
            <w:noWrap/>
            <w:vAlign w:val="bottom"/>
            <w:hideMark/>
          </w:tcPr>
          <w:p w14:paraId="3947325A"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62%</w:t>
            </w:r>
          </w:p>
        </w:tc>
        <w:tc>
          <w:tcPr>
            <w:tcW w:w="1489" w:type="dxa"/>
            <w:tcBorders>
              <w:top w:val="nil"/>
              <w:left w:val="nil"/>
              <w:bottom w:val="single" w:sz="4" w:space="0" w:color="auto"/>
              <w:right w:val="single" w:sz="4" w:space="0" w:color="auto"/>
            </w:tcBorders>
            <w:shd w:val="clear" w:color="auto" w:fill="auto"/>
            <w:noWrap/>
            <w:vAlign w:val="bottom"/>
            <w:hideMark/>
          </w:tcPr>
          <w:p w14:paraId="7B63815B"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1,21</w:t>
            </w:r>
          </w:p>
        </w:tc>
        <w:tc>
          <w:tcPr>
            <w:tcW w:w="1636" w:type="dxa"/>
            <w:tcBorders>
              <w:top w:val="nil"/>
              <w:left w:val="nil"/>
              <w:bottom w:val="single" w:sz="4" w:space="0" w:color="auto"/>
              <w:right w:val="single" w:sz="4" w:space="0" w:color="auto"/>
            </w:tcBorders>
            <w:shd w:val="clear" w:color="auto" w:fill="auto"/>
            <w:noWrap/>
            <w:vAlign w:val="bottom"/>
            <w:hideMark/>
          </w:tcPr>
          <w:p w14:paraId="33667805"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12,4%</w:t>
            </w:r>
          </w:p>
        </w:tc>
        <w:tc>
          <w:tcPr>
            <w:tcW w:w="1738" w:type="dxa"/>
            <w:tcBorders>
              <w:top w:val="nil"/>
              <w:left w:val="nil"/>
              <w:bottom w:val="single" w:sz="4" w:space="0" w:color="auto"/>
              <w:right w:val="single" w:sz="4" w:space="0" w:color="auto"/>
            </w:tcBorders>
            <w:shd w:val="clear" w:color="auto" w:fill="auto"/>
            <w:noWrap/>
            <w:vAlign w:val="bottom"/>
            <w:hideMark/>
          </w:tcPr>
          <w:p w14:paraId="7D172A4F"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4,7%</w:t>
            </w:r>
          </w:p>
        </w:tc>
      </w:tr>
      <w:tr w:rsidR="002701FA" w:rsidRPr="00522F77" w14:paraId="425DAA35"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4A17087F"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25</w:t>
            </w:r>
          </w:p>
        </w:tc>
        <w:tc>
          <w:tcPr>
            <w:tcW w:w="1065" w:type="dxa"/>
            <w:tcBorders>
              <w:top w:val="nil"/>
              <w:left w:val="nil"/>
              <w:bottom w:val="single" w:sz="4" w:space="0" w:color="auto"/>
              <w:right w:val="single" w:sz="4" w:space="0" w:color="auto"/>
            </w:tcBorders>
            <w:shd w:val="clear" w:color="auto" w:fill="auto"/>
            <w:noWrap/>
            <w:vAlign w:val="bottom"/>
            <w:hideMark/>
          </w:tcPr>
          <w:p w14:paraId="70ADC015"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2,55</w:t>
            </w:r>
          </w:p>
        </w:tc>
        <w:tc>
          <w:tcPr>
            <w:tcW w:w="1992" w:type="dxa"/>
            <w:tcBorders>
              <w:top w:val="nil"/>
              <w:left w:val="nil"/>
              <w:bottom w:val="single" w:sz="4" w:space="0" w:color="auto"/>
              <w:right w:val="single" w:sz="4" w:space="0" w:color="auto"/>
            </w:tcBorders>
            <w:shd w:val="clear" w:color="auto" w:fill="auto"/>
            <w:noWrap/>
            <w:vAlign w:val="bottom"/>
            <w:hideMark/>
          </w:tcPr>
          <w:p w14:paraId="54AEDE90"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37%</w:t>
            </w:r>
          </w:p>
        </w:tc>
        <w:tc>
          <w:tcPr>
            <w:tcW w:w="1489" w:type="dxa"/>
            <w:tcBorders>
              <w:top w:val="nil"/>
              <w:left w:val="nil"/>
              <w:bottom w:val="single" w:sz="4" w:space="0" w:color="auto"/>
              <w:right w:val="single" w:sz="4" w:space="0" w:color="auto"/>
            </w:tcBorders>
            <w:shd w:val="clear" w:color="auto" w:fill="auto"/>
            <w:noWrap/>
            <w:vAlign w:val="bottom"/>
            <w:hideMark/>
          </w:tcPr>
          <w:p w14:paraId="539D1ABF"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636" w:type="dxa"/>
            <w:tcBorders>
              <w:top w:val="nil"/>
              <w:left w:val="nil"/>
              <w:bottom w:val="single" w:sz="4" w:space="0" w:color="auto"/>
              <w:right w:val="single" w:sz="4" w:space="0" w:color="auto"/>
            </w:tcBorders>
            <w:shd w:val="clear" w:color="auto" w:fill="auto"/>
            <w:noWrap/>
            <w:vAlign w:val="bottom"/>
            <w:hideMark/>
          </w:tcPr>
          <w:p w14:paraId="4D17E275"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11,8%</w:t>
            </w:r>
          </w:p>
        </w:tc>
        <w:tc>
          <w:tcPr>
            <w:tcW w:w="1738" w:type="dxa"/>
            <w:tcBorders>
              <w:top w:val="nil"/>
              <w:left w:val="nil"/>
              <w:bottom w:val="single" w:sz="4" w:space="0" w:color="auto"/>
              <w:right w:val="single" w:sz="4" w:space="0" w:color="auto"/>
            </w:tcBorders>
            <w:shd w:val="clear" w:color="auto" w:fill="auto"/>
            <w:noWrap/>
            <w:vAlign w:val="bottom"/>
            <w:hideMark/>
          </w:tcPr>
          <w:p w14:paraId="285790E0"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7,4%</w:t>
            </w:r>
          </w:p>
        </w:tc>
      </w:tr>
      <w:tr w:rsidR="002701FA" w:rsidRPr="00522F77" w14:paraId="14002C60"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1E577C03"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26</w:t>
            </w:r>
          </w:p>
        </w:tc>
        <w:tc>
          <w:tcPr>
            <w:tcW w:w="1065" w:type="dxa"/>
            <w:tcBorders>
              <w:top w:val="nil"/>
              <w:left w:val="nil"/>
              <w:bottom w:val="single" w:sz="4" w:space="0" w:color="auto"/>
              <w:right w:val="single" w:sz="4" w:space="0" w:color="auto"/>
            </w:tcBorders>
            <w:shd w:val="clear" w:color="auto" w:fill="auto"/>
            <w:noWrap/>
            <w:vAlign w:val="bottom"/>
            <w:hideMark/>
          </w:tcPr>
          <w:p w14:paraId="1D3D40E1"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6,13</w:t>
            </w:r>
          </w:p>
        </w:tc>
        <w:tc>
          <w:tcPr>
            <w:tcW w:w="1992" w:type="dxa"/>
            <w:tcBorders>
              <w:top w:val="nil"/>
              <w:left w:val="nil"/>
              <w:bottom w:val="single" w:sz="4" w:space="0" w:color="auto"/>
              <w:right w:val="single" w:sz="4" w:space="0" w:color="auto"/>
            </w:tcBorders>
            <w:shd w:val="clear" w:color="auto" w:fill="auto"/>
            <w:noWrap/>
            <w:vAlign w:val="bottom"/>
            <w:hideMark/>
          </w:tcPr>
          <w:p w14:paraId="51EEBDA5"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14%</w:t>
            </w:r>
          </w:p>
        </w:tc>
        <w:tc>
          <w:tcPr>
            <w:tcW w:w="1489" w:type="dxa"/>
            <w:tcBorders>
              <w:top w:val="nil"/>
              <w:left w:val="nil"/>
              <w:bottom w:val="single" w:sz="4" w:space="0" w:color="auto"/>
              <w:right w:val="single" w:sz="4" w:space="0" w:color="auto"/>
            </w:tcBorders>
            <w:shd w:val="clear" w:color="auto" w:fill="auto"/>
            <w:noWrap/>
            <w:vAlign w:val="bottom"/>
            <w:hideMark/>
          </w:tcPr>
          <w:p w14:paraId="4EEE4ED6"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636" w:type="dxa"/>
            <w:tcBorders>
              <w:top w:val="nil"/>
              <w:left w:val="nil"/>
              <w:bottom w:val="single" w:sz="4" w:space="0" w:color="auto"/>
              <w:right w:val="single" w:sz="4" w:space="0" w:color="auto"/>
            </w:tcBorders>
            <w:shd w:val="clear" w:color="auto" w:fill="auto"/>
            <w:noWrap/>
            <w:vAlign w:val="bottom"/>
            <w:hideMark/>
          </w:tcPr>
          <w:p w14:paraId="2753572A"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738" w:type="dxa"/>
            <w:tcBorders>
              <w:top w:val="nil"/>
              <w:left w:val="nil"/>
              <w:bottom w:val="single" w:sz="4" w:space="0" w:color="auto"/>
              <w:right w:val="single" w:sz="4" w:space="0" w:color="auto"/>
            </w:tcBorders>
            <w:shd w:val="clear" w:color="auto" w:fill="auto"/>
            <w:noWrap/>
            <w:vAlign w:val="bottom"/>
            <w:hideMark/>
          </w:tcPr>
          <w:p w14:paraId="43439D8E"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r>
      <w:tr w:rsidR="002701FA" w:rsidRPr="00522F77" w14:paraId="5622DB59"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65B325E8"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27</w:t>
            </w:r>
          </w:p>
        </w:tc>
        <w:tc>
          <w:tcPr>
            <w:tcW w:w="1065" w:type="dxa"/>
            <w:tcBorders>
              <w:top w:val="nil"/>
              <w:left w:val="nil"/>
              <w:bottom w:val="single" w:sz="4" w:space="0" w:color="auto"/>
              <w:right w:val="single" w:sz="4" w:space="0" w:color="auto"/>
            </w:tcBorders>
            <w:shd w:val="clear" w:color="auto" w:fill="auto"/>
            <w:noWrap/>
            <w:vAlign w:val="bottom"/>
            <w:hideMark/>
          </w:tcPr>
          <w:p w14:paraId="24C2169D"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1,01</w:t>
            </w:r>
          </w:p>
        </w:tc>
        <w:tc>
          <w:tcPr>
            <w:tcW w:w="1992" w:type="dxa"/>
            <w:tcBorders>
              <w:top w:val="nil"/>
              <w:left w:val="nil"/>
              <w:bottom w:val="single" w:sz="4" w:space="0" w:color="auto"/>
              <w:right w:val="single" w:sz="4" w:space="0" w:color="auto"/>
            </w:tcBorders>
            <w:shd w:val="clear" w:color="auto" w:fill="auto"/>
            <w:noWrap/>
            <w:vAlign w:val="bottom"/>
            <w:hideMark/>
          </w:tcPr>
          <w:p w14:paraId="44EA5D00"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489" w:type="dxa"/>
            <w:tcBorders>
              <w:top w:val="nil"/>
              <w:left w:val="nil"/>
              <w:bottom w:val="single" w:sz="4" w:space="0" w:color="auto"/>
              <w:right w:val="single" w:sz="4" w:space="0" w:color="auto"/>
            </w:tcBorders>
            <w:shd w:val="clear" w:color="auto" w:fill="auto"/>
            <w:noWrap/>
            <w:vAlign w:val="bottom"/>
            <w:hideMark/>
          </w:tcPr>
          <w:p w14:paraId="6DFEAC47"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1,39</w:t>
            </w:r>
          </w:p>
        </w:tc>
        <w:tc>
          <w:tcPr>
            <w:tcW w:w="1636" w:type="dxa"/>
            <w:tcBorders>
              <w:top w:val="nil"/>
              <w:left w:val="nil"/>
              <w:bottom w:val="single" w:sz="4" w:space="0" w:color="auto"/>
              <w:right w:val="single" w:sz="4" w:space="0" w:color="auto"/>
            </w:tcBorders>
            <w:shd w:val="clear" w:color="auto" w:fill="auto"/>
            <w:noWrap/>
            <w:vAlign w:val="bottom"/>
            <w:hideMark/>
          </w:tcPr>
          <w:p w14:paraId="5E24137B"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738" w:type="dxa"/>
            <w:tcBorders>
              <w:top w:val="nil"/>
              <w:left w:val="nil"/>
              <w:bottom w:val="single" w:sz="4" w:space="0" w:color="auto"/>
              <w:right w:val="single" w:sz="4" w:space="0" w:color="auto"/>
            </w:tcBorders>
            <w:shd w:val="clear" w:color="auto" w:fill="auto"/>
            <w:noWrap/>
            <w:vAlign w:val="bottom"/>
            <w:hideMark/>
          </w:tcPr>
          <w:p w14:paraId="290C40E8"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8,6%</w:t>
            </w:r>
          </w:p>
        </w:tc>
      </w:tr>
      <w:tr w:rsidR="002701FA" w:rsidRPr="00522F77" w14:paraId="5A93F8CB"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1245C1B9"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28</w:t>
            </w:r>
          </w:p>
        </w:tc>
        <w:tc>
          <w:tcPr>
            <w:tcW w:w="1065" w:type="dxa"/>
            <w:tcBorders>
              <w:top w:val="nil"/>
              <w:left w:val="nil"/>
              <w:bottom w:val="single" w:sz="4" w:space="0" w:color="auto"/>
              <w:right w:val="single" w:sz="4" w:space="0" w:color="auto"/>
            </w:tcBorders>
            <w:shd w:val="clear" w:color="auto" w:fill="auto"/>
            <w:noWrap/>
            <w:vAlign w:val="bottom"/>
            <w:hideMark/>
          </w:tcPr>
          <w:p w14:paraId="19258843"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1,15</w:t>
            </w:r>
          </w:p>
        </w:tc>
        <w:tc>
          <w:tcPr>
            <w:tcW w:w="1992" w:type="dxa"/>
            <w:tcBorders>
              <w:top w:val="nil"/>
              <w:left w:val="nil"/>
              <w:bottom w:val="single" w:sz="4" w:space="0" w:color="auto"/>
              <w:right w:val="single" w:sz="4" w:space="0" w:color="auto"/>
            </w:tcBorders>
            <w:shd w:val="clear" w:color="auto" w:fill="auto"/>
            <w:noWrap/>
            <w:vAlign w:val="bottom"/>
            <w:hideMark/>
          </w:tcPr>
          <w:p w14:paraId="4FE932B4"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489" w:type="dxa"/>
            <w:tcBorders>
              <w:top w:val="nil"/>
              <w:left w:val="nil"/>
              <w:bottom w:val="single" w:sz="4" w:space="0" w:color="auto"/>
              <w:right w:val="single" w:sz="4" w:space="0" w:color="auto"/>
            </w:tcBorders>
            <w:shd w:val="clear" w:color="auto" w:fill="auto"/>
            <w:noWrap/>
            <w:vAlign w:val="bottom"/>
            <w:hideMark/>
          </w:tcPr>
          <w:p w14:paraId="404AFE5B"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636" w:type="dxa"/>
            <w:tcBorders>
              <w:top w:val="nil"/>
              <w:left w:val="nil"/>
              <w:bottom w:val="single" w:sz="4" w:space="0" w:color="auto"/>
              <w:right w:val="single" w:sz="4" w:space="0" w:color="auto"/>
            </w:tcBorders>
            <w:shd w:val="clear" w:color="auto" w:fill="auto"/>
            <w:noWrap/>
            <w:vAlign w:val="bottom"/>
            <w:hideMark/>
          </w:tcPr>
          <w:p w14:paraId="180CB02B"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738" w:type="dxa"/>
            <w:tcBorders>
              <w:top w:val="nil"/>
              <w:left w:val="nil"/>
              <w:bottom w:val="single" w:sz="4" w:space="0" w:color="auto"/>
              <w:right w:val="single" w:sz="4" w:space="0" w:color="auto"/>
            </w:tcBorders>
            <w:shd w:val="clear" w:color="auto" w:fill="auto"/>
            <w:noWrap/>
            <w:vAlign w:val="bottom"/>
            <w:hideMark/>
          </w:tcPr>
          <w:p w14:paraId="39CF238F"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r>
      <w:tr w:rsidR="002701FA" w:rsidRPr="00522F77" w14:paraId="446F377F"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79BC6766"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29</w:t>
            </w:r>
          </w:p>
        </w:tc>
        <w:tc>
          <w:tcPr>
            <w:tcW w:w="1065" w:type="dxa"/>
            <w:tcBorders>
              <w:top w:val="nil"/>
              <w:left w:val="nil"/>
              <w:bottom w:val="single" w:sz="4" w:space="0" w:color="auto"/>
              <w:right w:val="single" w:sz="4" w:space="0" w:color="auto"/>
            </w:tcBorders>
            <w:shd w:val="clear" w:color="auto" w:fill="auto"/>
            <w:noWrap/>
            <w:vAlign w:val="bottom"/>
            <w:hideMark/>
          </w:tcPr>
          <w:p w14:paraId="4BD7A439"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1,78</w:t>
            </w:r>
          </w:p>
        </w:tc>
        <w:tc>
          <w:tcPr>
            <w:tcW w:w="1992" w:type="dxa"/>
            <w:tcBorders>
              <w:top w:val="nil"/>
              <w:left w:val="nil"/>
              <w:bottom w:val="single" w:sz="4" w:space="0" w:color="auto"/>
              <w:right w:val="single" w:sz="4" w:space="0" w:color="auto"/>
            </w:tcBorders>
            <w:shd w:val="clear" w:color="auto" w:fill="auto"/>
            <w:noWrap/>
            <w:vAlign w:val="bottom"/>
            <w:hideMark/>
          </w:tcPr>
          <w:p w14:paraId="2AC3F567"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68%</w:t>
            </w:r>
          </w:p>
        </w:tc>
        <w:tc>
          <w:tcPr>
            <w:tcW w:w="1489" w:type="dxa"/>
            <w:tcBorders>
              <w:top w:val="nil"/>
              <w:left w:val="nil"/>
              <w:bottom w:val="single" w:sz="4" w:space="0" w:color="auto"/>
              <w:right w:val="single" w:sz="4" w:space="0" w:color="auto"/>
            </w:tcBorders>
            <w:shd w:val="clear" w:color="auto" w:fill="auto"/>
            <w:noWrap/>
            <w:vAlign w:val="bottom"/>
            <w:hideMark/>
          </w:tcPr>
          <w:p w14:paraId="3AAA29F7"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636" w:type="dxa"/>
            <w:tcBorders>
              <w:top w:val="nil"/>
              <w:left w:val="nil"/>
              <w:bottom w:val="single" w:sz="4" w:space="0" w:color="auto"/>
              <w:right w:val="single" w:sz="4" w:space="0" w:color="auto"/>
            </w:tcBorders>
            <w:shd w:val="clear" w:color="auto" w:fill="auto"/>
            <w:noWrap/>
            <w:vAlign w:val="bottom"/>
            <w:hideMark/>
          </w:tcPr>
          <w:p w14:paraId="2D18AF64"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10,3%</w:t>
            </w:r>
          </w:p>
        </w:tc>
        <w:tc>
          <w:tcPr>
            <w:tcW w:w="1738" w:type="dxa"/>
            <w:tcBorders>
              <w:top w:val="nil"/>
              <w:left w:val="nil"/>
              <w:bottom w:val="single" w:sz="4" w:space="0" w:color="auto"/>
              <w:right w:val="single" w:sz="4" w:space="0" w:color="auto"/>
            </w:tcBorders>
            <w:shd w:val="clear" w:color="auto" w:fill="auto"/>
            <w:noWrap/>
            <w:vAlign w:val="bottom"/>
            <w:hideMark/>
          </w:tcPr>
          <w:p w14:paraId="270D4DD2"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3,2%</w:t>
            </w:r>
          </w:p>
        </w:tc>
      </w:tr>
      <w:tr w:rsidR="002701FA" w:rsidRPr="00522F77" w14:paraId="5D5663A1"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79B0E48A"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30</w:t>
            </w:r>
          </w:p>
        </w:tc>
        <w:tc>
          <w:tcPr>
            <w:tcW w:w="1065" w:type="dxa"/>
            <w:tcBorders>
              <w:top w:val="nil"/>
              <w:left w:val="nil"/>
              <w:bottom w:val="single" w:sz="4" w:space="0" w:color="auto"/>
              <w:right w:val="single" w:sz="4" w:space="0" w:color="auto"/>
            </w:tcBorders>
            <w:shd w:val="clear" w:color="auto" w:fill="auto"/>
            <w:noWrap/>
            <w:vAlign w:val="bottom"/>
            <w:hideMark/>
          </w:tcPr>
          <w:p w14:paraId="123C876F"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1,01</w:t>
            </w:r>
          </w:p>
        </w:tc>
        <w:tc>
          <w:tcPr>
            <w:tcW w:w="1992" w:type="dxa"/>
            <w:tcBorders>
              <w:top w:val="nil"/>
              <w:left w:val="nil"/>
              <w:bottom w:val="single" w:sz="4" w:space="0" w:color="auto"/>
              <w:right w:val="single" w:sz="4" w:space="0" w:color="auto"/>
            </w:tcBorders>
            <w:shd w:val="clear" w:color="auto" w:fill="auto"/>
            <w:noWrap/>
            <w:vAlign w:val="bottom"/>
            <w:hideMark/>
          </w:tcPr>
          <w:p w14:paraId="37246632"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489" w:type="dxa"/>
            <w:tcBorders>
              <w:top w:val="nil"/>
              <w:left w:val="nil"/>
              <w:bottom w:val="single" w:sz="4" w:space="0" w:color="auto"/>
              <w:right w:val="single" w:sz="4" w:space="0" w:color="auto"/>
            </w:tcBorders>
            <w:shd w:val="clear" w:color="auto" w:fill="auto"/>
            <w:noWrap/>
            <w:vAlign w:val="bottom"/>
            <w:hideMark/>
          </w:tcPr>
          <w:p w14:paraId="0A7160D6"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636" w:type="dxa"/>
            <w:tcBorders>
              <w:top w:val="nil"/>
              <w:left w:val="nil"/>
              <w:bottom w:val="single" w:sz="4" w:space="0" w:color="auto"/>
              <w:right w:val="single" w:sz="4" w:space="0" w:color="auto"/>
            </w:tcBorders>
            <w:shd w:val="clear" w:color="auto" w:fill="auto"/>
            <w:noWrap/>
            <w:vAlign w:val="bottom"/>
            <w:hideMark/>
          </w:tcPr>
          <w:p w14:paraId="3A9CAEF6"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738" w:type="dxa"/>
            <w:tcBorders>
              <w:top w:val="nil"/>
              <w:left w:val="nil"/>
              <w:bottom w:val="single" w:sz="4" w:space="0" w:color="auto"/>
              <w:right w:val="single" w:sz="4" w:space="0" w:color="auto"/>
            </w:tcBorders>
            <w:shd w:val="clear" w:color="auto" w:fill="auto"/>
            <w:noWrap/>
            <w:vAlign w:val="bottom"/>
            <w:hideMark/>
          </w:tcPr>
          <w:p w14:paraId="27F0D634"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r>
      <w:tr w:rsidR="002701FA" w:rsidRPr="00522F77" w14:paraId="6E0080B6"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5638F00D"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31</w:t>
            </w:r>
          </w:p>
        </w:tc>
        <w:tc>
          <w:tcPr>
            <w:tcW w:w="1065" w:type="dxa"/>
            <w:tcBorders>
              <w:top w:val="nil"/>
              <w:left w:val="nil"/>
              <w:bottom w:val="single" w:sz="4" w:space="0" w:color="auto"/>
              <w:right w:val="single" w:sz="4" w:space="0" w:color="auto"/>
            </w:tcBorders>
            <w:shd w:val="clear" w:color="auto" w:fill="auto"/>
            <w:noWrap/>
            <w:vAlign w:val="bottom"/>
            <w:hideMark/>
          </w:tcPr>
          <w:p w14:paraId="615E1762"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992" w:type="dxa"/>
            <w:tcBorders>
              <w:top w:val="nil"/>
              <w:left w:val="nil"/>
              <w:bottom w:val="single" w:sz="4" w:space="0" w:color="auto"/>
              <w:right w:val="single" w:sz="4" w:space="0" w:color="auto"/>
            </w:tcBorders>
            <w:shd w:val="clear" w:color="auto" w:fill="auto"/>
            <w:noWrap/>
            <w:vAlign w:val="bottom"/>
            <w:hideMark/>
          </w:tcPr>
          <w:p w14:paraId="71B403AF"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52%</w:t>
            </w:r>
          </w:p>
        </w:tc>
        <w:tc>
          <w:tcPr>
            <w:tcW w:w="1489" w:type="dxa"/>
            <w:tcBorders>
              <w:top w:val="nil"/>
              <w:left w:val="nil"/>
              <w:bottom w:val="single" w:sz="4" w:space="0" w:color="auto"/>
              <w:right w:val="single" w:sz="4" w:space="0" w:color="auto"/>
            </w:tcBorders>
            <w:shd w:val="clear" w:color="auto" w:fill="auto"/>
            <w:noWrap/>
            <w:vAlign w:val="bottom"/>
            <w:hideMark/>
          </w:tcPr>
          <w:p w14:paraId="21FE3ECC"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1,68</w:t>
            </w:r>
          </w:p>
        </w:tc>
        <w:tc>
          <w:tcPr>
            <w:tcW w:w="1636" w:type="dxa"/>
            <w:tcBorders>
              <w:top w:val="nil"/>
              <w:left w:val="nil"/>
              <w:bottom w:val="single" w:sz="4" w:space="0" w:color="auto"/>
              <w:right w:val="single" w:sz="4" w:space="0" w:color="auto"/>
            </w:tcBorders>
            <w:shd w:val="clear" w:color="auto" w:fill="auto"/>
            <w:noWrap/>
            <w:vAlign w:val="bottom"/>
            <w:hideMark/>
          </w:tcPr>
          <w:p w14:paraId="31BBD314"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20,0%</w:t>
            </w:r>
          </w:p>
        </w:tc>
        <w:tc>
          <w:tcPr>
            <w:tcW w:w="1738" w:type="dxa"/>
            <w:tcBorders>
              <w:top w:val="nil"/>
              <w:left w:val="nil"/>
              <w:bottom w:val="single" w:sz="4" w:space="0" w:color="auto"/>
              <w:right w:val="single" w:sz="4" w:space="0" w:color="auto"/>
            </w:tcBorders>
            <w:shd w:val="clear" w:color="auto" w:fill="auto"/>
            <w:noWrap/>
            <w:vAlign w:val="bottom"/>
            <w:hideMark/>
          </w:tcPr>
          <w:p w14:paraId="0D9D7E3C"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9,7%</w:t>
            </w:r>
          </w:p>
        </w:tc>
      </w:tr>
      <w:tr w:rsidR="002701FA" w:rsidRPr="00522F77" w14:paraId="4F7FAC75"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2456B9CF"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32</w:t>
            </w:r>
          </w:p>
        </w:tc>
        <w:tc>
          <w:tcPr>
            <w:tcW w:w="1065" w:type="dxa"/>
            <w:tcBorders>
              <w:top w:val="nil"/>
              <w:left w:val="nil"/>
              <w:bottom w:val="single" w:sz="4" w:space="0" w:color="auto"/>
              <w:right w:val="single" w:sz="4" w:space="0" w:color="auto"/>
            </w:tcBorders>
            <w:shd w:val="clear" w:color="auto" w:fill="auto"/>
            <w:noWrap/>
            <w:vAlign w:val="bottom"/>
            <w:hideMark/>
          </w:tcPr>
          <w:p w14:paraId="2E22FF0F"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2,43</w:t>
            </w:r>
          </w:p>
        </w:tc>
        <w:tc>
          <w:tcPr>
            <w:tcW w:w="1992" w:type="dxa"/>
            <w:tcBorders>
              <w:top w:val="nil"/>
              <w:left w:val="nil"/>
              <w:bottom w:val="single" w:sz="4" w:space="0" w:color="auto"/>
              <w:right w:val="single" w:sz="4" w:space="0" w:color="auto"/>
            </w:tcBorders>
            <w:shd w:val="clear" w:color="auto" w:fill="auto"/>
            <w:noWrap/>
            <w:vAlign w:val="bottom"/>
            <w:hideMark/>
          </w:tcPr>
          <w:p w14:paraId="0F9FB985"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37%</w:t>
            </w:r>
          </w:p>
        </w:tc>
        <w:tc>
          <w:tcPr>
            <w:tcW w:w="1489" w:type="dxa"/>
            <w:tcBorders>
              <w:top w:val="nil"/>
              <w:left w:val="nil"/>
              <w:bottom w:val="single" w:sz="4" w:space="0" w:color="auto"/>
              <w:right w:val="single" w:sz="4" w:space="0" w:color="auto"/>
            </w:tcBorders>
            <w:shd w:val="clear" w:color="auto" w:fill="auto"/>
            <w:noWrap/>
            <w:vAlign w:val="bottom"/>
            <w:hideMark/>
          </w:tcPr>
          <w:p w14:paraId="7D9CD956"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636" w:type="dxa"/>
            <w:tcBorders>
              <w:top w:val="nil"/>
              <w:left w:val="nil"/>
              <w:bottom w:val="single" w:sz="4" w:space="0" w:color="auto"/>
              <w:right w:val="single" w:sz="4" w:space="0" w:color="auto"/>
            </w:tcBorders>
            <w:shd w:val="clear" w:color="auto" w:fill="auto"/>
            <w:noWrap/>
            <w:vAlign w:val="bottom"/>
            <w:hideMark/>
          </w:tcPr>
          <w:p w14:paraId="054AB706"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738" w:type="dxa"/>
            <w:tcBorders>
              <w:top w:val="nil"/>
              <w:left w:val="nil"/>
              <w:bottom w:val="single" w:sz="4" w:space="0" w:color="auto"/>
              <w:right w:val="single" w:sz="4" w:space="0" w:color="auto"/>
            </w:tcBorders>
            <w:shd w:val="clear" w:color="auto" w:fill="auto"/>
            <w:noWrap/>
            <w:vAlign w:val="bottom"/>
            <w:hideMark/>
          </w:tcPr>
          <w:p w14:paraId="1E5C218C"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r>
      <w:tr w:rsidR="002701FA" w:rsidRPr="00522F77" w14:paraId="1F85F741"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7007F1F9"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33</w:t>
            </w:r>
          </w:p>
        </w:tc>
        <w:tc>
          <w:tcPr>
            <w:tcW w:w="1065" w:type="dxa"/>
            <w:tcBorders>
              <w:top w:val="nil"/>
              <w:left w:val="nil"/>
              <w:bottom w:val="single" w:sz="4" w:space="0" w:color="auto"/>
              <w:right w:val="single" w:sz="4" w:space="0" w:color="auto"/>
            </w:tcBorders>
            <w:shd w:val="clear" w:color="auto" w:fill="auto"/>
            <w:noWrap/>
            <w:vAlign w:val="bottom"/>
            <w:hideMark/>
          </w:tcPr>
          <w:p w14:paraId="7BDAC5C1"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1,33</w:t>
            </w:r>
          </w:p>
        </w:tc>
        <w:tc>
          <w:tcPr>
            <w:tcW w:w="1992" w:type="dxa"/>
            <w:tcBorders>
              <w:top w:val="nil"/>
              <w:left w:val="nil"/>
              <w:bottom w:val="single" w:sz="4" w:space="0" w:color="auto"/>
              <w:right w:val="single" w:sz="4" w:space="0" w:color="auto"/>
            </w:tcBorders>
            <w:shd w:val="clear" w:color="auto" w:fill="auto"/>
            <w:noWrap/>
            <w:vAlign w:val="bottom"/>
            <w:hideMark/>
          </w:tcPr>
          <w:p w14:paraId="12E17753"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489" w:type="dxa"/>
            <w:tcBorders>
              <w:top w:val="nil"/>
              <w:left w:val="nil"/>
              <w:bottom w:val="single" w:sz="4" w:space="0" w:color="auto"/>
              <w:right w:val="single" w:sz="4" w:space="0" w:color="auto"/>
            </w:tcBorders>
            <w:shd w:val="clear" w:color="auto" w:fill="auto"/>
            <w:noWrap/>
            <w:vAlign w:val="bottom"/>
            <w:hideMark/>
          </w:tcPr>
          <w:p w14:paraId="6EAB6884"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636" w:type="dxa"/>
            <w:tcBorders>
              <w:top w:val="nil"/>
              <w:left w:val="nil"/>
              <w:bottom w:val="single" w:sz="4" w:space="0" w:color="auto"/>
              <w:right w:val="single" w:sz="4" w:space="0" w:color="auto"/>
            </w:tcBorders>
            <w:shd w:val="clear" w:color="auto" w:fill="auto"/>
            <w:noWrap/>
            <w:vAlign w:val="bottom"/>
            <w:hideMark/>
          </w:tcPr>
          <w:p w14:paraId="40D58717"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23,6%</w:t>
            </w:r>
          </w:p>
        </w:tc>
        <w:tc>
          <w:tcPr>
            <w:tcW w:w="1738" w:type="dxa"/>
            <w:tcBorders>
              <w:top w:val="nil"/>
              <w:left w:val="nil"/>
              <w:bottom w:val="single" w:sz="4" w:space="0" w:color="auto"/>
              <w:right w:val="single" w:sz="4" w:space="0" w:color="auto"/>
            </w:tcBorders>
            <w:shd w:val="clear" w:color="auto" w:fill="auto"/>
            <w:noWrap/>
            <w:vAlign w:val="bottom"/>
            <w:hideMark/>
          </w:tcPr>
          <w:p w14:paraId="5AAC5000"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6,7%</w:t>
            </w:r>
          </w:p>
        </w:tc>
      </w:tr>
      <w:tr w:rsidR="002701FA" w:rsidRPr="00522F77" w14:paraId="198B9E48"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716B37A0"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34</w:t>
            </w:r>
          </w:p>
        </w:tc>
        <w:tc>
          <w:tcPr>
            <w:tcW w:w="1065" w:type="dxa"/>
            <w:tcBorders>
              <w:top w:val="nil"/>
              <w:left w:val="nil"/>
              <w:bottom w:val="single" w:sz="4" w:space="0" w:color="auto"/>
              <w:right w:val="single" w:sz="4" w:space="0" w:color="auto"/>
            </w:tcBorders>
            <w:shd w:val="clear" w:color="auto" w:fill="auto"/>
            <w:noWrap/>
            <w:vAlign w:val="bottom"/>
            <w:hideMark/>
          </w:tcPr>
          <w:p w14:paraId="3941EC1D"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1,92</w:t>
            </w:r>
          </w:p>
        </w:tc>
        <w:tc>
          <w:tcPr>
            <w:tcW w:w="1992" w:type="dxa"/>
            <w:tcBorders>
              <w:top w:val="nil"/>
              <w:left w:val="nil"/>
              <w:bottom w:val="single" w:sz="4" w:space="0" w:color="auto"/>
              <w:right w:val="single" w:sz="4" w:space="0" w:color="auto"/>
            </w:tcBorders>
            <w:shd w:val="clear" w:color="auto" w:fill="auto"/>
            <w:noWrap/>
            <w:vAlign w:val="bottom"/>
            <w:hideMark/>
          </w:tcPr>
          <w:p w14:paraId="310BD919"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489" w:type="dxa"/>
            <w:tcBorders>
              <w:top w:val="nil"/>
              <w:left w:val="nil"/>
              <w:bottom w:val="single" w:sz="4" w:space="0" w:color="auto"/>
              <w:right w:val="single" w:sz="4" w:space="0" w:color="auto"/>
            </w:tcBorders>
            <w:shd w:val="clear" w:color="auto" w:fill="auto"/>
            <w:noWrap/>
            <w:vAlign w:val="bottom"/>
            <w:hideMark/>
          </w:tcPr>
          <w:p w14:paraId="2E944F47"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1,17</w:t>
            </w:r>
          </w:p>
        </w:tc>
        <w:tc>
          <w:tcPr>
            <w:tcW w:w="1636" w:type="dxa"/>
            <w:tcBorders>
              <w:top w:val="nil"/>
              <w:left w:val="nil"/>
              <w:bottom w:val="single" w:sz="4" w:space="0" w:color="auto"/>
              <w:right w:val="single" w:sz="4" w:space="0" w:color="auto"/>
            </w:tcBorders>
            <w:shd w:val="clear" w:color="auto" w:fill="auto"/>
            <w:noWrap/>
            <w:vAlign w:val="bottom"/>
            <w:hideMark/>
          </w:tcPr>
          <w:p w14:paraId="0AB21D4E"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738" w:type="dxa"/>
            <w:tcBorders>
              <w:top w:val="nil"/>
              <w:left w:val="nil"/>
              <w:bottom w:val="single" w:sz="4" w:space="0" w:color="auto"/>
              <w:right w:val="single" w:sz="4" w:space="0" w:color="auto"/>
            </w:tcBorders>
            <w:shd w:val="clear" w:color="auto" w:fill="auto"/>
            <w:noWrap/>
            <w:vAlign w:val="bottom"/>
            <w:hideMark/>
          </w:tcPr>
          <w:p w14:paraId="6E1AE9E3"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12,1%</w:t>
            </w:r>
          </w:p>
        </w:tc>
      </w:tr>
      <w:tr w:rsidR="002701FA" w:rsidRPr="00522F77" w14:paraId="3153417B"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1C43EA87"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35</w:t>
            </w:r>
          </w:p>
        </w:tc>
        <w:tc>
          <w:tcPr>
            <w:tcW w:w="1065" w:type="dxa"/>
            <w:tcBorders>
              <w:top w:val="nil"/>
              <w:left w:val="nil"/>
              <w:bottom w:val="single" w:sz="4" w:space="0" w:color="auto"/>
              <w:right w:val="single" w:sz="4" w:space="0" w:color="auto"/>
            </w:tcBorders>
            <w:shd w:val="clear" w:color="auto" w:fill="auto"/>
            <w:noWrap/>
            <w:vAlign w:val="bottom"/>
            <w:hideMark/>
          </w:tcPr>
          <w:p w14:paraId="7489039F"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2,14</w:t>
            </w:r>
          </w:p>
        </w:tc>
        <w:tc>
          <w:tcPr>
            <w:tcW w:w="1992" w:type="dxa"/>
            <w:tcBorders>
              <w:top w:val="nil"/>
              <w:left w:val="nil"/>
              <w:bottom w:val="single" w:sz="4" w:space="0" w:color="auto"/>
              <w:right w:val="single" w:sz="4" w:space="0" w:color="auto"/>
            </w:tcBorders>
            <w:shd w:val="clear" w:color="auto" w:fill="auto"/>
            <w:noWrap/>
            <w:vAlign w:val="bottom"/>
            <w:hideMark/>
          </w:tcPr>
          <w:p w14:paraId="475CEF03"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54%</w:t>
            </w:r>
          </w:p>
        </w:tc>
        <w:tc>
          <w:tcPr>
            <w:tcW w:w="1489" w:type="dxa"/>
            <w:tcBorders>
              <w:top w:val="nil"/>
              <w:left w:val="nil"/>
              <w:bottom w:val="single" w:sz="4" w:space="0" w:color="auto"/>
              <w:right w:val="single" w:sz="4" w:space="0" w:color="auto"/>
            </w:tcBorders>
            <w:shd w:val="clear" w:color="auto" w:fill="auto"/>
            <w:noWrap/>
            <w:vAlign w:val="bottom"/>
            <w:hideMark/>
          </w:tcPr>
          <w:p w14:paraId="534A107E"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636" w:type="dxa"/>
            <w:tcBorders>
              <w:top w:val="nil"/>
              <w:left w:val="nil"/>
              <w:bottom w:val="single" w:sz="4" w:space="0" w:color="auto"/>
              <w:right w:val="single" w:sz="4" w:space="0" w:color="auto"/>
            </w:tcBorders>
            <w:shd w:val="clear" w:color="auto" w:fill="auto"/>
            <w:noWrap/>
            <w:vAlign w:val="bottom"/>
            <w:hideMark/>
          </w:tcPr>
          <w:p w14:paraId="5B6799C6"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738" w:type="dxa"/>
            <w:tcBorders>
              <w:top w:val="nil"/>
              <w:left w:val="nil"/>
              <w:bottom w:val="single" w:sz="4" w:space="0" w:color="auto"/>
              <w:right w:val="single" w:sz="4" w:space="0" w:color="auto"/>
            </w:tcBorders>
            <w:shd w:val="clear" w:color="auto" w:fill="auto"/>
            <w:noWrap/>
            <w:vAlign w:val="bottom"/>
            <w:hideMark/>
          </w:tcPr>
          <w:p w14:paraId="30831F44"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r>
      <w:tr w:rsidR="002701FA" w:rsidRPr="00522F77" w14:paraId="6E57AE30"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6203D3FD" w14:textId="77777777" w:rsidR="002701FA" w:rsidRPr="00A315A0" w:rsidRDefault="002701FA" w:rsidP="00522F77">
            <w:pPr>
              <w:spacing w:after="0" w:line="240" w:lineRule="auto"/>
              <w:jc w:val="center"/>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Empresa No 36</w:t>
            </w:r>
          </w:p>
        </w:tc>
        <w:tc>
          <w:tcPr>
            <w:tcW w:w="1065" w:type="dxa"/>
            <w:tcBorders>
              <w:top w:val="nil"/>
              <w:left w:val="nil"/>
              <w:bottom w:val="single" w:sz="4" w:space="0" w:color="auto"/>
              <w:right w:val="single" w:sz="4" w:space="0" w:color="auto"/>
            </w:tcBorders>
            <w:shd w:val="clear" w:color="auto" w:fill="auto"/>
            <w:noWrap/>
            <w:vAlign w:val="bottom"/>
            <w:hideMark/>
          </w:tcPr>
          <w:p w14:paraId="47E8759D"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992" w:type="dxa"/>
            <w:tcBorders>
              <w:top w:val="nil"/>
              <w:left w:val="nil"/>
              <w:bottom w:val="single" w:sz="4" w:space="0" w:color="auto"/>
              <w:right w:val="single" w:sz="4" w:space="0" w:color="auto"/>
            </w:tcBorders>
            <w:shd w:val="clear" w:color="auto" w:fill="auto"/>
            <w:noWrap/>
            <w:vAlign w:val="bottom"/>
            <w:hideMark/>
          </w:tcPr>
          <w:p w14:paraId="3BF4E6AC"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w:t>
            </w:r>
          </w:p>
        </w:tc>
        <w:tc>
          <w:tcPr>
            <w:tcW w:w="1489" w:type="dxa"/>
            <w:tcBorders>
              <w:top w:val="nil"/>
              <w:left w:val="nil"/>
              <w:bottom w:val="single" w:sz="4" w:space="0" w:color="auto"/>
              <w:right w:val="single" w:sz="4" w:space="0" w:color="auto"/>
            </w:tcBorders>
            <w:shd w:val="clear" w:color="auto" w:fill="auto"/>
            <w:noWrap/>
            <w:vAlign w:val="bottom"/>
            <w:hideMark/>
          </w:tcPr>
          <w:p w14:paraId="3D4217C5"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636" w:type="dxa"/>
            <w:tcBorders>
              <w:top w:val="nil"/>
              <w:left w:val="nil"/>
              <w:bottom w:val="single" w:sz="4" w:space="0" w:color="auto"/>
              <w:right w:val="single" w:sz="4" w:space="0" w:color="auto"/>
            </w:tcBorders>
            <w:shd w:val="clear" w:color="auto" w:fill="auto"/>
            <w:noWrap/>
            <w:vAlign w:val="bottom"/>
            <w:hideMark/>
          </w:tcPr>
          <w:p w14:paraId="2B96BEC1"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 </w:t>
            </w:r>
          </w:p>
        </w:tc>
        <w:tc>
          <w:tcPr>
            <w:tcW w:w="1738" w:type="dxa"/>
            <w:tcBorders>
              <w:top w:val="nil"/>
              <w:left w:val="nil"/>
              <w:bottom w:val="single" w:sz="4" w:space="0" w:color="auto"/>
              <w:right w:val="single" w:sz="4" w:space="0" w:color="auto"/>
            </w:tcBorders>
            <w:shd w:val="clear" w:color="auto" w:fill="auto"/>
            <w:noWrap/>
            <w:vAlign w:val="bottom"/>
            <w:hideMark/>
          </w:tcPr>
          <w:p w14:paraId="5120B1F4"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24,3%</w:t>
            </w:r>
          </w:p>
        </w:tc>
      </w:tr>
      <w:tr w:rsidR="002701FA" w:rsidRPr="00522F77" w14:paraId="1E75F2D9" w14:textId="77777777" w:rsidTr="00A315A0">
        <w:trPr>
          <w:trHeight w:val="300"/>
          <w:jc w:val="center"/>
        </w:trPr>
        <w:tc>
          <w:tcPr>
            <w:tcW w:w="1795" w:type="dxa"/>
            <w:tcBorders>
              <w:top w:val="nil"/>
              <w:left w:val="nil"/>
              <w:bottom w:val="nil"/>
              <w:right w:val="nil"/>
            </w:tcBorders>
            <w:shd w:val="clear" w:color="auto" w:fill="auto"/>
            <w:noWrap/>
            <w:vAlign w:val="bottom"/>
            <w:hideMark/>
          </w:tcPr>
          <w:p w14:paraId="34C24B65"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p>
        </w:tc>
        <w:tc>
          <w:tcPr>
            <w:tcW w:w="1065" w:type="dxa"/>
            <w:tcBorders>
              <w:top w:val="nil"/>
              <w:left w:val="nil"/>
              <w:bottom w:val="nil"/>
              <w:right w:val="nil"/>
            </w:tcBorders>
            <w:shd w:val="clear" w:color="auto" w:fill="auto"/>
            <w:noWrap/>
            <w:vAlign w:val="bottom"/>
            <w:hideMark/>
          </w:tcPr>
          <w:p w14:paraId="1CD32128" w14:textId="77777777" w:rsidR="002701FA" w:rsidRPr="00A315A0" w:rsidRDefault="002701FA" w:rsidP="00522F77">
            <w:pPr>
              <w:spacing w:after="0" w:line="240" w:lineRule="auto"/>
              <w:rPr>
                <w:rFonts w:ascii="Arial" w:eastAsia="Times New Roman" w:hAnsi="Arial" w:cs="Arial"/>
                <w:sz w:val="20"/>
                <w:szCs w:val="20"/>
                <w:lang w:eastAsia="es-CO"/>
              </w:rPr>
            </w:pPr>
          </w:p>
        </w:tc>
        <w:tc>
          <w:tcPr>
            <w:tcW w:w="1992" w:type="dxa"/>
            <w:tcBorders>
              <w:top w:val="nil"/>
              <w:left w:val="nil"/>
              <w:bottom w:val="nil"/>
              <w:right w:val="nil"/>
            </w:tcBorders>
            <w:shd w:val="clear" w:color="auto" w:fill="auto"/>
            <w:noWrap/>
            <w:vAlign w:val="bottom"/>
            <w:hideMark/>
          </w:tcPr>
          <w:p w14:paraId="6AABCF99" w14:textId="77777777" w:rsidR="002701FA" w:rsidRPr="00A315A0" w:rsidRDefault="002701FA" w:rsidP="00522F77">
            <w:pPr>
              <w:spacing w:after="0" w:line="240" w:lineRule="auto"/>
              <w:rPr>
                <w:rFonts w:ascii="Arial" w:eastAsia="Times New Roman" w:hAnsi="Arial" w:cs="Arial"/>
                <w:sz w:val="20"/>
                <w:szCs w:val="20"/>
                <w:lang w:eastAsia="es-CO"/>
              </w:rPr>
            </w:pPr>
          </w:p>
        </w:tc>
        <w:tc>
          <w:tcPr>
            <w:tcW w:w="1489" w:type="dxa"/>
            <w:tcBorders>
              <w:top w:val="nil"/>
              <w:left w:val="nil"/>
              <w:bottom w:val="nil"/>
              <w:right w:val="nil"/>
            </w:tcBorders>
            <w:shd w:val="clear" w:color="auto" w:fill="auto"/>
            <w:noWrap/>
            <w:vAlign w:val="bottom"/>
            <w:hideMark/>
          </w:tcPr>
          <w:p w14:paraId="5C481924" w14:textId="77777777" w:rsidR="002701FA" w:rsidRPr="00A315A0" w:rsidRDefault="002701FA" w:rsidP="00522F77">
            <w:pPr>
              <w:spacing w:after="0" w:line="240" w:lineRule="auto"/>
              <w:rPr>
                <w:rFonts w:ascii="Arial" w:eastAsia="Times New Roman" w:hAnsi="Arial" w:cs="Arial"/>
                <w:sz w:val="20"/>
                <w:szCs w:val="20"/>
                <w:lang w:eastAsia="es-CO"/>
              </w:rPr>
            </w:pPr>
          </w:p>
        </w:tc>
        <w:tc>
          <w:tcPr>
            <w:tcW w:w="1636" w:type="dxa"/>
            <w:tcBorders>
              <w:top w:val="nil"/>
              <w:left w:val="nil"/>
              <w:bottom w:val="nil"/>
              <w:right w:val="nil"/>
            </w:tcBorders>
            <w:shd w:val="clear" w:color="auto" w:fill="auto"/>
            <w:noWrap/>
            <w:vAlign w:val="bottom"/>
            <w:hideMark/>
          </w:tcPr>
          <w:p w14:paraId="54F95DE2" w14:textId="77777777" w:rsidR="002701FA" w:rsidRPr="00A315A0" w:rsidRDefault="002701FA" w:rsidP="00522F77">
            <w:pPr>
              <w:spacing w:after="0" w:line="240" w:lineRule="auto"/>
              <w:rPr>
                <w:rFonts w:ascii="Arial" w:eastAsia="Times New Roman" w:hAnsi="Arial" w:cs="Arial"/>
                <w:sz w:val="20"/>
                <w:szCs w:val="20"/>
                <w:lang w:eastAsia="es-CO"/>
              </w:rPr>
            </w:pPr>
          </w:p>
        </w:tc>
        <w:tc>
          <w:tcPr>
            <w:tcW w:w="1738" w:type="dxa"/>
            <w:tcBorders>
              <w:top w:val="nil"/>
              <w:left w:val="nil"/>
              <w:bottom w:val="nil"/>
              <w:right w:val="nil"/>
            </w:tcBorders>
            <w:shd w:val="clear" w:color="auto" w:fill="auto"/>
            <w:noWrap/>
            <w:vAlign w:val="bottom"/>
            <w:hideMark/>
          </w:tcPr>
          <w:p w14:paraId="7D937ED7" w14:textId="77777777" w:rsidR="002701FA" w:rsidRPr="00A315A0" w:rsidRDefault="002701FA" w:rsidP="00522F77">
            <w:pPr>
              <w:spacing w:after="0" w:line="240" w:lineRule="auto"/>
              <w:rPr>
                <w:rFonts w:ascii="Arial" w:eastAsia="Times New Roman" w:hAnsi="Arial" w:cs="Arial"/>
                <w:sz w:val="20"/>
                <w:szCs w:val="20"/>
                <w:lang w:eastAsia="es-CO"/>
              </w:rPr>
            </w:pPr>
          </w:p>
        </w:tc>
      </w:tr>
      <w:tr w:rsidR="002701FA" w:rsidRPr="00522F77" w14:paraId="2B6391F6" w14:textId="77777777" w:rsidTr="00A315A0">
        <w:trPr>
          <w:trHeight w:val="62"/>
          <w:jc w:val="center"/>
        </w:trPr>
        <w:tc>
          <w:tcPr>
            <w:tcW w:w="17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F2224F"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Promedio</w:t>
            </w:r>
          </w:p>
        </w:tc>
        <w:tc>
          <w:tcPr>
            <w:tcW w:w="1065" w:type="dxa"/>
            <w:tcBorders>
              <w:top w:val="single" w:sz="4" w:space="0" w:color="auto"/>
              <w:left w:val="nil"/>
              <w:bottom w:val="single" w:sz="4" w:space="0" w:color="auto"/>
              <w:right w:val="single" w:sz="4" w:space="0" w:color="auto"/>
            </w:tcBorders>
            <w:shd w:val="clear" w:color="auto" w:fill="auto"/>
            <w:noWrap/>
            <w:vAlign w:val="bottom"/>
            <w:hideMark/>
          </w:tcPr>
          <w:p w14:paraId="3D1B025F"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1,84</w:t>
            </w:r>
          </w:p>
        </w:tc>
        <w:tc>
          <w:tcPr>
            <w:tcW w:w="1992" w:type="dxa"/>
            <w:tcBorders>
              <w:top w:val="single" w:sz="4" w:space="0" w:color="auto"/>
              <w:left w:val="nil"/>
              <w:bottom w:val="single" w:sz="4" w:space="0" w:color="auto"/>
              <w:right w:val="single" w:sz="4" w:space="0" w:color="auto"/>
            </w:tcBorders>
            <w:shd w:val="clear" w:color="auto" w:fill="auto"/>
            <w:noWrap/>
            <w:vAlign w:val="bottom"/>
            <w:hideMark/>
          </w:tcPr>
          <w:p w14:paraId="5036CFE7"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17%</w:t>
            </w:r>
          </w:p>
        </w:tc>
        <w:tc>
          <w:tcPr>
            <w:tcW w:w="1489" w:type="dxa"/>
            <w:tcBorders>
              <w:top w:val="single" w:sz="4" w:space="0" w:color="auto"/>
              <w:left w:val="nil"/>
              <w:bottom w:val="single" w:sz="4" w:space="0" w:color="auto"/>
              <w:right w:val="single" w:sz="4" w:space="0" w:color="auto"/>
            </w:tcBorders>
            <w:shd w:val="clear" w:color="auto" w:fill="auto"/>
            <w:noWrap/>
            <w:vAlign w:val="bottom"/>
            <w:hideMark/>
          </w:tcPr>
          <w:p w14:paraId="61D29F24"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1,46</w:t>
            </w:r>
          </w:p>
        </w:tc>
        <w:tc>
          <w:tcPr>
            <w:tcW w:w="1636" w:type="dxa"/>
            <w:tcBorders>
              <w:top w:val="single" w:sz="4" w:space="0" w:color="auto"/>
              <w:left w:val="nil"/>
              <w:bottom w:val="single" w:sz="4" w:space="0" w:color="auto"/>
              <w:right w:val="single" w:sz="4" w:space="0" w:color="auto"/>
            </w:tcBorders>
            <w:shd w:val="clear" w:color="auto" w:fill="auto"/>
            <w:noWrap/>
            <w:vAlign w:val="bottom"/>
            <w:hideMark/>
          </w:tcPr>
          <w:p w14:paraId="68301A31"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4,7%</w:t>
            </w:r>
          </w:p>
        </w:tc>
        <w:tc>
          <w:tcPr>
            <w:tcW w:w="1738" w:type="dxa"/>
            <w:tcBorders>
              <w:top w:val="single" w:sz="4" w:space="0" w:color="auto"/>
              <w:left w:val="nil"/>
              <w:bottom w:val="single" w:sz="4" w:space="0" w:color="auto"/>
              <w:right w:val="single" w:sz="4" w:space="0" w:color="auto"/>
            </w:tcBorders>
            <w:shd w:val="clear" w:color="auto" w:fill="auto"/>
            <w:noWrap/>
            <w:vAlign w:val="bottom"/>
            <w:hideMark/>
          </w:tcPr>
          <w:p w14:paraId="1869BC25"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5,4%</w:t>
            </w:r>
          </w:p>
        </w:tc>
      </w:tr>
      <w:tr w:rsidR="00386B6B" w:rsidRPr="00522F77" w14:paraId="493A9674"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25E35EE3" w14:textId="77777777" w:rsidR="00386B6B" w:rsidRPr="00A315A0" w:rsidRDefault="00386B6B"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Min</w:t>
            </w:r>
          </w:p>
        </w:tc>
        <w:tc>
          <w:tcPr>
            <w:tcW w:w="1065" w:type="dxa"/>
            <w:tcBorders>
              <w:top w:val="nil"/>
              <w:left w:val="nil"/>
              <w:bottom w:val="single" w:sz="4" w:space="0" w:color="auto"/>
              <w:right w:val="single" w:sz="4" w:space="0" w:color="auto"/>
            </w:tcBorders>
            <w:shd w:val="clear" w:color="000000" w:fill="FFE699"/>
            <w:noWrap/>
            <w:vAlign w:val="bottom"/>
            <w:hideMark/>
          </w:tcPr>
          <w:p w14:paraId="1EBC001C" w14:textId="77777777" w:rsidR="00386B6B" w:rsidRPr="00A315A0" w:rsidRDefault="00386B6B" w:rsidP="00522F77">
            <w:pPr>
              <w:spacing w:after="0" w:line="240" w:lineRule="auto"/>
              <w:jc w:val="right"/>
              <w:rPr>
                <w:rFonts w:ascii="Arial" w:eastAsia="Times New Roman" w:hAnsi="Arial" w:cs="Arial"/>
                <w:b/>
                <w:color w:val="000000"/>
                <w:sz w:val="20"/>
                <w:szCs w:val="20"/>
                <w:lang w:eastAsia="es-CO"/>
              </w:rPr>
            </w:pPr>
            <w:r w:rsidRPr="00A315A0">
              <w:rPr>
                <w:rFonts w:ascii="Arial" w:eastAsia="Times New Roman" w:hAnsi="Arial" w:cs="Arial"/>
                <w:b/>
                <w:color w:val="000000"/>
                <w:sz w:val="20"/>
                <w:szCs w:val="20"/>
                <w:lang w:eastAsia="es-CO"/>
              </w:rPr>
              <w:t>1,01</w:t>
            </w:r>
          </w:p>
        </w:tc>
        <w:tc>
          <w:tcPr>
            <w:tcW w:w="1992" w:type="dxa"/>
            <w:tcBorders>
              <w:top w:val="nil"/>
              <w:left w:val="nil"/>
              <w:bottom w:val="single" w:sz="4" w:space="0" w:color="auto"/>
              <w:right w:val="single" w:sz="4" w:space="0" w:color="auto"/>
            </w:tcBorders>
            <w:shd w:val="clear" w:color="auto" w:fill="auto"/>
            <w:noWrap/>
            <w:vAlign w:val="bottom"/>
            <w:hideMark/>
          </w:tcPr>
          <w:p w14:paraId="2D5CFD40" w14:textId="77777777" w:rsidR="00386B6B" w:rsidRPr="00A315A0" w:rsidRDefault="00386B6B"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3%</w:t>
            </w:r>
          </w:p>
        </w:tc>
        <w:tc>
          <w:tcPr>
            <w:tcW w:w="1489" w:type="dxa"/>
            <w:tcBorders>
              <w:top w:val="nil"/>
              <w:left w:val="nil"/>
              <w:bottom w:val="single" w:sz="4" w:space="0" w:color="auto"/>
              <w:right w:val="single" w:sz="4" w:space="0" w:color="auto"/>
            </w:tcBorders>
            <w:shd w:val="clear" w:color="000000" w:fill="FFE699"/>
            <w:noWrap/>
            <w:vAlign w:val="bottom"/>
            <w:hideMark/>
          </w:tcPr>
          <w:p w14:paraId="636C5A3D" w14:textId="77777777" w:rsidR="00386B6B" w:rsidRPr="00A315A0" w:rsidRDefault="00386B6B" w:rsidP="00522F77">
            <w:pPr>
              <w:spacing w:after="0" w:line="240" w:lineRule="auto"/>
              <w:jc w:val="right"/>
              <w:rPr>
                <w:rFonts w:ascii="Arial" w:eastAsia="Times New Roman" w:hAnsi="Arial" w:cs="Arial"/>
                <w:b/>
                <w:color w:val="000000"/>
                <w:sz w:val="20"/>
                <w:szCs w:val="20"/>
                <w:lang w:eastAsia="es-CO"/>
              </w:rPr>
            </w:pPr>
            <w:r w:rsidRPr="00A315A0">
              <w:rPr>
                <w:rFonts w:ascii="Arial" w:eastAsia="Times New Roman" w:hAnsi="Arial" w:cs="Arial"/>
                <w:b/>
                <w:color w:val="000000"/>
                <w:sz w:val="20"/>
                <w:szCs w:val="20"/>
                <w:lang w:eastAsia="es-CO"/>
              </w:rPr>
              <w:t>1,17</w:t>
            </w:r>
          </w:p>
        </w:tc>
        <w:tc>
          <w:tcPr>
            <w:tcW w:w="1636" w:type="dxa"/>
            <w:tcBorders>
              <w:top w:val="nil"/>
              <w:left w:val="nil"/>
              <w:bottom w:val="single" w:sz="4" w:space="0" w:color="auto"/>
              <w:right w:val="single" w:sz="4" w:space="0" w:color="auto"/>
            </w:tcBorders>
            <w:shd w:val="clear" w:color="000000" w:fill="FFE699"/>
            <w:noWrap/>
            <w:vAlign w:val="bottom"/>
            <w:hideMark/>
          </w:tcPr>
          <w:p w14:paraId="4ECEB5C5" w14:textId="11E7B578" w:rsidR="00386B6B" w:rsidRPr="00A315A0" w:rsidRDefault="00386B6B" w:rsidP="00522F77">
            <w:pPr>
              <w:spacing w:after="0" w:line="240" w:lineRule="auto"/>
              <w:jc w:val="right"/>
              <w:rPr>
                <w:rFonts w:ascii="Arial" w:eastAsia="Times New Roman" w:hAnsi="Arial" w:cs="Arial"/>
                <w:b/>
                <w:color w:val="000000"/>
                <w:sz w:val="20"/>
                <w:szCs w:val="20"/>
                <w:lang w:eastAsia="es-CO"/>
              </w:rPr>
            </w:pPr>
            <w:r w:rsidRPr="00A315A0">
              <w:rPr>
                <w:rFonts w:ascii="Arial" w:eastAsia="Times New Roman" w:hAnsi="Arial" w:cs="Arial"/>
                <w:b/>
                <w:color w:val="000000"/>
                <w:sz w:val="20"/>
                <w:szCs w:val="20"/>
                <w:lang w:eastAsia="es-CO"/>
              </w:rPr>
              <w:t>5,70%</w:t>
            </w:r>
          </w:p>
        </w:tc>
        <w:tc>
          <w:tcPr>
            <w:tcW w:w="1738" w:type="dxa"/>
            <w:tcBorders>
              <w:top w:val="nil"/>
              <w:left w:val="nil"/>
              <w:bottom w:val="single" w:sz="4" w:space="0" w:color="auto"/>
              <w:right w:val="single" w:sz="4" w:space="0" w:color="auto"/>
            </w:tcBorders>
            <w:shd w:val="clear" w:color="000000" w:fill="FFE699"/>
            <w:noWrap/>
            <w:vAlign w:val="bottom"/>
            <w:hideMark/>
          </w:tcPr>
          <w:p w14:paraId="6B2017B6" w14:textId="2BFFA842" w:rsidR="00386B6B" w:rsidRPr="00A315A0" w:rsidRDefault="00386B6B" w:rsidP="00522F77">
            <w:pPr>
              <w:spacing w:after="0" w:line="240" w:lineRule="auto"/>
              <w:jc w:val="right"/>
              <w:rPr>
                <w:rFonts w:ascii="Arial" w:eastAsia="Times New Roman" w:hAnsi="Arial" w:cs="Arial"/>
                <w:b/>
                <w:color w:val="000000"/>
                <w:sz w:val="20"/>
                <w:szCs w:val="20"/>
                <w:lang w:eastAsia="es-CO"/>
              </w:rPr>
            </w:pPr>
            <w:r w:rsidRPr="00A315A0">
              <w:rPr>
                <w:rFonts w:ascii="Arial" w:eastAsia="Times New Roman" w:hAnsi="Arial" w:cs="Arial"/>
                <w:b/>
                <w:color w:val="000000"/>
                <w:sz w:val="20"/>
                <w:szCs w:val="20"/>
                <w:lang w:eastAsia="es-CO"/>
              </w:rPr>
              <w:t>3,2%</w:t>
            </w:r>
          </w:p>
        </w:tc>
      </w:tr>
      <w:tr w:rsidR="002701FA" w:rsidRPr="00522F77" w14:paraId="30D04598" w14:textId="77777777" w:rsidTr="00A315A0">
        <w:trPr>
          <w:trHeight w:val="62"/>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67AACB5C" w14:textId="77777777" w:rsidR="002701FA" w:rsidRPr="00A315A0" w:rsidRDefault="002701FA" w:rsidP="00522F77">
            <w:pPr>
              <w:spacing w:after="0" w:line="240" w:lineRule="auto"/>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Max</w:t>
            </w:r>
          </w:p>
        </w:tc>
        <w:tc>
          <w:tcPr>
            <w:tcW w:w="1065" w:type="dxa"/>
            <w:tcBorders>
              <w:top w:val="nil"/>
              <w:left w:val="nil"/>
              <w:bottom w:val="single" w:sz="4" w:space="0" w:color="auto"/>
              <w:right w:val="single" w:sz="4" w:space="0" w:color="auto"/>
            </w:tcBorders>
            <w:shd w:val="clear" w:color="auto" w:fill="auto"/>
            <w:noWrap/>
            <w:vAlign w:val="bottom"/>
            <w:hideMark/>
          </w:tcPr>
          <w:p w14:paraId="1E4885DB"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8,09</w:t>
            </w:r>
          </w:p>
        </w:tc>
        <w:tc>
          <w:tcPr>
            <w:tcW w:w="1992" w:type="dxa"/>
            <w:tcBorders>
              <w:top w:val="nil"/>
              <w:left w:val="nil"/>
              <w:bottom w:val="single" w:sz="4" w:space="0" w:color="auto"/>
              <w:right w:val="single" w:sz="4" w:space="0" w:color="auto"/>
            </w:tcBorders>
            <w:shd w:val="clear" w:color="000000" w:fill="FFE699"/>
            <w:noWrap/>
            <w:vAlign w:val="bottom"/>
            <w:hideMark/>
          </w:tcPr>
          <w:p w14:paraId="5F43D895" w14:textId="77777777" w:rsidR="002701FA" w:rsidRPr="00A315A0" w:rsidRDefault="002701FA" w:rsidP="00522F77">
            <w:pPr>
              <w:spacing w:after="0" w:line="240" w:lineRule="auto"/>
              <w:jc w:val="right"/>
              <w:rPr>
                <w:rFonts w:ascii="Arial" w:eastAsia="Times New Roman" w:hAnsi="Arial" w:cs="Arial"/>
                <w:b/>
                <w:color w:val="000000"/>
                <w:sz w:val="20"/>
                <w:szCs w:val="20"/>
                <w:lang w:eastAsia="es-CO"/>
              </w:rPr>
            </w:pPr>
            <w:r w:rsidRPr="00A315A0">
              <w:rPr>
                <w:rFonts w:ascii="Arial" w:eastAsia="Times New Roman" w:hAnsi="Arial" w:cs="Arial"/>
                <w:b/>
                <w:color w:val="000000"/>
                <w:sz w:val="20"/>
                <w:szCs w:val="20"/>
                <w:lang w:eastAsia="es-CO"/>
              </w:rPr>
              <w:t>68%</w:t>
            </w:r>
          </w:p>
        </w:tc>
        <w:tc>
          <w:tcPr>
            <w:tcW w:w="1489" w:type="dxa"/>
            <w:tcBorders>
              <w:top w:val="nil"/>
              <w:left w:val="nil"/>
              <w:bottom w:val="single" w:sz="4" w:space="0" w:color="auto"/>
              <w:right w:val="single" w:sz="4" w:space="0" w:color="auto"/>
            </w:tcBorders>
            <w:shd w:val="clear" w:color="auto" w:fill="auto"/>
            <w:noWrap/>
            <w:vAlign w:val="bottom"/>
            <w:hideMark/>
          </w:tcPr>
          <w:p w14:paraId="48D8A48B"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9,73</w:t>
            </w:r>
          </w:p>
        </w:tc>
        <w:tc>
          <w:tcPr>
            <w:tcW w:w="1636" w:type="dxa"/>
            <w:tcBorders>
              <w:top w:val="nil"/>
              <w:left w:val="nil"/>
              <w:bottom w:val="single" w:sz="4" w:space="0" w:color="auto"/>
              <w:right w:val="single" w:sz="4" w:space="0" w:color="auto"/>
            </w:tcBorders>
            <w:shd w:val="clear" w:color="auto" w:fill="auto"/>
            <w:noWrap/>
            <w:vAlign w:val="bottom"/>
            <w:hideMark/>
          </w:tcPr>
          <w:p w14:paraId="3A2D4F39"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24,37%</w:t>
            </w:r>
          </w:p>
        </w:tc>
        <w:tc>
          <w:tcPr>
            <w:tcW w:w="1738" w:type="dxa"/>
            <w:tcBorders>
              <w:top w:val="nil"/>
              <w:left w:val="nil"/>
              <w:bottom w:val="single" w:sz="4" w:space="0" w:color="auto"/>
              <w:right w:val="single" w:sz="4" w:space="0" w:color="auto"/>
            </w:tcBorders>
            <w:shd w:val="clear" w:color="auto" w:fill="auto"/>
            <w:noWrap/>
            <w:vAlign w:val="bottom"/>
            <w:hideMark/>
          </w:tcPr>
          <w:p w14:paraId="774518AB" w14:textId="77777777" w:rsidR="002701FA" w:rsidRPr="00A315A0" w:rsidRDefault="002701FA" w:rsidP="00522F77">
            <w:pPr>
              <w:spacing w:after="0" w:line="240" w:lineRule="auto"/>
              <w:jc w:val="right"/>
              <w:rPr>
                <w:rFonts w:ascii="Arial" w:eastAsia="Times New Roman" w:hAnsi="Arial" w:cs="Arial"/>
                <w:color w:val="000000"/>
                <w:sz w:val="20"/>
                <w:szCs w:val="20"/>
                <w:lang w:eastAsia="es-CO"/>
              </w:rPr>
            </w:pPr>
            <w:r w:rsidRPr="00A315A0">
              <w:rPr>
                <w:rFonts w:ascii="Arial" w:eastAsia="Times New Roman" w:hAnsi="Arial" w:cs="Arial"/>
                <w:color w:val="000000"/>
                <w:sz w:val="20"/>
                <w:szCs w:val="20"/>
                <w:lang w:eastAsia="es-CO"/>
              </w:rPr>
              <w:t>24%</w:t>
            </w:r>
          </w:p>
        </w:tc>
      </w:tr>
    </w:tbl>
    <w:p w14:paraId="585862AA" w14:textId="77777777" w:rsidR="007F3034" w:rsidRPr="00522F77" w:rsidRDefault="007F3034" w:rsidP="00522F77">
      <w:pPr>
        <w:spacing w:after="0" w:line="240" w:lineRule="auto"/>
        <w:jc w:val="both"/>
        <w:rPr>
          <w:rFonts w:ascii="Arial" w:hAnsi="Arial" w:cs="Arial"/>
        </w:rPr>
      </w:pPr>
    </w:p>
    <w:p w14:paraId="5419CCF8" w14:textId="3B97ABBC" w:rsidR="003E6DB5" w:rsidRPr="00522F77" w:rsidRDefault="001B1946" w:rsidP="00522F77">
      <w:pPr>
        <w:spacing w:after="0" w:line="240" w:lineRule="auto"/>
        <w:jc w:val="both"/>
        <w:rPr>
          <w:rFonts w:ascii="Arial" w:hAnsi="Arial" w:cs="Arial"/>
        </w:rPr>
      </w:pPr>
      <w:r w:rsidRPr="00522F77">
        <w:rPr>
          <w:rFonts w:ascii="Arial" w:hAnsi="Arial" w:cs="Arial"/>
        </w:rPr>
        <w:t>Teniendo en cuenta cada uno de los</w:t>
      </w:r>
      <w:r w:rsidR="003017B7" w:rsidRPr="00522F77">
        <w:rPr>
          <w:rFonts w:ascii="Arial" w:hAnsi="Arial" w:cs="Arial"/>
        </w:rPr>
        <w:t xml:space="preserve"> resultados obtenidos y con el fin de contar con pluralidad de oferentes en el proceso, </w:t>
      </w:r>
      <w:r w:rsidRPr="00522F77">
        <w:rPr>
          <w:rFonts w:ascii="Arial" w:hAnsi="Arial" w:cs="Arial"/>
        </w:rPr>
        <w:t>la entidad toma como referencia los límites establecidos como mínimos</w:t>
      </w:r>
      <w:r w:rsidR="009E4874" w:rsidRPr="00522F77">
        <w:rPr>
          <w:rFonts w:ascii="Arial" w:hAnsi="Arial" w:cs="Arial"/>
        </w:rPr>
        <w:t xml:space="preserve"> para los indicadores de liquidez, cobertura de intereses, rentabilidad del activo y rentabilidad del patrimonio, mientras que, para el indicador de endeudamiento se toma el límite máximo.</w:t>
      </w:r>
    </w:p>
    <w:p w14:paraId="238BC056" w14:textId="77777777" w:rsidR="00A315A0" w:rsidRPr="00522F77" w:rsidRDefault="00A315A0" w:rsidP="00522F77">
      <w:pPr>
        <w:spacing w:after="0" w:line="240" w:lineRule="auto"/>
        <w:jc w:val="both"/>
        <w:rPr>
          <w:rFonts w:ascii="Arial" w:hAnsi="Arial" w:cs="Arial"/>
        </w:rPr>
      </w:pPr>
    </w:p>
    <w:p w14:paraId="2A0EE3F4" w14:textId="0C658347" w:rsidR="00C10986" w:rsidRDefault="00C10986" w:rsidP="00522F77">
      <w:pPr>
        <w:spacing w:after="0" w:line="240" w:lineRule="auto"/>
        <w:jc w:val="both"/>
        <w:rPr>
          <w:rFonts w:ascii="Arial" w:hAnsi="Arial" w:cs="Arial"/>
        </w:rPr>
      </w:pPr>
      <w:r w:rsidRPr="00522F77">
        <w:rPr>
          <w:rFonts w:ascii="Arial" w:hAnsi="Arial" w:cs="Arial"/>
        </w:rPr>
        <w:t>Aproximaciones llevadas a cabo:</w:t>
      </w:r>
    </w:p>
    <w:p w14:paraId="59B32A0F" w14:textId="77777777" w:rsidR="00A315A0" w:rsidRPr="00522F77" w:rsidRDefault="00A315A0" w:rsidP="00522F77">
      <w:pPr>
        <w:spacing w:after="0" w:line="240" w:lineRule="auto"/>
        <w:jc w:val="both"/>
        <w:rPr>
          <w:rFonts w:ascii="Arial" w:hAnsi="Arial" w:cs="Arial"/>
        </w:rPr>
      </w:pPr>
    </w:p>
    <w:p w14:paraId="2D69F41D" w14:textId="6B49781A" w:rsidR="00831E6D" w:rsidRPr="00522F77" w:rsidRDefault="00831E6D" w:rsidP="00522F77">
      <w:pPr>
        <w:pStyle w:val="Prrafodelista"/>
        <w:numPr>
          <w:ilvl w:val="0"/>
          <w:numId w:val="12"/>
        </w:numPr>
        <w:spacing w:line="240" w:lineRule="auto"/>
        <w:jc w:val="both"/>
        <w:rPr>
          <w:rFonts w:ascii="Arial" w:hAnsi="Arial" w:cs="Arial"/>
        </w:rPr>
      </w:pPr>
      <w:r w:rsidRPr="00522F77">
        <w:rPr>
          <w:rFonts w:ascii="Arial" w:hAnsi="Arial" w:cs="Arial"/>
        </w:rPr>
        <w:t xml:space="preserve">En el caso del indicador de liquidez </w:t>
      </w:r>
      <w:r w:rsidR="00EA674A" w:rsidRPr="00522F77">
        <w:rPr>
          <w:rFonts w:ascii="Arial" w:hAnsi="Arial" w:cs="Arial"/>
        </w:rPr>
        <w:t xml:space="preserve">se determinó </w:t>
      </w:r>
      <w:r w:rsidR="00FC395D">
        <w:rPr>
          <w:rFonts w:ascii="Arial" w:hAnsi="Arial" w:cs="Arial"/>
        </w:rPr>
        <w:t>mayor o igual a</w:t>
      </w:r>
      <w:r w:rsidR="00EA674A" w:rsidRPr="00522F77">
        <w:rPr>
          <w:rFonts w:ascii="Arial" w:hAnsi="Arial" w:cs="Arial"/>
        </w:rPr>
        <w:t xml:space="preserve"> 1,1 </w:t>
      </w:r>
    </w:p>
    <w:p w14:paraId="7AC8FDFD" w14:textId="4234D3D3" w:rsidR="00386B6B" w:rsidRPr="002F782A" w:rsidRDefault="00C10986" w:rsidP="002F782A">
      <w:pPr>
        <w:pStyle w:val="Prrafodelista"/>
        <w:numPr>
          <w:ilvl w:val="0"/>
          <w:numId w:val="12"/>
        </w:numPr>
        <w:spacing w:line="240" w:lineRule="auto"/>
        <w:jc w:val="both"/>
        <w:rPr>
          <w:rFonts w:ascii="Arial" w:hAnsi="Arial" w:cs="Arial"/>
        </w:rPr>
      </w:pPr>
      <w:r w:rsidRPr="67B27F23">
        <w:rPr>
          <w:rFonts w:ascii="Arial" w:hAnsi="Arial" w:cs="Arial"/>
        </w:rPr>
        <w:t>En el caso del indicador de e</w:t>
      </w:r>
      <w:r w:rsidRPr="002F782A">
        <w:rPr>
          <w:rFonts w:ascii="Arial" w:hAnsi="Arial" w:cs="Arial"/>
        </w:rPr>
        <w:t xml:space="preserve">ndeudamiento </w:t>
      </w:r>
      <w:r w:rsidR="00386B6B" w:rsidRPr="002F782A">
        <w:rPr>
          <w:rFonts w:ascii="Arial" w:hAnsi="Arial" w:cs="Arial"/>
        </w:rPr>
        <w:t xml:space="preserve">se determinó </w:t>
      </w:r>
      <w:r w:rsidRPr="002F782A">
        <w:rPr>
          <w:rFonts w:ascii="Arial" w:hAnsi="Arial" w:cs="Arial"/>
        </w:rPr>
        <w:t>aproximarlo de 68% al 70%.</w:t>
      </w:r>
    </w:p>
    <w:p w14:paraId="2B47E708" w14:textId="1F6CBB42" w:rsidR="00EA674A" w:rsidRPr="00522F77" w:rsidRDefault="00EA674A" w:rsidP="00522F77">
      <w:pPr>
        <w:pStyle w:val="Prrafodelista"/>
        <w:numPr>
          <w:ilvl w:val="0"/>
          <w:numId w:val="12"/>
        </w:numPr>
        <w:spacing w:line="240" w:lineRule="auto"/>
        <w:jc w:val="both"/>
        <w:rPr>
          <w:rFonts w:ascii="Arial" w:hAnsi="Arial" w:cs="Arial"/>
        </w:rPr>
      </w:pPr>
      <w:r w:rsidRPr="00522F77">
        <w:rPr>
          <w:rFonts w:ascii="Arial" w:hAnsi="Arial" w:cs="Arial"/>
        </w:rPr>
        <w:t>En el caso del indicador de cobertura de intereses se determinó aproximarlo de 1,17 a 1,2</w:t>
      </w:r>
    </w:p>
    <w:p w14:paraId="576AE624" w14:textId="6B0B4CC8" w:rsidR="00C10986" w:rsidRPr="00522F77" w:rsidRDefault="00C10986" w:rsidP="00522F77">
      <w:pPr>
        <w:pStyle w:val="Prrafodelista"/>
        <w:numPr>
          <w:ilvl w:val="0"/>
          <w:numId w:val="12"/>
        </w:numPr>
        <w:spacing w:line="240" w:lineRule="auto"/>
        <w:jc w:val="both"/>
        <w:rPr>
          <w:rFonts w:ascii="Arial" w:hAnsi="Arial" w:cs="Arial"/>
        </w:rPr>
      </w:pPr>
      <w:r w:rsidRPr="00522F77">
        <w:rPr>
          <w:rFonts w:ascii="Arial" w:hAnsi="Arial" w:cs="Arial"/>
        </w:rPr>
        <w:t xml:space="preserve">En el caso del indicador de Rentabilidad del Patrimonio, se determinó </w:t>
      </w:r>
      <w:r w:rsidR="009E4874" w:rsidRPr="00522F77">
        <w:rPr>
          <w:rFonts w:ascii="Arial" w:hAnsi="Arial" w:cs="Arial"/>
        </w:rPr>
        <w:t>ser evaluado así: ROE&gt;=</w:t>
      </w:r>
      <w:r w:rsidR="00C7707F">
        <w:rPr>
          <w:rFonts w:ascii="Arial" w:hAnsi="Arial" w:cs="Arial"/>
        </w:rPr>
        <w:t>0</w:t>
      </w:r>
    </w:p>
    <w:p w14:paraId="6BFD9139" w14:textId="583118D7" w:rsidR="009E4874" w:rsidRPr="00522F77" w:rsidRDefault="00C10986" w:rsidP="00522F77">
      <w:pPr>
        <w:pStyle w:val="Prrafodelista"/>
        <w:numPr>
          <w:ilvl w:val="0"/>
          <w:numId w:val="12"/>
        </w:numPr>
        <w:spacing w:line="240" w:lineRule="auto"/>
        <w:jc w:val="both"/>
        <w:rPr>
          <w:rFonts w:ascii="Arial" w:hAnsi="Arial" w:cs="Arial"/>
        </w:rPr>
      </w:pPr>
      <w:r w:rsidRPr="00522F77">
        <w:rPr>
          <w:rFonts w:ascii="Arial" w:hAnsi="Arial" w:cs="Arial"/>
        </w:rPr>
        <w:t xml:space="preserve">En el caso del indicador de Rentabilidad del Activo, se determinó </w:t>
      </w:r>
      <w:r w:rsidR="009E4874" w:rsidRPr="00522F77">
        <w:rPr>
          <w:rFonts w:ascii="Arial" w:hAnsi="Arial" w:cs="Arial"/>
        </w:rPr>
        <w:t>ser evaluado así: ROA&gt;=</w:t>
      </w:r>
      <w:r w:rsidR="00C7707F">
        <w:rPr>
          <w:rFonts w:ascii="Arial" w:hAnsi="Arial" w:cs="Arial"/>
        </w:rPr>
        <w:t>0</w:t>
      </w:r>
    </w:p>
    <w:p w14:paraId="04F05A43" w14:textId="77777777" w:rsidR="009E4874" w:rsidRPr="00522F77" w:rsidRDefault="009E4874" w:rsidP="00522F77">
      <w:pPr>
        <w:spacing w:after="0" w:line="240" w:lineRule="auto"/>
        <w:jc w:val="both"/>
        <w:rPr>
          <w:rFonts w:ascii="Arial" w:hAnsi="Arial" w:cs="Arial"/>
        </w:rPr>
      </w:pPr>
    </w:p>
    <w:p w14:paraId="1780282D" w14:textId="538D8627" w:rsidR="00B77C4E" w:rsidRPr="00522F77" w:rsidRDefault="00C10986" w:rsidP="00522F77">
      <w:pPr>
        <w:spacing w:after="0" w:line="240" w:lineRule="auto"/>
        <w:contextualSpacing/>
        <w:jc w:val="both"/>
        <w:rPr>
          <w:rFonts w:ascii="Arial" w:hAnsi="Arial" w:cs="Arial"/>
        </w:rPr>
      </w:pPr>
      <w:r w:rsidRPr="00522F77">
        <w:rPr>
          <w:rFonts w:ascii="Arial" w:hAnsi="Arial" w:cs="Arial"/>
        </w:rPr>
        <w:lastRenderedPageBreak/>
        <w:t>Teniendo en cuenta el ejercicio planteado en el presente numeral</w:t>
      </w:r>
      <w:r w:rsidR="00480EA0" w:rsidRPr="00522F77">
        <w:rPr>
          <w:rFonts w:ascii="Arial" w:hAnsi="Arial" w:cs="Arial"/>
        </w:rPr>
        <w:t xml:space="preserve">, </w:t>
      </w:r>
      <w:r w:rsidRPr="00522F77">
        <w:rPr>
          <w:rFonts w:ascii="Arial" w:hAnsi="Arial" w:cs="Arial"/>
        </w:rPr>
        <w:t xml:space="preserve">la Entidad estableció los indicadores como se muestran en los numerales a </w:t>
      </w:r>
      <w:r w:rsidR="00480EA0" w:rsidRPr="00522F77">
        <w:rPr>
          <w:rFonts w:ascii="Arial" w:hAnsi="Arial" w:cs="Arial"/>
        </w:rPr>
        <w:t>continuación</w:t>
      </w:r>
      <w:r w:rsidR="00AA34ED" w:rsidRPr="00522F77">
        <w:rPr>
          <w:rFonts w:ascii="Arial" w:hAnsi="Arial" w:cs="Arial"/>
        </w:rPr>
        <w:t>.</w:t>
      </w:r>
    </w:p>
    <w:p w14:paraId="6289CBC0" w14:textId="77777777" w:rsidR="002E1CAC" w:rsidRPr="00522F77" w:rsidRDefault="002E1CAC" w:rsidP="00522F77">
      <w:pPr>
        <w:spacing w:after="0" w:line="240" w:lineRule="auto"/>
        <w:contextualSpacing/>
        <w:jc w:val="both"/>
        <w:rPr>
          <w:rFonts w:ascii="Arial" w:hAnsi="Arial" w:cs="Arial"/>
          <w:b/>
          <w:bCs/>
        </w:rPr>
      </w:pPr>
    </w:p>
    <w:p w14:paraId="23DF28FD" w14:textId="77777777" w:rsidR="00A34816" w:rsidRPr="00522F77" w:rsidRDefault="00A34816" w:rsidP="00522F77">
      <w:pPr>
        <w:pStyle w:val="Prrafodelista"/>
        <w:numPr>
          <w:ilvl w:val="1"/>
          <w:numId w:val="16"/>
        </w:numPr>
        <w:spacing w:line="240" w:lineRule="auto"/>
        <w:ind w:left="567" w:hanging="567"/>
        <w:jc w:val="both"/>
        <w:rPr>
          <w:rFonts w:ascii="Arial" w:hAnsi="Arial" w:cs="Arial"/>
          <w:b/>
          <w:bCs/>
        </w:rPr>
      </w:pPr>
      <w:r w:rsidRPr="00522F77">
        <w:rPr>
          <w:rFonts w:ascii="Arial" w:hAnsi="Arial" w:cs="Arial"/>
          <w:b/>
          <w:bCs/>
        </w:rPr>
        <w:t>Capacidad financiera</w:t>
      </w:r>
    </w:p>
    <w:p w14:paraId="5BA0CF5F" w14:textId="77777777" w:rsidR="00A315A0" w:rsidRDefault="00A315A0" w:rsidP="00522F77">
      <w:pPr>
        <w:spacing w:after="0" w:line="240" w:lineRule="auto"/>
        <w:contextualSpacing/>
        <w:jc w:val="both"/>
        <w:rPr>
          <w:rFonts w:ascii="Arial" w:hAnsi="Arial" w:cs="Arial"/>
        </w:rPr>
      </w:pPr>
    </w:p>
    <w:p w14:paraId="43343533" w14:textId="5C023464" w:rsidR="00A34816" w:rsidRPr="00522F77" w:rsidRDefault="00A34816" w:rsidP="00522F77">
      <w:pPr>
        <w:spacing w:after="0" w:line="240" w:lineRule="auto"/>
        <w:contextualSpacing/>
        <w:jc w:val="both"/>
        <w:rPr>
          <w:rFonts w:ascii="Arial" w:hAnsi="Arial" w:cs="Arial"/>
        </w:rPr>
      </w:pPr>
      <w:r w:rsidRPr="00522F77">
        <w:rPr>
          <w:rFonts w:ascii="Arial" w:hAnsi="Arial" w:cs="Arial"/>
        </w:rPr>
        <w:t>Con el ánimo de propender por la pluralidad de oferentes, en desarrollo del presente proceso de selección y satisfacer la necesidad existente, la entidad considera adecuado solicitar los indicadores financieros que se relacionan a continuación con el fin de permitir la participación de las empresas del sector, sin que se perjudique la operación financiera en el desarrollo del futuro contrato, así:</w:t>
      </w:r>
    </w:p>
    <w:p w14:paraId="54B8BDD5" w14:textId="77777777" w:rsidR="00A34816" w:rsidRPr="00522F77" w:rsidRDefault="00A34816" w:rsidP="00522F77">
      <w:pPr>
        <w:spacing w:after="0" w:line="240" w:lineRule="auto"/>
        <w:contextualSpacing/>
        <w:jc w:val="both"/>
        <w:rPr>
          <w:rFonts w:ascii="Arial" w:hAnsi="Arial" w:cs="Arial"/>
        </w:rPr>
      </w:pPr>
    </w:p>
    <w:tbl>
      <w:tblPr>
        <w:tblW w:w="966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067"/>
        <w:gridCol w:w="1275"/>
        <w:gridCol w:w="1644"/>
        <w:gridCol w:w="4674"/>
      </w:tblGrid>
      <w:tr w:rsidR="00C10986" w:rsidRPr="00A315A0" w14:paraId="6EE5D718" w14:textId="77777777" w:rsidTr="00A315A0">
        <w:trPr>
          <w:trHeight w:val="19"/>
          <w:tblHeader/>
        </w:trPr>
        <w:tc>
          <w:tcPr>
            <w:tcW w:w="2067" w:type="dxa"/>
            <w:tcBorders>
              <w:top w:val="single" w:sz="4" w:space="0" w:color="auto"/>
              <w:left w:val="single" w:sz="4" w:space="0" w:color="auto"/>
              <w:bottom w:val="single" w:sz="4" w:space="0" w:color="auto"/>
              <w:right w:val="single" w:sz="4" w:space="0" w:color="auto"/>
            </w:tcBorders>
            <w:vAlign w:val="center"/>
            <w:hideMark/>
          </w:tcPr>
          <w:p w14:paraId="307C261B" w14:textId="77777777" w:rsidR="00C10986" w:rsidRPr="00A315A0" w:rsidRDefault="00C10986" w:rsidP="00522F77">
            <w:pPr>
              <w:spacing w:after="0" w:line="240" w:lineRule="auto"/>
              <w:ind w:right="72"/>
              <w:jc w:val="center"/>
              <w:rPr>
                <w:rFonts w:ascii="Arial" w:eastAsia="Times New Roman" w:hAnsi="Arial" w:cs="Arial"/>
                <w:b/>
                <w:bCs/>
                <w:sz w:val="20"/>
                <w:szCs w:val="20"/>
                <w:lang w:eastAsia="es-CO"/>
              </w:rPr>
            </w:pPr>
            <w:r w:rsidRPr="00A315A0">
              <w:rPr>
                <w:rFonts w:ascii="Arial" w:eastAsia="Times New Roman" w:hAnsi="Arial" w:cs="Arial"/>
                <w:b/>
                <w:bCs/>
                <w:sz w:val="20"/>
                <w:szCs w:val="20"/>
                <w:lang w:eastAsia="es-CO"/>
              </w:rPr>
              <w:t>INDICADOR</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5CE9F6B" w14:textId="77777777" w:rsidR="00C10986" w:rsidRPr="00A315A0" w:rsidRDefault="00C10986" w:rsidP="00522F77">
            <w:pPr>
              <w:spacing w:after="0" w:line="240" w:lineRule="auto"/>
              <w:jc w:val="center"/>
              <w:rPr>
                <w:rFonts w:ascii="Arial" w:eastAsia="Times New Roman" w:hAnsi="Arial" w:cs="Arial"/>
                <w:b/>
                <w:bCs/>
                <w:sz w:val="20"/>
                <w:szCs w:val="20"/>
                <w:lang w:eastAsia="es-CO"/>
              </w:rPr>
            </w:pPr>
            <w:r w:rsidRPr="00A315A0">
              <w:rPr>
                <w:rFonts w:ascii="Arial" w:eastAsia="Times New Roman" w:hAnsi="Arial" w:cs="Arial"/>
                <w:b/>
                <w:bCs/>
                <w:sz w:val="20"/>
                <w:szCs w:val="20"/>
                <w:lang w:eastAsia="es-CO"/>
              </w:rPr>
              <w:t>FORMULA</w:t>
            </w:r>
          </w:p>
        </w:tc>
        <w:tc>
          <w:tcPr>
            <w:tcW w:w="1644" w:type="dxa"/>
            <w:tcBorders>
              <w:top w:val="single" w:sz="4" w:space="0" w:color="auto"/>
              <w:left w:val="single" w:sz="4" w:space="0" w:color="auto"/>
              <w:bottom w:val="single" w:sz="4" w:space="0" w:color="auto"/>
              <w:right w:val="single" w:sz="4" w:space="0" w:color="auto"/>
            </w:tcBorders>
            <w:vAlign w:val="center"/>
            <w:hideMark/>
          </w:tcPr>
          <w:p w14:paraId="02C69BE6" w14:textId="77777777" w:rsidR="00C10986" w:rsidRPr="00A315A0" w:rsidRDefault="00C10986" w:rsidP="00522F77">
            <w:pPr>
              <w:spacing w:after="0" w:line="240" w:lineRule="auto"/>
              <w:ind w:right="72"/>
              <w:jc w:val="center"/>
              <w:rPr>
                <w:rFonts w:ascii="Arial" w:eastAsia="Times New Roman" w:hAnsi="Arial" w:cs="Arial"/>
                <w:b/>
                <w:bCs/>
                <w:sz w:val="20"/>
                <w:szCs w:val="20"/>
                <w:lang w:eastAsia="es-CO"/>
              </w:rPr>
            </w:pPr>
            <w:r w:rsidRPr="00A315A0">
              <w:rPr>
                <w:rFonts w:ascii="Arial" w:eastAsia="Times New Roman" w:hAnsi="Arial" w:cs="Arial"/>
                <w:b/>
                <w:bCs/>
                <w:sz w:val="20"/>
                <w:szCs w:val="20"/>
                <w:lang w:eastAsia="es-CO"/>
              </w:rPr>
              <w:t>MARGEN SOLICITADO</w:t>
            </w:r>
          </w:p>
        </w:tc>
        <w:tc>
          <w:tcPr>
            <w:tcW w:w="4674" w:type="dxa"/>
            <w:tcBorders>
              <w:top w:val="single" w:sz="4" w:space="0" w:color="auto"/>
              <w:left w:val="single" w:sz="4" w:space="0" w:color="auto"/>
              <w:bottom w:val="single" w:sz="4" w:space="0" w:color="auto"/>
              <w:right w:val="single" w:sz="4" w:space="0" w:color="auto"/>
            </w:tcBorders>
            <w:vAlign w:val="center"/>
            <w:hideMark/>
          </w:tcPr>
          <w:p w14:paraId="185779BC" w14:textId="77777777" w:rsidR="00C10986" w:rsidRPr="00A315A0" w:rsidRDefault="00C10986" w:rsidP="00522F77">
            <w:pPr>
              <w:spacing w:after="0" w:line="240" w:lineRule="auto"/>
              <w:ind w:right="72"/>
              <w:jc w:val="center"/>
              <w:rPr>
                <w:rFonts w:ascii="Arial" w:eastAsia="Times New Roman" w:hAnsi="Arial" w:cs="Arial"/>
                <w:b/>
                <w:bCs/>
                <w:sz w:val="20"/>
                <w:szCs w:val="20"/>
                <w:lang w:eastAsia="es-CO"/>
              </w:rPr>
            </w:pPr>
            <w:r w:rsidRPr="00A315A0">
              <w:rPr>
                <w:rFonts w:ascii="Arial" w:eastAsia="Times New Roman" w:hAnsi="Arial" w:cs="Arial"/>
                <w:b/>
                <w:bCs/>
                <w:sz w:val="20"/>
                <w:szCs w:val="20"/>
                <w:lang w:eastAsia="es-CO"/>
              </w:rPr>
              <w:t>ANALISIS DEL INDICADOR</w:t>
            </w:r>
          </w:p>
        </w:tc>
      </w:tr>
      <w:tr w:rsidR="00C10986" w:rsidRPr="00A315A0" w14:paraId="6FAE30FC" w14:textId="77777777" w:rsidTr="00A315A0">
        <w:trPr>
          <w:trHeight w:val="882"/>
        </w:trPr>
        <w:tc>
          <w:tcPr>
            <w:tcW w:w="2067" w:type="dxa"/>
            <w:tcBorders>
              <w:top w:val="single" w:sz="4" w:space="0" w:color="auto"/>
              <w:left w:val="single" w:sz="4" w:space="0" w:color="auto"/>
              <w:bottom w:val="single" w:sz="4" w:space="0" w:color="auto"/>
              <w:right w:val="single" w:sz="4" w:space="0" w:color="auto"/>
            </w:tcBorders>
            <w:vAlign w:val="center"/>
            <w:hideMark/>
          </w:tcPr>
          <w:p w14:paraId="0279B499" w14:textId="77777777" w:rsidR="00C10986" w:rsidRPr="00A315A0" w:rsidRDefault="00C10986" w:rsidP="00522F77">
            <w:pPr>
              <w:spacing w:after="0" w:line="240" w:lineRule="auto"/>
              <w:ind w:right="72"/>
              <w:jc w:val="center"/>
              <w:rPr>
                <w:rFonts w:ascii="Arial" w:eastAsia="Times New Roman" w:hAnsi="Arial" w:cs="Arial"/>
                <w:b/>
                <w:bCs/>
                <w:sz w:val="20"/>
                <w:szCs w:val="20"/>
                <w:lang w:eastAsia="es-CO"/>
              </w:rPr>
            </w:pPr>
            <w:r w:rsidRPr="00A315A0">
              <w:rPr>
                <w:rFonts w:ascii="Arial" w:eastAsia="Times New Roman" w:hAnsi="Arial" w:cs="Arial"/>
                <w:b/>
                <w:bCs/>
                <w:sz w:val="20"/>
                <w:szCs w:val="20"/>
                <w:lang w:eastAsia="es-CO"/>
              </w:rPr>
              <w:t>1. LIQUIDEZ</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212153F" w14:textId="77777777" w:rsidR="00C10986" w:rsidRPr="00A315A0" w:rsidRDefault="00C10986" w:rsidP="00522F77">
            <w:pPr>
              <w:spacing w:after="0" w:line="240" w:lineRule="auto"/>
              <w:jc w:val="center"/>
              <w:rPr>
                <w:rFonts w:ascii="Arial" w:eastAsia="Times New Roman" w:hAnsi="Arial" w:cs="Arial"/>
                <w:sz w:val="20"/>
                <w:szCs w:val="20"/>
                <w:lang w:eastAsia="es-CO"/>
              </w:rPr>
            </w:pPr>
            <w:r w:rsidRPr="00A315A0">
              <w:rPr>
                <w:rFonts w:ascii="Arial" w:eastAsia="Times New Roman" w:hAnsi="Arial" w:cs="Arial"/>
                <w:sz w:val="20"/>
                <w:szCs w:val="20"/>
                <w:lang w:eastAsia="es-CO"/>
              </w:rPr>
              <w:t>Activo Corriente/ Pasivo Corriente</w:t>
            </w:r>
          </w:p>
        </w:tc>
        <w:tc>
          <w:tcPr>
            <w:tcW w:w="1644" w:type="dxa"/>
            <w:tcBorders>
              <w:top w:val="single" w:sz="4" w:space="0" w:color="auto"/>
              <w:left w:val="single" w:sz="4" w:space="0" w:color="auto"/>
              <w:bottom w:val="single" w:sz="4" w:space="0" w:color="auto"/>
              <w:right w:val="single" w:sz="4" w:space="0" w:color="auto"/>
            </w:tcBorders>
            <w:vAlign w:val="center"/>
          </w:tcPr>
          <w:p w14:paraId="5AC5C630" w14:textId="65B78069" w:rsidR="00C10986" w:rsidRPr="00A315A0" w:rsidRDefault="00831E6D" w:rsidP="00522F77">
            <w:pPr>
              <w:spacing w:after="0" w:line="240" w:lineRule="auto"/>
              <w:ind w:right="72"/>
              <w:jc w:val="center"/>
              <w:rPr>
                <w:rFonts w:ascii="Arial" w:eastAsia="Times New Roman" w:hAnsi="Arial" w:cs="Arial"/>
                <w:sz w:val="20"/>
                <w:szCs w:val="20"/>
                <w:lang w:eastAsia="es-CO"/>
              </w:rPr>
            </w:pPr>
            <w:r w:rsidRPr="00A315A0">
              <w:rPr>
                <w:rFonts w:ascii="Arial" w:eastAsia="Times New Roman" w:hAnsi="Arial" w:cs="Arial"/>
                <w:sz w:val="20"/>
                <w:szCs w:val="20"/>
                <w:lang w:eastAsia="es-CO"/>
              </w:rPr>
              <w:t>≥</w:t>
            </w:r>
            <w:r w:rsidR="00C10986" w:rsidRPr="00A315A0">
              <w:rPr>
                <w:rFonts w:ascii="Arial" w:eastAsia="Times New Roman" w:hAnsi="Arial" w:cs="Arial"/>
                <w:sz w:val="20"/>
                <w:szCs w:val="20"/>
                <w:lang w:eastAsia="es-CO"/>
              </w:rPr>
              <w:t>1,1</w:t>
            </w:r>
          </w:p>
        </w:tc>
        <w:tc>
          <w:tcPr>
            <w:tcW w:w="4674" w:type="dxa"/>
            <w:tcBorders>
              <w:top w:val="single" w:sz="4" w:space="0" w:color="auto"/>
              <w:left w:val="single" w:sz="4" w:space="0" w:color="auto"/>
              <w:bottom w:val="single" w:sz="4" w:space="0" w:color="auto"/>
              <w:right w:val="single" w:sz="4" w:space="0" w:color="auto"/>
            </w:tcBorders>
            <w:vAlign w:val="center"/>
            <w:hideMark/>
          </w:tcPr>
          <w:p w14:paraId="70510809" w14:textId="77777777" w:rsidR="00C10986" w:rsidRPr="00A315A0" w:rsidRDefault="00C10986" w:rsidP="00522F77">
            <w:pPr>
              <w:spacing w:after="0" w:line="240" w:lineRule="auto"/>
              <w:ind w:right="72"/>
              <w:jc w:val="both"/>
              <w:rPr>
                <w:rFonts w:ascii="Arial" w:eastAsia="Times New Roman" w:hAnsi="Arial" w:cs="Arial"/>
                <w:sz w:val="20"/>
                <w:szCs w:val="20"/>
                <w:lang w:eastAsia="es-CO"/>
              </w:rPr>
            </w:pPr>
            <w:r w:rsidRPr="00A315A0">
              <w:rPr>
                <w:rFonts w:ascii="Arial" w:eastAsia="Times New Roman" w:hAnsi="Arial" w:cs="Arial"/>
                <w:sz w:val="20"/>
                <w:szCs w:val="20"/>
                <w:lang w:eastAsia="es-CO"/>
              </w:rPr>
              <w:t>Estas razones financieras, dentro de las cuales se incluyen la Capacidad de pago y el capital de trabajo, permiten analizar la liquidez del futuro contratista, y por ende la capacidad de generar efectivo para atender en forma oportuna las obligaciones contraídas.</w:t>
            </w:r>
          </w:p>
        </w:tc>
      </w:tr>
      <w:tr w:rsidR="00C10986" w:rsidRPr="00A315A0" w14:paraId="450D162E" w14:textId="77777777" w:rsidTr="00A315A0">
        <w:trPr>
          <w:trHeight w:val="19"/>
        </w:trPr>
        <w:tc>
          <w:tcPr>
            <w:tcW w:w="2067" w:type="dxa"/>
            <w:tcBorders>
              <w:top w:val="single" w:sz="4" w:space="0" w:color="auto"/>
              <w:left w:val="single" w:sz="4" w:space="0" w:color="auto"/>
              <w:bottom w:val="single" w:sz="4" w:space="0" w:color="auto"/>
              <w:right w:val="single" w:sz="4" w:space="0" w:color="auto"/>
            </w:tcBorders>
            <w:noWrap/>
            <w:vAlign w:val="center"/>
            <w:hideMark/>
          </w:tcPr>
          <w:p w14:paraId="089A2D29" w14:textId="77777777" w:rsidR="00C10986" w:rsidRPr="00A315A0" w:rsidRDefault="00C10986" w:rsidP="00522F77">
            <w:pPr>
              <w:spacing w:after="0" w:line="240" w:lineRule="auto"/>
              <w:ind w:right="72"/>
              <w:jc w:val="center"/>
              <w:rPr>
                <w:rFonts w:ascii="Arial" w:eastAsia="Times New Roman" w:hAnsi="Arial" w:cs="Arial"/>
                <w:b/>
                <w:bCs/>
                <w:sz w:val="20"/>
                <w:szCs w:val="20"/>
                <w:lang w:eastAsia="es-CO"/>
              </w:rPr>
            </w:pPr>
            <w:r w:rsidRPr="00A315A0">
              <w:rPr>
                <w:rFonts w:ascii="Arial" w:eastAsia="Times New Roman" w:hAnsi="Arial" w:cs="Arial"/>
                <w:b/>
                <w:bCs/>
                <w:sz w:val="20"/>
                <w:szCs w:val="20"/>
                <w:lang w:eastAsia="es-CO"/>
              </w:rPr>
              <w:t>2. NIVEL DE ENDEUDAMIENTO</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DC329E1" w14:textId="77777777" w:rsidR="00C10986" w:rsidRPr="00A315A0" w:rsidRDefault="00C10986" w:rsidP="00522F77">
            <w:pPr>
              <w:spacing w:after="0" w:line="240" w:lineRule="auto"/>
              <w:jc w:val="center"/>
              <w:rPr>
                <w:rFonts w:ascii="Arial" w:eastAsia="Times New Roman" w:hAnsi="Arial" w:cs="Arial"/>
                <w:sz w:val="20"/>
                <w:szCs w:val="20"/>
                <w:lang w:eastAsia="es-CO"/>
              </w:rPr>
            </w:pPr>
            <w:r w:rsidRPr="00A315A0">
              <w:rPr>
                <w:rFonts w:ascii="Arial" w:eastAsia="Times New Roman" w:hAnsi="Arial" w:cs="Arial"/>
                <w:sz w:val="20"/>
                <w:szCs w:val="20"/>
                <w:lang w:eastAsia="es-CO"/>
              </w:rPr>
              <w:t>Pasivo Total / Activo Total</w:t>
            </w:r>
          </w:p>
        </w:tc>
        <w:tc>
          <w:tcPr>
            <w:tcW w:w="1644" w:type="dxa"/>
            <w:tcBorders>
              <w:top w:val="single" w:sz="4" w:space="0" w:color="auto"/>
              <w:left w:val="single" w:sz="4" w:space="0" w:color="auto"/>
              <w:bottom w:val="single" w:sz="4" w:space="0" w:color="auto"/>
              <w:right w:val="single" w:sz="4" w:space="0" w:color="auto"/>
            </w:tcBorders>
            <w:vAlign w:val="center"/>
          </w:tcPr>
          <w:p w14:paraId="632A681D" w14:textId="550D7B0C" w:rsidR="00C10986" w:rsidRPr="00A315A0" w:rsidRDefault="00831E6D" w:rsidP="00522F77">
            <w:pPr>
              <w:spacing w:after="0" w:line="240" w:lineRule="auto"/>
              <w:ind w:right="72"/>
              <w:jc w:val="center"/>
              <w:rPr>
                <w:rFonts w:ascii="Arial" w:eastAsia="Times New Roman" w:hAnsi="Arial" w:cs="Arial"/>
                <w:sz w:val="20"/>
                <w:szCs w:val="20"/>
                <w:lang w:eastAsia="es-CO"/>
              </w:rPr>
            </w:pPr>
            <w:r w:rsidRPr="00A315A0">
              <w:rPr>
                <w:rFonts w:ascii="Arial" w:eastAsia="Times New Roman" w:hAnsi="Arial" w:cs="Arial"/>
                <w:sz w:val="20"/>
                <w:szCs w:val="20"/>
                <w:lang w:eastAsia="es-CO"/>
              </w:rPr>
              <w:t>≤</w:t>
            </w:r>
            <w:r w:rsidR="00C10986" w:rsidRPr="00A315A0">
              <w:rPr>
                <w:rFonts w:ascii="Arial" w:eastAsia="Times New Roman" w:hAnsi="Arial" w:cs="Arial"/>
                <w:sz w:val="20"/>
                <w:szCs w:val="20"/>
                <w:lang w:eastAsia="es-CO"/>
              </w:rPr>
              <w:t>70%</w:t>
            </w:r>
          </w:p>
        </w:tc>
        <w:tc>
          <w:tcPr>
            <w:tcW w:w="4674" w:type="dxa"/>
            <w:tcBorders>
              <w:top w:val="single" w:sz="4" w:space="0" w:color="auto"/>
              <w:left w:val="single" w:sz="4" w:space="0" w:color="auto"/>
              <w:bottom w:val="single" w:sz="4" w:space="0" w:color="auto"/>
              <w:right w:val="single" w:sz="4" w:space="0" w:color="auto"/>
            </w:tcBorders>
            <w:vAlign w:val="center"/>
            <w:hideMark/>
          </w:tcPr>
          <w:p w14:paraId="6CE91665" w14:textId="77777777" w:rsidR="00C10986" w:rsidRPr="00A315A0" w:rsidRDefault="00C10986" w:rsidP="00522F77">
            <w:pPr>
              <w:spacing w:after="0" w:line="240" w:lineRule="auto"/>
              <w:ind w:right="72"/>
              <w:jc w:val="both"/>
              <w:rPr>
                <w:rFonts w:ascii="Arial" w:eastAsia="Times New Roman" w:hAnsi="Arial" w:cs="Arial"/>
                <w:sz w:val="20"/>
                <w:szCs w:val="20"/>
                <w:lang w:eastAsia="es-CO"/>
              </w:rPr>
            </w:pPr>
            <w:r w:rsidRPr="00A315A0">
              <w:rPr>
                <w:rFonts w:ascii="Arial" w:eastAsia="Times New Roman" w:hAnsi="Arial" w:cs="Arial"/>
                <w:sz w:val="20"/>
                <w:szCs w:val="20"/>
                <w:lang w:eastAsia="es-CO"/>
              </w:rPr>
              <w:t>Nos permite establecer el nivel de endeudamiento de la empresa, estableciendo la participación de los acreedores sobre los activos de la empresa; si la entidad refleja un indicador muy alto representara que tiene comprometida la mayoría de sus activos y el margen de manejo será bajo para atender de manera eficiente el desarrollo del contrato.</w:t>
            </w:r>
          </w:p>
        </w:tc>
      </w:tr>
      <w:tr w:rsidR="00C10986" w:rsidRPr="00A315A0" w14:paraId="7E323562" w14:textId="77777777" w:rsidTr="00A315A0">
        <w:trPr>
          <w:trHeight w:val="19"/>
        </w:trPr>
        <w:tc>
          <w:tcPr>
            <w:tcW w:w="2067" w:type="dxa"/>
            <w:tcBorders>
              <w:top w:val="single" w:sz="4" w:space="0" w:color="auto"/>
              <w:left w:val="single" w:sz="4" w:space="0" w:color="auto"/>
              <w:bottom w:val="single" w:sz="4" w:space="0" w:color="auto"/>
              <w:right w:val="single" w:sz="4" w:space="0" w:color="auto"/>
            </w:tcBorders>
            <w:vAlign w:val="center"/>
            <w:hideMark/>
          </w:tcPr>
          <w:p w14:paraId="2218B55C" w14:textId="77777777" w:rsidR="00C10986" w:rsidRPr="00A315A0" w:rsidRDefault="00C10986" w:rsidP="00522F77">
            <w:pPr>
              <w:spacing w:after="0" w:line="240" w:lineRule="auto"/>
              <w:ind w:right="72"/>
              <w:jc w:val="center"/>
              <w:rPr>
                <w:rFonts w:ascii="Arial" w:eastAsia="Times New Roman" w:hAnsi="Arial" w:cs="Arial"/>
                <w:b/>
                <w:bCs/>
                <w:sz w:val="20"/>
                <w:szCs w:val="20"/>
                <w:lang w:eastAsia="es-CO"/>
              </w:rPr>
            </w:pPr>
            <w:r w:rsidRPr="00A315A0">
              <w:rPr>
                <w:rFonts w:ascii="Arial" w:eastAsia="Times New Roman" w:hAnsi="Arial" w:cs="Arial"/>
                <w:b/>
                <w:bCs/>
                <w:sz w:val="20"/>
                <w:szCs w:val="20"/>
                <w:lang w:eastAsia="es-CO"/>
              </w:rPr>
              <w:t>3.COBERTURA DE INTERESES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8F24B50" w14:textId="77777777" w:rsidR="00C10986" w:rsidRPr="00A315A0" w:rsidRDefault="00C10986" w:rsidP="00522F77">
            <w:pPr>
              <w:spacing w:after="0" w:line="240" w:lineRule="auto"/>
              <w:jc w:val="center"/>
              <w:rPr>
                <w:rFonts w:ascii="Arial" w:eastAsia="Times New Roman" w:hAnsi="Arial" w:cs="Arial"/>
                <w:sz w:val="20"/>
                <w:szCs w:val="20"/>
                <w:lang w:eastAsia="es-CO"/>
              </w:rPr>
            </w:pPr>
            <w:r w:rsidRPr="00A315A0">
              <w:rPr>
                <w:rFonts w:ascii="Arial" w:eastAsia="Times New Roman" w:hAnsi="Arial" w:cs="Arial"/>
                <w:sz w:val="20"/>
                <w:szCs w:val="20"/>
                <w:lang w:eastAsia="es-CO"/>
              </w:rPr>
              <w:t>Utilidad Operacional / Gastos Financieros</w:t>
            </w:r>
          </w:p>
        </w:tc>
        <w:tc>
          <w:tcPr>
            <w:tcW w:w="1644" w:type="dxa"/>
            <w:tcBorders>
              <w:top w:val="single" w:sz="4" w:space="0" w:color="auto"/>
              <w:left w:val="single" w:sz="4" w:space="0" w:color="auto"/>
              <w:bottom w:val="single" w:sz="4" w:space="0" w:color="auto"/>
              <w:right w:val="single" w:sz="4" w:space="0" w:color="auto"/>
            </w:tcBorders>
            <w:vAlign w:val="center"/>
          </w:tcPr>
          <w:p w14:paraId="723FFB13" w14:textId="38DD5F4D" w:rsidR="00C10986" w:rsidRPr="00A315A0" w:rsidRDefault="00831E6D" w:rsidP="00522F77">
            <w:pPr>
              <w:spacing w:after="0" w:line="240" w:lineRule="auto"/>
              <w:ind w:right="72"/>
              <w:jc w:val="center"/>
              <w:rPr>
                <w:rFonts w:ascii="Arial" w:eastAsia="Times New Roman" w:hAnsi="Arial" w:cs="Arial"/>
                <w:sz w:val="20"/>
                <w:szCs w:val="20"/>
                <w:lang w:eastAsia="es-CO"/>
              </w:rPr>
            </w:pPr>
            <w:r w:rsidRPr="00A315A0">
              <w:rPr>
                <w:rFonts w:ascii="Arial" w:eastAsia="Times New Roman" w:hAnsi="Arial" w:cs="Arial"/>
                <w:sz w:val="20"/>
                <w:szCs w:val="20"/>
                <w:lang w:eastAsia="es-CO"/>
              </w:rPr>
              <w:t>≥</w:t>
            </w:r>
            <w:r w:rsidR="00C10986" w:rsidRPr="00A315A0">
              <w:rPr>
                <w:rFonts w:ascii="Arial" w:eastAsia="Times New Roman" w:hAnsi="Arial" w:cs="Arial"/>
                <w:sz w:val="20"/>
                <w:szCs w:val="20"/>
                <w:lang w:eastAsia="es-CO"/>
              </w:rPr>
              <w:t>1,</w:t>
            </w:r>
            <w:r w:rsidR="00EA674A" w:rsidRPr="00A315A0">
              <w:rPr>
                <w:rFonts w:ascii="Arial" w:eastAsia="Times New Roman" w:hAnsi="Arial" w:cs="Arial"/>
                <w:sz w:val="20"/>
                <w:szCs w:val="20"/>
                <w:lang w:eastAsia="es-CO"/>
              </w:rPr>
              <w:t>2</w:t>
            </w:r>
          </w:p>
        </w:tc>
        <w:tc>
          <w:tcPr>
            <w:tcW w:w="4674" w:type="dxa"/>
            <w:tcBorders>
              <w:top w:val="single" w:sz="4" w:space="0" w:color="auto"/>
              <w:left w:val="single" w:sz="4" w:space="0" w:color="auto"/>
              <w:bottom w:val="single" w:sz="4" w:space="0" w:color="auto"/>
              <w:right w:val="single" w:sz="4" w:space="0" w:color="auto"/>
            </w:tcBorders>
            <w:vAlign w:val="center"/>
            <w:hideMark/>
          </w:tcPr>
          <w:p w14:paraId="1B8FFEE4" w14:textId="77777777" w:rsidR="00C10986" w:rsidRPr="00A315A0" w:rsidRDefault="00C10986" w:rsidP="00522F77">
            <w:pPr>
              <w:spacing w:after="0" w:line="240" w:lineRule="auto"/>
              <w:ind w:right="72"/>
              <w:jc w:val="both"/>
              <w:rPr>
                <w:rFonts w:ascii="Arial" w:eastAsia="Times New Roman" w:hAnsi="Arial" w:cs="Arial"/>
                <w:sz w:val="20"/>
                <w:szCs w:val="20"/>
                <w:lang w:eastAsia="es-CO"/>
              </w:rPr>
            </w:pPr>
            <w:r w:rsidRPr="00A315A0">
              <w:rPr>
                <w:rFonts w:ascii="Arial" w:eastAsia="Times New Roman" w:hAnsi="Arial" w:cs="Arial"/>
                <w:sz w:val="20"/>
                <w:szCs w:val="20"/>
                <w:lang w:eastAsia="es-CO"/>
              </w:rPr>
              <w:t>Refleja la capacidad del proponente para cumplir con obligaciones financieras, a mayor cobertura de intereses, menor la probabilidad de que incumpla con sus obligaciones financieras, representa el número de veces que la utilidad operacional cubre los gastos financieros.</w:t>
            </w:r>
          </w:p>
        </w:tc>
      </w:tr>
      <w:tr w:rsidR="00C10986" w:rsidRPr="00A315A0" w14:paraId="0121105E" w14:textId="77777777" w:rsidTr="00A315A0">
        <w:trPr>
          <w:trHeight w:val="19"/>
        </w:trPr>
        <w:tc>
          <w:tcPr>
            <w:tcW w:w="2067" w:type="dxa"/>
            <w:tcBorders>
              <w:top w:val="single" w:sz="4" w:space="0" w:color="auto"/>
              <w:left w:val="single" w:sz="4" w:space="0" w:color="auto"/>
              <w:bottom w:val="single" w:sz="4" w:space="0" w:color="auto"/>
              <w:right w:val="single" w:sz="4" w:space="0" w:color="auto"/>
            </w:tcBorders>
            <w:vAlign w:val="center"/>
            <w:hideMark/>
          </w:tcPr>
          <w:p w14:paraId="6736F885" w14:textId="77777777" w:rsidR="00C10986" w:rsidRPr="00A315A0" w:rsidRDefault="00C10986" w:rsidP="00522F77">
            <w:pPr>
              <w:spacing w:after="0" w:line="240" w:lineRule="auto"/>
              <w:ind w:right="72"/>
              <w:jc w:val="center"/>
              <w:rPr>
                <w:rFonts w:ascii="Arial" w:eastAsia="Times New Roman" w:hAnsi="Arial" w:cs="Arial"/>
                <w:b/>
                <w:bCs/>
                <w:sz w:val="20"/>
                <w:szCs w:val="20"/>
                <w:lang w:eastAsia="es-CO"/>
              </w:rPr>
            </w:pPr>
            <w:r w:rsidRPr="00A315A0">
              <w:rPr>
                <w:rFonts w:ascii="Arial" w:eastAsia="Times New Roman" w:hAnsi="Arial" w:cs="Arial"/>
                <w:b/>
                <w:bCs/>
                <w:sz w:val="20"/>
                <w:szCs w:val="20"/>
                <w:lang w:eastAsia="es-CO"/>
              </w:rPr>
              <w:t>4.CAPITAL DE TRABAJO</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2E8F356" w14:textId="77777777" w:rsidR="00C10986" w:rsidRPr="00A315A0" w:rsidRDefault="00C10986" w:rsidP="00522F77">
            <w:pPr>
              <w:spacing w:after="0" w:line="240" w:lineRule="auto"/>
              <w:jc w:val="center"/>
              <w:rPr>
                <w:rFonts w:ascii="Arial" w:eastAsia="Times New Roman" w:hAnsi="Arial" w:cs="Arial"/>
                <w:sz w:val="20"/>
                <w:szCs w:val="20"/>
                <w:lang w:eastAsia="es-CO"/>
              </w:rPr>
            </w:pPr>
            <w:r w:rsidRPr="00A315A0">
              <w:rPr>
                <w:rFonts w:ascii="Arial" w:eastAsia="Times New Roman" w:hAnsi="Arial" w:cs="Arial"/>
                <w:sz w:val="20"/>
                <w:szCs w:val="20"/>
                <w:lang w:eastAsia="es-CO"/>
              </w:rPr>
              <w:t>Activo Corriente - Pasivo corriente</w:t>
            </w:r>
          </w:p>
        </w:tc>
        <w:tc>
          <w:tcPr>
            <w:tcW w:w="1644" w:type="dxa"/>
            <w:tcBorders>
              <w:top w:val="single" w:sz="4" w:space="0" w:color="auto"/>
              <w:left w:val="single" w:sz="4" w:space="0" w:color="auto"/>
              <w:bottom w:val="single" w:sz="4" w:space="0" w:color="auto"/>
              <w:right w:val="single" w:sz="4" w:space="0" w:color="auto"/>
            </w:tcBorders>
            <w:vAlign w:val="center"/>
          </w:tcPr>
          <w:p w14:paraId="7DCC0F18" w14:textId="356866E5" w:rsidR="00C10986" w:rsidRPr="00A315A0" w:rsidRDefault="00831E6D" w:rsidP="00522F77">
            <w:pPr>
              <w:spacing w:after="0" w:line="240" w:lineRule="auto"/>
              <w:ind w:right="72"/>
              <w:jc w:val="center"/>
              <w:rPr>
                <w:rFonts w:ascii="Arial" w:eastAsia="Times New Roman" w:hAnsi="Arial" w:cs="Arial"/>
                <w:sz w:val="20"/>
                <w:szCs w:val="20"/>
                <w:lang w:eastAsia="es-CO"/>
              </w:rPr>
            </w:pPr>
            <w:r w:rsidRPr="00A315A0">
              <w:rPr>
                <w:rFonts w:ascii="Arial" w:eastAsia="Times New Roman" w:hAnsi="Arial" w:cs="Arial"/>
                <w:sz w:val="20"/>
                <w:szCs w:val="20"/>
                <w:lang w:eastAsia="es-CO"/>
              </w:rPr>
              <w:t>≥</w:t>
            </w:r>
            <w:r w:rsidR="002E6E86">
              <w:rPr>
                <w:rFonts w:ascii="Arial" w:eastAsia="Times New Roman" w:hAnsi="Arial" w:cs="Arial"/>
                <w:sz w:val="20"/>
                <w:szCs w:val="20"/>
                <w:lang w:eastAsia="es-CO"/>
              </w:rPr>
              <w:t>30</w:t>
            </w:r>
            <w:r w:rsidR="00C10986" w:rsidRPr="00A315A0">
              <w:rPr>
                <w:rFonts w:ascii="Arial" w:eastAsia="Times New Roman" w:hAnsi="Arial" w:cs="Arial"/>
                <w:sz w:val="20"/>
                <w:szCs w:val="20"/>
                <w:lang w:eastAsia="es-CO"/>
              </w:rPr>
              <w:t>% del Presupuesto Oficial</w:t>
            </w:r>
          </w:p>
        </w:tc>
        <w:tc>
          <w:tcPr>
            <w:tcW w:w="4674" w:type="dxa"/>
            <w:tcBorders>
              <w:top w:val="single" w:sz="4" w:space="0" w:color="auto"/>
              <w:left w:val="single" w:sz="4" w:space="0" w:color="auto"/>
              <w:bottom w:val="single" w:sz="4" w:space="0" w:color="auto"/>
              <w:right w:val="single" w:sz="4" w:space="0" w:color="auto"/>
            </w:tcBorders>
            <w:vAlign w:val="center"/>
            <w:hideMark/>
          </w:tcPr>
          <w:p w14:paraId="186BF84B" w14:textId="77777777" w:rsidR="00C10986" w:rsidRPr="00A315A0" w:rsidRDefault="00C10986" w:rsidP="00522F77">
            <w:pPr>
              <w:spacing w:after="0" w:line="240" w:lineRule="auto"/>
              <w:ind w:right="72"/>
              <w:jc w:val="both"/>
              <w:rPr>
                <w:rFonts w:ascii="Arial" w:eastAsia="Times New Roman" w:hAnsi="Arial" w:cs="Arial"/>
                <w:sz w:val="20"/>
                <w:szCs w:val="20"/>
                <w:lang w:eastAsia="es-CO"/>
              </w:rPr>
            </w:pPr>
            <w:r w:rsidRPr="00A315A0">
              <w:rPr>
                <w:rFonts w:ascii="Arial" w:hAnsi="Arial" w:cs="Arial"/>
                <w:color w:val="000000"/>
                <w:sz w:val="20"/>
                <w:szCs w:val="20"/>
                <w:lang w:eastAsia="es-CO"/>
              </w:rPr>
              <w:t>Este indicador representa la liquidez operativa del proponente, es decir el remanente del proponente luego de liquidar sus activos corrientes (convertirlos en efectivo) y pagar el pasivo de corto plazo.</w:t>
            </w:r>
          </w:p>
        </w:tc>
      </w:tr>
      <w:tr w:rsidR="00C10986" w:rsidRPr="00A315A0" w14:paraId="2F77A9C9" w14:textId="77777777" w:rsidTr="00A315A0">
        <w:trPr>
          <w:trHeight w:val="19"/>
        </w:trPr>
        <w:tc>
          <w:tcPr>
            <w:tcW w:w="2067" w:type="dxa"/>
            <w:tcBorders>
              <w:top w:val="single" w:sz="4" w:space="0" w:color="auto"/>
              <w:left w:val="single" w:sz="4" w:space="0" w:color="auto"/>
              <w:bottom w:val="single" w:sz="4" w:space="0" w:color="auto"/>
              <w:right w:val="single" w:sz="4" w:space="0" w:color="auto"/>
            </w:tcBorders>
            <w:vAlign w:val="center"/>
            <w:hideMark/>
          </w:tcPr>
          <w:p w14:paraId="6C7DA5AF" w14:textId="77777777" w:rsidR="00C10986" w:rsidRPr="00A315A0" w:rsidRDefault="00C10986" w:rsidP="00522F77">
            <w:pPr>
              <w:spacing w:after="0" w:line="240" w:lineRule="auto"/>
              <w:ind w:right="72"/>
              <w:jc w:val="center"/>
              <w:rPr>
                <w:rFonts w:ascii="Arial" w:eastAsia="Times New Roman" w:hAnsi="Arial" w:cs="Arial"/>
                <w:b/>
                <w:bCs/>
                <w:sz w:val="20"/>
                <w:szCs w:val="20"/>
                <w:lang w:eastAsia="es-CO"/>
              </w:rPr>
            </w:pPr>
            <w:r w:rsidRPr="00A315A0">
              <w:rPr>
                <w:rFonts w:ascii="Arial" w:eastAsia="Times New Roman" w:hAnsi="Arial" w:cs="Arial"/>
                <w:b/>
                <w:bCs/>
                <w:sz w:val="20"/>
                <w:szCs w:val="20"/>
                <w:lang w:eastAsia="es-CO"/>
              </w:rPr>
              <w:t>5.PATRIMONIO</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B4A2BFA" w14:textId="77777777" w:rsidR="00C10986" w:rsidRPr="00A315A0" w:rsidRDefault="00C10986" w:rsidP="00522F77">
            <w:pPr>
              <w:spacing w:after="0" w:line="240" w:lineRule="auto"/>
              <w:jc w:val="center"/>
              <w:rPr>
                <w:rFonts w:ascii="Arial" w:eastAsia="Times New Roman" w:hAnsi="Arial" w:cs="Arial"/>
                <w:sz w:val="20"/>
                <w:szCs w:val="20"/>
                <w:lang w:eastAsia="es-CO"/>
              </w:rPr>
            </w:pPr>
            <w:r w:rsidRPr="00A315A0">
              <w:rPr>
                <w:rFonts w:ascii="Arial" w:eastAsia="Times New Roman" w:hAnsi="Arial" w:cs="Arial"/>
                <w:sz w:val="20"/>
                <w:szCs w:val="20"/>
                <w:lang w:eastAsia="es-CO"/>
              </w:rPr>
              <w:t>Activo Total - Pasivo Total</w:t>
            </w:r>
          </w:p>
        </w:tc>
        <w:tc>
          <w:tcPr>
            <w:tcW w:w="1644" w:type="dxa"/>
            <w:tcBorders>
              <w:top w:val="single" w:sz="4" w:space="0" w:color="auto"/>
              <w:left w:val="single" w:sz="4" w:space="0" w:color="auto"/>
              <w:bottom w:val="single" w:sz="4" w:space="0" w:color="auto"/>
              <w:right w:val="single" w:sz="4" w:space="0" w:color="auto"/>
            </w:tcBorders>
            <w:vAlign w:val="center"/>
            <w:hideMark/>
          </w:tcPr>
          <w:p w14:paraId="5785EF82" w14:textId="531E2BC9" w:rsidR="00C10986" w:rsidRPr="00A315A0" w:rsidRDefault="00831E6D" w:rsidP="00522F77">
            <w:pPr>
              <w:spacing w:after="0" w:line="240" w:lineRule="auto"/>
              <w:ind w:right="72"/>
              <w:jc w:val="center"/>
              <w:rPr>
                <w:rFonts w:ascii="Arial" w:eastAsia="Times New Roman" w:hAnsi="Arial" w:cs="Arial"/>
                <w:sz w:val="20"/>
                <w:szCs w:val="20"/>
                <w:lang w:eastAsia="es-CO"/>
              </w:rPr>
            </w:pPr>
            <w:r w:rsidRPr="00A315A0">
              <w:rPr>
                <w:rFonts w:ascii="Arial" w:eastAsia="Times New Roman" w:hAnsi="Arial" w:cs="Arial"/>
                <w:sz w:val="20"/>
                <w:szCs w:val="20"/>
                <w:lang w:eastAsia="es-CO"/>
              </w:rPr>
              <w:t>≥</w:t>
            </w:r>
            <w:r w:rsidR="00C10986" w:rsidRPr="00A315A0">
              <w:rPr>
                <w:rFonts w:ascii="Arial" w:eastAsia="Times New Roman" w:hAnsi="Arial" w:cs="Arial"/>
                <w:sz w:val="20"/>
                <w:szCs w:val="20"/>
                <w:lang w:eastAsia="es-CO"/>
              </w:rPr>
              <w:t>30% del Presupuesto Oficial</w:t>
            </w:r>
          </w:p>
        </w:tc>
        <w:tc>
          <w:tcPr>
            <w:tcW w:w="4674" w:type="dxa"/>
            <w:tcBorders>
              <w:top w:val="single" w:sz="4" w:space="0" w:color="auto"/>
              <w:left w:val="single" w:sz="4" w:space="0" w:color="auto"/>
              <w:bottom w:val="single" w:sz="4" w:space="0" w:color="auto"/>
              <w:right w:val="single" w:sz="4" w:space="0" w:color="auto"/>
            </w:tcBorders>
            <w:vAlign w:val="center"/>
            <w:hideMark/>
          </w:tcPr>
          <w:p w14:paraId="48423853" w14:textId="77777777" w:rsidR="00C10986" w:rsidRPr="00A315A0" w:rsidRDefault="00C10986" w:rsidP="00522F77">
            <w:pPr>
              <w:spacing w:after="0" w:line="240" w:lineRule="auto"/>
              <w:ind w:right="72"/>
              <w:jc w:val="both"/>
              <w:rPr>
                <w:rFonts w:ascii="Arial" w:eastAsia="Times New Roman" w:hAnsi="Arial" w:cs="Arial"/>
                <w:sz w:val="20"/>
                <w:szCs w:val="20"/>
                <w:lang w:eastAsia="es-CO"/>
              </w:rPr>
            </w:pPr>
            <w:r w:rsidRPr="00A315A0">
              <w:rPr>
                <w:rFonts w:ascii="Arial" w:hAnsi="Arial" w:cs="Arial"/>
                <w:color w:val="000000"/>
                <w:sz w:val="20"/>
                <w:szCs w:val="20"/>
                <w:lang w:eastAsia="es-CO"/>
              </w:rPr>
              <w:t>Mide la cantidad de recursos propios del proponente.</w:t>
            </w:r>
          </w:p>
        </w:tc>
      </w:tr>
    </w:tbl>
    <w:p w14:paraId="3A5BB750" w14:textId="77777777" w:rsidR="00C10986" w:rsidRPr="00522F77" w:rsidRDefault="00C10986" w:rsidP="00522F77">
      <w:pPr>
        <w:spacing w:after="0" w:line="240" w:lineRule="auto"/>
        <w:contextualSpacing/>
        <w:jc w:val="both"/>
        <w:rPr>
          <w:rFonts w:ascii="Arial" w:hAnsi="Arial" w:cs="Arial"/>
        </w:rPr>
      </w:pPr>
    </w:p>
    <w:p w14:paraId="214414E1" w14:textId="1859CEB4" w:rsidR="009E4874" w:rsidRPr="00522F77" w:rsidRDefault="00A34816" w:rsidP="00522F77">
      <w:pPr>
        <w:spacing w:after="0" w:line="240" w:lineRule="auto"/>
        <w:contextualSpacing/>
        <w:jc w:val="both"/>
        <w:rPr>
          <w:rFonts w:ascii="Arial" w:hAnsi="Arial" w:cs="Arial"/>
        </w:rPr>
      </w:pPr>
      <w:r w:rsidRPr="00522F77">
        <w:rPr>
          <w:rFonts w:ascii="Arial" w:hAnsi="Arial" w:cs="Arial"/>
        </w:rPr>
        <w:t>NOTA: Los proponentes cuyos gastos de intereses sean cero (0), no podrán calcular el indicador de razón de cobertura de intereses. En este caso el proponente CUMPLE el indicador, salvo que su utilidad operacional sea negativa, caso en el cual NO CUMPLE con el indicador de razón de cobertura de intereses.</w:t>
      </w:r>
    </w:p>
    <w:p w14:paraId="1C5838A1" w14:textId="77777777" w:rsidR="00A34816" w:rsidRPr="00522F77" w:rsidRDefault="00A34816" w:rsidP="00522F77">
      <w:pPr>
        <w:spacing w:after="0" w:line="240" w:lineRule="auto"/>
        <w:contextualSpacing/>
        <w:jc w:val="both"/>
        <w:rPr>
          <w:rFonts w:ascii="Arial" w:hAnsi="Arial" w:cs="Arial"/>
          <w:b/>
          <w:bCs/>
        </w:rPr>
      </w:pPr>
    </w:p>
    <w:p w14:paraId="7F813D0B" w14:textId="7BF86C1F" w:rsidR="00A34816" w:rsidRPr="00522F77" w:rsidRDefault="006C1EED" w:rsidP="00522F77">
      <w:pPr>
        <w:pStyle w:val="Prrafodelista"/>
        <w:numPr>
          <w:ilvl w:val="1"/>
          <w:numId w:val="16"/>
        </w:numPr>
        <w:spacing w:line="240" w:lineRule="auto"/>
        <w:ind w:left="567" w:hanging="567"/>
        <w:jc w:val="both"/>
        <w:rPr>
          <w:rFonts w:ascii="Arial" w:hAnsi="Arial" w:cs="Arial"/>
          <w:b/>
          <w:bCs/>
        </w:rPr>
      </w:pPr>
      <w:r w:rsidRPr="00522F77">
        <w:rPr>
          <w:rFonts w:ascii="Arial" w:hAnsi="Arial" w:cs="Arial"/>
          <w:b/>
          <w:bCs/>
        </w:rPr>
        <w:t>CAPACIDAD ORGANIZACIONAL</w:t>
      </w:r>
    </w:p>
    <w:p w14:paraId="1C0FD6EB" w14:textId="77777777" w:rsidR="00A34816" w:rsidRPr="00522F77" w:rsidRDefault="00A34816" w:rsidP="00522F77">
      <w:pPr>
        <w:spacing w:after="0" w:line="240" w:lineRule="auto"/>
        <w:contextualSpacing/>
        <w:jc w:val="both"/>
        <w:rPr>
          <w:rFonts w:ascii="Arial" w:hAnsi="Arial" w:cs="Arial"/>
        </w:rPr>
      </w:pPr>
    </w:p>
    <w:p w14:paraId="26B4BC08" w14:textId="77777777" w:rsidR="00A34816" w:rsidRPr="00522F77" w:rsidRDefault="00A34816" w:rsidP="00522F77">
      <w:pPr>
        <w:spacing w:after="0" w:line="240" w:lineRule="auto"/>
        <w:contextualSpacing/>
        <w:jc w:val="both"/>
        <w:rPr>
          <w:rFonts w:ascii="Arial" w:hAnsi="Arial" w:cs="Arial"/>
        </w:rPr>
      </w:pPr>
      <w:r w:rsidRPr="00522F77">
        <w:rPr>
          <w:rFonts w:ascii="Arial" w:hAnsi="Arial" w:cs="Arial"/>
        </w:rPr>
        <w:t>En cumplimiento de lo dispuesto en el artículo 2.2.1.1.1.5.3 del Decreto 1082 de 2015 y para medir el rendimiento de las inversiones y la eficiencia en el uso de activos del interesado, quienes aspiren presentar oferta en el presente proceso de selección, deberán acreditar el cumplimiento de los indicadores que se describen a continuación.</w:t>
      </w:r>
    </w:p>
    <w:p w14:paraId="7E9E3D65" w14:textId="77777777" w:rsidR="00A34816" w:rsidRPr="00522F77" w:rsidRDefault="00A34816" w:rsidP="00522F77">
      <w:pPr>
        <w:spacing w:after="0" w:line="240" w:lineRule="auto"/>
        <w:contextualSpacing/>
        <w:jc w:val="both"/>
        <w:rPr>
          <w:rFonts w:ascii="Arial" w:hAnsi="Arial" w:cs="Arial"/>
        </w:rPr>
      </w:pPr>
    </w:p>
    <w:p w14:paraId="17A63844" w14:textId="77777777" w:rsidR="00A34816" w:rsidRPr="00522F77" w:rsidRDefault="00A34816" w:rsidP="00522F77">
      <w:pPr>
        <w:spacing w:after="0" w:line="240" w:lineRule="auto"/>
        <w:contextualSpacing/>
        <w:jc w:val="both"/>
        <w:rPr>
          <w:rFonts w:ascii="Arial" w:hAnsi="Arial" w:cs="Arial"/>
        </w:rPr>
      </w:pPr>
      <w:r w:rsidRPr="00522F77">
        <w:rPr>
          <w:rFonts w:ascii="Arial" w:hAnsi="Arial" w:cs="Arial"/>
        </w:rPr>
        <w:lastRenderedPageBreak/>
        <w:t>La capacidad de Organización de los proponentes se verificará de la información actualizada, vigente y en firme contenida en el certificado de Registro Único de Proponentes (RUP), con corte a 31 de diciembre de 2018, para lo cual se presentan a continuación:</w:t>
      </w:r>
    </w:p>
    <w:p w14:paraId="5EC943D2" w14:textId="77777777" w:rsidR="00A34816" w:rsidRPr="00522F77" w:rsidRDefault="00A34816" w:rsidP="00522F77">
      <w:pPr>
        <w:spacing w:after="0" w:line="240" w:lineRule="auto"/>
        <w:contextualSpacing/>
        <w:jc w:val="both"/>
        <w:rPr>
          <w:rFonts w:ascii="Arial" w:hAnsi="Arial" w:cs="Arial"/>
        </w:rPr>
      </w:pPr>
    </w:p>
    <w:tbl>
      <w:tblPr>
        <w:tblW w:w="9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16"/>
        <w:gridCol w:w="1295"/>
        <w:gridCol w:w="2090"/>
        <w:gridCol w:w="4614"/>
      </w:tblGrid>
      <w:tr w:rsidR="00C10986" w:rsidRPr="00A315A0" w14:paraId="0575FEAC" w14:textId="77777777" w:rsidTr="00A315A0">
        <w:trPr>
          <w:trHeight w:val="268"/>
        </w:trPr>
        <w:tc>
          <w:tcPr>
            <w:tcW w:w="1716" w:type="dxa"/>
            <w:shd w:val="clear" w:color="auto" w:fill="auto"/>
            <w:vAlign w:val="center"/>
          </w:tcPr>
          <w:p w14:paraId="35DBDBC1" w14:textId="77777777" w:rsidR="00C10986" w:rsidRPr="00A315A0" w:rsidRDefault="00C10986" w:rsidP="00A315A0">
            <w:pPr>
              <w:spacing w:after="0" w:line="240" w:lineRule="auto"/>
              <w:ind w:right="-108"/>
              <w:jc w:val="center"/>
              <w:rPr>
                <w:rFonts w:ascii="Arial" w:eastAsia="Times New Roman" w:hAnsi="Arial" w:cs="Arial"/>
                <w:b/>
                <w:sz w:val="20"/>
                <w:szCs w:val="20"/>
              </w:rPr>
            </w:pPr>
            <w:r w:rsidRPr="00A315A0">
              <w:rPr>
                <w:rFonts w:ascii="Arial" w:eastAsia="Times New Roman" w:hAnsi="Arial" w:cs="Arial"/>
                <w:b/>
                <w:sz w:val="20"/>
                <w:szCs w:val="20"/>
              </w:rPr>
              <w:t>INDICADOR</w:t>
            </w:r>
          </w:p>
        </w:tc>
        <w:tc>
          <w:tcPr>
            <w:tcW w:w="1295" w:type="dxa"/>
            <w:shd w:val="clear" w:color="auto" w:fill="auto"/>
            <w:vAlign w:val="center"/>
          </w:tcPr>
          <w:p w14:paraId="4E8A4CEF" w14:textId="77777777" w:rsidR="00C10986" w:rsidRPr="00A315A0" w:rsidRDefault="00C10986" w:rsidP="00A315A0">
            <w:pPr>
              <w:spacing w:after="0" w:line="240" w:lineRule="auto"/>
              <w:ind w:right="-108"/>
              <w:jc w:val="center"/>
              <w:rPr>
                <w:rFonts w:ascii="Arial" w:eastAsia="Times New Roman" w:hAnsi="Arial" w:cs="Arial"/>
                <w:b/>
                <w:sz w:val="20"/>
                <w:szCs w:val="20"/>
              </w:rPr>
            </w:pPr>
            <w:r w:rsidRPr="00A315A0">
              <w:rPr>
                <w:rFonts w:ascii="Arial" w:eastAsia="Times New Roman" w:hAnsi="Arial" w:cs="Arial"/>
                <w:b/>
                <w:sz w:val="20"/>
                <w:szCs w:val="20"/>
              </w:rPr>
              <w:t>FORMULA</w:t>
            </w:r>
          </w:p>
        </w:tc>
        <w:tc>
          <w:tcPr>
            <w:tcW w:w="2090" w:type="dxa"/>
            <w:shd w:val="clear" w:color="auto" w:fill="auto"/>
            <w:vAlign w:val="center"/>
          </w:tcPr>
          <w:p w14:paraId="2AB65427" w14:textId="77777777" w:rsidR="00C10986" w:rsidRPr="00A315A0" w:rsidRDefault="00C10986" w:rsidP="00A315A0">
            <w:pPr>
              <w:spacing w:after="0" w:line="240" w:lineRule="auto"/>
              <w:jc w:val="center"/>
              <w:rPr>
                <w:rFonts w:ascii="Arial" w:eastAsia="Times New Roman" w:hAnsi="Arial" w:cs="Arial"/>
                <w:b/>
                <w:sz w:val="20"/>
                <w:szCs w:val="20"/>
              </w:rPr>
            </w:pPr>
            <w:r w:rsidRPr="00A315A0">
              <w:rPr>
                <w:rFonts w:ascii="Arial" w:eastAsia="Times New Roman" w:hAnsi="Arial" w:cs="Arial"/>
                <w:b/>
                <w:sz w:val="20"/>
                <w:szCs w:val="20"/>
              </w:rPr>
              <w:t>MARGEN  SOLICITADO</w:t>
            </w:r>
          </w:p>
        </w:tc>
        <w:tc>
          <w:tcPr>
            <w:tcW w:w="4614" w:type="dxa"/>
            <w:shd w:val="clear" w:color="auto" w:fill="auto"/>
            <w:vAlign w:val="center"/>
          </w:tcPr>
          <w:p w14:paraId="2FC72227" w14:textId="77777777" w:rsidR="00C10986" w:rsidRPr="00A315A0" w:rsidRDefault="00C10986" w:rsidP="00A315A0">
            <w:pPr>
              <w:spacing w:after="0" w:line="240" w:lineRule="auto"/>
              <w:ind w:right="34"/>
              <w:jc w:val="center"/>
              <w:rPr>
                <w:rFonts w:ascii="Arial" w:eastAsia="Times New Roman" w:hAnsi="Arial" w:cs="Arial"/>
                <w:b/>
                <w:sz w:val="20"/>
                <w:szCs w:val="20"/>
              </w:rPr>
            </w:pPr>
            <w:r w:rsidRPr="00A315A0">
              <w:rPr>
                <w:rFonts w:ascii="Arial" w:eastAsia="Times New Roman" w:hAnsi="Arial" w:cs="Arial"/>
                <w:b/>
                <w:sz w:val="20"/>
                <w:szCs w:val="20"/>
              </w:rPr>
              <w:t>ANALISIS DEL INDICADOR</w:t>
            </w:r>
          </w:p>
        </w:tc>
      </w:tr>
      <w:tr w:rsidR="00C10986" w:rsidRPr="00A315A0" w14:paraId="70B80582" w14:textId="77777777" w:rsidTr="00A315A0">
        <w:trPr>
          <w:trHeight w:val="796"/>
        </w:trPr>
        <w:tc>
          <w:tcPr>
            <w:tcW w:w="1716" w:type="dxa"/>
            <w:shd w:val="clear" w:color="auto" w:fill="auto"/>
          </w:tcPr>
          <w:p w14:paraId="1AB7D16C" w14:textId="77777777" w:rsidR="00C10986" w:rsidRPr="00A315A0" w:rsidRDefault="00C10986" w:rsidP="00522F77">
            <w:pPr>
              <w:spacing w:after="0" w:line="240" w:lineRule="auto"/>
              <w:ind w:right="-108"/>
              <w:jc w:val="center"/>
              <w:rPr>
                <w:rFonts w:ascii="Arial" w:eastAsia="Times New Roman" w:hAnsi="Arial" w:cs="Arial"/>
                <w:b/>
                <w:sz w:val="20"/>
                <w:szCs w:val="20"/>
              </w:rPr>
            </w:pPr>
            <w:r w:rsidRPr="00A315A0">
              <w:rPr>
                <w:rFonts w:ascii="Arial" w:eastAsia="Times New Roman" w:hAnsi="Arial" w:cs="Arial"/>
                <w:b/>
                <w:sz w:val="20"/>
                <w:szCs w:val="20"/>
                <w:lang w:eastAsia="es-CO"/>
              </w:rPr>
              <w:t>RENTABILIDAD DE PATRIMONIO</w:t>
            </w:r>
          </w:p>
        </w:tc>
        <w:tc>
          <w:tcPr>
            <w:tcW w:w="1295" w:type="dxa"/>
            <w:shd w:val="clear" w:color="auto" w:fill="auto"/>
          </w:tcPr>
          <w:p w14:paraId="18E9D3E9" w14:textId="77777777" w:rsidR="00C10986" w:rsidRPr="00A315A0" w:rsidRDefault="00C10986" w:rsidP="00522F77">
            <w:pPr>
              <w:spacing w:after="0" w:line="240" w:lineRule="auto"/>
              <w:ind w:right="-108"/>
              <w:jc w:val="center"/>
              <w:rPr>
                <w:rFonts w:ascii="Arial" w:eastAsia="Times New Roman" w:hAnsi="Arial" w:cs="Arial"/>
                <w:sz w:val="20"/>
                <w:szCs w:val="20"/>
              </w:rPr>
            </w:pPr>
            <w:r w:rsidRPr="00A315A0">
              <w:rPr>
                <w:rFonts w:ascii="Arial" w:eastAsia="Times New Roman" w:hAnsi="Arial" w:cs="Arial"/>
                <w:sz w:val="20"/>
                <w:szCs w:val="20"/>
              </w:rPr>
              <w:t>Utilidad Operacional /Patrimonio</w:t>
            </w:r>
          </w:p>
        </w:tc>
        <w:tc>
          <w:tcPr>
            <w:tcW w:w="2090" w:type="dxa"/>
            <w:shd w:val="clear" w:color="auto" w:fill="auto"/>
            <w:vAlign w:val="center"/>
          </w:tcPr>
          <w:p w14:paraId="5D73438C" w14:textId="398D1742" w:rsidR="00C10986" w:rsidRPr="00A315A0" w:rsidRDefault="00831E6D" w:rsidP="00522F77">
            <w:pPr>
              <w:spacing w:after="0" w:line="240" w:lineRule="auto"/>
              <w:jc w:val="center"/>
              <w:rPr>
                <w:rFonts w:ascii="Arial" w:eastAsia="Times New Roman" w:hAnsi="Arial" w:cs="Arial"/>
                <w:sz w:val="20"/>
                <w:szCs w:val="20"/>
              </w:rPr>
            </w:pPr>
            <w:r w:rsidRPr="00A315A0">
              <w:rPr>
                <w:rFonts w:ascii="Arial" w:eastAsia="Times New Roman" w:hAnsi="Arial" w:cs="Arial"/>
                <w:sz w:val="20"/>
                <w:szCs w:val="20"/>
                <w:lang w:eastAsia="es-CO"/>
              </w:rPr>
              <w:t>≥</w:t>
            </w:r>
            <w:r w:rsidR="00E366DA" w:rsidRPr="00A315A0">
              <w:rPr>
                <w:rFonts w:ascii="Arial" w:eastAsia="Times New Roman" w:hAnsi="Arial" w:cs="Arial"/>
                <w:sz w:val="20"/>
                <w:szCs w:val="20"/>
                <w:lang w:eastAsia="es-CO"/>
              </w:rPr>
              <w:t>0</w:t>
            </w:r>
            <w:r w:rsidR="00C10986" w:rsidRPr="00A315A0">
              <w:rPr>
                <w:rFonts w:ascii="Arial" w:eastAsia="Times New Roman" w:hAnsi="Arial" w:cs="Arial"/>
                <w:sz w:val="20"/>
                <w:szCs w:val="20"/>
              </w:rPr>
              <w:t>%</w:t>
            </w:r>
          </w:p>
        </w:tc>
        <w:tc>
          <w:tcPr>
            <w:tcW w:w="4614" w:type="dxa"/>
            <w:shd w:val="clear" w:color="auto" w:fill="auto"/>
          </w:tcPr>
          <w:p w14:paraId="29F32AA7" w14:textId="77777777" w:rsidR="00C10986" w:rsidRPr="00A315A0" w:rsidRDefault="00C10986" w:rsidP="00522F77">
            <w:pPr>
              <w:spacing w:after="0" w:line="240" w:lineRule="auto"/>
              <w:ind w:right="34"/>
              <w:jc w:val="both"/>
              <w:rPr>
                <w:rFonts w:ascii="Arial" w:eastAsia="Times New Roman" w:hAnsi="Arial" w:cs="Arial"/>
                <w:sz w:val="20"/>
                <w:szCs w:val="20"/>
              </w:rPr>
            </w:pPr>
            <w:r w:rsidRPr="00A315A0">
              <w:rPr>
                <w:rFonts w:ascii="Arial" w:eastAsia="Times New Roman" w:hAnsi="Arial" w:cs="Arial"/>
                <w:sz w:val="20"/>
                <w:szCs w:val="20"/>
              </w:rPr>
              <w:t xml:space="preserve">Determina la rentabilidad del patrimonio del proponente, es decir, la capacidad de generación de utilidad operacional por cada peso invertido en el patrimonio. A mayor rentabilidad sobre el patrimonio mayor es la rentabilidad de los accionistas y mejor capacidad organizacional de proponente. </w:t>
            </w:r>
          </w:p>
        </w:tc>
      </w:tr>
      <w:tr w:rsidR="00C10986" w:rsidRPr="00A315A0" w14:paraId="783C8AD7" w14:textId="77777777" w:rsidTr="00A315A0">
        <w:trPr>
          <w:trHeight w:val="464"/>
        </w:trPr>
        <w:tc>
          <w:tcPr>
            <w:tcW w:w="1716" w:type="dxa"/>
            <w:shd w:val="clear" w:color="auto" w:fill="auto"/>
          </w:tcPr>
          <w:p w14:paraId="5EB838F2" w14:textId="77777777" w:rsidR="00C10986" w:rsidRPr="00A315A0" w:rsidRDefault="00C10986" w:rsidP="00522F77">
            <w:pPr>
              <w:spacing w:after="0" w:line="240" w:lineRule="auto"/>
              <w:ind w:right="-108"/>
              <w:jc w:val="center"/>
              <w:rPr>
                <w:rFonts w:ascii="Arial" w:eastAsia="Times New Roman" w:hAnsi="Arial" w:cs="Arial"/>
                <w:b/>
                <w:sz w:val="20"/>
                <w:szCs w:val="20"/>
              </w:rPr>
            </w:pPr>
            <w:r w:rsidRPr="00A315A0">
              <w:rPr>
                <w:rFonts w:ascii="Arial" w:eastAsia="Times New Roman" w:hAnsi="Arial" w:cs="Arial"/>
                <w:b/>
                <w:sz w:val="20"/>
                <w:szCs w:val="20"/>
                <w:lang w:eastAsia="es-CO"/>
              </w:rPr>
              <w:t>RENTABILIDAD DEL ACTIVO</w:t>
            </w:r>
          </w:p>
        </w:tc>
        <w:tc>
          <w:tcPr>
            <w:tcW w:w="1295" w:type="dxa"/>
            <w:shd w:val="clear" w:color="auto" w:fill="auto"/>
          </w:tcPr>
          <w:p w14:paraId="5C6D8B55" w14:textId="77777777" w:rsidR="00C10986" w:rsidRPr="00A315A0" w:rsidRDefault="00C10986" w:rsidP="00522F77">
            <w:pPr>
              <w:spacing w:after="0" w:line="240" w:lineRule="auto"/>
              <w:ind w:right="-108"/>
              <w:jc w:val="center"/>
              <w:rPr>
                <w:rFonts w:ascii="Arial" w:eastAsia="Times New Roman" w:hAnsi="Arial" w:cs="Arial"/>
                <w:sz w:val="20"/>
                <w:szCs w:val="20"/>
              </w:rPr>
            </w:pPr>
            <w:r w:rsidRPr="00A315A0">
              <w:rPr>
                <w:rFonts w:ascii="Arial" w:eastAsia="Times New Roman" w:hAnsi="Arial" w:cs="Arial"/>
                <w:sz w:val="20"/>
                <w:szCs w:val="20"/>
              </w:rPr>
              <w:t>Utilidad Operacional /Activo Total</w:t>
            </w:r>
          </w:p>
        </w:tc>
        <w:tc>
          <w:tcPr>
            <w:tcW w:w="2090" w:type="dxa"/>
            <w:shd w:val="clear" w:color="auto" w:fill="auto"/>
            <w:vAlign w:val="center"/>
          </w:tcPr>
          <w:p w14:paraId="71871989" w14:textId="1AF29F5D" w:rsidR="00C10986" w:rsidRPr="00A315A0" w:rsidRDefault="00831E6D" w:rsidP="00522F77">
            <w:pPr>
              <w:spacing w:after="0" w:line="240" w:lineRule="auto"/>
              <w:jc w:val="center"/>
              <w:rPr>
                <w:rFonts w:ascii="Arial" w:eastAsia="Times New Roman" w:hAnsi="Arial" w:cs="Arial"/>
                <w:sz w:val="20"/>
                <w:szCs w:val="20"/>
              </w:rPr>
            </w:pPr>
            <w:r w:rsidRPr="00A315A0">
              <w:rPr>
                <w:rFonts w:ascii="Arial" w:eastAsia="Times New Roman" w:hAnsi="Arial" w:cs="Arial"/>
                <w:sz w:val="20"/>
                <w:szCs w:val="20"/>
                <w:lang w:eastAsia="es-CO"/>
              </w:rPr>
              <w:t>≥</w:t>
            </w:r>
            <w:r w:rsidR="00E366DA" w:rsidRPr="00A315A0">
              <w:rPr>
                <w:rFonts w:ascii="Arial" w:eastAsia="Times New Roman" w:hAnsi="Arial" w:cs="Arial"/>
                <w:sz w:val="20"/>
                <w:szCs w:val="20"/>
                <w:lang w:eastAsia="es-CO"/>
              </w:rPr>
              <w:t>0</w:t>
            </w:r>
            <w:r w:rsidR="00C10986" w:rsidRPr="00A315A0">
              <w:rPr>
                <w:rFonts w:ascii="Arial" w:eastAsia="Times New Roman" w:hAnsi="Arial" w:cs="Arial"/>
                <w:sz w:val="20"/>
                <w:szCs w:val="20"/>
              </w:rPr>
              <w:t>%</w:t>
            </w:r>
          </w:p>
        </w:tc>
        <w:tc>
          <w:tcPr>
            <w:tcW w:w="4614" w:type="dxa"/>
            <w:shd w:val="clear" w:color="auto" w:fill="auto"/>
          </w:tcPr>
          <w:p w14:paraId="66EB9EEB" w14:textId="77777777" w:rsidR="00C10986" w:rsidRPr="00A315A0" w:rsidRDefault="00C10986" w:rsidP="00522F77">
            <w:pPr>
              <w:spacing w:after="0" w:line="240" w:lineRule="auto"/>
              <w:ind w:right="34"/>
              <w:jc w:val="both"/>
              <w:rPr>
                <w:rFonts w:ascii="Arial" w:eastAsia="Times New Roman" w:hAnsi="Arial" w:cs="Arial"/>
                <w:sz w:val="20"/>
                <w:szCs w:val="20"/>
              </w:rPr>
            </w:pPr>
            <w:r w:rsidRPr="00A315A0">
              <w:rPr>
                <w:rFonts w:ascii="Arial" w:eastAsia="Times New Roman" w:hAnsi="Arial" w:cs="Arial"/>
                <w:sz w:val="20"/>
                <w:szCs w:val="20"/>
              </w:rPr>
              <w:t>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w:t>
            </w:r>
            <w:r w:rsidRPr="00A315A0">
              <w:rPr>
                <w:rFonts w:ascii="Arial" w:eastAsia="Times New Roman" w:hAnsi="Arial" w:cs="Arial"/>
                <w:sz w:val="20"/>
                <w:szCs w:val="20"/>
                <w:lang w:eastAsia="es-CO"/>
              </w:rPr>
              <w:t xml:space="preserve"> rentabilidad de patrimonio.</w:t>
            </w:r>
          </w:p>
        </w:tc>
      </w:tr>
    </w:tbl>
    <w:p w14:paraId="79864994" w14:textId="77777777" w:rsidR="00C10986" w:rsidRPr="00522F77" w:rsidRDefault="00C10986" w:rsidP="00522F77">
      <w:pPr>
        <w:spacing w:after="0" w:line="240" w:lineRule="auto"/>
        <w:contextualSpacing/>
        <w:jc w:val="both"/>
        <w:rPr>
          <w:rFonts w:ascii="Arial" w:hAnsi="Arial" w:cs="Arial"/>
        </w:rPr>
      </w:pPr>
    </w:p>
    <w:p w14:paraId="4DBDB2CF" w14:textId="77777777" w:rsidR="00A34816" w:rsidRPr="00522F77" w:rsidRDefault="00A34816" w:rsidP="00522F77">
      <w:pPr>
        <w:pStyle w:val="Prrafodelista"/>
        <w:numPr>
          <w:ilvl w:val="0"/>
          <w:numId w:val="8"/>
        </w:numPr>
        <w:tabs>
          <w:tab w:val="left" w:pos="1155"/>
        </w:tabs>
        <w:spacing w:line="240" w:lineRule="auto"/>
        <w:ind w:left="567" w:hanging="567"/>
        <w:jc w:val="both"/>
        <w:rPr>
          <w:rFonts w:ascii="Arial" w:hAnsi="Arial" w:cs="Arial"/>
          <w:b/>
        </w:rPr>
      </w:pPr>
      <w:bookmarkStart w:id="0" w:name="_Hlk25322916"/>
      <w:r w:rsidRPr="00522F77">
        <w:rPr>
          <w:rFonts w:ascii="Arial" w:hAnsi="Arial" w:cs="Arial"/>
          <w:b/>
        </w:rPr>
        <w:t>REQUISITOS DE CAPACIDAD FINANCIERA Y ORGANIZACIONAL PERSONAS NATURALES O JURÍDICAS NACIONALES Y EXTRANJERAS CON DOMICILIO O SUCURSAL EN COLOMBIA</w:t>
      </w:r>
    </w:p>
    <w:p w14:paraId="0181873E" w14:textId="77777777" w:rsidR="00A34816" w:rsidRPr="00522F77" w:rsidRDefault="00A34816" w:rsidP="00522F77">
      <w:pPr>
        <w:tabs>
          <w:tab w:val="left" w:pos="1155"/>
        </w:tabs>
        <w:spacing w:after="0" w:line="240" w:lineRule="auto"/>
        <w:contextualSpacing/>
        <w:jc w:val="both"/>
        <w:rPr>
          <w:rFonts w:ascii="Arial" w:hAnsi="Arial" w:cs="Arial"/>
        </w:rPr>
      </w:pPr>
    </w:p>
    <w:p w14:paraId="612E1968" w14:textId="142B4C98" w:rsidR="00A34816" w:rsidRPr="00522F77" w:rsidRDefault="00A34816" w:rsidP="00522F77">
      <w:pPr>
        <w:tabs>
          <w:tab w:val="left" w:pos="1155"/>
        </w:tabs>
        <w:spacing w:after="0" w:line="240" w:lineRule="auto"/>
        <w:contextualSpacing/>
        <w:jc w:val="both"/>
        <w:rPr>
          <w:rFonts w:ascii="Arial" w:hAnsi="Arial" w:cs="Arial"/>
        </w:rPr>
      </w:pPr>
      <w:r w:rsidRPr="00522F77">
        <w:rPr>
          <w:rFonts w:ascii="Arial" w:hAnsi="Arial" w:cs="Arial"/>
        </w:rPr>
        <w:t xml:space="preserve">La evaluación financiera de las </w:t>
      </w:r>
      <w:r w:rsidR="00A315A0" w:rsidRPr="00522F77">
        <w:rPr>
          <w:rFonts w:ascii="Arial" w:hAnsi="Arial" w:cs="Arial"/>
        </w:rPr>
        <w:t>propuestas</w:t>
      </w:r>
      <w:r w:rsidRPr="00522F77">
        <w:rPr>
          <w:rFonts w:ascii="Arial" w:hAnsi="Arial" w:cs="Arial"/>
        </w:rPr>
        <w:t xml:space="preserve"> se efectuará a partir de la información contenida en el Registro Único de Proponentes (RUP), vigente y en firme, con información financiera de fecha a corte 31 de diciembre de </w:t>
      </w:r>
      <w:r w:rsidR="00D24AD1">
        <w:rPr>
          <w:rFonts w:ascii="Arial" w:hAnsi="Arial" w:cs="Arial"/>
        </w:rPr>
        <w:t>2019</w:t>
      </w:r>
      <w:r w:rsidRPr="00522F77">
        <w:rPr>
          <w:rFonts w:ascii="Arial" w:hAnsi="Arial" w:cs="Arial"/>
        </w:rPr>
        <w:t xml:space="preserve">, salvo </w:t>
      </w:r>
      <w:r w:rsidR="006C1EED" w:rsidRPr="00522F77">
        <w:rPr>
          <w:rFonts w:ascii="Arial" w:hAnsi="Arial" w:cs="Arial"/>
        </w:rPr>
        <w:t>que,</w:t>
      </w:r>
      <w:r w:rsidRPr="00522F77">
        <w:rPr>
          <w:rFonts w:ascii="Arial" w:hAnsi="Arial" w:cs="Arial"/>
        </w:rPr>
        <w:t xml:space="preserve"> tratándose de personas jurídicas extranjeras con sucursal en Colombia, acrediten en debida forma que la legislación propia del país de origen establece una fecha de corte diferente a la prevista en este Pliego.</w:t>
      </w:r>
    </w:p>
    <w:p w14:paraId="40919A5A" w14:textId="77777777" w:rsidR="00A34816" w:rsidRPr="00522F77" w:rsidRDefault="00A34816" w:rsidP="00522F77">
      <w:pPr>
        <w:tabs>
          <w:tab w:val="left" w:pos="1155"/>
        </w:tabs>
        <w:spacing w:after="0" w:line="240" w:lineRule="auto"/>
        <w:contextualSpacing/>
        <w:jc w:val="both"/>
        <w:rPr>
          <w:rFonts w:ascii="Arial" w:hAnsi="Arial" w:cs="Arial"/>
        </w:rPr>
      </w:pPr>
    </w:p>
    <w:p w14:paraId="2CDB3F65" w14:textId="0A2EC2A6" w:rsidR="00A34816" w:rsidRPr="00522F77" w:rsidRDefault="00A34816" w:rsidP="00522F77">
      <w:pPr>
        <w:tabs>
          <w:tab w:val="left" w:pos="1155"/>
        </w:tabs>
        <w:spacing w:after="0" w:line="240" w:lineRule="auto"/>
        <w:contextualSpacing/>
        <w:jc w:val="both"/>
        <w:rPr>
          <w:rFonts w:ascii="Arial" w:hAnsi="Arial" w:cs="Arial"/>
        </w:rPr>
      </w:pPr>
      <w:r w:rsidRPr="00522F77">
        <w:rPr>
          <w:rFonts w:ascii="Arial" w:hAnsi="Arial" w:cs="Arial"/>
        </w:rPr>
        <w:t xml:space="preserve">Para Sociedades constituidas en el </w:t>
      </w:r>
      <w:r w:rsidR="006C1EED" w:rsidRPr="00522F77">
        <w:rPr>
          <w:rFonts w:ascii="Arial" w:hAnsi="Arial" w:cs="Arial"/>
        </w:rPr>
        <w:t xml:space="preserve">año </w:t>
      </w:r>
      <w:r w:rsidR="006C1EED">
        <w:rPr>
          <w:rFonts w:ascii="Arial" w:hAnsi="Arial" w:cs="Arial"/>
        </w:rPr>
        <w:t>2020</w:t>
      </w:r>
      <w:r w:rsidRPr="00522F77">
        <w:rPr>
          <w:rFonts w:ascii="Arial" w:hAnsi="Arial" w:cs="Arial"/>
        </w:rPr>
        <w:t>, la evaluación financiera de las propuestas, se efectuará a partir de la información contenida en el Registro Único de Proponentes (RUP), vigente y en firme de acuerdo con lo establecido en el artículo 2.2.1.1.1.5.2 numeral 1.3 del Decreto 1082 de 2015.</w:t>
      </w:r>
    </w:p>
    <w:p w14:paraId="721BD137" w14:textId="77777777" w:rsidR="00A34816" w:rsidRDefault="00A34816" w:rsidP="00522F77">
      <w:pPr>
        <w:tabs>
          <w:tab w:val="left" w:pos="1155"/>
        </w:tabs>
        <w:spacing w:after="0" w:line="240" w:lineRule="auto"/>
        <w:contextualSpacing/>
        <w:jc w:val="both"/>
        <w:rPr>
          <w:rFonts w:ascii="Arial" w:hAnsi="Arial" w:cs="Arial"/>
        </w:rPr>
      </w:pPr>
    </w:p>
    <w:p w14:paraId="3B51B232" w14:textId="77777777" w:rsidR="00A315A0" w:rsidRPr="00522F77" w:rsidRDefault="00A315A0" w:rsidP="00522F77">
      <w:pPr>
        <w:tabs>
          <w:tab w:val="left" w:pos="1155"/>
        </w:tabs>
        <w:spacing w:after="0" w:line="240" w:lineRule="auto"/>
        <w:contextualSpacing/>
        <w:jc w:val="both"/>
        <w:rPr>
          <w:rFonts w:ascii="Arial" w:hAnsi="Arial" w:cs="Arial"/>
        </w:rPr>
      </w:pPr>
    </w:p>
    <w:p w14:paraId="30362EC8" w14:textId="77777777" w:rsidR="00A34816" w:rsidRPr="00522F77" w:rsidRDefault="00A34816" w:rsidP="00522F77">
      <w:pPr>
        <w:tabs>
          <w:tab w:val="left" w:pos="1155"/>
        </w:tabs>
        <w:spacing w:after="0" w:line="240" w:lineRule="auto"/>
        <w:contextualSpacing/>
        <w:jc w:val="both"/>
        <w:rPr>
          <w:rFonts w:ascii="Arial" w:hAnsi="Arial" w:cs="Arial"/>
        </w:rPr>
      </w:pPr>
      <w:r w:rsidRPr="00522F77">
        <w:rPr>
          <w:rFonts w:ascii="Arial" w:hAnsi="Arial" w:cs="Arial"/>
        </w:rPr>
        <w:t xml:space="preserve">Tratándose de estructuras plurales los indicadores se calcularán con base en las partidas financieras de cada uno de los integrantes, de manera proporcional a su porcentaje de participación, salvo para el capital de trabajo y patrimonio, donde el cálculo se hará de acuerdo con la sumatoria de los indicadores correspondientes. </w:t>
      </w:r>
    </w:p>
    <w:p w14:paraId="29AD759D" w14:textId="77777777" w:rsidR="00A34816" w:rsidRPr="00522F77" w:rsidRDefault="00A34816" w:rsidP="00522F77">
      <w:pPr>
        <w:tabs>
          <w:tab w:val="left" w:pos="1155"/>
        </w:tabs>
        <w:spacing w:after="0" w:line="240" w:lineRule="auto"/>
        <w:contextualSpacing/>
        <w:jc w:val="both"/>
        <w:rPr>
          <w:rFonts w:ascii="Arial" w:hAnsi="Arial" w:cs="Arial"/>
        </w:rPr>
      </w:pPr>
    </w:p>
    <w:p w14:paraId="7E85E265" w14:textId="77777777" w:rsidR="00A34816" w:rsidRPr="00522F77" w:rsidRDefault="00A34816" w:rsidP="00522F77">
      <w:pPr>
        <w:tabs>
          <w:tab w:val="left" w:pos="1155"/>
        </w:tabs>
        <w:spacing w:after="0" w:line="240" w:lineRule="auto"/>
        <w:contextualSpacing/>
        <w:jc w:val="both"/>
        <w:rPr>
          <w:rFonts w:ascii="Arial" w:hAnsi="Arial" w:cs="Arial"/>
        </w:rPr>
      </w:pPr>
      <w:r w:rsidRPr="00522F77">
        <w:rPr>
          <w:rFonts w:ascii="Arial" w:hAnsi="Arial" w:cs="Arial"/>
        </w:rPr>
        <w:t>Para el caso de las estructuras plurales todos los integrantes que la conforman deben aportar el Registro Único de Proponente, como se requiere en el presente pliego de condiciones.</w:t>
      </w:r>
    </w:p>
    <w:p w14:paraId="714B3F24" w14:textId="77777777" w:rsidR="00A34816" w:rsidRPr="00522F77" w:rsidRDefault="00A34816" w:rsidP="00522F77">
      <w:pPr>
        <w:tabs>
          <w:tab w:val="left" w:pos="1155"/>
        </w:tabs>
        <w:spacing w:after="0" w:line="240" w:lineRule="auto"/>
        <w:contextualSpacing/>
        <w:jc w:val="both"/>
        <w:rPr>
          <w:rFonts w:ascii="Arial" w:hAnsi="Arial" w:cs="Arial"/>
        </w:rPr>
      </w:pPr>
    </w:p>
    <w:p w14:paraId="6EC22B0E" w14:textId="0F4DFF37" w:rsidR="00A34816" w:rsidRPr="00522F77" w:rsidRDefault="00A315A0" w:rsidP="00522F77">
      <w:pPr>
        <w:tabs>
          <w:tab w:val="left" w:pos="1155"/>
        </w:tabs>
        <w:spacing w:after="0" w:line="240" w:lineRule="auto"/>
        <w:contextualSpacing/>
        <w:jc w:val="both"/>
        <w:rPr>
          <w:rFonts w:ascii="Arial" w:hAnsi="Arial" w:cs="Arial"/>
        </w:rPr>
      </w:pPr>
      <w:r w:rsidRPr="00522F77">
        <w:rPr>
          <w:rFonts w:ascii="Arial" w:hAnsi="Arial" w:cs="Arial"/>
        </w:rPr>
        <w:t>En caso de que</w:t>
      </w:r>
      <w:r w:rsidR="00A34816" w:rsidRPr="00522F77">
        <w:rPr>
          <w:rFonts w:ascii="Arial" w:hAnsi="Arial" w:cs="Arial"/>
        </w:rPr>
        <w:t xml:space="preserve"> la propuesta no cumpla con alguno de los indicadores financieros requeridos, la propuesta será NO HABIL, para el proceso.</w:t>
      </w:r>
    </w:p>
    <w:p w14:paraId="29FAB657" w14:textId="77777777" w:rsidR="00A34816" w:rsidRPr="00522F77" w:rsidRDefault="00A34816" w:rsidP="00522F77">
      <w:pPr>
        <w:tabs>
          <w:tab w:val="left" w:pos="1155"/>
        </w:tabs>
        <w:spacing w:after="0" w:line="240" w:lineRule="auto"/>
        <w:contextualSpacing/>
        <w:jc w:val="both"/>
        <w:rPr>
          <w:rFonts w:ascii="Arial" w:hAnsi="Arial" w:cs="Arial"/>
        </w:rPr>
      </w:pPr>
    </w:p>
    <w:p w14:paraId="123203FF" w14:textId="77777777" w:rsidR="00A34816" w:rsidRPr="00522F77" w:rsidRDefault="00A34816" w:rsidP="00522F77">
      <w:pPr>
        <w:tabs>
          <w:tab w:val="left" w:pos="1155"/>
        </w:tabs>
        <w:spacing w:after="0" w:line="240" w:lineRule="auto"/>
        <w:ind w:left="567" w:hanging="567"/>
        <w:contextualSpacing/>
        <w:jc w:val="both"/>
        <w:rPr>
          <w:rFonts w:ascii="Arial" w:hAnsi="Arial" w:cs="Arial"/>
          <w:b/>
        </w:rPr>
      </w:pPr>
      <w:r w:rsidRPr="00522F77">
        <w:rPr>
          <w:rFonts w:ascii="Arial" w:hAnsi="Arial" w:cs="Arial"/>
        </w:rPr>
        <w:lastRenderedPageBreak/>
        <w:t>•</w:t>
      </w:r>
      <w:r w:rsidRPr="00522F77">
        <w:rPr>
          <w:rFonts w:ascii="Arial" w:hAnsi="Arial" w:cs="Arial"/>
        </w:rPr>
        <w:tab/>
      </w:r>
      <w:r w:rsidRPr="00522F77">
        <w:rPr>
          <w:rFonts w:ascii="Arial" w:hAnsi="Arial" w:cs="Arial"/>
          <w:b/>
        </w:rPr>
        <w:t>REQUISITOS DE CAPACIDAD FINANCIERA Y ORGANIZACIONAL PERSONAS NATURALES O JURÍDICAS EXTRANJERAS SIN DOMICILIO O SUCURSAL EN COLOMBIA</w:t>
      </w:r>
    </w:p>
    <w:p w14:paraId="23CFFFB1" w14:textId="77777777" w:rsidR="00A34816" w:rsidRPr="00522F77" w:rsidRDefault="00A34816" w:rsidP="00522F77">
      <w:pPr>
        <w:tabs>
          <w:tab w:val="left" w:pos="1155"/>
        </w:tabs>
        <w:spacing w:after="0" w:line="240" w:lineRule="auto"/>
        <w:contextualSpacing/>
        <w:jc w:val="both"/>
        <w:rPr>
          <w:rFonts w:ascii="Arial" w:hAnsi="Arial" w:cs="Arial"/>
        </w:rPr>
      </w:pPr>
    </w:p>
    <w:p w14:paraId="7D90E9A9" w14:textId="77777777" w:rsidR="00A34816" w:rsidRPr="00522F77" w:rsidRDefault="00A34816" w:rsidP="00522F77">
      <w:pPr>
        <w:tabs>
          <w:tab w:val="left" w:pos="1155"/>
        </w:tabs>
        <w:spacing w:after="0" w:line="240" w:lineRule="auto"/>
        <w:contextualSpacing/>
        <w:jc w:val="both"/>
        <w:rPr>
          <w:rFonts w:ascii="Arial" w:hAnsi="Arial" w:cs="Arial"/>
        </w:rPr>
      </w:pPr>
      <w:r w:rsidRPr="00522F77">
        <w:rPr>
          <w:rFonts w:ascii="Arial" w:hAnsi="Arial" w:cs="Arial"/>
        </w:rPr>
        <w:t>Para el caso de proponentes extranjeros, deberán presentar la información financiera que se relaciona a continuación, de conformidad con la legislación propia del país de origen, y conforme a los lineamientos de Colombia Compra Eficiente, con los valores convertidos a la moneda legal colombiana a la tasa de cambio de la fecha de corte de los mismos, avalados con la firma de quien se encuentre en obligación de hacerlo de acuerdo con la normatividad vigente del país de origen.</w:t>
      </w:r>
    </w:p>
    <w:p w14:paraId="3B60F9B9" w14:textId="77777777" w:rsidR="00A34816" w:rsidRPr="00522F77" w:rsidRDefault="00A34816" w:rsidP="00522F77">
      <w:pPr>
        <w:tabs>
          <w:tab w:val="left" w:pos="1155"/>
        </w:tabs>
        <w:spacing w:after="0" w:line="240" w:lineRule="auto"/>
        <w:contextualSpacing/>
        <w:jc w:val="both"/>
        <w:rPr>
          <w:rFonts w:ascii="Arial" w:hAnsi="Arial" w:cs="Arial"/>
        </w:rPr>
      </w:pPr>
    </w:p>
    <w:p w14:paraId="1258F578" w14:textId="29060E99" w:rsidR="00A34816" w:rsidRPr="00522F77" w:rsidRDefault="00A34816" w:rsidP="00522F77">
      <w:pPr>
        <w:tabs>
          <w:tab w:val="left" w:pos="1155"/>
        </w:tabs>
        <w:spacing w:after="0" w:line="240" w:lineRule="auto"/>
        <w:contextualSpacing/>
        <w:jc w:val="both"/>
        <w:rPr>
          <w:rFonts w:ascii="Arial" w:hAnsi="Arial" w:cs="Arial"/>
        </w:rPr>
      </w:pPr>
      <w:r w:rsidRPr="00522F77">
        <w:rPr>
          <w:rFonts w:ascii="Arial" w:hAnsi="Arial" w:cs="Arial"/>
        </w:rPr>
        <w:t xml:space="preserve">Estado de Situación Financiera (Balance General) y Estado de Resultados Integral (Estado de Resultados o </w:t>
      </w:r>
      <w:r w:rsidR="00A315A0" w:rsidRPr="00522F77">
        <w:rPr>
          <w:rFonts w:ascii="Arial" w:hAnsi="Arial" w:cs="Arial"/>
        </w:rPr>
        <w:t>Pérdidas y</w:t>
      </w:r>
      <w:r w:rsidRPr="00522F77">
        <w:rPr>
          <w:rFonts w:ascii="Arial" w:hAnsi="Arial" w:cs="Arial"/>
        </w:rPr>
        <w:t xml:space="preserve"> Ganancias) acompañados de la traducción simple al idioma castellano, presentados de acuerdo con el catálogo de cuentas (PUC). Decreto 2650 de 1993, expresados en pesos colombianos, a la tasa representativa del mercado (TRM) de la fecha de corte de los mismos, indicando la tasa de conversión, firmados por el Contador Público Colombiano que los hubiere convertido. </w:t>
      </w:r>
    </w:p>
    <w:p w14:paraId="79CDA61A" w14:textId="77777777" w:rsidR="00A34816" w:rsidRPr="00522F77" w:rsidRDefault="00A34816" w:rsidP="00522F77">
      <w:pPr>
        <w:tabs>
          <w:tab w:val="left" w:pos="1155"/>
        </w:tabs>
        <w:spacing w:after="0" w:line="240" w:lineRule="auto"/>
        <w:contextualSpacing/>
        <w:jc w:val="both"/>
        <w:rPr>
          <w:rFonts w:ascii="Arial" w:hAnsi="Arial" w:cs="Arial"/>
        </w:rPr>
      </w:pPr>
    </w:p>
    <w:p w14:paraId="616A2569" w14:textId="77777777" w:rsidR="00A34816" w:rsidRPr="00522F77" w:rsidRDefault="00A34816" w:rsidP="00522F77">
      <w:pPr>
        <w:tabs>
          <w:tab w:val="left" w:pos="1155"/>
        </w:tabs>
        <w:spacing w:after="0" w:line="240" w:lineRule="auto"/>
        <w:contextualSpacing/>
        <w:jc w:val="both"/>
        <w:rPr>
          <w:rFonts w:ascii="Arial" w:hAnsi="Arial" w:cs="Arial"/>
        </w:rPr>
      </w:pPr>
      <w:r w:rsidRPr="00522F77">
        <w:rPr>
          <w:rFonts w:ascii="Arial" w:hAnsi="Arial" w:cs="Arial"/>
        </w:rPr>
        <w:t xml:space="preserve">Copia de la tarjeta profesional del contador público y certificado de antecedente disciplinarios vigente expedido por la Junta Central de Contadores. </w:t>
      </w:r>
    </w:p>
    <w:p w14:paraId="402A11A0" w14:textId="77777777" w:rsidR="00A34816" w:rsidRPr="00522F77" w:rsidRDefault="00A34816" w:rsidP="00522F77">
      <w:pPr>
        <w:tabs>
          <w:tab w:val="left" w:pos="1155"/>
        </w:tabs>
        <w:spacing w:after="0" w:line="240" w:lineRule="auto"/>
        <w:contextualSpacing/>
        <w:jc w:val="both"/>
        <w:rPr>
          <w:rFonts w:ascii="Arial" w:hAnsi="Arial" w:cs="Arial"/>
        </w:rPr>
      </w:pPr>
    </w:p>
    <w:p w14:paraId="28F2F0DB" w14:textId="77777777" w:rsidR="00A34816" w:rsidRPr="00522F77" w:rsidRDefault="00A34816" w:rsidP="00522F77">
      <w:pPr>
        <w:tabs>
          <w:tab w:val="left" w:pos="1155"/>
        </w:tabs>
        <w:spacing w:after="0" w:line="240" w:lineRule="auto"/>
        <w:contextualSpacing/>
        <w:jc w:val="both"/>
        <w:rPr>
          <w:rFonts w:ascii="Arial" w:hAnsi="Arial" w:cs="Arial"/>
        </w:rPr>
      </w:pPr>
      <w:r w:rsidRPr="00522F77">
        <w:rPr>
          <w:rFonts w:ascii="Arial" w:hAnsi="Arial" w:cs="Arial"/>
        </w:rPr>
        <w:t>Formulario Financiero anexo, el cual deberá contener la siguiente información: Activo Corriente, Activo Total, Pasivo Corriente, Pasivo Total y Patrimonio, utilidad operacional, y gastos de intereses en correspondencia a la codificación del PUC. En caso de presentarse discrepancias entre la información consignada en el Formulario Financiero y el Estado de Situación Financiera (Balance General) y Estado de Resultados Integral (Estado de Resultados o Pérdidas y Ganancias) Convertido, prevalecerá la información consignada en el Estado de Situación Financiera Convertido aportado en la propuesta.</w:t>
      </w:r>
    </w:p>
    <w:p w14:paraId="0B0ED136" w14:textId="77777777" w:rsidR="00A34816" w:rsidRPr="00522F77" w:rsidRDefault="00A34816" w:rsidP="00522F77">
      <w:pPr>
        <w:tabs>
          <w:tab w:val="left" w:pos="1155"/>
        </w:tabs>
        <w:spacing w:after="0" w:line="240" w:lineRule="auto"/>
        <w:contextualSpacing/>
        <w:jc w:val="both"/>
        <w:rPr>
          <w:rFonts w:ascii="Arial" w:hAnsi="Arial" w:cs="Arial"/>
        </w:rPr>
      </w:pPr>
    </w:p>
    <w:p w14:paraId="527CBB50" w14:textId="4FBFCB81" w:rsidR="00A34816" w:rsidRPr="00522F77" w:rsidRDefault="00A34816" w:rsidP="00522F77">
      <w:pPr>
        <w:tabs>
          <w:tab w:val="left" w:pos="1155"/>
        </w:tabs>
        <w:spacing w:after="0" w:line="240" w:lineRule="auto"/>
        <w:contextualSpacing/>
        <w:jc w:val="both"/>
        <w:rPr>
          <w:rFonts w:ascii="Arial" w:hAnsi="Arial" w:cs="Arial"/>
        </w:rPr>
      </w:pPr>
      <w:r w:rsidRPr="00522F77">
        <w:rPr>
          <w:rFonts w:ascii="Arial" w:hAnsi="Arial" w:cs="Arial"/>
        </w:rPr>
        <w:t xml:space="preserve">Los estados financieros deberán venir de conformidad con lo establecido en los lineamientos Colombia Compra Eficiente y la fecha de corte será a 31 de diciembre de </w:t>
      </w:r>
      <w:r w:rsidR="0098745C">
        <w:rPr>
          <w:rFonts w:ascii="Arial" w:hAnsi="Arial" w:cs="Arial"/>
        </w:rPr>
        <w:t>2019</w:t>
      </w:r>
      <w:r w:rsidRPr="00522F77">
        <w:rPr>
          <w:rFonts w:ascii="Arial" w:hAnsi="Arial" w:cs="Arial"/>
        </w:rPr>
        <w:t>, salvo que se acredite en debida forma que la legislación propia del país de origen establece una fecha de corte diferente a la prevista en este Pliego.</w:t>
      </w:r>
    </w:p>
    <w:p w14:paraId="162ADCD5" w14:textId="77777777" w:rsidR="00A34816" w:rsidRPr="00522F77" w:rsidRDefault="00A34816" w:rsidP="00522F77">
      <w:pPr>
        <w:tabs>
          <w:tab w:val="left" w:pos="1155"/>
        </w:tabs>
        <w:spacing w:after="0" w:line="240" w:lineRule="auto"/>
        <w:contextualSpacing/>
        <w:jc w:val="both"/>
        <w:rPr>
          <w:rFonts w:ascii="Arial" w:hAnsi="Arial" w:cs="Arial"/>
        </w:rPr>
      </w:pPr>
    </w:p>
    <w:p w14:paraId="05669905" w14:textId="77777777" w:rsidR="00A34816" w:rsidRPr="00522F77" w:rsidRDefault="00A34816" w:rsidP="00522F77">
      <w:pPr>
        <w:tabs>
          <w:tab w:val="left" w:pos="1155"/>
        </w:tabs>
        <w:spacing w:after="0" w:line="240" w:lineRule="auto"/>
        <w:contextualSpacing/>
        <w:jc w:val="both"/>
        <w:rPr>
          <w:rFonts w:ascii="Arial" w:hAnsi="Arial" w:cs="Arial"/>
        </w:rPr>
      </w:pPr>
      <w:r w:rsidRPr="00522F77">
        <w:rPr>
          <w:rFonts w:ascii="Arial" w:hAnsi="Arial" w:cs="Arial"/>
        </w:rPr>
        <w:t xml:space="preserve">Las disposiciones de este Pliego de Condiciones en cuanto a proponentes extranjeros se regirán sin perjuicio de lo pactado en tratados o convenios internacionales. A las sociedades extranjeras con sucursal en Colombia se les aplicarán las reglas de las Sociedades Colombianas. </w:t>
      </w:r>
    </w:p>
    <w:p w14:paraId="4C090CCA" w14:textId="77777777" w:rsidR="00A34816" w:rsidRPr="00522F77" w:rsidRDefault="00A34816" w:rsidP="00522F77">
      <w:pPr>
        <w:tabs>
          <w:tab w:val="left" w:pos="1155"/>
        </w:tabs>
        <w:spacing w:after="0" w:line="240" w:lineRule="auto"/>
        <w:contextualSpacing/>
        <w:jc w:val="both"/>
        <w:rPr>
          <w:rFonts w:ascii="Arial" w:hAnsi="Arial" w:cs="Arial"/>
        </w:rPr>
      </w:pPr>
    </w:p>
    <w:p w14:paraId="123C6F29" w14:textId="6406BC82" w:rsidR="00A34816" w:rsidRPr="00522F77" w:rsidRDefault="00A34816" w:rsidP="00522F77">
      <w:pPr>
        <w:tabs>
          <w:tab w:val="left" w:pos="1155"/>
        </w:tabs>
        <w:spacing w:after="0" w:line="240" w:lineRule="auto"/>
        <w:contextualSpacing/>
        <w:jc w:val="both"/>
        <w:rPr>
          <w:rFonts w:ascii="Arial" w:hAnsi="Arial" w:cs="Arial"/>
        </w:rPr>
      </w:pPr>
      <w:r w:rsidRPr="00522F77">
        <w:rPr>
          <w:rFonts w:ascii="Arial" w:hAnsi="Arial" w:cs="Arial"/>
        </w:rPr>
        <w:t xml:space="preserve">Si </w:t>
      </w:r>
      <w:r w:rsidR="00A315A0" w:rsidRPr="00522F77">
        <w:rPr>
          <w:rFonts w:ascii="Arial" w:hAnsi="Arial" w:cs="Arial"/>
        </w:rPr>
        <w:t>alguno de estos requerimientos no aplica</w:t>
      </w:r>
      <w:r w:rsidRPr="00522F77">
        <w:rPr>
          <w:rFonts w:ascii="Arial" w:hAnsi="Arial" w:cs="Arial"/>
        </w:rPr>
        <w:t xml:space="preserve"> en el país del domicilio del proponente extranjero, el representante legal o el apoderado en Colombia deberán hacerlo constar bajo la gravedad de juramento. Así mismo se podrá acreditar este requisito por la firma auditora externa.</w:t>
      </w:r>
    </w:p>
    <w:p w14:paraId="33814034" w14:textId="77777777" w:rsidR="00A34816" w:rsidRPr="00522F77" w:rsidRDefault="00A34816" w:rsidP="00522F77">
      <w:pPr>
        <w:tabs>
          <w:tab w:val="left" w:pos="1155"/>
        </w:tabs>
        <w:spacing w:after="0" w:line="240" w:lineRule="auto"/>
        <w:contextualSpacing/>
        <w:jc w:val="both"/>
        <w:rPr>
          <w:rFonts w:ascii="Arial" w:hAnsi="Arial" w:cs="Arial"/>
          <w:b/>
        </w:rPr>
      </w:pPr>
    </w:p>
    <w:p w14:paraId="0088C93C" w14:textId="77777777" w:rsidR="00A34816" w:rsidRPr="00522F77" w:rsidRDefault="00A34816" w:rsidP="00522F77">
      <w:pPr>
        <w:pStyle w:val="Prrafodelista"/>
        <w:numPr>
          <w:ilvl w:val="0"/>
          <w:numId w:val="8"/>
        </w:numPr>
        <w:tabs>
          <w:tab w:val="left" w:pos="1155"/>
        </w:tabs>
        <w:spacing w:line="240" w:lineRule="auto"/>
        <w:ind w:left="567" w:hanging="567"/>
        <w:jc w:val="both"/>
        <w:rPr>
          <w:rFonts w:ascii="Arial" w:hAnsi="Arial" w:cs="Arial"/>
          <w:b/>
        </w:rPr>
      </w:pPr>
      <w:r w:rsidRPr="00522F77">
        <w:rPr>
          <w:rFonts w:ascii="Arial" w:hAnsi="Arial" w:cs="Arial"/>
          <w:b/>
        </w:rPr>
        <w:t>REQUISITOS PARA PRESENTACIÓN DE MONEDA EXTRANJERA</w:t>
      </w:r>
    </w:p>
    <w:p w14:paraId="1A9CBB12" w14:textId="77777777" w:rsidR="00A34816" w:rsidRPr="00522F77" w:rsidRDefault="00A34816" w:rsidP="00522F77">
      <w:pPr>
        <w:tabs>
          <w:tab w:val="left" w:pos="1155"/>
        </w:tabs>
        <w:spacing w:after="0" w:line="240" w:lineRule="auto"/>
        <w:contextualSpacing/>
        <w:jc w:val="both"/>
        <w:rPr>
          <w:rFonts w:ascii="Arial" w:hAnsi="Arial" w:cs="Arial"/>
          <w:b/>
        </w:rPr>
      </w:pPr>
    </w:p>
    <w:p w14:paraId="09C164D4" w14:textId="77777777" w:rsidR="00A34816" w:rsidRPr="00522F77" w:rsidRDefault="00A34816" w:rsidP="00522F77">
      <w:pPr>
        <w:tabs>
          <w:tab w:val="left" w:pos="1155"/>
        </w:tabs>
        <w:spacing w:after="0" w:line="240" w:lineRule="auto"/>
        <w:contextualSpacing/>
        <w:jc w:val="both"/>
        <w:rPr>
          <w:rFonts w:ascii="Arial" w:hAnsi="Arial" w:cs="Arial"/>
        </w:rPr>
      </w:pPr>
      <w:r w:rsidRPr="00522F77">
        <w:rPr>
          <w:rFonts w:ascii="Arial" w:hAnsi="Arial" w:cs="Arial"/>
        </w:rPr>
        <w:t xml:space="preserve">La información deberá ser presentada en pesos de Colombia, en este orden, cuando los Estados Financieros estén expresados en monedas extranjeras deberán convertirse a Pesos Colombianos, siguiendo el procedimiento que a continuación se describe: </w:t>
      </w:r>
    </w:p>
    <w:p w14:paraId="5B45DC56" w14:textId="77777777" w:rsidR="00A34816" w:rsidRPr="00522F77" w:rsidRDefault="00A34816" w:rsidP="00522F77">
      <w:pPr>
        <w:tabs>
          <w:tab w:val="left" w:pos="1155"/>
        </w:tabs>
        <w:spacing w:after="0" w:line="240" w:lineRule="auto"/>
        <w:contextualSpacing/>
        <w:jc w:val="both"/>
        <w:rPr>
          <w:rFonts w:ascii="Arial" w:hAnsi="Arial" w:cs="Arial"/>
        </w:rPr>
      </w:pPr>
    </w:p>
    <w:p w14:paraId="2222C418" w14:textId="77777777" w:rsidR="00A34816" w:rsidRPr="00522F77" w:rsidRDefault="00A34816" w:rsidP="00522F77">
      <w:pPr>
        <w:pStyle w:val="Prrafodelista"/>
        <w:numPr>
          <w:ilvl w:val="0"/>
          <w:numId w:val="9"/>
        </w:numPr>
        <w:tabs>
          <w:tab w:val="left" w:pos="1155"/>
        </w:tabs>
        <w:spacing w:line="240" w:lineRule="auto"/>
        <w:ind w:left="567" w:hanging="567"/>
        <w:jc w:val="both"/>
        <w:rPr>
          <w:rFonts w:ascii="Arial" w:hAnsi="Arial" w:cs="Arial"/>
        </w:rPr>
      </w:pPr>
      <w:r w:rsidRPr="00522F77">
        <w:rPr>
          <w:rFonts w:ascii="Arial" w:hAnsi="Arial" w:cs="Arial"/>
        </w:rPr>
        <w:t xml:space="preserve">Si está expresado originalmente en Dólares de los Estados Unidos de Norte América los valores se convertirán a pesos colombianos, utilizando para ello el valor de la tasa representativa del mercado (TRM) correspondiente a la fecha de cierre del balance, certificadas </w:t>
      </w:r>
      <w:r w:rsidRPr="00522F77">
        <w:rPr>
          <w:rFonts w:ascii="Arial" w:hAnsi="Arial" w:cs="Arial"/>
        </w:rPr>
        <w:lastRenderedPageBreak/>
        <w:t xml:space="preserve">por el Banco de la República, para lo cual el proponente deberá indicar la tasa representativa del mercado utilizada para la conversión. </w:t>
      </w:r>
    </w:p>
    <w:p w14:paraId="2AC99DA5" w14:textId="77777777" w:rsidR="00A34816" w:rsidRPr="00522F77" w:rsidRDefault="00A34816" w:rsidP="00522F77">
      <w:pPr>
        <w:tabs>
          <w:tab w:val="left" w:pos="1155"/>
        </w:tabs>
        <w:spacing w:after="0" w:line="240" w:lineRule="auto"/>
        <w:contextualSpacing/>
        <w:jc w:val="both"/>
        <w:rPr>
          <w:rFonts w:ascii="Arial" w:hAnsi="Arial" w:cs="Arial"/>
        </w:rPr>
      </w:pPr>
    </w:p>
    <w:p w14:paraId="13B17D04" w14:textId="77777777" w:rsidR="00A34816" w:rsidRPr="00522F77" w:rsidRDefault="00A34816" w:rsidP="00522F77">
      <w:pPr>
        <w:tabs>
          <w:tab w:val="left" w:pos="1155"/>
        </w:tabs>
        <w:spacing w:after="0" w:line="240" w:lineRule="auto"/>
        <w:ind w:left="567" w:hanging="567"/>
        <w:contextualSpacing/>
        <w:jc w:val="both"/>
        <w:rPr>
          <w:rFonts w:ascii="Arial" w:hAnsi="Arial" w:cs="Arial"/>
        </w:rPr>
      </w:pPr>
      <w:r w:rsidRPr="00522F77">
        <w:rPr>
          <w:rFonts w:ascii="Arial" w:hAnsi="Arial" w:cs="Arial"/>
        </w:rPr>
        <w:t>ii.</w:t>
      </w:r>
      <w:r w:rsidRPr="00522F77">
        <w:rPr>
          <w:rFonts w:ascii="Arial" w:hAnsi="Arial" w:cs="Arial"/>
        </w:rPr>
        <w:tab/>
        <w:t>Si está expresado originalmente en una moneda o unidad de cuenta diferente a Dólares de los Estados Unidos de Norte América, deberá convertirse a ésta moneda, utilizando para ello el valor correspondiente a la tasas de cambio vigentes entre el dólar y dicha moneda a la fecha de cierre del balance (utilizando para tal efecto la página web http://www.oanda.com en la pestaña Currency.</w:t>
      </w:r>
    </w:p>
    <w:p w14:paraId="1B15AD2A" w14:textId="77777777" w:rsidR="00A34816" w:rsidRPr="00522F77" w:rsidRDefault="00A34816" w:rsidP="00522F77">
      <w:pPr>
        <w:spacing w:after="0" w:line="240" w:lineRule="auto"/>
        <w:contextualSpacing/>
        <w:jc w:val="both"/>
        <w:rPr>
          <w:rFonts w:ascii="Arial" w:hAnsi="Arial" w:cs="Arial"/>
        </w:rPr>
      </w:pPr>
    </w:p>
    <w:bookmarkEnd w:id="0"/>
    <w:p w14:paraId="08936E5C" w14:textId="77777777" w:rsidR="00753BF9" w:rsidRPr="00522F77" w:rsidRDefault="00753BF9" w:rsidP="00522F77">
      <w:pPr>
        <w:spacing w:after="0" w:line="240" w:lineRule="auto"/>
        <w:rPr>
          <w:rFonts w:ascii="Arial" w:hAnsi="Arial" w:cs="Arial"/>
        </w:rPr>
      </w:pPr>
    </w:p>
    <w:p w14:paraId="79AB8608" w14:textId="77777777" w:rsidR="00753BF9" w:rsidRDefault="00753BF9" w:rsidP="00522F77">
      <w:pPr>
        <w:spacing w:after="0" w:line="240" w:lineRule="auto"/>
        <w:rPr>
          <w:rFonts w:ascii="Arial" w:hAnsi="Arial" w:cs="Arial"/>
        </w:rPr>
      </w:pPr>
    </w:p>
    <w:p w14:paraId="735C0EE9" w14:textId="77777777" w:rsidR="00E7592F" w:rsidRDefault="00E7592F" w:rsidP="00E7592F">
      <w:pPr>
        <w:spacing w:after="0" w:line="240" w:lineRule="auto"/>
        <w:contextualSpacing/>
        <w:jc w:val="both"/>
        <w:rPr>
          <w:rFonts w:ascii="Arial" w:hAnsi="Arial" w:cs="Arial"/>
        </w:rPr>
      </w:pPr>
      <w:r w:rsidRPr="00522F77">
        <w:rPr>
          <w:rFonts w:ascii="Arial" w:hAnsi="Arial" w:cs="Arial"/>
        </w:rPr>
        <w:t>Elaboró:</w:t>
      </w:r>
      <w:r w:rsidRPr="00522F77">
        <w:rPr>
          <w:rFonts w:ascii="Arial" w:hAnsi="Arial" w:cs="Arial"/>
        </w:rPr>
        <w:tab/>
      </w:r>
      <w:r>
        <w:rPr>
          <w:rFonts w:ascii="Arial" w:hAnsi="Arial" w:cs="Arial"/>
        </w:rPr>
        <w:t>William Fernando Camargo Triana</w:t>
      </w:r>
    </w:p>
    <w:p w14:paraId="5250AE4F" w14:textId="7A034ECB" w:rsidR="00E7592F" w:rsidRDefault="002D0B92" w:rsidP="00E7592F">
      <w:pPr>
        <w:spacing w:after="0" w:line="240" w:lineRule="auto"/>
        <w:ind w:left="1416"/>
        <w:contextualSpacing/>
        <w:jc w:val="both"/>
        <w:rPr>
          <w:rFonts w:ascii="Arial" w:hAnsi="Arial" w:cs="Arial"/>
        </w:rPr>
      </w:pPr>
      <w:r>
        <w:rPr>
          <w:rFonts w:ascii="Arial" w:hAnsi="Arial" w:cs="Arial"/>
        </w:rPr>
        <w:t xml:space="preserve">Alexandra García Rendon </w:t>
      </w:r>
    </w:p>
    <w:p w14:paraId="2DB5045F" w14:textId="68F9CD95" w:rsidR="00E7592F" w:rsidRPr="00522F77" w:rsidRDefault="00E7592F" w:rsidP="00E7592F">
      <w:pPr>
        <w:spacing w:after="0" w:line="240" w:lineRule="auto"/>
        <w:ind w:left="1416"/>
        <w:contextualSpacing/>
        <w:jc w:val="both"/>
        <w:rPr>
          <w:rFonts w:ascii="Arial" w:hAnsi="Arial" w:cs="Arial"/>
        </w:rPr>
      </w:pPr>
      <w:r>
        <w:rPr>
          <w:rFonts w:ascii="Arial" w:hAnsi="Arial" w:cs="Arial"/>
        </w:rPr>
        <w:t>Santiago Hernández Ochoa</w:t>
      </w:r>
    </w:p>
    <w:p w14:paraId="07D73618" w14:textId="01CD778D" w:rsidR="003E2F05" w:rsidRPr="00522F77" w:rsidRDefault="003E2F05" w:rsidP="00522F77">
      <w:pPr>
        <w:spacing w:after="0" w:line="240" w:lineRule="auto"/>
        <w:contextualSpacing/>
        <w:jc w:val="both"/>
        <w:rPr>
          <w:rFonts w:ascii="Arial" w:hAnsi="Arial" w:cs="Arial"/>
          <w:b/>
        </w:rPr>
      </w:pPr>
    </w:p>
    <w:sectPr w:rsidR="003E2F05" w:rsidRPr="00522F77" w:rsidSect="00522F77">
      <w:headerReference w:type="default" r:id="rId37"/>
      <w:pgSz w:w="11906" w:h="16838" w:code="9"/>
      <w:pgMar w:top="1440" w:right="1080" w:bottom="1440" w:left="1080" w:header="709" w:footer="709" w:gutter="0"/>
      <w:lnNumType w:countBy="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08DDCD" w14:textId="77777777" w:rsidR="00E564E6" w:rsidRDefault="00E564E6" w:rsidP="007A2604">
      <w:pPr>
        <w:spacing w:after="0" w:line="240" w:lineRule="auto"/>
      </w:pPr>
      <w:r>
        <w:separator/>
      </w:r>
    </w:p>
  </w:endnote>
  <w:endnote w:type="continuationSeparator" w:id="0">
    <w:p w14:paraId="5E0681D5" w14:textId="77777777" w:rsidR="00E564E6" w:rsidRDefault="00E564E6" w:rsidP="007A2604">
      <w:pPr>
        <w:spacing w:after="0" w:line="240" w:lineRule="auto"/>
      </w:pPr>
      <w:r>
        <w:continuationSeparator/>
      </w:r>
    </w:p>
  </w:endnote>
  <w:endnote w:type="continuationNotice" w:id="1">
    <w:p w14:paraId="01C36F6E" w14:textId="77777777" w:rsidR="00E564E6" w:rsidRDefault="00E564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604020202020204"/>
    <w:charset w:val="00"/>
    <w:family w:val="swiss"/>
    <w:pitch w:val="variable"/>
    <w:sig w:usb0="E4002EFF" w:usb1="C000E47F" w:usb2="00000009" w:usb3="00000000" w:csb0="000001FF" w:csb1="00000000"/>
  </w:font>
  <w:font w:name="Arial Narrow">
    <w:panose1 w:val="020B060602020203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BC3F16" w14:textId="77777777" w:rsidR="00E564E6" w:rsidRDefault="00E564E6" w:rsidP="007A2604">
      <w:pPr>
        <w:spacing w:after="0" w:line="240" w:lineRule="auto"/>
      </w:pPr>
      <w:r>
        <w:separator/>
      </w:r>
    </w:p>
  </w:footnote>
  <w:footnote w:type="continuationSeparator" w:id="0">
    <w:p w14:paraId="2C0BAA88" w14:textId="77777777" w:rsidR="00E564E6" w:rsidRDefault="00E564E6" w:rsidP="007A2604">
      <w:pPr>
        <w:spacing w:after="0" w:line="240" w:lineRule="auto"/>
      </w:pPr>
      <w:r>
        <w:continuationSeparator/>
      </w:r>
    </w:p>
  </w:footnote>
  <w:footnote w:type="continuationNotice" w:id="1">
    <w:p w14:paraId="6C2230BB" w14:textId="77777777" w:rsidR="00E564E6" w:rsidRDefault="00E564E6">
      <w:pPr>
        <w:spacing w:after="0" w:line="240" w:lineRule="auto"/>
      </w:pPr>
    </w:p>
  </w:footnote>
  <w:footnote w:id="2">
    <w:p w14:paraId="031F102C" w14:textId="77777777" w:rsidR="00687AF8" w:rsidRPr="00AB4BB6" w:rsidRDefault="00687AF8">
      <w:pPr>
        <w:pStyle w:val="Textonotapie"/>
        <w:rPr>
          <w:rFonts w:ascii="Arial Narrow" w:hAnsi="Arial Narrow"/>
          <w:sz w:val="16"/>
          <w:szCs w:val="16"/>
          <w:lang w:val="es-ES"/>
        </w:rPr>
      </w:pPr>
      <w:r>
        <w:rPr>
          <w:rStyle w:val="Refdenotaalpie"/>
        </w:rPr>
        <w:footnoteRef/>
      </w:r>
      <w:r>
        <w:t xml:space="preserve"> </w:t>
      </w:r>
      <w:r w:rsidRPr="00AB4BB6">
        <w:rPr>
          <w:rFonts w:ascii="Arial Narrow" w:hAnsi="Arial Narrow"/>
          <w:sz w:val="16"/>
          <w:szCs w:val="16"/>
        </w:rPr>
        <w:t xml:space="preserve">Banco de la Républica, </w:t>
      </w:r>
      <w:r w:rsidRPr="00AB4BB6">
        <w:rPr>
          <w:rFonts w:ascii="Arial Narrow" w:hAnsi="Arial Narrow"/>
          <w:sz w:val="16"/>
          <w:szCs w:val="16"/>
          <w:lang w:val="es-ES"/>
        </w:rPr>
        <w:t xml:space="preserve">Reporte de estabilidad financiera 1er semestre de 2019. Entorno Macroeconómico. </w:t>
      </w:r>
    </w:p>
  </w:footnote>
  <w:footnote w:id="3">
    <w:p w14:paraId="59BC08E0" w14:textId="77777777" w:rsidR="00687AF8" w:rsidRPr="00DB7F12" w:rsidRDefault="00687AF8">
      <w:pPr>
        <w:pStyle w:val="Textonotapie"/>
        <w:rPr>
          <w:lang w:val="es-ES"/>
        </w:rPr>
      </w:pPr>
      <w:r>
        <w:rPr>
          <w:rStyle w:val="Refdenotaalpie"/>
        </w:rPr>
        <w:footnoteRef/>
      </w:r>
      <w:r>
        <w:t xml:space="preserve"> </w:t>
      </w:r>
      <w:r w:rsidRPr="00DB7F12">
        <w:t>3 EL espectador: “Victorias y derrotas del sector TIC con la tributaria”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0"/>
      <w:gridCol w:w="5386"/>
      <w:gridCol w:w="1134"/>
      <w:gridCol w:w="808"/>
      <w:gridCol w:w="477"/>
      <w:gridCol w:w="367"/>
    </w:tblGrid>
    <w:tr w:rsidR="00687AF8" w14:paraId="05C0B4AE" w14:textId="77777777" w:rsidTr="00522F77">
      <w:trPr>
        <w:cantSplit/>
        <w:trHeight w:val="456"/>
      </w:trPr>
      <w:tc>
        <w:tcPr>
          <w:tcW w:w="1560" w:type="dxa"/>
          <w:vMerge w:val="restart"/>
        </w:tcPr>
        <w:p w14:paraId="03A00954" w14:textId="77777777" w:rsidR="00687AF8" w:rsidRDefault="00E564E6" w:rsidP="000100CF">
          <w:pPr>
            <w:pStyle w:val="Encabezado"/>
            <w:rPr>
              <w:rFonts w:ascii="Tahoma" w:hAnsi="Tahoma"/>
              <w:lang w:val="pt-BR"/>
            </w:rPr>
          </w:pPr>
          <w:r>
            <w:rPr>
              <w:rFonts w:ascii="Tahoma" w:hAnsi="Tahoma"/>
              <w:noProof/>
              <w:lang w:eastAsia="es-CO"/>
            </w:rPr>
            <w:object w:dxaOrig="1440" w:dyaOrig="1440" w14:anchorId="69833A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alt="" style="position:absolute;margin-left:2.9pt;margin-top:9pt;width:61.55pt;height:57.55pt;z-index:251658240;mso-wrap-edited:f;mso-width-percent:0;mso-height-percent:0;mso-width-percent:0;mso-height-percent:0">
                <v:imagedata r:id="rId1" o:title=""/>
                <w10:wrap type="square"/>
              </v:shape>
              <o:OLEObject Type="Embed" ProgID="PBrush" ShapeID="_x0000_s2049" DrawAspect="Content" ObjectID="_1658685734" r:id="rId2"/>
            </w:object>
          </w:r>
        </w:p>
      </w:tc>
      <w:tc>
        <w:tcPr>
          <w:tcW w:w="5386" w:type="dxa"/>
          <w:vMerge w:val="restart"/>
          <w:vAlign w:val="center"/>
        </w:tcPr>
        <w:p w14:paraId="2D92980F" w14:textId="1CB3B8C3" w:rsidR="00687AF8" w:rsidRPr="00224A42" w:rsidRDefault="00687AF8" w:rsidP="000100CF">
          <w:pPr>
            <w:pStyle w:val="Encabezado"/>
            <w:jc w:val="center"/>
            <w:rPr>
              <w:rFonts w:ascii="Arial" w:hAnsi="Arial"/>
              <w:sz w:val="16"/>
              <w:szCs w:val="16"/>
            </w:rPr>
          </w:pPr>
          <w:r w:rsidRPr="00224A42">
            <w:rPr>
              <w:rFonts w:ascii="Arial" w:hAnsi="Arial"/>
              <w:sz w:val="16"/>
              <w:szCs w:val="16"/>
            </w:rPr>
            <w:t xml:space="preserve">Instituto   Nacional   de   </w:t>
          </w:r>
          <w:r w:rsidR="005C1857">
            <w:rPr>
              <w:rFonts w:ascii="Arial" w:hAnsi="Arial"/>
              <w:sz w:val="16"/>
              <w:szCs w:val="16"/>
            </w:rPr>
            <w:t>V</w:t>
          </w:r>
          <w:r w:rsidR="005C1857" w:rsidRPr="00224A42">
            <w:rPr>
              <w:rFonts w:ascii="Arial" w:hAnsi="Arial"/>
              <w:sz w:val="16"/>
              <w:szCs w:val="16"/>
            </w:rPr>
            <w:t>ías</w:t>
          </w:r>
        </w:p>
        <w:p w14:paraId="6BE0484B" w14:textId="77777777" w:rsidR="00687AF8" w:rsidRPr="00224A42" w:rsidRDefault="00687AF8" w:rsidP="000100CF">
          <w:pPr>
            <w:pStyle w:val="Encabezado"/>
            <w:jc w:val="center"/>
            <w:rPr>
              <w:rFonts w:ascii="Arial" w:hAnsi="Arial"/>
              <w:sz w:val="18"/>
              <w:szCs w:val="18"/>
            </w:rPr>
          </w:pPr>
          <w:r w:rsidRPr="00224A42">
            <w:rPr>
              <w:rFonts w:ascii="Arial" w:hAnsi="Arial"/>
              <w:sz w:val="18"/>
              <w:szCs w:val="18"/>
            </w:rPr>
            <w:t>GESTIÓN CONTRACTUAL</w:t>
          </w:r>
        </w:p>
        <w:p w14:paraId="0C2C5F40" w14:textId="77777777" w:rsidR="00687AF8" w:rsidRDefault="00687AF8" w:rsidP="000100CF">
          <w:pPr>
            <w:pStyle w:val="Encabezado"/>
            <w:jc w:val="center"/>
            <w:rPr>
              <w:rFonts w:ascii="Arial" w:hAnsi="Arial"/>
              <w:sz w:val="20"/>
            </w:rPr>
          </w:pPr>
          <w:r>
            <w:rPr>
              <w:rFonts w:ascii="Arial" w:hAnsi="Arial"/>
              <w:sz w:val="20"/>
            </w:rPr>
            <w:t>ANALISIS DEL SECTOR</w:t>
          </w:r>
        </w:p>
        <w:p w14:paraId="1D4EC975" w14:textId="3685347F" w:rsidR="00687AF8" w:rsidRPr="00CA1D2F" w:rsidRDefault="00687AF8" w:rsidP="000100CF">
          <w:pPr>
            <w:pStyle w:val="Encabezado"/>
            <w:jc w:val="center"/>
            <w:rPr>
              <w:rFonts w:ascii="Arial" w:hAnsi="Arial"/>
              <w:sz w:val="20"/>
            </w:rPr>
          </w:pPr>
          <w:r>
            <w:rPr>
              <w:rFonts w:ascii="Arial" w:hAnsi="Arial"/>
              <w:sz w:val="20"/>
            </w:rPr>
            <w:t xml:space="preserve">LICITACION PUBLICA – </w:t>
          </w:r>
          <w:r w:rsidR="005C1857">
            <w:rPr>
              <w:rFonts w:ascii="Arial" w:hAnsi="Arial"/>
              <w:sz w:val="20"/>
            </w:rPr>
            <w:t>LP-DT-038-2020</w:t>
          </w:r>
        </w:p>
      </w:tc>
      <w:tc>
        <w:tcPr>
          <w:tcW w:w="1134" w:type="dxa"/>
          <w:vAlign w:val="center"/>
        </w:tcPr>
        <w:p w14:paraId="7293519C" w14:textId="77777777" w:rsidR="00687AF8" w:rsidRDefault="00687AF8" w:rsidP="000100CF">
          <w:pPr>
            <w:pStyle w:val="Encabezado"/>
            <w:rPr>
              <w:rFonts w:ascii="Arial" w:hAnsi="Arial" w:cs="Arial"/>
              <w:sz w:val="18"/>
              <w:szCs w:val="18"/>
            </w:rPr>
          </w:pPr>
          <w:r>
            <w:rPr>
              <w:rFonts w:ascii="Arial" w:hAnsi="Arial" w:cs="Arial"/>
              <w:sz w:val="18"/>
              <w:szCs w:val="18"/>
            </w:rPr>
            <w:t>CÓDIGO</w:t>
          </w:r>
        </w:p>
      </w:tc>
      <w:tc>
        <w:tcPr>
          <w:tcW w:w="1652" w:type="dxa"/>
          <w:gridSpan w:val="3"/>
          <w:vAlign w:val="center"/>
        </w:tcPr>
        <w:p w14:paraId="18AED226" w14:textId="77777777" w:rsidR="00687AF8" w:rsidRPr="00C2073F" w:rsidRDefault="00687AF8" w:rsidP="000100CF">
          <w:pPr>
            <w:pStyle w:val="Encabezado"/>
            <w:jc w:val="center"/>
            <w:rPr>
              <w:rFonts w:ascii="Arial" w:hAnsi="Arial" w:cs="Arial"/>
              <w:sz w:val="18"/>
              <w:szCs w:val="18"/>
            </w:rPr>
          </w:pPr>
          <w:r>
            <w:rPr>
              <w:rFonts w:ascii="Arial" w:hAnsi="Arial" w:cs="Arial"/>
              <w:sz w:val="18"/>
              <w:szCs w:val="18"/>
            </w:rPr>
            <w:t>ACONTR-FR-2</w:t>
          </w:r>
        </w:p>
      </w:tc>
    </w:tr>
    <w:tr w:rsidR="00687AF8" w14:paraId="7929EBEC" w14:textId="77777777" w:rsidTr="00522F77">
      <w:trPr>
        <w:cantSplit/>
        <w:trHeight w:val="456"/>
      </w:trPr>
      <w:tc>
        <w:tcPr>
          <w:tcW w:w="1560" w:type="dxa"/>
          <w:vMerge/>
        </w:tcPr>
        <w:p w14:paraId="4CE02584" w14:textId="77777777" w:rsidR="00687AF8" w:rsidRDefault="00687AF8" w:rsidP="000100CF">
          <w:pPr>
            <w:pStyle w:val="Encabezado"/>
            <w:rPr>
              <w:rFonts w:ascii="Tahoma" w:hAnsi="Tahoma"/>
              <w:lang w:val="pt-BR"/>
            </w:rPr>
          </w:pPr>
        </w:p>
      </w:tc>
      <w:tc>
        <w:tcPr>
          <w:tcW w:w="5386" w:type="dxa"/>
          <w:vMerge/>
          <w:vAlign w:val="center"/>
        </w:tcPr>
        <w:p w14:paraId="4E0C1C88" w14:textId="77777777" w:rsidR="00687AF8" w:rsidRDefault="00687AF8" w:rsidP="000100CF">
          <w:pPr>
            <w:pStyle w:val="Encabezado"/>
            <w:jc w:val="center"/>
            <w:rPr>
              <w:rFonts w:ascii="Arial" w:hAnsi="Arial"/>
              <w:sz w:val="20"/>
            </w:rPr>
          </w:pPr>
        </w:p>
      </w:tc>
      <w:tc>
        <w:tcPr>
          <w:tcW w:w="1134" w:type="dxa"/>
          <w:vAlign w:val="center"/>
        </w:tcPr>
        <w:p w14:paraId="41AF769B" w14:textId="77777777" w:rsidR="00687AF8" w:rsidRDefault="00687AF8" w:rsidP="000100CF">
          <w:pPr>
            <w:pStyle w:val="Encabezado"/>
            <w:rPr>
              <w:rFonts w:ascii="Arial" w:hAnsi="Arial" w:cs="Arial"/>
              <w:sz w:val="18"/>
              <w:szCs w:val="18"/>
            </w:rPr>
          </w:pPr>
          <w:r>
            <w:rPr>
              <w:rFonts w:ascii="Arial" w:hAnsi="Arial" w:cs="Arial"/>
              <w:sz w:val="18"/>
              <w:szCs w:val="18"/>
            </w:rPr>
            <w:t>VERSIÓN</w:t>
          </w:r>
        </w:p>
      </w:tc>
      <w:tc>
        <w:tcPr>
          <w:tcW w:w="1652" w:type="dxa"/>
          <w:gridSpan w:val="3"/>
          <w:vAlign w:val="center"/>
        </w:tcPr>
        <w:p w14:paraId="0365F30D" w14:textId="77777777" w:rsidR="00687AF8" w:rsidRDefault="00687AF8" w:rsidP="000100CF">
          <w:pPr>
            <w:pStyle w:val="Encabezado"/>
            <w:jc w:val="center"/>
            <w:rPr>
              <w:rFonts w:ascii="Arial" w:hAnsi="Arial" w:cs="Arial"/>
              <w:sz w:val="18"/>
              <w:szCs w:val="18"/>
            </w:rPr>
          </w:pPr>
          <w:r>
            <w:rPr>
              <w:rFonts w:ascii="Arial" w:hAnsi="Arial" w:cs="Arial"/>
              <w:sz w:val="18"/>
              <w:szCs w:val="18"/>
            </w:rPr>
            <w:t>2</w:t>
          </w:r>
        </w:p>
      </w:tc>
    </w:tr>
    <w:tr w:rsidR="00687AF8" w14:paraId="4B74E68B" w14:textId="77777777" w:rsidTr="00522F77">
      <w:trPr>
        <w:cantSplit/>
        <w:trHeight w:val="456"/>
      </w:trPr>
      <w:tc>
        <w:tcPr>
          <w:tcW w:w="1560" w:type="dxa"/>
          <w:vMerge/>
        </w:tcPr>
        <w:p w14:paraId="584CB166" w14:textId="77777777" w:rsidR="00687AF8" w:rsidRDefault="00687AF8" w:rsidP="000100CF">
          <w:pPr>
            <w:pStyle w:val="Encabezado"/>
            <w:rPr>
              <w:rFonts w:ascii="Tahoma" w:hAnsi="Tahoma"/>
              <w:lang w:val="pt-BR"/>
            </w:rPr>
          </w:pPr>
        </w:p>
      </w:tc>
      <w:tc>
        <w:tcPr>
          <w:tcW w:w="5386" w:type="dxa"/>
          <w:vMerge/>
          <w:vAlign w:val="center"/>
        </w:tcPr>
        <w:p w14:paraId="113E68DB" w14:textId="77777777" w:rsidR="00687AF8" w:rsidRDefault="00687AF8" w:rsidP="000100CF">
          <w:pPr>
            <w:pStyle w:val="Encabezado"/>
            <w:jc w:val="center"/>
            <w:rPr>
              <w:rFonts w:ascii="Arial" w:hAnsi="Arial"/>
              <w:sz w:val="20"/>
            </w:rPr>
          </w:pPr>
        </w:p>
      </w:tc>
      <w:tc>
        <w:tcPr>
          <w:tcW w:w="1134" w:type="dxa"/>
          <w:vAlign w:val="center"/>
        </w:tcPr>
        <w:p w14:paraId="22494206" w14:textId="77777777" w:rsidR="00687AF8" w:rsidRDefault="00687AF8" w:rsidP="000100CF">
          <w:pPr>
            <w:pStyle w:val="Encabezado"/>
            <w:rPr>
              <w:rFonts w:ascii="Arial" w:hAnsi="Arial" w:cs="Arial"/>
              <w:sz w:val="18"/>
              <w:szCs w:val="18"/>
            </w:rPr>
          </w:pPr>
          <w:r>
            <w:rPr>
              <w:rFonts w:ascii="Arial" w:hAnsi="Arial" w:cs="Arial"/>
              <w:sz w:val="18"/>
              <w:szCs w:val="18"/>
            </w:rPr>
            <w:t xml:space="preserve">PÁGINA </w:t>
          </w:r>
        </w:p>
      </w:tc>
      <w:tc>
        <w:tcPr>
          <w:tcW w:w="808" w:type="dxa"/>
          <w:vAlign w:val="center"/>
        </w:tcPr>
        <w:p w14:paraId="6F7696F3" w14:textId="77777777" w:rsidR="00687AF8" w:rsidRDefault="00687AF8" w:rsidP="000100CF">
          <w:pPr>
            <w:pStyle w:val="Encabezado"/>
            <w:jc w:val="center"/>
            <w:rPr>
              <w:rFonts w:ascii="Arial" w:hAnsi="Arial" w:cs="Arial"/>
              <w:sz w:val="18"/>
              <w:szCs w:val="18"/>
            </w:rPr>
          </w:pPr>
          <w:r>
            <w:rPr>
              <w:rStyle w:val="Nmerodepgina"/>
              <w:rFonts w:ascii="Arial" w:hAnsi="Arial" w:cs="Arial"/>
              <w:sz w:val="18"/>
              <w:szCs w:val="18"/>
            </w:rPr>
            <w:fldChar w:fldCharType="begin"/>
          </w:r>
          <w:r>
            <w:rPr>
              <w:rStyle w:val="Nmerodepgina"/>
              <w:rFonts w:ascii="Arial" w:hAnsi="Arial" w:cs="Arial"/>
              <w:sz w:val="18"/>
              <w:szCs w:val="18"/>
            </w:rPr>
            <w:instrText xml:space="preserve"> PAGE </w:instrText>
          </w:r>
          <w:r>
            <w:rPr>
              <w:rStyle w:val="Nmerodepgina"/>
              <w:rFonts w:ascii="Arial" w:hAnsi="Arial" w:cs="Arial"/>
              <w:sz w:val="18"/>
              <w:szCs w:val="18"/>
            </w:rPr>
            <w:fldChar w:fldCharType="separate"/>
          </w:r>
          <w:r>
            <w:rPr>
              <w:rStyle w:val="Nmerodepgina"/>
              <w:rFonts w:ascii="Arial" w:hAnsi="Arial" w:cs="Arial"/>
              <w:noProof/>
              <w:sz w:val="18"/>
              <w:szCs w:val="18"/>
            </w:rPr>
            <w:t>1</w:t>
          </w:r>
          <w:r>
            <w:rPr>
              <w:rStyle w:val="Nmerodepgina"/>
              <w:rFonts w:ascii="Arial" w:hAnsi="Arial" w:cs="Arial"/>
              <w:sz w:val="18"/>
              <w:szCs w:val="18"/>
            </w:rPr>
            <w:fldChar w:fldCharType="end"/>
          </w:r>
        </w:p>
      </w:tc>
      <w:tc>
        <w:tcPr>
          <w:tcW w:w="477" w:type="dxa"/>
          <w:vAlign w:val="center"/>
        </w:tcPr>
        <w:p w14:paraId="3389E004" w14:textId="77777777" w:rsidR="00687AF8" w:rsidRDefault="00687AF8" w:rsidP="000100CF">
          <w:pPr>
            <w:pStyle w:val="Encabezado"/>
            <w:jc w:val="center"/>
            <w:rPr>
              <w:rFonts w:ascii="Arial" w:hAnsi="Arial" w:cs="Arial"/>
              <w:sz w:val="18"/>
              <w:szCs w:val="18"/>
            </w:rPr>
          </w:pPr>
          <w:r>
            <w:rPr>
              <w:rFonts w:ascii="Arial" w:hAnsi="Arial" w:cs="Arial"/>
              <w:sz w:val="18"/>
              <w:szCs w:val="18"/>
            </w:rPr>
            <w:t>DE</w:t>
          </w:r>
        </w:p>
      </w:tc>
      <w:tc>
        <w:tcPr>
          <w:tcW w:w="367" w:type="dxa"/>
          <w:vAlign w:val="center"/>
        </w:tcPr>
        <w:p w14:paraId="4B63B71E" w14:textId="6E8FF4A7" w:rsidR="00687AF8" w:rsidRDefault="002550B9" w:rsidP="000100CF">
          <w:pPr>
            <w:pStyle w:val="Encabezado"/>
            <w:jc w:val="center"/>
            <w:rPr>
              <w:rFonts w:ascii="Arial" w:hAnsi="Arial" w:cs="Arial"/>
              <w:sz w:val="18"/>
              <w:szCs w:val="18"/>
            </w:rPr>
          </w:pPr>
          <w:r>
            <w:rPr>
              <w:rFonts w:ascii="Arial" w:hAnsi="Arial" w:cs="Arial"/>
              <w:sz w:val="18"/>
              <w:szCs w:val="18"/>
            </w:rPr>
            <w:t>31</w:t>
          </w:r>
        </w:p>
      </w:tc>
    </w:tr>
  </w:tbl>
  <w:p w14:paraId="627A1F88" w14:textId="6907DE07" w:rsidR="00687AF8" w:rsidRDefault="00687AF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45.65pt;height:41.6pt" o:bullet="t">
        <v:imagedata r:id="rId1" o:title="Logo INVIAS"/>
      </v:shape>
    </w:pict>
  </w:numPicBullet>
  <w:abstractNum w:abstractNumId="0" w15:restartNumberingAfterBreak="0">
    <w:nsid w:val="01874D0C"/>
    <w:multiLevelType w:val="hybridMultilevel"/>
    <w:tmpl w:val="C5D636F0"/>
    <w:lvl w:ilvl="0" w:tplc="45A0A1B2">
      <w:numFmt w:val="bullet"/>
      <w:lvlText w:val="-"/>
      <w:lvlJc w:val="left"/>
      <w:pPr>
        <w:ind w:left="1080" w:hanging="360"/>
      </w:pPr>
      <w:rPr>
        <w:rFonts w:ascii="Cambria" w:eastAsiaTheme="minorHAnsi" w:hAnsi="Cambria" w:cstheme="minorBidi"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15:restartNumberingAfterBreak="0">
    <w:nsid w:val="0309306D"/>
    <w:multiLevelType w:val="hybridMultilevel"/>
    <w:tmpl w:val="E47AB6AA"/>
    <w:lvl w:ilvl="0" w:tplc="7B923196">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9E3EC1"/>
    <w:multiLevelType w:val="hybridMultilevel"/>
    <w:tmpl w:val="45ECF8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77529B"/>
    <w:multiLevelType w:val="multilevel"/>
    <w:tmpl w:val="F5EE6D86"/>
    <w:lvl w:ilvl="0">
      <w:start w:val="1"/>
      <w:numFmt w:val="decimal"/>
      <w:lvlText w:val="%1."/>
      <w:lvlJc w:val="left"/>
      <w:pPr>
        <w:ind w:left="720" w:hanging="360"/>
      </w:pPr>
      <w:rPr>
        <w:rFonts w:hint="default"/>
        <w:b/>
      </w:rPr>
    </w:lvl>
    <w:lvl w:ilvl="1">
      <w:start w:val="1"/>
      <w:numFmt w:val="decimal"/>
      <w:lvlText w:val="%1.%2"/>
      <w:lvlJc w:val="left"/>
      <w:pPr>
        <w:ind w:left="720" w:hanging="360"/>
      </w:p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097E4E42"/>
    <w:multiLevelType w:val="multilevel"/>
    <w:tmpl w:val="DC4E3948"/>
    <w:lvl w:ilvl="0">
      <w:start w:val="1"/>
      <w:numFmt w:val="decimal"/>
      <w:lvlText w:val="%1."/>
      <w:lvlJc w:val="left"/>
      <w:pPr>
        <w:ind w:left="720" w:hanging="360"/>
      </w:pPr>
      <w:rPr>
        <w:rFonts w:hint="default"/>
        <w:b/>
      </w:rPr>
    </w:lvl>
    <w:lvl w:ilvl="1">
      <w:start w:val="1"/>
      <w:numFmt w:val="decimal"/>
      <w:lvlText w:val="%1.%2"/>
      <w:lvlJc w:val="left"/>
      <w:pPr>
        <w:ind w:left="720" w:hanging="360"/>
      </w:p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0ED16ED"/>
    <w:multiLevelType w:val="hybridMultilevel"/>
    <w:tmpl w:val="88386F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20F6CBE"/>
    <w:multiLevelType w:val="multilevel"/>
    <w:tmpl w:val="E3549FE0"/>
    <w:lvl w:ilvl="0">
      <w:start w:val="9"/>
      <w:numFmt w:val="decimal"/>
      <w:lvlText w:val="%1"/>
      <w:lvlJc w:val="left"/>
      <w:pPr>
        <w:ind w:left="492" w:hanging="492"/>
      </w:pPr>
      <w:rPr>
        <w:rFonts w:hint="default"/>
      </w:rPr>
    </w:lvl>
    <w:lvl w:ilvl="1">
      <w:start w:val="3"/>
      <w:numFmt w:val="decimal"/>
      <w:lvlText w:val="%1.%2"/>
      <w:lvlJc w:val="left"/>
      <w:pPr>
        <w:ind w:left="672" w:hanging="492"/>
      </w:pPr>
      <w:rPr>
        <w:rFonts w:hint="default"/>
      </w:rPr>
    </w:lvl>
    <w:lvl w:ilvl="2">
      <w:start w:val="2"/>
      <w:numFmt w:val="decimal"/>
      <w:lvlText w:val="%1.%2.%3"/>
      <w:lvlJc w:val="left"/>
      <w:pPr>
        <w:ind w:left="1080" w:hanging="720"/>
      </w:p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12A27C84"/>
    <w:multiLevelType w:val="multilevel"/>
    <w:tmpl w:val="F5EE6D86"/>
    <w:lvl w:ilvl="0">
      <w:start w:val="1"/>
      <w:numFmt w:val="decimal"/>
      <w:lvlText w:val="%1."/>
      <w:lvlJc w:val="left"/>
      <w:pPr>
        <w:ind w:left="720" w:hanging="360"/>
      </w:pPr>
      <w:rPr>
        <w:rFonts w:hint="default"/>
        <w:b/>
      </w:rPr>
    </w:lvl>
    <w:lvl w:ilvl="1">
      <w:start w:val="1"/>
      <w:numFmt w:val="decimal"/>
      <w:lvlText w:val="%1.%2"/>
      <w:lvlJc w:val="left"/>
      <w:pPr>
        <w:ind w:left="720" w:hanging="360"/>
      </w:p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14F65D5F"/>
    <w:multiLevelType w:val="multilevel"/>
    <w:tmpl w:val="C16A9D96"/>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79C5F55"/>
    <w:multiLevelType w:val="multilevel"/>
    <w:tmpl w:val="B4B4DA24"/>
    <w:lvl w:ilvl="0">
      <w:start w:val="1"/>
      <w:numFmt w:val="decimal"/>
      <w:lvlText w:val="%1."/>
      <w:lvlJc w:val="left"/>
      <w:pPr>
        <w:ind w:left="720" w:hanging="360"/>
      </w:pPr>
      <w:rPr>
        <w:rFonts w:hint="default"/>
        <w:b/>
      </w:r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2C9D3EC2"/>
    <w:multiLevelType w:val="multilevel"/>
    <w:tmpl w:val="B4B4DA24"/>
    <w:lvl w:ilvl="0">
      <w:start w:val="1"/>
      <w:numFmt w:val="decimal"/>
      <w:lvlText w:val="%1."/>
      <w:lvlJc w:val="left"/>
      <w:pPr>
        <w:ind w:left="720" w:hanging="360"/>
      </w:pPr>
      <w:rPr>
        <w:rFonts w:hint="default"/>
        <w:b/>
      </w:r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2EE82A5D"/>
    <w:multiLevelType w:val="hybridMultilevel"/>
    <w:tmpl w:val="EC226A46"/>
    <w:lvl w:ilvl="0" w:tplc="7B923196">
      <w:start w:val="1"/>
      <w:numFmt w:val="bullet"/>
      <w:lvlText w:val=""/>
      <w:lvlJc w:val="left"/>
      <w:pPr>
        <w:ind w:left="720" w:hanging="360"/>
      </w:pPr>
      <w:rPr>
        <w:rFonts w:ascii="Symbol" w:hAnsi="Symbo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6533BEC"/>
    <w:multiLevelType w:val="multilevel"/>
    <w:tmpl w:val="3E580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2556C73"/>
    <w:multiLevelType w:val="multilevel"/>
    <w:tmpl w:val="DC4E3948"/>
    <w:lvl w:ilvl="0">
      <w:start w:val="1"/>
      <w:numFmt w:val="decimal"/>
      <w:lvlText w:val="%1."/>
      <w:lvlJc w:val="left"/>
      <w:pPr>
        <w:ind w:left="720" w:hanging="360"/>
      </w:pPr>
      <w:rPr>
        <w:rFonts w:hint="default"/>
        <w:b/>
      </w:rPr>
    </w:lvl>
    <w:lvl w:ilvl="1">
      <w:start w:val="1"/>
      <w:numFmt w:val="decimal"/>
      <w:lvlText w:val="%1.%2"/>
      <w:lvlJc w:val="left"/>
      <w:pPr>
        <w:ind w:left="720" w:hanging="360"/>
      </w:p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43D20D9C"/>
    <w:multiLevelType w:val="hybridMultilevel"/>
    <w:tmpl w:val="12827034"/>
    <w:lvl w:ilvl="0" w:tplc="FFFFFFFF">
      <w:start w:val="1"/>
      <w:numFmt w:val="lowerRoman"/>
      <w:pStyle w:val="Invias-VietaRomana"/>
      <w:lvlText w:val="%1."/>
      <w:lvlJc w:val="right"/>
      <w:pPr>
        <w:ind w:left="1440" w:hanging="360"/>
      </w:pPr>
      <w:rPr>
        <w:rFonts w:cs="Times New Roman"/>
      </w:rPr>
    </w:lvl>
    <w:lvl w:ilvl="1" w:tplc="FFFFFFFF" w:tentative="1">
      <w:start w:val="1"/>
      <w:numFmt w:val="lowerLetter"/>
      <w:lvlText w:val="%2."/>
      <w:lvlJc w:val="left"/>
      <w:pPr>
        <w:ind w:left="2160" w:hanging="360"/>
      </w:pPr>
      <w:rPr>
        <w:rFonts w:cs="Times New Roman"/>
      </w:rPr>
    </w:lvl>
    <w:lvl w:ilvl="2" w:tplc="FFFFFFFF" w:tentative="1">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15" w15:restartNumberingAfterBreak="0">
    <w:nsid w:val="45076867"/>
    <w:multiLevelType w:val="hybridMultilevel"/>
    <w:tmpl w:val="EB20E3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B64706C"/>
    <w:multiLevelType w:val="multilevel"/>
    <w:tmpl w:val="E0387EFA"/>
    <w:lvl w:ilvl="0">
      <w:start w:val="9"/>
      <w:numFmt w:val="decimal"/>
      <w:lvlText w:val="%1"/>
      <w:lvlJc w:val="left"/>
      <w:pPr>
        <w:ind w:left="492" w:hanging="492"/>
      </w:pPr>
      <w:rPr>
        <w:rFonts w:hint="default"/>
      </w:rPr>
    </w:lvl>
    <w:lvl w:ilvl="1">
      <w:start w:val="4"/>
      <w:numFmt w:val="decimal"/>
      <w:lvlText w:val="%1.%2"/>
      <w:lvlJc w:val="left"/>
      <w:pPr>
        <w:ind w:left="672" w:hanging="492"/>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 w15:restartNumberingAfterBreak="0">
    <w:nsid w:val="4FC32FCD"/>
    <w:multiLevelType w:val="hybridMultilevel"/>
    <w:tmpl w:val="84F2B6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1781D1B"/>
    <w:multiLevelType w:val="hybridMultilevel"/>
    <w:tmpl w:val="74F2F2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A2A4E96"/>
    <w:multiLevelType w:val="hybridMultilevel"/>
    <w:tmpl w:val="F70E8CB2"/>
    <w:lvl w:ilvl="0" w:tplc="240A0001">
      <w:start w:val="1"/>
      <w:numFmt w:val="bullet"/>
      <w:lvlText w:val=""/>
      <w:lvlJc w:val="left"/>
      <w:pPr>
        <w:ind w:left="720" w:hanging="360"/>
      </w:pPr>
      <w:rPr>
        <w:rFonts w:ascii="Symbol" w:hAnsi="Symbol"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954C82"/>
    <w:multiLevelType w:val="multilevel"/>
    <w:tmpl w:val="DE9CB99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D95766F"/>
    <w:multiLevelType w:val="hybridMultilevel"/>
    <w:tmpl w:val="8A92A0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FD53DED"/>
    <w:multiLevelType w:val="multilevel"/>
    <w:tmpl w:val="B4B4DA24"/>
    <w:lvl w:ilvl="0">
      <w:start w:val="1"/>
      <w:numFmt w:val="decimal"/>
      <w:lvlText w:val="%1."/>
      <w:lvlJc w:val="left"/>
      <w:pPr>
        <w:ind w:left="720" w:hanging="360"/>
      </w:pPr>
      <w:rPr>
        <w:rFonts w:hint="default"/>
        <w:b/>
      </w:r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63881C70"/>
    <w:multiLevelType w:val="hybridMultilevel"/>
    <w:tmpl w:val="E66A29BA"/>
    <w:lvl w:ilvl="0" w:tplc="E6F000E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AA473CF"/>
    <w:multiLevelType w:val="multilevel"/>
    <w:tmpl w:val="27380824"/>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C9014A6"/>
    <w:multiLevelType w:val="hybridMultilevel"/>
    <w:tmpl w:val="B2FE68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311208E"/>
    <w:multiLevelType w:val="multilevel"/>
    <w:tmpl w:val="DC4E3948"/>
    <w:lvl w:ilvl="0">
      <w:start w:val="1"/>
      <w:numFmt w:val="decimal"/>
      <w:lvlText w:val="%1."/>
      <w:lvlJc w:val="left"/>
      <w:pPr>
        <w:ind w:left="720" w:hanging="360"/>
      </w:pPr>
      <w:rPr>
        <w:rFonts w:hint="default"/>
        <w:b/>
      </w:rPr>
    </w:lvl>
    <w:lvl w:ilvl="1">
      <w:start w:val="1"/>
      <w:numFmt w:val="decimal"/>
      <w:lvlText w:val="%1.%2"/>
      <w:lvlJc w:val="left"/>
      <w:pPr>
        <w:ind w:left="720" w:hanging="360"/>
      </w:p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73C80055"/>
    <w:multiLevelType w:val="hybridMultilevel"/>
    <w:tmpl w:val="196A4E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4441A0E"/>
    <w:multiLevelType w:val="multilevel"/>
    <w:tmpl w:val="673A91C0"/>
    <w:lvl w:ilvl="0">
      <w:start w:val="9"/>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2"/>
  </w:num>
  <w:num w:numId="2">
    <w:abstractNumId w:val="3"/>
  </w:num>
  <w:num w:numId="3">
    <w:abstractNumId w:val="18"/>
  </w:num>
  <w:num w:numId="4">
    <w:abstractNumId w:val="17"/>
  </w:num>
  <w:num w:numId="5">
    <w:abstractNumId w:val="5"/>
  </w:num>
  <w:num w:numId="6">
    <w:abstractNumId w:val="15"/>
  </w:num>
  <w:num w:numId="7">
    <w:abstractNumId w:val="21"/>
  </w:num>
  <w:num w:numId="8">
    <w:abstractNumId w:val="2"/>
  </w:num>
  <w:num w:numId="9">
    <w:abstractNumId w:val="23"/>
  </w:num>
  <w:num w:numId="10">
    <w:abstractNumId w:val="14"/>
  </w:num>
  <w:num w:numId="11">
    <w:abstractNumId w:val="25"/>
  </w:num>
  <w:num w:numId="12">
    <w:abstractNumId w:val="0"/>
  </w:num>
  <w:num w:numId="13">
    <w:abstractNumId w:val="19"/>
  </w:num>
  <w:num w:numId="14">
    <w:abstractNumId w:val="27"/>
  </w:num>
  <w:num w:numId="15">
    <w:abstractNumId w:val="16"/>
  </w:num>
  <w:num w:numId="16">
    <w:abstractNumId w:val="6"/>
  </w:num>
  <w:num w:numId="17">
    <w:abstractNumId w:val="1"/>
  </w:num>
  <w:num w:numId="18">
    <w:abstractNumId w:val="11"/>
  </w:num>
  <w:num w:numId="19">
    <w:abstractNumId w:val="9"/>
  </w:num>
  <w:num w:numId="20">
    <w:abstractNumId w:val="8"/>
  </w:num>
  <w:num w:numId="21">
    <w:abstractNumId w:val="22"/>
  </w:num>
  <w:num w:numId="22">
    <w:abstractNumId w:val="20"/>
  </w:num>
  <w:num w:numId="23">
    <w:abstractNumId w:val="10"/>
  </w:num>
  <w:num w:numId="24">
    <w:abstractNumId w:val="24"/>
  </w:num>
  <w:num w:numId="25">
    <w:abstractNumId w:val="26"/>
  </w:num>
  <w:num w:numId="26">
    <w:abstractNumId w:val="28"/>
  </w:num>
  <w:num w:numId="27">
    <w:abstractNumId w:val="4"/>
  </w:num>
  <w:num w:numId="28">
    <w:abstractNumId w:val="13"/>
  </w:num>
  <w:num w:numId="29">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0C8E"/>
    <w:rsid w:val="0000061A"/>
    <w:rsid w:val="00001796"/>
    <w:rsid w:val="00002174"/>
    <w:rsid w:val="000100CF"/>
    <w:rsid w:val="0001065A"/>
    <w:rsid w:val="00010EB5"/>
    <w:rsid w:val="000123D0"/>
    <w:rsid w:val="00012734"/>
    <w:rsid w:val="000129EF"/>
    <w:rsid w:val="000146E5"/>
    <w:rsid w:val="00015A7A"/>
    <w:rsid w:val="000200ED"/>
    <w:rsid w:val="00020316"/>
    <w:rsid w:val="00020E14"/>
    <w:rsid w:val="00022AE1"/>
    <w:rsid w:val="00023553"/>
    <w:rsid w:val="00024C9A"/>
    <w:rsid w:val="000250D9"/>
    <w:rsid w:val="00025DCE"/>
    <w:rsid w:val="000275B9"/>
    <w:rsid w:val="000302E6"/>
    <w:rsid w:val="00030D97"/>
    <w:rsid w:val="0003170C"/>
    <w:rsid w:val="00033D91"/>
    <w:rsid w:val="00034B27"/>
    <w:rsid w:val="000357A3"/>
    <w:rsid w:val="0004080F"/>
    <w:rsid w:val="00044597"/>
    <w:rsid w:val="00051336"/>
    <w:rsid w:val="000519B6"/>
    <w:rsid w:val="00052638"/>
    <w:rsid w:val="00052EB5"/>
    <w:rsid w:val="00053EF2"/>
    <w:rsid w:val="00053F69"/>
    <w:rsid w:val="0005649E"/>
    <w:rsid w:val="0005713D"/>
    <w:rsid w:val="00057994"/>
    <w:rsid w:val="00061A3D"/>
    <w:rsid w:val="0006343A"/>
    <w:rsid w:val="000640FA"/>
    <w:rsid w:val="00064170"/>
    <w:rsid w:val="00064453"/>
    <w:rsid w:val="00066B97"/>
    <w:rsid w:val="00067C0A"/>
    <w:rsid w:val="00067EB7"/>
    <w:rsid w:val="000710CA"/>
    <w:rsid w:val="00073293"/>
    <w:rsid w:val="00073B73"/>
    <w:rsid w:val="00077282"/>
    <w:rsid w:val="0007739B"/>
    <w:rsid w:val="00084B7B"/>
    <w:rsid w:val="00084CC6"/>
    <w:rsid w:val="00085E18"/>
    <w:rsid w:val="000862CB"/>
    <w:rsid w:val="00090CEB"/>
    <w:rsid w:val="000917E0"/>
    <w:rsid w:val="00091CF5"/>
    <w:rsid w:val="00093970"/>
    <w:rsid w:val="00096BE0"/>
    <w:rsid w:val="000A0F99"/>
    <w:rsid w:val="000A2421"/>
    <w:rsid w:val="000A35FD"/>
    <w:rsid w:val="000A3CB5"/>
    <w:rsid w:val="000A4285"/>
    <w:rsid w:val="000A49D7"/>
    <w:rsid w:val="000A5289"/>
    <w:rsid w:val="000A5E27"/>
    <w:rsid w:val="000A7082"/>
    <w:rsid w:val="000A71C8"/>
    <w:rsid w:val="000A72FF"/>
    <w:rsid w:val="000B11F8"/>
    <w:rsid w:val="000B2C7F"/>
    <w:rsid w:val="000B30D6"/>
    <w:rsid w:val="000B4856"/>
    <w:rsid w:val="000B5424"/>
    <w:rsid w:val="000B65AE"/>
    <w:rsid w:val="000B7277"/>
    <w:rsid w:val="000C04FF"/>
    <w:rsid w:val="000C3AD8"/>
    <w:rsid w:val="000C3FB6"/>
    <w:rsid w:val="000C44F2"/>
    <w:rsid w:val="000C5C75"/>
    <w:rsid w:val="000D16C0"/>
    <w:rsid w:val="000D1A06"/>
    <w:rsid w:val="000D21FF"/>
    <w:rsid w:val="000D31C5"/>
    <w:rsid w:val="000D4342"/>
    <w:rsid w:val="000D4938"/>
    <w:rsid w:val="000D5654"/>
    <w:rsid w:val="000D5C6E"/>
    <w:rsid w:val="000D74D4"/>
    <w:rsid w:val="000D7FAE"/>
    <w:rsid w:val="000E133F"/>
    <w:rsid w:val="000E4472"/>
    <w:rsid w:val="000E5FA2"/>
    <w:rsid w:val="000E6821"/>
    <w:rsid w:val="000E688D"/>
    <w:rsid w:val="000E72EB"/>
    <w:rsid w:val="000F191B"/>
    <w:rsid w:val="000F385B"/>
    <w:rsid w:val="000F451C"/>
    <w:rsid w:val="000F5035"/>
    <w:rsid w:val="000F557C"/>
    <w:rsid w:val="001036C8"/>
    <w:rsid w:val="00103D64"/>
    <w:rsid w:val="001043D9"/>
    <w:rsid w:val="00104EF9"/>
    <w:rsid w:val="0010621F"/>
    <w:rsid w:val="00107868"/>
    <w:rsid w:val="001111C7"/>
    <w:rsid w:val="00112835"/>
    <w:rsid w:val="001130F6"/>
    <w:rsid w:val="00113C45"/>
    <w:rsid w:val="00114E87"/>
    <w:rsid w:val="00115C13"/>
    <w:rsid w:val="001164CC"/>
    <w:rsid w:val="00116D6C"/>
    <w:rsid w:val="00116FE7"/>
    <w:rsid w:val="00120D9E"/>
    <w:rsid w:val="00122045"/>
    <w:rsid w:val="00122423"/>
    <w:rsid w:val="00122E38"/>
    <w:rsid w:val="001231FD"/>
    <w:rsid w:val="00125E03"/>
    <w:rsid w:val="00126CCF"/>
    <w:rsid w:val="00127E54"/>
    <w:rsid w:val="00133D00"/>
    <w:rsid w:val="00140C0E"/>
    <w:rsid w:val="00142A7E"/>
    <w:rsid w:val="00143A49"/>
    <w:rsid w:val="0014591E"/>
    <w:rsid w:val="00146C86"/>
    <w:rsid w:val="00147696"/>
    <w:rsid w:val="001513AA"/>
    <w:rsid w:val="00152407"/>
    <w:rsid w:val="001524C4"/>
    <w:rsid w:val="0015254E"/>
    <w:rsid w:val="001525C1"/>
    <w:rsid w:val="00154A51"/>
    <w:rsid w:val="00155A62"/>
    <w:rsid w:val="0015660A"/>
    <w:rsid w:val="00163DF1"/>
    <w:rsid w:val="00164AAA"/>
    <w:rsid w:val="00166203"/>
    <w:rsid w:val="00166E7F"/>
    <w:rsid w:val="0016754B"/>
    <w:rsid w:val="00167842"/>
    <w:rsid w:val="00167C89"/>
    <w:rsid w:val="00167E18"/>
    <w:rsid w:val="00170F0C"/>
    <w:rsid w:val="0017259C"/>
    <w:rsid w:val="00172FB7"/>
    <w:rsid w:val="00174999"/>
    <w:rsid w:val="001757CC"/>
    <w:rsid w:val="0017617C"/>
    <w:rsid w:val="001774D3"/>
    <w:rsid w:val="001802A7"/>
    <w:rsid w:val="00180EC1"/>
    <w:rsid w:val="001814E4"/>
    <w:rsid w:val="00182DA8"/>
    <w:rsid w:val="00184A6D"/>
    <w:rsid w:val="00184B0C"/>
    <w:rsid w:val="0018539B"/>
    <w:rsid w:val="00185E26"/>
    <w:rsid w:val="001871E2"/>
    <w:rsid w:val="00187543"/>
    <w:rsid w:val="00187743"/>
    <w:rsid w:val="00190F3D"/>
    <w:rsid w:val="001921F3"/>
    <w:rsid w:val="0019226B"/>
    <w:rsid w:val="00192974"/>
    <w:rsid w:val="00193394"/>
    <w:rsid w:val="0019382C"/>
    <w:rsid w:val="001943B7"/>
    <w:rsid w:val="001955B0"/>
    <w:rsid w:val="00197661"/>
    <w:rsid w:val="001A03B0"/>
    <w:rsid w:val="001A1253"/>
    <w:rsid w:val="001A680D"/>
    <w:rsid w:val="001B06AA"/>
    <w:rsid w:val="001B1946"/>
    <w:rsid w:val="001B1F76"/>
    <w:rsid w:val="001B21B5"/>
    <w:rsid w:val="001B238E"/>
    <w:rsid w:val="001B4F3D"/>
    <w:rsid w:val="001B7E96"/>
    <w:rsid w:val="001C062A"/>
    <w:rsid w:val="001C1458"/>
    <w:rsid w:val="001C1693"/>
    <w:rsid w:val="001C2938"/>
    <w:rsid w:val="001C2C39"/>
    <w:rsid w:val="001C399B"/>
    <w:rsid w:val="001C3B10"/>
    <w:rsid w:val="001C58F0"/>
    <w:rsid w:val="001C6312"/>
    <w:rsid w:val="001C6D6F"/>
    <w:rsid w:val="001C7D47"/>
    <w:rsid w:val="001D0370"/>
    <w:rsid w:val="001D1B3A"/>
    <w:rsid w:val="001D2C41"/>
    <w:rsid w:val="001D3198"/>
    <w:rsid w:val="001D7AD5"/>
    <w:rsid w:val="001E0B2A"/>
    <w:rsid w:val="001E2CEB"/>
    <w:rsid w:val="001E40C4"/>
    <w:rsid w:val="001E5315"/>
    <w:rsid w:val="001F49C9"/>
    <w:rsid w:val="001F4B24"/>
    <w:rsid w:val="001F607B"/>
    <w:rsid w:val="001F63FB"/>
    <w:rsid w:val="001F71AD"/>
    <w:rsid w:val="00200CFE"/>
    <w:rsid w:val="0020131F"/>
    <w:rsid w:val="002045BC"/>
    <w:rsid w:val="00206838"/>
    <w:rsid w:val="002100DA"/>
    <w:rsid w:val="00213A44"/>
    <w:rsid w:val="002168C9"/>
    <w:rsid w:val="0021707B"/>
    <w:rsid w:val="00217B00"/>
    <w:rsid w:val="00217D32"/>
    <w:rsid w:val="00221032"/>
    <w:rsid w:val="00222AEE"/>
    <w:rsid w:val="00223493"/>
    <w:rsid w:val="002238A6"/>
    <w:rsid w:val="00224A42"/>
    <w:rsid w:val="00225182"/>
    <w:rsid w:val="002311FE"/>
    <w:rsid w:val="002344D4"/>
    <w:rsid w:val="00234D5E"/>
    <w:rsid w:val="002350EA"/>
    <w:rsid w:val="00236866"/>
    <w:rsid w:val="00236C8A"/>
    <w:rsid w:val="0023714C"/>
    <w:rsid w:val="00237CE7"/>
    <w:rsid w:val="00241671"/>
    <w:rsid w:val="0024277D"/>
    <w:rsid w:val="0024390C"/>
    <w:rsid w:val="00244557"/>
    <w:rsid w:val="00247258"/>
    <w:rsid w:val="002478B3"/>
    <w:rsid w:val="002508BF"/>
    <w:rsid w:val="00251C3B"/>
    <w:rsid w:val="00252355"/>
    <w:rsid w:val="00252554"/>
    <w:rsid w:val="0025288B"/>
    <w:rsid w:val="0025476F"/>
    <w:rsid w:val="002550B9"/>
    <w:rsid w:val="0025518E"/>
    <w:rsid w:val="002556AD"/>
    <w:rsid w:val="00255CD5"/>
    <w:rsid w:val="00257288"/>
    <w:rsid w:val="00257759"/>
    <w:rsid w:val="0026033D"/>
    <w:rsid w:val="00262672"/>
    <w:rsid w:val="00262DEE"/>
    <w:rsid w:val="00262F6B"/>
    <w:rsid w:val="00266314"/>
    <w:rsid w:val="002701FA"/>
    <w:rsid w:val="0027154D"/>
    <w:rsid w:val="00272A1A"/>
    <w:rsid w:val="002731C7"/>
    <w:rsid w:val="00273BD0"/>
    <w:rsid w:val="0027409C"/>
    <w:rsid w:val="00275955"/>
    <w:rsid w:val="00276860"/>
    <w:rsid w:val="00277CB2"/>
    <w:rsid w:val="00280999"/>
    <w:rsid w:val="00284AE6"/>
    <w:rsid w:val="00285D80"/>
    <w:rsid w:val="00285ED6"/>
    <w:rsid w:val="002878A4"/>
    <w:rsid w:val="00294B40"/>
    <w:rsid w:val="00294CD9"/>
    <w:rsid w:val="002955AE"/>
    <w:rsid w:val="00295753"/>
    <w:rsid w:val="00295BF6"/>
    <w:rsid w:val="002965C2"/>
    <w:rsid w:val="0029739E"/>
    <w:rsid w:val="00297FBF"/>
    <w:rsid w:val="002A2274"/>
    <w:rsid w:val="002A22F2"/>
    <w:rsid w:val="002A2E41"/>
    <w:rsid w:val="002A3F74"/>
    <w:rsid w:val="002A4DB8"/>
    <w:rsid w:val="002A50AA"/>
    <w:rsid w:val="002B0E2B"/>
    <w:rsid w:val="002B1E8E"/>
    <w:rsid w:val="002B3282"/>
    <w:rsid w:val="002B3D6F"/>
    <w:rsid w:val="002B4CB1"/>
    <w:rsid w:val="002B754D"/>
    <w:rsid w:val="002B799C"/>
    <w:rsid w:val="002C0873"/>
    <w:rsid w:val="002C1168"/>
    <w:rsid w:val="002C14A0"/>
    <w:rsid w:val="002C3682"/>
    <w:rsid w:val="002C3888"/>
    <w:rsid w:val="002C4046"/>
    <w:rsid w:val="002C5EB0"/>
    <w:rsid w:val="002D0B92"/>
    <w:rsid w:val="002D1840"/>
    <w:rsid w:val="002D1F0A"/>
    <w:rsid w:val="002D342B"/>
    <w:rsid w:val="002D4FAA"/>
    <w:rsid w:val="002D64B4"/>
    <w:rsid w:val="002D6FE4"/>
    <w:rsid w:val="002D72E9"/>
    <w:rsid w:val="002D73B3"/>
    <w:rsid w:val="002E0463"/>
    <w:rsid w:val="002E1CAC"/>
    <w:rsid w:val="002E4A7B"/>
    <w:rsid w:val="002E6A56"/>
    <w:rsid w:val="002E6E86"/>
    <w:rsid w:val="002F01C6"/>
    <w:rsid w:val="002F189E"/>
    <w:rsid w:val="002F22EC"/>
    <w:rsid w:val="002F4A08"/>
    <w:rsid w:val="002F6173"/>
    <w:rsid w:val="002F6C78"/>
    <w:rsid w:val="002F782A"/>
    <w:rsid w:val="002F7974"/>
    <w:rsid w:val="00300E9A"/>
    <w:rsid w:val="003017B7"/>
    <w:rsid w:val="003018C3"/>
    <w:rsid w:val="00303E49"/>
    <w:rsid w:val="00304F58"/>
    <w:rsid w:val="00306D0E"/>
    <w:rsid w:val="00310017"/>
    <w:rsid w:val="003103DE"/>
    <w:rsid w:val="003109D0"/>
    <w:rsid w:val="00313148"/>
    <w:rsid w:val="00313452"/>
    <w:rsid w:val="00313DAF"/>
    <w:rsid w:val="00314DFC"/>
    <w:rsid w:val="00315ADB"/>
    <w:rsid w:val="00317883"/>
    <w:rsid w:val="003207B3"/>
    <w:rsid w:val="00320A1F"/>
    <w:rsid w:val="003217A4"/>
    <w:rsid w:val="003234D9"/>
    <w:rsid w:val="003245BF"/>
    <w:rsid w:val="003255BD"/>
    <w:rsid w:val="00331253"/>
    <w:rsid w:val="003400CD"/>
    <w:rsid w:val="00344AED"/>
    <w:rsid w:val="00347F8A"/>
    <w:rsid w:val="003519C6"/>
    <w:rsid w:val="003522FF"/>
    <w:rsid w:val="00354FD4"/>
    <w:rsid w:val="00360506"/>
    <w:rsid w:val="003646DF"/>
    <w:rsid w:val="0037022C"/>
    <w:rsid w:val="0037047A"/>
    <w:rsid w:val="003717AB"/>
    <w:rsid w:val="00371939"/>
    <w:rsid w:val="0037514D"/>
    <w:rsid w:val="003801C7"/>
    <w:rsid w:val="0038369F"/>
    <w:rsid w:val="0038374E"/>
    <w:rsid w:val="00383B20"/>
    <w:rsid w:val="003841FB"/>
    <w:rsid w:val="003856C2"/>
    <w:rsid w:val="0038686B"/>
    <w:rsid w:val="00386B6B"/>
    <w:rsid w:val="00386C4E"/>
    <w:rsid w:val="0038754F"/>
    <w:rsid w:val="00387A99"/>
    <w:rsid w:val="00387CA4"/>
    <w:rsid w:val="003911D2"/>
    <w:rsid w:val="00392F2E"/>
    <w:rsid w:val="00397AD9"/>
    <w:rsid w:val="00397F06"/>
    <w:rsid w:val="003A0FC3"/>
    <w:rsid w:val="003A1017"/>
    <w:rsid w:val="003A27F3"/>
    <w:rsid w:val="003A2B75"/>
    <w:rsid w:val="003A303C"/>
    <w:rsid w:val="003A32D0"/>
    <w:rsid w:val="003A340E"/>
    <w:rsid w:val="003A3AE1"/>
    <w:rsid w:val="003A53B7"/>
    <w:rsid w:val="003A561E"/>
    <w:rsid w:val="003B1A7D"/>
    <w:rsid w:val="003B42A3"/>
    <w:rsid w:val="003B70D2"/>
    <w:rsid w:val="003B7272"/>
    <w:rsid w:val="003B7F16"/>
    <w:rsid w:val="003C18E6"/>
    <w:rsid w:val="003C5650"/>
    <w:rsid w:val="003C633A"/>
    <w:rsid w:val="003C6E04"/>
    <w:rsid w:val="003C7D0C"/>
    <w:rsid w:val="003D10ED"/>
    <w:rsid w:val="003D1605"/>
    <w:rsid w:val="003D26DB"/>
    <w:rsid w:val="003D3854"/>
    <w:rsid w:val="003D448E"/>
    <w:rsid w:val="003D44FD"/>
    <w:rsid w:val="003D7ACD"/>
    <w:rsid w:val="003E19F7"/>
    <w:rsid w:val="003E20F6"/>
    <w:rsid w:val="003E219F"/>
    <w:rsid w:val="003E26B0"/>
    <w:rsid w:val="003E2F05"/>
    <w:rsid w:val="003E5DF3"/>
    <w:rsid w:val="003E6DB5"/>
    <w:rsid w:val="003F0A28"/>
    <w:rsid w:val="003F152D"/>
    <w:rsid w:val="003F32E7"/>
    <w:rsid w:val="003F5505"/>
    <w:rsid w:val="004001AD"/>
    <w:rsid w:val="0040141D"/>
    <w:rsid w:val="0040169E"/>
    <w:rsid w:val="0040187B"/>
    <w:rsid w:val="00403945"/>
    <w:rsid w:val="00403FE4"/>
    <w:rsid w:val="004055D1"/>
    <w:rsid w:val="00410422"/>
    <w:rsid w:val="00410A0A"/>
    <w:rsid w:val="00411888"/>
    <w:rsid w:val="00411A1D"/>
    <w:rsid w:val="00411A90"/>
    <w:rsid w:val="00412E92"/>
    <w:rsid w:val="004148DF"/>
    <w:rsid w:val="004152EE"/>
    <w:rsid w:val="00415B59"/>
    <w:rsid w:val="00415D02"/>
    <w:rsid w:val="004179C2"/>
    <w:rsid w:val="004201FD"/>
    <w:rsid w:val="00420D88"/>
    <w:rsid w:val="00421E04"/>
    <w:rsid w:val="004222F0"/>
    <w:rsid w:val="00422C91"/>
    <w:rsid w:val="004245E9"/>
    <w:rsid w:val="004249C3"/>
    <w:rsid w:val="00427480"/>
    <w:rsid w:val="0043054F"/>
    <w:rsid w:val="00430D30"/>
    <w:rsid w:val="00431F2D"/>
    <w:rsid w:val="0043262C"/>
    <w:rsid w:val="00434365"/>
    <w:rsid w:val="00435CF4"/>
    <w:rsid w:val="00435F00"/>
    <w:rsid w:val="00436E80"/>
    <w:rsid w:val="00436F63"/>
    <w:rsid w:val="00437F0F"/>
    <w:rsid w:val="00440D2D"/>
    <w:rsid w:val="00441948"/>
    <w:rsid w:val="00443A90"/>
    <w:rsid w:val="00444870"/>
    <w:rsid w:val="00444C72"/>
    <w:rsid w:val="00447798"/>
    <w:rsid w:val="00451B24"/>
    <w:rsid w:val="0045482C"/>
    <w:rsid w:val="004548F1"/>
    <w:rsid w:val="00457513"/>
    <w:rsid w:val="004600ED"/>
    <w:rsid w:val="00461BE1"/>
    <w:rsid w:val="00466971"/>
    <w:rsid w:val="00466D77"/>
    <w:rsid w:val="004715E0"/>
    <w:rsid w:val="00472A43"/>
    <w:rsid w:val="00472BD4"/>
    <w:rsid w:val="0047489C"/>
    <w:rsid w:val="0047564F"/>
    <w:rsid w:val="00476D5E"/>
    <w:rsid w:val="00480EA0"/>
    <w:rsid w:val="00481ED6"/>
    <w:rsid w:val="004832E7"/>
    <w:rsid w:val="00486A41"/>
    <w:rsid w:val="00486E69"/>
    <w:rsid w:val="004877EB"/>
    <w:rsid w:val="004906E1"/>
    <w:rsid w:val="004912D3"/>
    <w:rsid w:val="00491462"/>
    <w:rsid w:val="00492929"/>
    <w:rsid w:val="0049578C"/>
    <w:rsid w:val="00496758"/>
    <w:rsid w:val="00497612"/>
    <w:rsid w:val="00497B80"/>
    <w:rsid w:val="004A190F"/>
    <w:rsid w:val="004A2330"/>
    <w:rsid w:val="004A4AA7"/>
    <w:rsid w:val="004A4DA6"/>
    <w:rsid w:val="004A4FA8"/>
    <w:rsid w:val="004A5688"/>
    <w:rsid w:val="004A5B29"/>
    <w:rsid w:val="004B0A7A"/>
    <w:rsid w:val="004B0DE6"/>
    <w:rsid w:val="004B1066"/>
    <w:rsid w:val="004B33C3"/>
    <w:rsid w:val="004B3C19"/>
    <w:rsid w:val="004B4878"/>
    <w:rsid w:val="004B4BD5"/>
    <w:rsid w:val="004B5E15"/>
    <w:rsid w:val="004B70FE"/>
    <w:rsid w:val="004B7489"/>
    <w:rsid w:val="004B7A01"/>
    <w:rsid w:val="004C1568"/>
    <w:rsid w:val="004C1EAC"/>
    <w:rsid w:val="004C7EF0"/>
    <w:rsid w:val="004D145C"/>
    <w:rsid w:val="004D172D"/>
    <w:rsid w:val="004D1B2D"/>
    <w:rsid w:val="004D450A"/>
    <w:rsid w:val="004E179A"/>
    <w:rsid w:val="004E1C7E"/>
    <w:rsid w:val="004E234D"/>
    <w:rsid w:val="004E3983"/>
    <w:rsid w:val="004E5517"/>
    <w:rsid w:val="004E710D"/>
    <w:rsid w:val="004E7806"/>
    <w:rsid w:val="004F26E2"/>
    <w:rsid w:val="004F321D"/>
    <w:rsid w:val="004F3DB8"/>
    <w:rsid w:val="004F41E0"/>
    <w:rsid w:val="004F4C07"/>
    <w:rsid w:val="004F5E50"/>
    <w:rsid w:val="005014C4"/>
    <w:rsid w:val="00502106"/>
    <w:rsid w:val="00502313"/>
    <w:rsid w:val="00503A21"/>
    <w:rsid w:val="005041A6"/>
    <w:rsid w:val="0050529A"/>
    <w:rsid w:val="00506026"/>
    <w:rsid w:val="005065BB"/>
    <w:rsid w:val="00507C30"/>
    <w:rsid w:val="0051187E"/>
    <w:rsid w:val="00511AB1"/>
    <w:rsid w:val="00511CB8"/>
    <w:rsid w:val="00512F1A"/>
    <w:rsid w:val="005143A9"/>
    <w:rsid w:val="0051641F"/>
    <w:rsid w:val="00516DE0"/>
    <w:rsid w:val="005174F0"/>
    <w:rsid w:val="00521F4F"/>
    <w:rsid w:val="00522F77"/>
    <w:rsid w:val="005236BB"/>
    <w:rsid w:val="005254DD"/>
    <w:rsid w:val="00525662"/>
    <w:rsid w:val="00527258"/>
    <w:rsid w:val="005273DA"/>
    <w:rsid w:val="00527669"/>
    <w:rsid w:val="0053067D"/>
    <w:rsid w:val="00531108"/>
    <w:rsid w:val="00533218"/>
    <w:rsid w:val="005343C7"/>
    <w:rsid w:val="00534A2C"/>
    <w:rsid w:val="00536124"/>
    <w:rsid w:val="00537B57"/>
    <w:rsid w:val="00541EBA"/>
    <w:rsid w:val="00544002"/>
    <w:rsid w:val="0055028B"/>
    <w:rsid w:val="00551638"/>
    <w:rsid w:val="0055178E"/>
    <w:rsid w:val="0055380D"/>
    <w:rsid w:val="00555069"/>
    <w:rsid w:val="00555762"/>
    <w:rsid w:val="005563B2"/>
    <w:rsid w:val="00556635"/>
    <w:rsid w:val="005577DD"/>
    <w:rsid w:val="00562559"/>
    <w:rsid w:val="005628ED"/>
    <w:rsid w:val="0056426F"/>
    <w:rsid w:val="005642DF"/>
    <w:rsid w:val="00564C0A"/>
    <w:rsid w:val="00565E99"/>
    <w:rsid w:val="00566EAC"/>
    <w:rsid w:val="0056728B"/>
    <w:rsid w:val="00572420"/>
    <w:rsid w:val="00572426"/>
    <w:rsid w:val="00573D6A"/>
    <w:rsid w:val="00575213"/>
    <w:rsid w:val="005772F2"/>
    <w:rsid w:val="00577BE4"/>
    <w:rsid w:val="0058142C"/>
    <w:rsid w:val="00581F14"/>
    <w:rsid w:val="00582492"/>
    <w:rsid w:val="00582BC2"/>
    <w:rsid w:val="005872C8"/>
    <w:rsid w:val="00591156"/>
    <w:rsid w:val="00591546"/>
    <w:rsid w:val="005925CF"/>
    <w:rsid w:val="00592A25"/>
    <w:rsid w:val="00593BF7"/>
    <w:rsid w:val="00596647"/>
    <w:rsid w:val="005A09B6"/>
    <w:rsid w:val="005A5A3A"/>
    <w:rsid w:val="005A5F87"/>
    <w:rsid w:val="005A72E5"/>
    <w:rsid w:val="005A7701"/>
    <w:rsid w:val="005B24EE"/>
    <w:rsid w:val="005B262C"/>
    <w:rsid w:val="005B3099"/>
    <w:rsid w:val="005B5DA3"/>
    <w:rsid w:val="005B5DAE"/>
    <w:rsid w:val="005C08F4"/>
    <w:rsid w:val="005C0DD3"/>
    <w:rsid w:val="005C0DE0"/>
    <w:rsid w:val="005C1857"/>
    <w:rsid w:val="005C1E75"/>
    <w:rsid w:val="005C30ED"/>
    <w:rsid w:val="005C5093"/>
    <w:rsid w:val="005C641B"/>
    <w:rsid w:val="005D2432"/>
    <w:rsid w:val="005D3535"/>
    <w:rsid w:val="005D3983"/>
    <w:rsid w:val="005D3D72"/>
    <w:rsid w:val="005D4896"/>
    <w:rsid w:val="005D5210"/>
    <w:rsid w:val="005D56FB"/>
    <w:rsid w:val="005D59C3"/>
    <w:rsid w:val="005D687B"/>
    <w:rsid w:val="005E035A"/>
    <w:rsid w:val="005E0E36"/>
    <w:rsid w:val="005E5FFA"/>
    <w:rsid w:val="005E7521"/>
    <w:rsid w:val="005F2D8B"/>
    <w:rsid w:val="005F52D3"/>
    <w:rsid w:val="005F60EE"/>
    <w:rsid w:val="005F790A"/>
    <w:rsid w:val="0060356B"/>
    <w:rsid w:val="006035D8"/>
    <w:rsid w:val="00605F82"/>
    <w:rsid w:val="006066CB"/>
    <w:rsid w:val="00606A6F"/>
    <w:rsid w:val="00606DCC"/>
    <w:rsid w:val="00611F42"/>
    <w:rsid w:val="00613056"/>
    <w:rsid w:val="00614D65"/>
    <w:rsid w:val="006155BE"/>
    <w:rsid w:val="006158B8"/>
    <w:rsid w:val="006173F2"/>
    <w:rsid w:val="006177CB"/>
    <w:rsid w:val="006207BD"/>
    <w:rsid w:val="00620950"/>
    <w:rsid w:val="0062179B"/>
    <w:rsid w:val="0062356F"/>
    <w:rsid w:val="00624BFD"/>
    <w:rsid w:val="00624D63"/>
    <w:rsid w:val="00625895"/>
    <w:rsid w:val="0062669E"/>
    <w:rsid w:val="00627963"/>
    <w:rsid w:val="00627DBF"/>
    <w:rsid w:val="00627EB6"/>
    <w:rsid w:val="00630E78"/>
    <w:rsid w:val="00632346"/>
    <w:rsid w:val="00633116"/>
    <w:rsid w:val="00634F6B"/>
    <w:rsid w:val="00636A21"/>
    <w:rsid w:val="0063702A"/>
    <w:rsid w:val="006378EF"/>
    <w:rsid w:val="00641AA9"/>
    <w:rsid w:val="00645673"/>
    <w:rsid w:val="00647B0C"/>
    <w:rsid w:val="00647C14"/>
    <w:rsid w:val="00653C29"/>
    <w:rsid w:val="00654224"/>
    <w:rsid w:val="00655095"/>
    <w:rsid w:val="00655182"/>
    <w:rsid w:val="006551F1"/>
    <w:rsid w:val="00655BB0"/>
    <w:rsid w:val="006618CF"/>
    <w:rsid w:val="00664235"/>
    <w:rsid w:val="00664FE3"/>
    <w:rsid w:val="006658B9"/>
    <w:rsid w:val="00665BB0"/>
    <w:rsid w:val="00665E06"/>
    <w:rsid w:val="006670F7"/>
    <w:rsid w:val="0067044C"/>
    <w:rsid w:val="00671C42"/>
    <w:rsid w:val="00672BDE"/>
    <w:rsid w:val="006749EF"/>
    <w:rsid w:val="00674CEE"/>
    <w:rsid w:val="006769C2"/>
    <w:rsid w:val="00680106"/>
    <w:rsid w:val="006804E9"/>
    <w:rsid w:val="00681460"/>
    <w:rsid w:val="00684F1F"/>
    <w:rsid w:val="00685A27"/>
    <w:rsid w:val="00687AF8"/>
    <w:rsid w:val="00690214"/>
    <w:rsid w:val="0069075F"/>
    <w:rsid w:val="00690F6E"/>
    <w:rsid w:val="00692A59"/>
    <w:rsid w:val="006951C0"/>
    <w:rsid w:val="006960B2"/>
    <w:rsid w:val="006961D3"/>
    <w:rsid w:val="00696F13"/>
    <w:rsid w:val="00697BC6"/>
    <w:rsid w:val="006A0011"/>
    <w:rsid w:val="006A4071"/>
    <w:rsid w:val="006A43EC"/>
    <w:rsid w:val="006A4837"/>
    <w:rsid w:val="006A5BB8"/>
    <w:rsid w:val="006B2512"/>
    <w:rsid w:val="006B5915"/>
    <w:rsid w:val="006B5A95"/>
    <w:rsid w:val="006B6F2C"/>
    <w:rsid w:val="006C12CD"/>
    <w:rsid w:val="006C1EED"/>
    <w:rsid w:val="006C20E9"/>
    <w:rsid w:val="006C4189"/>
    <w:rsid w:val="006C74DB"/>
    <w:rsid w:val="006D0D41"/>
    <w:rsid w:val="006D0FC5"/>
    <w:rsid w:val="006D2E95"/>
    <w:rsid w:val="006D3BB6"/>
    <w:rsid w:val="006D4651"/>
    <w:rsid w:val="006D5962"/>
    <w:rsid w:val="006D796B"/>
    <w:rsid w:val="006E0886"/>
    <w:rsid w:val="006E0CD5"/>
    <w:rsid w:val="006E0FE2"/>
    <w:rsid w:val="006E13E0"/>
    <w:rsid w:val="006E3F6E"/>
    <w:rsid w:val="006E6A65"/>
    <w:rsid w:val="006F248C"/>
    <w:rsid w:val="006F2612"/>
    <w:rsid w:val="006F2B76"/>
    <w:rsid w:val="006F36A6"/>
    <w:rsid w:val="006F53FE"/>
    <w:rsid w:val="006F5503"/>
    <w:rsid w:val="006F5E23"/>
    <w:rsid w:val="00700198"/>
    <w:rsid w:val="007008C3"/>
    <w:rsid w:val="00700A28"/>
    <w:rsid w:val="007018E3"/>
    <w:rsid w:val="007020C0"/>
    <w:rsid w:val="0070270F"/>
    <w:rsid w:val="00703C28"/>
    <w:rsid w:val="00704064"/>
    <w:rsid w:val="0070786F"/>
    <w:rsid w:val="00707BC2"/>
    <w:rsid w:val="00707D6F"/>
    <w:rsid w:val="00711EAC"/>
    <w:rsid w:val="007135AC"/>
    <w:rsid w:val="00713F7E"/>
    <w:rsid w:val="0071474C"/>
    <w:rsid w:val="00715182"/>
    <w:rsid w:val="007152D2"/>
    <w:rsid w:val="007153A9"/>
    <w:rsid w:val="00715C15"/>
    <w:rsid w:val="00720637"/>
    <w:rsid w:val="0072202A"/>
    <w:rsid w:val="00723D0A"/>
    <w:rsid w:val="0073061A"/>
    <w:rsid w:val="00730C4F"/>
    <w:rsid w:val="00733D38"/>
    <w:rsid w:val="007358B7"/>
    <w:rsid w:val="00735AB1"/>
    <w:rsid w:val="00735BD0"/>
    <w:rsid w:val="0073622C"/>
    <w:rsid w:val="00736A98"/>
    <w:rsid w:val="0073771B"/>
    <w:rsid w:val="00737851"/>
    <w:rsid w:val="00737AE6"/>
    <w:rsid w:val="00742043"/>
    <w:rsid w:val="0074319E"/>
    <w:rsid w:val="007433EF"/>
    <w:rsid w:val="00743817"/>
    <w:rsid w:val="007439FB"/>
    <w:rsid w:val="00744C07"/>
    <w:rsid w:val="007468AF"/>
    <w:rsid w:val="00750ACC"/>
    <w:rsid w:val="007518F4"/>
    <w:rsid w:val="00753BF9"/>
    <w:rsid w:val="0075415F"/>
    <w:rsid w:val="007541FA"/>
    <w:rsid w:val="00755227"/>
    <w:rsid w:val="0075666F"/>
    <w:rsid w:val="00756D90"/>
    <w:rsid w:val="00760DD0"/>
    <w:rsid w:val="007615F6"/>
    <w:rsid w:val="00762FC2"/>
    <w:rsid w:val="00763420"/>
    <w:rsid w:val="00763AA3"/>
    <w:rsid w:val="007641AF"/>
    <w:rsid w:val="00764F88"/>
    <w:rsid w:val="00766A63"/>
    <w:rsid w:val="00766B17"/>
    <w:rsid w:val="0077104A"/>
    <w:rsid w:val="0077251C"/>
    <w:rsid w:val="00775338"/>
    <w:rsid w:val="00776834"/>
    <w:rsid w:val="00777724"/>
    <w:rsid w:val="00780851"/>
    <w:rsid w:val="00783645"/>
    <w:rsid w:val="00783E29"/>
    <w:rsid w:val="00784790"/>
    <w:rsid w:val="00785EBD"/>
    <w:rsid w:val="00790684"/>
    <w:rsid w:val="00791395"/>
    <w:rsid w:val="007913A4"/>
    <w:rsid w:val="00791A98"/>
    <w:rsid w:val="00794F6A"/>
    <w:rsid w:val="0079632A"/>
    <w:rsid w:val="00796F93"/>
    <w:rsid w:val="00797EA8"/>
    <w:rsid w:val="007A0315"/>
    <w:rsid w:val="007A152B"/>
    <w:rsid w:val="007A2604"/>
    <w:rsid w:val="007A2993"/>
    <w:rsid w:val="007A4AFE"/>
    <w:rsid w:val="007A4EAC"/>
    <w:rsid w:val="007A519B"/>
    <w:rsid w:val="007A5827"/>
    <w:rsid w:val="007A6FD2"/>
    <w:rsid w:val="007A7CEA"/>
    <w:rsid w:val="007B04D0"/>
    <w:rsid w:val="007B1218"/>
    <w:rsid w:val="007B2974"/>
    <w:rsid w:val="007B2F00"/>
    <w:rsid w:val="007B44B8"/>
    <w:rsid w:val="007B46B5"/>
    <w:rsid w:val="007C0899"/>
    <w:rsid w:val="007C1535"/>
    <w:rsid w:val="007C4096"/>
    <w:rsid w:val="007C5571"/>
    <w:rsid w:val="007C7370"/>
    <w:rsid w:val="007D008F"/>
    <w:rsid w:val="007D048F"/>
    <w:rsid w:val="007D04E5"/>
    <w:rsid w:val="007D4517"/>
    <w:rsid w:val="007D5B01"/>
    <w:rsid w:val="007D6561"/>
    <w:rsid w:val="007D78B6"/>
    <w:rsid w:val="007D7994"/>
    <w:rsid w:val="007E0E31"/>
    <w:rsid w:val="007E1661"/>
    <w:rsid w:val="007E209E"/>
    <w:rsid w:val="007E22DC"/>
    <w:rsid w:val="007E29AB"/>
    <w:rsid w:val="007E2D12"/>
    <w:rsid w:val="007E337C"/>
    <w:rsid w:val="007E3BDD"/>
    <w:rsid w:val="007E3F47"/>
    <w:rsid w:val="007E5CBF"/>
    <w:rsid w:val="007F0B0A"/>
    <w:rsid w:val="007F2052"/>
    <w:rsid w:val="007F2F5D"/>
    <w:rsid w:val="007F3034"/>
    <w:rsid w:val="007F3678"/>
    <w:rsid w:val="007F524B"/>
    <w:rsid w:val="007F7162"/>
    <w:rsid w:val="007F736F"/>
    <w:rsid w:val="008025C8"/>
    <w:rsid w:val="0080702B"/>
    <w:rsid w:val="008072C5"/>
    <w:rsid w:val="008101F7"/>
    <w:rsid w:val="0081105B"/>
    <w:rsid w:val="00811669"/>
    <w:rsid w:val="008144FA"/>
    <w:rsid w:val="0081560A"/>
    <w:rsid w:val="00816A98"/>
    <w:rsid w:val="00817917"/>
    <w:rsid w:val="00820EA7"/>
    <w:rsid w:val="008211AF"/>
    <w:rsid w:val="0082297B"/>
    <w:rsid w:val="008240C5"/>
    <w:rsid w:val="0082414D"/>
    <w:rsid w:val="00824E76"/>
    <w:rsid w:val="0082511E"/>
    <w:rsid w:val="00826A99"/>
    <w:rsid w:val="00830209"/>
    <w:rsid w:val="008308B7"/>
    <w:rsid w:val="008315E2"/>
    <w:rsid w:val="00831E6D"/>
    <w:rsid w:val="0083288C"/>
    <w:rsid w:val="00832E30"/>
    <w:rsid w:val="00833523"/>
    <w:rsid w:val="00834DFB"/>
    <w:rsid w:val="00835C78"/>
    <w:rsid w:val="00836773"/>
    <w:rsid w:val="00837185"/>
    <w:rsid w:val="00837C11"/>
    <w:rsid w:val="008401D1"/>
    <w:rsid w:val="00840762"/>
    <w:rsid w:val="00841ECC"/>
    <w:rsid w:val="0084363F"/>
    <w:rsid w:val="008447F1"/>
    <w:rsid w:val="0084653E"/>
    <w:rsid w:val="0084686A"/>
    <w:rsid w:val="00847443"/>
    <w:rsid w:val="00847BF5"/>
    <w:rsid w:val="008504BA"/>
    <w:rsid w:val="00851D47"/>
    <w:rsid w:val="00851DFE"/>
    <w:rsid w:val="008522B2"/>
    <w:rsid w:val="00852B4B"/>
    <w:rsid w:val="00853C22"/>
    <w:rsid w:val="00855565"/>
    <w:rsid w:val="0085782B"/>
    <w:rsid w:val="0086078A"/>
    <w:rsid w:val="00860BFB"/>
    <w:rsid w:val="00861926"/>
    <w:rsid w:val="00861FD0"/>
    <w:rsid w:val="00864E38"/>
    <w:rsid w:val="00871822"/>
    <w:rsid w:val="0087228E"/>
    <w:rsid w:val="0087239C"/>
    <w:rsid w:val="008728A4"/>
    <w:rsid w:val="0087332E"/>
    <w:rsid w:val="00874878"/>
    <w:rsid w:val="00875460"/>
    <w:rsid w:val="0088151B"/>
    <w:rsid w:val="00881A24"/>
    <w:rsid w:val="00882BE9"/>
    <w:rsid w:val="008857B8"/>
    <w:rsid w:val="00885B8D"/>
    <w:rsid w:val="00890B96"/>
    <w:rsid w:val="00891172"/>
    <w:rsid w:val="00892C5D"/>
    <w:rsid w:val="00893EA4"/>
    <w:rsid w:val="00894CCA"/>
    <w:rsid w:val="00895451"/>
    <w:rsid w:val="008956F4"/>
    <w:rsid w:val="008978C6"/>
    <w:rsid w:val="008A05D7"/>
    <w:rsid w:val="008A6BD4"/>
    <w:rsid w:val="008C1EFA"/>
    <w:rsid w:val="008C4203"/>
    <w:rsid w:val="008C5013"/>
    <w:rsid w:val="008C58B2"/>
    <w:rsid w:val="008C5D18"/>
    <w:rsid w:val="008C6A34"/>
    <w:rsid w:val="008C71A7"/>
    <w:rsid w:val="008C7B84"/>
    <w:rsid w:val="008D0E5B"/>
    <w:rsid w:val="008D1053"/>
    <w:rsid w:val="008D2BBC"/>
    <w:rsid w:val="008D3B31"/>
    <w:rsid w:val="008D59CB"/>
    <w:rsid w:val="008D6AB6"/>
    <w:rsid w:val="008D77DF"/>
    <w:rsid w:val="008E1BE0"/>
    <w:rsid w:val="008E7518"/>
    <w:rsid w:val="008F257B"/>
    <w:rsid w:val="008F29A5"/>
    <w:rsid w:val="008F2D4E"/>
    <w:rsid w:val="008F501C"/>
    <w:rsid w:val="008F5BA1"/>
    <w:rsid w:val="008F6988"/>
    <w:rsid w:val="008F6CC0"/>
    <w:rsid w:val="008F7A60"/>
    <w:rsid w:val="008F7E5B"/>
    <w:rsid w:val="00900C5E"/>
    <w:rsid w:val="00900D5F"/>
    <w:rsid w:val="00901A04"/>
    <w:rsid w:val="0090304F"/>
    <w:rsid w:val="00905313"/>
    <w:rsid w:val="009055D5"/>
    <w:rsid w:val="00905991"/>
    <w:rsid w:val="00905D69"/>
    <w:rsid w:val="00910B7F"/>
    <w:rsid w:val="009134AD"/>
    <w:rsid w:val="009158EA"/>
    <w:rsid w:val="009160C6"/>
    <w:rsid w:val="0091789E"/>
    <w:rsid w:val="0092009B"/>
    <w:rsid w:val="009227CF"/>
    <w:rsid w:val="00923045"/>
    <w:rsid w:val="009237AE"/>
    <w:rsid w:val="00924D7D"/>
    <w:rsid w:val="009262A6"/>
    <w:rsid w:val="00927064"/>
    <w:rsid w:val="00927204"/>
    <w:rsid w:val="0093033B"/>
    <w:rsid w:val="009318AE"/>
    <w:rsid w:val="0093361C"/>
    <w:rsid w:val="00935CEB"/>
    <w:rsid w:val="00937AAF"/>
    <w:rsid w:val="00941301"/>
    <w:rsid w:val="00941ADB"/>
    <w:rsid w:val="00942199"/>
    <w:rsid w:val="009425F0"/>
    <w:rsid w:val="00942F5C"/>
    <w:rsid w:val="009458D3"/>
    <w:rsid w:val="00945ED9"/>
    <w:rsid w:val="00946BEA"/>
    <w:rsid w:val="00951634"/>
    <w:rsid w:val="0095167F"/>
    <w:rsid w:val="009519E7"/>
    <w:rsid w:val="0095200E"/>
    <w:rsid w:val="0095228C"/>
    <w:rsid w:val="0095513B"/>
    <w:rsid w:val="00955567"/>
    <w:rsid w:val="00956FBA"/>
    <w:rsid w:val="00961404"/>
    <w:rsid w:val="00962519"/>
    <w:rsid w:val="00962C53"/>
    <w:rsid w:val="00963650"/>
    <w:rsid w:val="0096414B"/>
    <w:rsid w:val="00966ED1"/>
    <w:rsid w:val="00971F45"/>
    <w:rsid w:val="00972654"/>
    <w:rsid w:val="00973BAA"/>
    <w:rsid w:val="009740C7"/>
    <w:rsid w:val="00976004"/>
    <w:rsid w:val="00976F78"/>
    <w:rsid w:val="009838C0"/>
    <w:rsid w:val="0098416D"/>
    <w:rsid w:val="0098419B"/>
    <w:rsid w:val="00984352"/>
    <w:rsid w:val="0098745C"/>
    <w:rsid w:val="009939C3"/>
    <w:rsid w:val="00993E0B"/>
    <w:rsid w:val="009942F9"/>
    <w:rsid w:val="00995028"/>
    <w:rsid w:val="009965A7"/>
    <w:rsid w:val="009965C7"/>
    <w:rsid w:val="00996C78"/>
    <w:rsid w:val="009A16B9"/>
    <w:rsid w:val="009A24B5"/>
    <w:rsid w:val="009A2EA4"/>
    <w:rsid w:val="009A67DC"/>
    <w:rsid w:val="009A7E19"/>
    <w:rsid w:val="009B0A2A"/>
    <w:rsid w:val="009B2C39"/>
    <w:rsid w:val="009B3D8A"/>
    <w:rsid w:val="009B61DE"/>
    <w:rsid w:val="009C0E07"/>
    <w:rsid w:val="009C135E"/>
    <w:rsid w:val="009C4131"/>
    <w:rsid w:val="009C4708"/>
    <w:rsid w:val="009C4C44"/>
    <w:rsid w:val="009C5BB3"/>
    <w:rsid w:val="009C6762"/>
    <w:rsid w:val="009C6988"/>
    <w:rsid w:val="009C6B29"/>
    <w:rsid w:val="009C7E82"/>
    <w:rsid w:val="009D0C39"/>
    <w:rsid w:val="009D1034"/>
    <w:rsid w:val="009D1270"/>
    <w:rsid w:val="009D17DA"/>
    <w:rsid w:val="009D50AE"/>
    <w:rsid w:val="009E33F5"/>
    <w:rsid w:val="009E4874"/>
    <w:rsid w:val="009E4A77"/>
    <w:rsid w:val="009E55D7"/>
    <w:rsid w:val="009E61A4"/>
    <w:rsid w:val="009E6D81"/>
    <w:rsid w:val="009E7282"/>
    <w:rsid w:val="009F05F6"/>
    <w:rsid w:val="009F09B3"/>
    <w:rsid w:val="009F1F8C"/>
    <w:rsid w:val="009F5C59"/>
    <w:rsid w:val="009F5E70"/>
    <w:rsid w:val="009F71D0"/>
    <w:rsid w:val="009F7EFE"/>
    <w:rsid w:val="00A01299"/>
    <w:rsid w:val="00A02DE0"/>
    <w:rsid w:val="00A04097"/>
    <w:rsid w:val="00A05411"/>
    <w:rsid w:val="00A113D0"/>
    <w:rsid w:val="00A118AD"/>
    <w:rsid w:val="00A12B37"/>
    <w:rsid w:val="00A143FB"/>
    <w:rsid w:val="00A15892"/>
    <w:rsid w:val="00A16E4E"/>
    <w:rsid w:val="00A16F05"/>
    <w:rsid w:val="00A16F57"/>
    <w:rsid w:val="00A17AEB"/>
    <w:rsid w:val="00A17E92"/>
    <w:rsid w:val="00A22D27"/>
    <w:rsid w:val="00A25A8D"/>
    <w:rsid w:val="00A2623A"/>
    <w:rsid w:val="00A2632B"/>
    <w:rsid w:val="00A27113"/>
    <w:rsid w:val="00A27DDD"/>
    <w:rsid w:val="00A315A0"/>
    <w:rsid w:val="00A320BC"/>
    <w:rsid w:val="00A34816"/>
    <w:rsid w:val="00A359D9"/>
    <w:rsid w:val="00A36BBD"/>
    <w:rsid w:val="00A41AAD"/>
    <w:rsid w:val="00A42329"/>
    <w:rsid w:val="00A429E8"/>
    <w:rsid w:val="00A4324D"/>
    <w:rsid w:val="00A47203"/>
    <w:rsid w:val="00A5033C"/>
    <w:rsid w:val="00A50BE9"/>
    <w:rsid w:val="00A51D17"/>
    <w:rsid w:val="00A52BA4"/>
    <w:rsid w:val="00A52D6A"/>
    <w:rsid w:val="00A54310"/>
    <w:rsid w:val="00A544D7"/>
    <w:rsid w:val="00A5488B"/>
    <w:rsid w:val="00A548A4"/>
    <w:rsid w:val="00A56279"/>
    <w:rsid w:val="00A56863"/>
    <w:rsid w:val="00A603EA"/>
    <w:rsid w:val="00A610CD"/>
    <w:rsid w:val="00A6153A"/>
    <w:rsid w:val="00A616E5"/>
    <w:rsid w:val="00A6390E"/>
    <w:rsid w:val="00A673C9"/>
    <w:rsid w:val="00A7090E"/>
    <w:rsid w:val="00A76203"/>
    <w:rsid w:val="00A76361"/>
    <w:rsid w:val="00A76422"/>
    <w:rsid w:val="00A76ED1"/>
    <w:rsid w:val="00A819A3"/>
    <w:rsid w:val="00A81EC2"/>
    <w:rsid w:val="00A85784"/>
    <w:rsid w:val="00A85EF0"/>
    <w:rsid w:val="00A85F77"/>
    <w:rsid w:val="00A86BA5"/>
    <w:rsid w:val="00A86E49"/>
    <w:rsid w:val="00A8739A"/>
    <w:rsid w:val="00A912D6"/>
    <w:rsid w:val="00A91758"/>
    <w:rsid w:val="00A93F96"/>
    <w:rsid w:val="00A94532"/>
    <w:rsid w:val="00A96D9E"/>
    <w:rsid w:val="00AA0BEF"/>
    <w:rsid w:val="00AA1819"/>
    <w:rsid w:val="00AA2CC0"/>
    <w:rsid w:val="00AA34ED"/>
    <w:rsid w:val="00AA3D88"/>
    <w:rsid w:val="00AA6807"/>
    <w:rsid w:val="00AA7348"/>
    <w:rsid w:val="00AB4BB6"/>
    <w:rsid w:val="00AB7C9E"/>
    <w:rsid w:val="00AC00EB"/>
    <w:rsid w:val="00AC037F"/>
    <w:rsid w:val="00AC26BE"/>
    <w:rsid w:val="00AC4E03"/>
    <w:rsid w:val="00AC4EC3"/>
    <w:rsid w:val="00AC508F"/>
    <w:rsid w:val="00AC54BF"/>
    <w:rsid w:val="00AC6A5B"/>
    <w:rsid w:val="00AC6E8A"/>
    <w:rsid w:val="00AD094F"/>
    <w:rsid w:val="00AD0A83"/>
    <w:rsid w:val="00AD1957"/>
    <w:rsid w:val="00AD22AC"/>
    <w:rsid w:val="00AD4532"/>
    <w:rsid w:val="00AD456C"/>
    <w:rsid w:val="00AD6B22"/>
    <w:rsid w:val="00AD6E28"/>
    <w:rsid w:val="00AE07E4"/>
    <w:rsid w:val="00AE11AE"/>
    <w:rsid w:val="00AE2AED"/>
    <w:rsid w:val="00AE3320"/>
    <w:rsid w:val="00AE4F84"/>
    <w:rsid w:val="00AE6D4C"/>
    <w:rsid w:val="00AE77FE"/>
    <w:rsid w:val="00AF03B4"/>
    <w:rsid w:val="00AF158C"/>
    <w:rsid w:val="00AF1D47"/>
    <w:rsid w:val="00AF2621"/>
    <w:rsid w:val="00AF57D1"/>
    <w:rsid w:val="00AF7B04"/>
    <w:rsid w:val="00AF7C9E"/>
    <w:rsid w:val="00B00F3F"/>
    <w:rsid w:val="00B0170D"/>
    <w:rsid w:val="00B018DC"/>
    <w:rsid w:val="00B02915"/>
    <w:rsid w:val="00B05138"/>
    <w:rsid w:val="00B06631"/>
    <w:rsid w:val="00B06CA0"/>
    <w:rsid w:val="00B11CC5"/>
    <w:rsid w:val="00B16C69"/>
    <w:rsid w:val="00B17127"/>
    <w:rsid w:val="00B22740"/>
    <w:rsid w:val="00B23965"/>
    <w:rsid w:val="00B23BAD"/>
    <w:rsid w:val="00B24B87"/>
    <w:rsid w:val="00B26658"/>
    <w:rsid w:val="00B26673"/>
    <w:rsid w:val="00B306EF"/>
    <w:rsid w:val="00B31072"/>
    <w:rsid w:val="00B328C3"/>
    <w:rsid w:val="00B329B0"/>
    <w:rsid w:val="00B3368C"/>
    <w:rsid w:val="00B342DB"/>
    <w:rsid w:val="00B3514C"/>
    <w:rsid w:val="00B3537E"/>
    <w:rsid w:val="00B40500"/>
    <w:rsid w:val="00B41638"/>
    <w:rsid w:val="00B41E99"/>
    <w:rsid w:val="00B42716"/>
    <w:rsid w:val="00B43B1F"/>
    <w:rsid w:val="00B45CC0"/>
    <w:rsid w:val="00B514CB"/>
    <w:rsid w:val="00B53671"/>
    <w:rsid w:val="00B539D7"/>
    <w:rsid w:val="00B546A5"/>
    <w:rsid w:val="00B550B7"/>
    <w:rsid w:val="00B562C9"/>
    <w:rsid w:val="00B5761C"/>
    <w:rsid w:val="00B57A38"/>
    <w:rsid w:val="00B60305"/>
    <w:rsid w:val="00B6072E"/>
    <w:rsid w:val="00B60C8E"/>
    <w:rsid w:val="00B60FD5"/>
    <w:rsid w:val="00B61E40"/>
    <w:rsid w:val="00B638D8"/>
    <w:rsid w:val="00B63A7C"/>
    <w:rsid w:val="00B65355"/>
    <w:rsid w:val="00B66422"/>
    <w:rsid w:val="00B71BBD"/>
    <w:rsid w:val="00B73888"/>
    <w:rsid w:val="00B73D73"/>
    <w:rsid w:val="00B7536B"/>
    <w:rsid w:val="00B761DF"/>
    <w:rsid w:val="00B76608"/>
    <w:rsid w:val="00B77BDF"/>
    <w:rsid w:val="00B77C4E"/>
    <w:rsid w:val="00B80049"/>
    <w:rsid w:val="00B80950"/>
    <w:rsid w:val="00B810B6"/>
    <w:rsid w:val="00B81EA3"/>
    <w:rsid w:val="00B8260A"/>
    <w:rsid w:val="00B8455C"/>
    <w:rsid w:val="00B877B4"/>
    <w:rsid w:val="00B877C6"/>
    <w:rsid w:val="00B9259F"/>
    <w:rsid w:val="00B938D9"/>
    <w:rsid w:val="00B93D7A"/>
    <w:rsid w:val="00B975CF"/>
    <w:rsid w:val="00BA1F52"/>
    <w:rsid w:val="00BA2617"/>
    <w:rsid w:val="00BA3066"/>
    <w:rsid w:val="00BA52BC"/>
    <w:rsid w:val="00BA7C6E"/>
    <w:rsid w:val="00BB561D"/>
    <w:rsid w:val="00BC1A9F"/>
    <w:rsid w:val="00BC1D60"/>
    <w:rsid w:val="00BC2B8B"/>
    <w:rsid w:val="00BC4C86"/>
    <w:rsid w:val="00BC53DB"/>
    <w:rsid w:val="00BC684D"/>
    <w:rsid w:val="00BC77F6"/>
    <w:rsid w:val="00BD002D"/>
    <w:rsid w:val="00BD3D72"/>
    <w:rsid w:val="00BD3DA0"/>
    <w:rsid w:val="00BD5E75"/>
    <w:rsid w:val="00BD6955"/>
    <w:rsid w:val="00BE578C"/>
    <w:rsid w:val="00BE6539"/>
    <w:rsid w:val="00BE715B"/>
    <w:rsid w:val="00BE788D"/>
    <w:rsid w:val="00BE79E7"/>
    <w:rsid w:val="00BE7A76"/>
    <w:rsid w:val="00BF1D3C"/>
    <w:rsid w:val="00BF2B7C"/>
    <w:rsid w:val="00BF3403"/>
    <w:rsid w:val="00BF4202"/>
    <w:rsid w:val="00BF489A"/>
    <w:rsid w:val="00BF4AB0"/>
    <w:rsid w:val="00BF6947"/>
    <w:rsid w:val="00BF74BD"/>
    <w:rsid w:val="00C0184A"/>
    <w:rsid w:val="00C04004"/>
    <w:rsid w:val="00C060F6"/>
    <w:rsid w:val="00C06373"/>
    <w:rsid w:val="00C06C75"/>
    <w:rsid w:val="00C10986"/>
    <w:rsid w:val="00C11B9F"/>
    <w:rsid w:val="00C11F95"/>
    <w:rsid w:val="00C14C81"/>
    <w:rsid w:val="00C15A67"/>
    <w:rsid w:val="00C15C0D"/>
    <w:rsid w:val="00C160B8"/>
    <w:rsid w:val="00C16AB9"/>
    <w:rsid w:val="00C20569"/>
    <w:rsid w:val="00C206D4"/>
    <w:rsid w:val="00C20E9C"/>
    <w:rsid w:val="00C2573F"/>
    <w:rsid w:val="00C26061"/>
    <w:rsid w:val="00C272E6"/>
    <w:rsid w:val="00C2754B"/>
    <w:rsid w:val="00C2775C"/>
    <w:rsid w:val="00C312DB"/>
    <w:rsid w:val="00C324A7"/>
    <w:rsid w:val="00C367D8"/>
    <w:rsid w:val="00C36A61"/>
    <w:rsid w:val="00C36AAA"/>
    <w:rsid w:val="00C375BA"/>
    <w:rsid w:val="00C40ADD"/>
    <w:rsid w:val="00C42522"/>
    <w:rsid w:val="00C42532"/>
    <w:rsid w:val="00C440D6"/>
    <w:rsid w:val="00C45107"/>
    <w:rsid w:val="00C453A2"/>
    <w:rsid w:val="00C458B7"/>
    <w:rsid w:val="00C46157"/>
    <w:rsid w:val="00C500D8"/>
    <w:rsid w:val="00C503AD"/>
    <w:rsid w:val="00C54F03"/>
    <w:rsid w:val="00C551FD"/>
    <w:rsid w:val="00C57795"/>
    <w:rsid w:val="00C6030C"/>
    <w:rsid w:val="00C6043E"/>
    <w:rsid w:val="00C6070A"/>
    <w:rsid w:val="00C6083C"/>
    <w:rsid w:val="00C625B9"/>
    <w:rsid w:val="00C6368B"/>
    <w:rsid w:val="00C64C3B"/>
    <w:rsid w:val="00C65889"/>
    <w:rsid w:val="00C65AA7"/>
    <w:rsid w:val="00C67315"/>
    <w:rsid w:val="00C677C3"/>
    <w:rsid w:val="00C7198F"/>
    <w:rsid w:val="00C71BA4"/>
    <w:rsid w:val="00C7214D"/>
    <w:rsid w:val="00C722D0"/>
    <w:rsid w:val="00C75277"/>
    <w:rsid w:val="00C76AE7"/>
    <w:rsid w:val="00C7707F"/>
    <w:rsid w:val="00C771E8"/>
    <w:rsid w:val="00C80F26"/>
    <w:rsid w:val="00C81026"/>
    <w:rsid w:val="00C813FD"/>
    <w:rsid w:val="00C82692"/>
    <w:rsid w:val="00C83AC6"/>
    <w:rsid w:val="00C92877"/>
    <w:rsid w:val="00C934FF"/>
    <w:rsid w:val="00C949B5"/>
    <w:rsid w:val="00C94E71"/>
    <w:rsid w:val="00C95878"/>
    <w:rsid w:val="00C959EB"/>
    <w:rsid w:val="00C9604B"/>
    <w:rsid w:val="00CA22F5"/>
    <w:rsid w:val="00CA5576"/>
    <w:rsid w:val="00CA587C"/>
    <w:rsid w:val="00CB07C1"/>
    <w:rsid w:val="00CB2473"/>
    <w:rsid w:val="00CB2FDA"/>
    <w:rsid w:val="00CB3779"/>
    <w:rsid w:val="00CB3E05"/>
    <w:rsid w:val="00CB475F"/>
    <w:rsid w:val="00CC0C77"/>
    <w:rsid w:val="00CC0EDE"/>
    <w:rsid w:val="00CC1241"/>
    <w:rsid w:val="00CC2450"/>
    <w:rsid w:val="00CC39A2"/>
    <w:rsid w:val="00CC3C8F"/>
    <w:rsid w:val="00CC5A4E"/>
    <w:rsid w:val="00CC63C9"/>
    <w:rsid w:val="00CD0B5C"/>
    <w:rsid w:val="00CD1F4E"/>
    <w:rsid w:val="00CD2DA9"/>
    <w:rsid w:val="00CD3549"/>
    <w:rsid w:val="00CD4F5A"/>
    <w:rsid w:val="00CD5B59"/>
    <w:rsid w:val="00CD7763"/>
    <w:rsid w:val="00CE2710"/>
    <w:rsid w:val="00CE3A5E"/>
    <w:rsid w:val="00CE496F"/>
    <w:rsid w:val="00CE7ADD"/>
    <w:rsid w:val="00CE7C70"/>
    <w:rsid w:val="00CF0A78"/>
    <w:rsid w:val="00CF109D"/>
    <w:rsid w:val="00CF22B3"/>
    <w:rsid w:val="00CF2AC2"/>
    <w:rsid w:val="00CF547A"/>
    <w:rsid w:val="00CF57C0"/>
    <w:rsid w:val="00CF63A6"/>
    <w:rsid w:val="00CF712A"/>
    <w:rsid w:val="00CF7441"/>
    <w:rsid w:val="00D00636"/>
    <w:rsid w:val="00D009A1"/>
    <w:rsid w:val="00D00D7D"/>
    <w:rsid w:val="00D03866"/>
    <w:rsid w:val="00D042F1"/>
    <w:rsid w:val="00D10303"/>
    <w:rsid w:val="00D11637"/>
    <w:rsid w:val="00D11696"/>
    <w:rsid w:val="00D13BD0"/>
    <w:rsid w:val="00D17828"/>
    <w:rsid w:val="00D17ED5"/>
    <w:rsid w:val="00D21B71"/>
    <w:rsid w:val="00D21EDC"/>
    <w:rsid w:val="00D22C70"/>
    <w:rsid w:val="00D23B4C"/>
    <w:rsid w:val="00D24692"/>
    <w:rsid w:val="00D249CC"/>
    <w:rsid w:val="00D24AD1"/>
    <w:rsid w:val="00D2690E"/>
    <w:rsid w:val="00D2724C"/>
    <w:rsid w:val="00D33C88"/>
    <w:rsid w:val="00D36551"/>
    <w:rsid w:val="00D4051F"/>
    <w:rsid w:val="00D431C0"/>
    <w:rsid w:val="00D43EAD"/>
    <w:rsid w:val="00D451D4"/>
    <w:rsid w:val="00D4641E"/>
    <w:rsid w:val="00D47CDD"/>
    <w:rsid w:val="00D50663"/>
    <w:rsid w:val="00D5104C"/>
    <w:rsid w:val="00D51E2A"/>
    <w:rsid w:val="00D52B68"/>
    <w:rsid w:val="00D52C47"/>
    <w:rsid w:val="00D53A33"/>
    <w:rsid w:val="00D55210"/>
    <w:rsid w:val="00D57472"/>
    <w:rsid w:val="00D60277"/>
    <w:rsid w:val="00D61D7C"/>
    <w:rsid w:val="00D61DE1"/>
    <w:rsid w:val="00D638FC"/>
    <w:rsid w:val="00D646DE"/>
    <w:rsid w:val="00D711BE"/>
    <w:rsid w:val="00D740BE"/>
    <w:rsid w:val="00D742C4"/>
    <w:rsid w:val="00D744D6"/>
    <w:rsid w:val="00D76319"/>
    <w:rsid w:val="00D767E2"/>
    <w:rsid w:val="00D76ADA"/>
    <w:rsid w:val="00D77715"/>
    <w:rsid w:val="00D807A7"/>
    <w:rsid w:val="00D8117D"/>
    <w:rsid w:val="00D82511"/>
    <w:rsid w:val="00D82F86"/>
    <w:rsid w:val="00D8311A"/>
    <w:rsid w:val="00D8385E"/>
    <w:rsid w:val="00D8394B"/>
    <w:rsid w:val="00D848B1"/>
    <w:rsid w:val="00D84E91"/>
    <w:rsid w:val="00D85F84"/>
    <w:rsid w:val="00D87A04"/>
    <w:rsid w:val="00D87E53"/>
    <w:rsid w:val="00D90C39"/>
    <w:rsid w:val="00D928B0"/>
    <w:rsid w:val="00D937F1"/>
    <w:rsid w:val="00D942A0"/>
    <w:rsid w:val="00D95A4A"/>
    <w:rsid w:val="00D95CE2"/>
    <w:rsid w:val="00DA156A"/>
    <w:rsid w:val="00DA2807"/>
    <w:rsid w:val="00DA2AF9"/>
    <w:rsid w:val="00DA2CE8"/>
    <w:rsid w:val="00DA6463"/>
    <w:rsid w:val="00DA67AA"/>
    <w:rsid w:val="00DA7E79"/>
    <w:rsid w:val="00DB4092"/>
    <w:rsid w:val="00DB5584"/>
    <w:rsid w:val="00DB5CA7"/>
    <w:rsid w:val="00DB6C11"/>
    <w:rsid w:val="00DB6F74"/>
    <w:rsid w:val="00DB78AB"/>
    <w:rsid w:val="00DB7F12"/>
    <w:rsid w:val="00DC09CA"/>
    <w:rsid w:val="00DC686D"/>
    <w:rsid w:val="00DC6C10"/>
    <w:rsid w:val="00DD2C38"/>
    <w:rsid w:val="00DD2D18"/>
    <w:rsid w:val="00DD4463"/>
    <w:rsid w:val="00DD5445"/>
    <w:rsid w:val="00DD621B"/>
    <w:rsid w:val="00DE06BB"/>
    <w:rsid w:val="00DE19F4"/>
    <w:rsid w:val="00DE371D"/>
    <w:rsid w:val="00DE4456"/>
    <w:rsid w:val="00DE7168"/>
    <w:rsid w:val="00DF0C1E"/>
    <w:rsid w:val="00DF1F2E"/>
    <w:rsid w:val="00DF3225"/>
    <w:rsid w:val="00DF4F48"/>
    <w:rsid w:val="00DF7594"/>
    <w:rsid w:val="00DF764A"/>
    <w:rsid w:val="00DF77EF"/>
    <w:rsid w:val="00E01AE5"/>
    <w:rsid w:val="00E01FEC"/>
    <w:rsid w:val="00E02D47"/>
    <w:rsid w:val="00E035B8"/>
    <w:rsid w:val="00E04713"/>
    <w:rsid w:val="00E05ACB"/>
    <w:rsid w:val="00E064A0"/>
    <w:rsid w:val="00E07A4B"/>
    <w:rsid w:val="00E106EA"/>
    <w:rsid w:val="00E10F9C"/>
    <w:rsid w:val="00E1157D"/>
    <w:rsid w:val="00E130F7"/>
    <w:rsid w:val="00E158A6"/>
    <w:rsid w:val="00E15EAB"/>
    <w:rsid w:val="00E20D3D"/>
    <w:rsid w:val="00E214F9"/>
    <w:rsid w:val="00E220EA"/>
    <w:rsid w:val="00E22894"/>
    <w:rsid w:val="00E23698"/>
    <w:rsid w:val="00E23CC6"/>
    <w:rsid w:val="00E260AC"/>
    <w:rsid w:val="00E26F3B"/>
    <w:rsid w:val="00E31175"/>
    <w:rsid w:val="00E3286C"/>
    <w:rsid w:val="00E32D8A"/>
    <w:rsid w:val="00E33141"/>
    <w:rsid w:val="00E33EAA"/>
    <w:rsid w:val="00E366DA"/>
    <w:rsid w:val="00E3722F"/>
    <w:rsid w:val="00E41AF8"/>
    <w:rsid w:val="00E42514"/>
    <w:rsid w:val="00E47CFA"/>
    <w:rsid w:val="00E51966"/>
    <w:rsid w:val="00E52B27"/>
    <w:rsid w:val="00E55010"/>
    <w:rsid w:val="00E55DB5"/>
    <w:rsid w:val="00E564E6"/>
    <w:rsid w:val="00E56601"/>
    <w:rsid w:val="00E61177"/>
    <w:rsid w:val="00E6120F"/>
    <w:rsid w:val="00E622BB"/>
    <w:rsid w:val="00E623DE"/>
    <w:rsid w:val="00E65167"/>
    <w:rsid w:val="00E7262C"/>
    <w:rsid w:val="00E72FC6"/>
    <w:rsid w:val="00E73655"/>
    <w:rsid w:val="00E74707"/>
    <w:rsid w:val="00E7592F"/>
    <w:rsid w:val="00E77367"/>
    <w:rsid w:val="00E8139E"/>
    <w:rsid w:val="00E816C0"/>
    <w:rsid w:val="00E850DB"/>
    <w:rsid w:val="00E86018"/>
    <w:rsid w:val="00E8683F"/>
    <w:rsid w:val="00E86CC2"/>
    <w:rsid w:val="00E8745F"/>
    <w:rsid w:val="00E90BEF"/>
    <w:rsid w:val="00E916A4"/>
    <w:rsid w:val="00E91B29"/>
    <w:rsid w:val="00E92A52"/>
    <w:rsid w:val="00E92DB1"/>
    <w:rsid w:val="00E94083"/>
    <w:rsid w:val="00E95684"/>
    <w:rsid w:val="00E96C0B"/>
    <w:rsid w:val="00E97674"/>
    <w:rsid w:val="00E97B0B"/>
    <w:rsid w:val="00EA002F"/>
    <w:rsid w:val="00EA2445"/>
    <w:rsid w:val="00EA33B8"/>
    <w:rsid w:val="00EA674A"/>
    <w:rsid w:val="00EA71D3"/>
    <w:rsid w:val="00EA7F43"/>
    <w:rsid w:val="00EB0B57"/>
    <w:rsid w:val="00EB1150"/>
    <w:rsid w:val="00EB4134"/>
    <w:rsid w:val="00EB50B3"/>
    <w:rsid w:val="00EB6BA3"/>
    <w:rsid w:val="00EC183D"/>
    <w:rsid w:val="00EC1B5E"/>
    <w:rsid w:val="00EC20EC"/>
    <w:rsid w:val="00EC21D3"/>
    <w:rsid w:val="00EC38C8"/>
    <w:rsid w:val="00EC5899"/>
    <w:rsid w:val="00EC6C71"/>
    <w:rsid w:val="00ED14FD"/>
    <w:rsid w:val="00ED18EF"/>
    <w:rsid w:val="00ED56FF"/>
    <w:rsid w:val="00ED71A1"/>
    <w:rsid w:val="00EE016D"/>
    <w:rsid w:val="00EE164A"/>
    <w:rsid w:val="00EE1654"/>
    <w:rsid w:val="00EE2A73"/>
    <w:rsid w:val="00EE60BE"/>
    <w:rsid w:val="00EE797B"/>
    <w:rsid w:val="00EF1F22"/>
    <w:rsid w:val="00EF6234"/>
    <w:rsid w:val="00F0521D"/>
    <w:rsid w:val="00F06964"/>
    <w:rsid w:val="00F070C4"/>
    <w:rsid w:val="00F101B5"/>
    <w:rsid w:val="00F1065C"/>
    <w:rsid w:val="00F112E0"/>
    <w:rsid w:val="00F121A2"/>
    <w:rsid w:val="00F12C63"/>
    <w:rsid w:val="00F13C21"/>
    <w:rsid w:val="00F13EB8"/>
    <w:rsid w:val="00F15792"/>
    <w:rsid w:val="00F15805"/>
    <w:rsid w:val="00F15C0E"/>
    <w:rsid w:val="00F16FA3"/>
    <w:rsid w:val="00F21940"/>
    <w:rsid w:val="00F2224E"/>
    <w:rsid w:val="00F22B97"/>
    <w:rsid w:val="00F22BD1"/>
    <w:rsid w:val="00F25068"/>
    <w:rsid w:val="00F25947"/>
    <w:rsid w:val="00F26288"/>
    <w:rsid w:val="00F27E6D"/>
    <w:rsid w:val="00F308F1"/>
    <w:rsid w:val="00F30FE3"/>
    <w:rsid w:val="00F31F57"/>
    <w:rsid w:val="00F33235"/>
    <w:rsid w:val="00F35364"/>
    <w:rsid w:val="00F3556B"/>
    <w:rsid w:val="00F3736E"/>
    <w:rsid w:val="00F37626"/>
    <w:rsid w:val="00F37871"/>
    <w:rsid w:val="00F418CC"/>
    <w:rsid w:val="00F43B99"/>
    <w:rsid w:val="00F443D5"/>
    <w:rsid w:val="00F45E0D"/>
    <w:rsid w:val="00F47031"/>
    <w:rsid w:val="00F47FE0"/>
    <w:rsid w:val="00F510E7"/>
    <w:rsid w:val="00F5281B"/>
    <w:rsid w:val="00F52987"/>
    <w:rsid w:val="00F52B16"/>
    <w:rsid w:val="00F5316F"/>
    <w:rsid w:val="00F57AAA"/>
    <w:rsid w:val="00F60C08"/>
    <w:rsid w:val="00F6121D"/>
    <w:rsid w:val="00F61D9C"/>
    <w:rsid w:val="00F6596A"/>
    <w:rsid w:val="00F70798"/>
    <w:rsid w:val="00F738D6"/>
    <w:rsid w:val="00F76B3E"/>
    <w:rsid w:val="00F83816"/>
    <w:rsid w:val="00F8651A"/>
    <w:rsid w:val="00F86DF2"/>
    <w:rsid w:val="00F872C4"/>
    <w:rsid w:val="00F94740"/>
    <w:rsid w:val="00F94F43"/>
    <w:rsid w:val="00FA0943"/>
    <w:rsid w:val="00FA38A3"/>
    <w:rsid w:val="00FA4873"/>
    <w:rsid w:val="00FA5928"/>
    <w:rsid w:val="00FA707F"/>
    <w:rsid w:val="00FB0A3F"/>
    <w:rsid w:val="00FB1C6B"/>
    <w:rsid w:val="00FB204C"/>
    <w:rsid w:val="00FB5783"/>
    <w:rsid w:val="00FB5E79"/>
    <w:rsid w:val="00FB654E"/>
    <w:rsid w:val="00FB688F"/>
    <w:rsid w:val="00FB6CAB"/>
    <w:rsid w:val="00FB7C05"/>
    <w:rsid w:val="00FB7C53"/>
    <w:rsid w:val="00FC0597"/>
    <w:rsid w:val="00FC1E72"/>
    <w:rsid w:val="00FC2A39"/>
    <w:rsid w:val="00FC2D89"/>
    <w:rsid w:val="00FC3950"/>
    <w:rsid w:val="00FC395D"/>
    <w:rsid w:val="00FC67B5"/>
    <w:rsid w:val="00FC70A2"/>
    <w:rsid w:val="00FC70B7"/>
    <w:rsid w:val="00FC76F2"/>
    <w:rsid w:val="00FD0C0C"/>
    <w:rsid w:val="00FD13F9"/>
    <w:rsid w:val="00FD1D90"/>
    <w:rsid w:val="00FD2228"/>
    <w:rsid w:val="00FD24F6"/>
    <w:rsid w:val="00FD4828"/>
    <w:rsid w:val="00FD4ACD"/>
    <w:rsid w:val="00FE03A0"/>
    <w:rsid w:val="00FE0BF3"/>
    <w:rsid w:val="00FE1C45"/>
    <w:rsid w:val="00FE21C5"/>
    <w:rsid w:val="00FE2F73"/>
    <w:rsid w:val="00FE4177"/>
    <w:rsid w:val="00FE55F9"/>
    <w:rsid w:val="00FE7D0A"/>
    <w:rsid w:val="00FE7FB9"/>
    <w:rsid w:val="00FF0192"/>
    <w:rsid w:val="00FF7529"/>
    <w:rsid w:val="02AA8711"/>
    <w:rsid w:val="092C8BF6"/>
    <w:rsid w:val="1D272D4B"/>
    <w:rsid w:val="2F1AA47A"/>
    <w:rsid w:val="38038469"/>
    <w:rsid w:val="67B27F2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C092AAE"/>
  <w15:chartTrackingRefBased/>
  <w15:docId w15:val="{1DF7EF99-7B00-4DC5-B8D7-787A2823E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E874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8504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8504B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9C7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7D7994"/>
    <w:pPr>
      <w:spacing w:after="0"/>
      <w:ind w:left="720"/>
      <w:contextualSpacing/>
    </w:p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locked/>
    <w:rsid w:val="007D7994"/>
  </w:style>
  <w:style w:type="paragraph" w:styleId="NormalWeb">
    <w:name w:val="Normal (Web)"/>
    <w:basedOn w:val="Normal"/>
    <w:uiPriority w:val="99"/>
    <w:unhideWhenUsed/>
    <w:rsid w:val="000A0F9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pie">
    <w:name w:val="footnote text"/>
    <w:basedOn w:val="Normal"/>
    <w:link w:val="TextonotapieCar"/>
    <w:uiPriority w:val="99"/>
    <w:semiHidden/>
    <w:unhideWhenUsed/>
    <w:rsid w:val="007A260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A2604"/>
    <w:rPr>
      <w:sz w:val="20"/>
      <w:szCs w:val="20"/>
    </w:rPr>
  </w:style>
  <w:style w:type="character" w:styleId="Refdenotaalpie">
    <w:name w:val="footnote reference"/>
    <w:basedOn w:val="Fuentedeprrafopredeter"/>
    <w:uiPriority w:val="99"/>
    <w:semiHidden/>
    <w:unhideWhenUsed/>
    <w:rsid w:val="007A2604"/>
    <w:rPr>
      <w:vertAlign w:val="superscript"/>
    </w:rPr>
  </w:style>
  <w:style w:type="paragraph" w:styleId="Encabezado">
    <w:name w:val="header"/>
    <w:aliases w:val="h,h8,h9,h10,h18,encabezado"/>
    <w:basedOn w:val="Normal"/>
    <w:link w:val="EncabezadoCar"/>
    <w:uiPriority w:val="99"/>
    <w:unhideWhenUsed/>
    <w:rsid w:val="00BC1A9F"/>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uiPriority w:val="99"/>
    <w:rsid w:val="00BC1A9F"/>
  </w:style>
  <w:style w:type="paragraph" w:styleId="Piedepgina">
    <w:name w:val="footer"/>
    <w:basedOn w:val="Normal"/>
    <w:link w:val="PiedepginaCar"/>
    <w:uiPriority w:val="99"/>
    <w:unhideWhenUsed/>
    <w:rsid w:val="00BC1A9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C1A9F"/>
  </w:style>
  <w:style w:type="character" w:styleId="Hipervnculo">
    <w:name w:val="Hyperlink"/>
    <w:basedOn w:val="Fuentedeprrafopredeter"/>
    <w:uiPriority w:val="99"/>
    <w:unhideWhenUsed/>
    <w:rsid w:val="008D77DF"/>
    <w:rPr>
      <w:color w:val="0000FF"/>
      <w:u w:val="single"/>
    </w:rPr>
  </w:style>
  <w:style w:type="paragraph" w:styleId="Sinespaciado">
    <w:name w:val="No Spacing"/>
    <w:link w:val="SinespaciadoCar"/>
    <w:uiPriority w:val="1"/>
    <w:qFormat/>
    <w:rsid w:val="0047564F"/>
    <w:pPr>
      <w:widowControl w:val="0"/>
      <w:suppressAutoHyphens/>
      <w:autoSpaceDN w:val="0"/>
      <w:spacing w:after="0" w:line="240" w:lineRule="auto"/>
      <w:textAlignment w:val="baseline"/>
    </w:pPr>
    <w:rPr>
      <w:rFonts w:ascii="Times New Roman" w:eastAsia="Arial Unicode MS" w:hAnsi="Times New Roman" w:cs="Times New Roman"/>
      <w:sz w:val="24"/>
      <w:szCs w:val="24"/>
      <w:lang w:val="es-ES" w:eastAsia="es-CO"/>
    </w:rPr>
  </w:style>
  <w:style w:type="character" w:customStyle="1" w:styleId="SinespaciadoCar">
    <w:name w:val="Sin espaciado Car"/>
    <w:link w:val="Sinespaciado"/>
    <w:uiPriority w:val="1"/>
    <w:locked/>
    <w:rsid w:val="0047564F"/>
    <w:rPr>
      <w:rFonts w:ascii="Times New Roman" w:eastAsia="Arial Unicode MS" w:hAnsi="Times New Roman" w:cs="Times New Roman"/>
      <w:sz w:val="24"/>
      <w:szCs w:val="24"/>
      <w:lang w:val="es-ES" w:eastAsia="es-CO"/>
    </w:rPr>
  </w:style>
  <w:style w:type="paragraph" w:styleId="Textodeglobo">
    <w:name w:val="Balloon Text"/>
    <w:basedOn w:val="Normal"/>
    <w:link w:val="TextodegloboCar"/>
    <w:uiPriority w:val="99"/>
    <w:semiHidden/>
    <w:unhideWhenUsed/>
    <w:rsid w:val="00D1163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11637"/>
    <w:rPr>
      <w:rFonts w:ascii="Segoe UI" w:hAnsi="Segoe UI" w:cs="Segoe UI"/>
      <w:sz w:val="18"/>
      <w:szCs w:val="18"/>
    </w:rPr>
  </w:style>
  <w:style w:type="character" w:styleId="Refdecomentario">
    <w:name w:val="annotation reference"/>
    <w:basedOn w:val="Fuentedeprrafopredeter"/>
    <w:uiPriority w:val="99"/>
    <w:semiHidden/>
    <w:unhideWhenUsed/>
    <w:rsid w:val="00A34816"/>
    <w:rPr>
      <w:sz w:val="16"/>
      <w:szCs w:val="16"/>
    </w:rPr>
  </w:style>
  <w:style w:type="paragraph" w:styleId="Textocomentario">
    <w:name w:val="annotation text"/>
    <w:basedOn w:val="Normal"/>
    <w:link w:val="TextocomentarioCar"/>
    <w:uiPriority w:val="99"/>
    <w:unhideWhenUsed/>
    <w:rsid w:val="00A34816"/>
    <w:pPr>
      <w:spacing w:line="240" w:lineRule="auto"/>
    </w:pPr>
    <w:rPr>
      <w:sz w:val="20"/>
      <w:szCs w:val="20"/>
    </w:rPr>
  </w:style>
  <w:style w:type="character" w:customStyle="1" w:styleId="TextocomentarioCar">
    <w:name w:val="Texto comentario Car"/>
    <w:basedOn w:val="Fuentedeprrafopredeter"/>
    <w:link w:val="Textocomentario"/>
    <w:uiPriority w:val="99"/>
    <w:rsid w:val="00A34816"/>
    <w:rPr>
      <w:sz w:val="20"/>
      <w:szCs w:val="20"/>
    </w:rPr>
  </w:style>
  <w:style w:type="paragraph" w:styleId="Asuntodelcomentario">
    <w:name w:val="annotation subject"/>
    <w:basedOn w:val="Textocomentario"/>
    <w:next w:val="Textocomentario"/>
    <w:link w:val="AsuntodelcomentarioCar"/>
    <w:uiPriority w:val="99"/>
    <w:semiHidden/>
    <w:unhideWhenUsed/>
    <w:rsid w:val="00A34816"/>
    <w:rPr>
      <w:b/>
      <w:bCs/>
    </w:rPr>
  </w:style>
  <w:style w:type="character" w:customStyle="1" w:styleId="AsuntodelcomentarioCar">
    <w:name w:val="Asunto del comentario Car"/>
    <w:basedOn w:val="TextocomentarioCar"/>
    <w:link w:val="Asuntodelcomentario"/>
    <w:uiPriority w:val="99"/>
    <w:semiHidden/>
    <w:rsid w:val="00A34816"/>
    <w:rPr>
      <w:b/>
      <w:bCs/>
      <w:sz w:val="20"/>
      <w:szCs w:val="20"/>
    </w:rPr>
  </w:style>
  <w:style w:type="paragraph" w:customStyle="1" w:styleId="Invias-VietaRomana">
    <w:name w:val="Invias-Viñeta Romana"/>
    <w:basedOn w:val="Normal"/>
    <w:next w:val="Normal"/>
    <w:uiPriority w:val="99"/>
    <w:rsid w:val="00B73888"/>
    <w:pPr>
      <w:numPr>
        <w:numId w:val="10"/>
      </w:numPr>
      <w:spacing w:before="240" w:after="240" w:line="240" w:lineRule="auto"/>
      <w:jc w:val="both"/>
    </w:pPr>
    <w:rPr>
      <w:rFonts w:ascii="Arial Narrow" w:eastAsia="Times New Roman" w:hAnsi="Arial Narrow" w:cs="Times New Roman"/>
      <w:sz w:val="24"/>
      <w:szCs w:val="24"/>
      <w:lang w:eastAsia="es-ES"/>
    </w:rPr>
  </w:style>
  <w:style w:type="character" w:customStyle="1" w:styleId="normaltextrun">
    <w:name w:val="normaltextrun"/>
    <w:basedOn w:val="Fuentedeprrafopredeter"/>
    <w:rsid w:val="00F13C21"/>
  </w:style>
  <w:style w:type="character" w:customStyle="1" w:styleId="spellingerror">
    <w:name w:val="spellingerror"/>
    <w:basedOn w:val="Fuentedeprrafopredeter"/>
    <w:rsid w:val="00F13C21"/>
  </w:style>
  <w:style w:type="paragraph" w:customStyle="1" w:styleId="paragraph">
    <w:name w:val="paragraph"/>
    <w:basedOn w:val="Normal"/>
    <w:rsid w:val="00F13C2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F13C21"/>
  </w:style>
  <w:style w:type="character" w:styleId="Nmerodelnea">
    <w:name w:val="line number"/>
    <w:basedOn w:val="Fuentedeprrafopredeter"/>
    <w:uiPriority w:val="99"/>
    <w:semiHidden/>
    <w:unhideWhenUsed/>
    <w:rsid w:val="00B975CF"/>
  </w:style>
  <w:style w:type="character" w:styleId="Hipervnculovisitado">
    <w:name w:val="FollowedHyperlink"/>
    <w:basedOn w:val="Fuentedeprrafopredeter"/>
    <w:uiPriority w:val="99"/>
    <w:semiHidden/>
    <w:unhideWhenUsed/>
    <w:rsid w:val="007641AF"/>
    <w:rPr>
      <w:color w:val="954F72" w:themeColor="followedHyperlink"/>
      <w:u w:val="single"/>
    </w:rPr>
  </w:style>
  <w:style w:type="character" w:customStyle="1" w:styleId="Ttulo2Car">
    <w:name w:val="Título 2 Car"/>
    <w:basedOn w:val="Fuentedeprrafopredeter"/>
    <w:link w:val="Ttulo2"/>
    <w:uiPriority w:val="9"/>
    <w:semiHidden/>
    <w:rsid w:val="008504BA"/>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rsid w:val="008504BA"/>
    <w:rPr>
      <w:rFonts w:asciiTheme="majorHAnsi" w:eastAsiaTheme="majorEastAsia" w:hAnsiTheme="majorHAnsi" w:cstheme="majorBidi"/>
      <w:color w:val="1F3763" w:themeColor="accent1" w:themeShade="7F"/>
      <w:sz w:val="24"/>
      <w:szCs w:val="24"/>
    </w:rPr>
  </w:style>
  <w:style w:type="paragraph" w:customStyle="1" w:styleId="InviasNormal">
    <w:name w:val="Invias Normal"/>
    <w:basedOn w:val="Normal"/>
    <w:link w:val="InviasNormalCar"/>
    <w:qFormat/>
    <w:rsid w:val="00684F1F"/>
    <w:pPr>
      <w:tabs>
        <w:tab w:val="left" w:pos="-142"/>
      </w:tabs>
      <w:autoSpaceDE w:val="0"/>
      <w:autoSpaceDN w:val="0"/>
      <w:adjustRightInd w:val="0"/>
      <w:spacing w:before="120" w:after="240" w:line="240" w:lineRule="auto"/>
      <w:jc w:val="both"/>
    </w:pPr>
    <w:rPr>
      <w:rFonts w:ascii="Arial" w:eastAsia="Times New Roman" w:hAnsi="Arial" w:cs="Times New Roman"/>
      <w:szCs w:val="24"/>
    </w:rPr>
  </w:style>
  <w:style w:type="character" w:customStyle="1" w:styleId="InviasNormalCar">
    <w:name w:val="Invias Normal Car"/>
    <w:link w:val="InviasNormal"/>
    <w:rsid w:val="00684F1F"/>
    <w:rPr>
      <w:rFonts w:ascii="Arial" w:eastAsia="Times New Roman" w:hAnsi="Arial" w:cs="Times New Roman"/>
      <w:szCs w:val="24"/>
    </w:rPr>
  </w:style>
  <w:style w:type="character" w:styleId="Nmerodepgina">
    <w:name w:val="page number"/>
    <w:basedOn w:val="Fuentedeprrafopredeter"/>
    <w:rsid w:val="000100CF"/>
  </w:style>
  <w:style w:type="paragraph" w:styleId="Descripcin">
    <w:name w:val="caption"/>
    <w:basedOn w:val="Normal"/>
    <w:next w:val="Normal"/>
    <w:uiPriority w:val="35"/>
    <w:unhideWhenUsed/>
    <w:qFormat/>
    <w:rsid w:val="00C7214D"/>
    <w:pPr>
      <w:spacing w:after="200" w:line="240" w:lineRule="auto"/>
    </w:pPr>
    <w:rPr>
      <w:i/>
      <w:iCs/>
      <w:color w:val="44546A" w:themeColor="text2"/>
      <w:sz w:val="18"/>
      <w:szCs w:val="18"/>
    </w:rPr>
  </w:style>
  <w:style w:type="character" w:customStyle="1" w:styleId="Ttulo1Car">
    <w:name w:val="Título 1 Car"/>
    <w:basedOn w:val="Fuentedeprrafopredeter"/>
    <w:link w:val="Ttulo1"/>
    <w:uiPriority w:val="9"/>
    <w:rsid w:val="00E8745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46424">
      <w:bodyDiv w:val="1"/>
      <w:marLeft w:val="0"/>
      <w:marRight w:val="0"/>
      <w:marTop w:val="0"/>
      <w:marBottom w:val="0"/>
      <w:divBdr>
        <w:top w:val="none" w:sz="0" w:space="0" w:color="auto"/>
        <w:left w:val="none" w:sz="0" w:space="0" w:color="auto"/>
        <w:bottom w:val="none" w:sz="0" w:space="0" w:color="auto"/>
        <w:right w:val="none" w:sz="0" w:space="0" w:color="auto"/>
      </w:divBdr>
    </w:div>
    <w:div w:id="17052865">
      <w:bodyDiv w:val="1"/>
      <w:marLeft w:val="0"/>
      <w:marRight w:val="0"/>
      <w:marTop w:val="0"/>
      <w:marBottom w:val="0"/>
      <w:divBdr>
        <w:top w:val="none" w:sz="0" w:space="0" w:color="auto"/>
        <w:left w:val="none" w:sz="0" w:space="0" w:color="auto"/>
        <w:bottom w:val="none" w:sz="0" w:space="0" w:color="auto"/>
        <w:right w:val="none" w:sz="0" w:space="0" w:color="auto"/>
      </w:divBdr>
    </w:div>
    <w:div w:id="22636203">
      <w:bodyDiv w:val="1"/>
      <w:marLeft w:val="0"/>
      <w:marRight w:val="0"/>
      <w:marTop w:val="0"/>
      <w:marBottom w:val="0"/>
      <w:divBdr>
        <w:top w:val="none" w:sz="0" w:space="0" w:color="auto"/>
        <w:left w:val="none" w:sz="0" w:space="0" w:color="auto"/>
        <w:bottom w:val="none" w:sz="0" w:space="0" w:color="auto"/>
        <w:right w:val="none" w:sz="0" w:space="0" w:color="auto"/>
      </w:divBdr>
    </w:div>
    <w:div w:id="26761984">
      <w:bodyDiv w:val="1"/>
      <w:marLeft w:val="0"/>
      <w:marRight w:val="0"/>
      <w:marTop w:val="0"/>
      <w:marBottom w:val="0"/>
      <w:divBdr>
        <w:top w:val="none" w:sz="0" w:space="0" w:color="auto"/>
        <w:left w:val="none" w:sz="0" w:space="0" w:color="auto"/>
        <w:bottom w:val="none" w:sz="0" w:space="0" w:color="auto"/>
        <w:right w:val="none" w:sz="0" w:space="0" w:color="auto"/>
      </w:divBdr>
    </w:div>
    <w:div w:id="48843353">
      <w:bodyDiv w:val="1"/>
      <w:marLeft w:val="0"/>
      <w:marRight w:val="0"/>
      <w:marTop w:val="0"/>
      <w:marBottom w:val="0"/>
      <w:divBdr>
        <w:top w:val="none" w:sz="0" w:space="0" w:color="auto"/>
        <w:left w:val="none" w:sz="0" w:space="0" w:color="auto"/>
        <w:bottom w:val="none" w:sz="0" w:space="0" w:color="auto"/>
        <w:right w:val="none" w:sz="0" w:space="0" w:color="auto"/>
      </w:divBdr>
    </w:div>
    <w:div w:id="78714565">
      <w:bodyDiv w:val="1"/>
      <w:marLeft w:val="0"/>
      <w:marRight w:val="0"/>
      <w:marTop w:val="0"/>
      <w:marBottom w:val="0"/>
      <w:divBdr>
        <w:top w:val="none" w:sz="0" w:space="0" w:color="auto"/>
        <w:left w:val="none" w:sz="0" w:space="0" w:color="auto"/>
        <w:bottom w:val="none" w:sz="0" w:space="0" w:color="auto"/>
        <w:right w:val="none" w:sz="0" w:space="0" w:color="auto"/>
      </w:divBdr>
    </w:div>
    <w:div w:id="90321243">
      <w:bodyDiv w:val="1"/>
      <w:marLeft w:val="0"/>
      <w:marRight w:val="0"/>
      <w:marTop w:val="0"/>
      <w:marBottom w:val="0"/>
      <w:divBdr>
        <w:top w:val="none" w:sz="0" w:space="0" w:color="auto"/>
        <w:left w:val="none" w:sz="0" w:space="0" w:color="auto"/>
        <w:bottom w:val="none" w:sz="0" w:space="0" w:color="auto"/>
        <w:right w:val="none" w:sz="0" w:space="0" w:color="auto"/>
      </w:divBdr>
    </w:div>
    <w:div w:id="99421782">
      <w:bodyDiv w:val="1"/>
      <w:marLeft w:val="0"/>
      <w:marRight w:val="0"/>
      <w:marTop w:val="0"/>
      <w:marBottom w:val="0"/>
      <w:divBdr>
        <w:top w:val="none" w:sz="0" w:space="0" w:color="auto"/>
        <w:left w:val="none" w:sz="0" w:space="0" w:color="auto"/>
        <w:bottom w:val="none" w:sz="0" w:space="0" w:color="auto"/>
        <w:right w:val="none" w:sz="0" w:space="0" w:color="auto"/>
      </w:divBdr>
    </w:div>
    <w:div w:id="105078821">
      <w:bodyDiv w:val="1"/>
      <w:marLeft w:val="0"/>
      <w:marRight w:val="0"/>
      <w:marTop w:val="0"/>
      <w:marBottom w:val="0"/>
      <w:divBdr>
        <w:top w:val="none" w:sz="0" w:space="0" w:color="auto"/>
        <w:left w:val="none" w:sz="0" w:space="0" w:color="auto"/>
        <w:bottom w:val="none" w:sz="0" w:space="0" w:color="auto"/>
        <w:right w:val="none" w:sz="0" w:space="0" w:color="auto"/>
      </w:divBdr>
    </w:div>
    <w:div w:id="108740797">
      <w:bodyDiv w:val="1"/>
      <w:marLeft w:val="0"/>
      <w:marRight w:val="0"/>
      <w:marTop w:val="0"/>
      <w:marBottom w:val="0"/>
      <w:divBdr>
        <w:top w:val="none" w:sz="0" w:space="0" w:color="auto"/>
        <w:left w:val="none" w:sz="0" w:space="0" w:color="auto"/>
        <w:bottom w:val="none" w:sz="0" w:space="0" w:color="auto"/>
        <w:right w:val="none" w:sz="0" w:space="0" w:color="auto"/>
      </w:divBdr>
    </w:div>
    <w:div w:id="110362896">
      <w:bodyDiv w:val="1"/>
      <w:marLeft w:val="0"/>
      <w:marRight w:val="0"/>
      <w:marTop w:val="0"/>
      <w:marBottom w:val="0"/>
      <w:divBdr>
        <w:top w:val="none" w:sz="0" w:space="0" w:color="auto"/>
        <w:left w:val="none" w:sz="0" w:space="0" w:color="auto"/>
        <w:bottom w:val="none" w:sz="0" w:space="0" w:color="auto"/>
        <w:right w:val="none" w:sz="0" w:space="0" w:color="auto"/>
      </w:divBdr>
    </w:div>
    <w:div w:id="113403663">
      <w:bodyDiv w:val="1"/>
      <w:marLeft w:val="0"/>
      <w:marRight w:val="0"/>
      <w:marTop w:val="0"/>
      <w:marBottom w:val="0"/>
      <w:divBdr>
        <w:top w:val="none" w:sz="0" w:space="0" w:color="auto"/>
        <w:left w:val="none" w:sz="0" w:space="0" w:color="auto"/>
        <w:bottom w:val="none" w:sz="0" w:space="0" w:color="auto"/>
        <w:right w:val="none" w:sz="0" w:space="0" w:color="auto"/>
      </w:divBdr>
    </w:div>
    <w:div w:id="128015107">
      <w:bodyDiv w:val="1"/>
      <w:marLeft w:val="0"/>
      <w:marRight w:val="0"/>
      <w:marTop w:val="0"/>
      <w:marBottom w:val="0"/>
      <w:divBdr>
        <w:top w:val="none" w:sz="0" w:space="0" w:color="auto"/>
        <w:left w:val="none" w:sz="0" w:space="0" w:color="auto"/>
        <w:bottom w:val="none" w:sz="0" w:space="0" w:color="auto"/>
        <w:right w:val="none" w:sz="0" w:space="0" w:color="auto"/>
      </w:divBdr>
    </w:div>
    <w:div w:id="129976536">
      <w:bodyDiv w:val="1"/>
      <w:marLeft w:val="0"/>
      <w:marRight w:val="0"/>
      <w:marTop w:val="0"/>
      <w:marBottom w:val="0"/>
      <w:divBdr>
        <w:top w:val="none" w:sz="0" w:space="0" w:color="auto"/>
        <w:left w:val="none" w:sz="0" w:space="0" w:color="auto"/>
        <w:bottom w:val="none" w:sz="0" w:space="0" w:color="auto"/>
        <w:right w:val="none" w:sz="0" w:space="0" w:color="auto"/>
      </w:divBdr>
    </w:div>
    <w:div w:id="139345332">
      <w:bodyDiv w:val="1"/>
      <w:marLeft w:val="0"/>
      <w:marRight w:val="0"/>
      <w:marTop w:val="0"/>
      <w:marBottom w:val="0"/>
      <w:divBdr>
        <w:top w:val="none" w:sz="0" w:space="0" w:color="auto"/>
        <w:left w:val="none" w:sz="0" w:space="0" w:color="auto"/>
        <w:bottom w:val="none" w:sz="0" w:space="0" w:color="auto"/>
        <w:right w:val="none" w:sz="0" w:space="0" w:color="auto"/>
      </w:divBdr>
    </w:div>
    <w:div w:id="142427044">
      <w:bodyDiv w:val="1"/>
      <w:marLeft w:val="0"/>
      <w:marRight w:val="0"/>
      <w:marTop w:val="0"/>
      <w:marBottom w:val="0"/>
      <w:divBdr>
        <w:top w:val="none" w:sz="0" w:space="0" w:color="auto"/>
        <w:left w:val="none" w:sz="0" w:space="0" w:color="auto"/>
        <w:bottom w:val="none" w:sz="0" w:space="0" w:color="auto"/>
        <w:right w:val="none" w:sz="0" w:space="0" w:color="auto"/>
      </w:divBdr>
    </w:div>
    <w:div w:id="154417209">
      <w:bodyDiv w:val="1"/>
      <w:marLeft w:val="0"/>
      <w:marRight w:val="0"/>
      <w:marTop w:val="0"/>
      <w:marBottom w:val="0"/>
      <w:divBdr>
        <w:top w:val="none" w:sz="0" w:space="0" w:color="auto"/>
        <w:left w:val="none" w:sz="0" w:space="0" w:color="auto"/>
        <w:bottom w:val="none" w:sz="0" w:space="0" w:color="auto"/>
        <w:right w:val="none" w:sz="0" w:space="0" w:color="auto"/>
      </w:divBdr>
    </w:div>
    <w:div w:id="162665029">
      <w:bodyDiv w:val="1"/>
      <w:marLeft w:val="0"/>
      <w:marRight w:val="0"/>
      <w:marTop w:val="0"/>
      <w:marBottom w:val="0"/>
      <w:divBdr>
        <w:top w:val="none" w:sz="0" w:space="0" w:color="auto"/>
        <w:left w:val="none" w:sz="0" w:space="0" w:color="auto"/>
        <w:bottom w:val="none" w:sz="0" w:space="0" w:color="auto"/>
        <w:right w:val="none" w:sz="0" w:space="0" w:color="auto"/>
      </w:divBdr>
    </w:div>
    <w:div w:id="189924284">
      <w:bodyDiv w:val="1"/>
      <w:marLeft w:val="0"/>
      <w:marRight w:val="0"/>
      <w:marTop w:val="0"/>
      <w:marBottom w:val="0"/>
      <w:divBdr>
        <w:top w:val="none" w:sz="0" w:space="0" w:color="auto"/>
        <w:left w:val="none" w:sz="0" w:space="0" w:color="auto"/>
        <w:bottom w:val="none" w:sz="0" w:space="0" w:color="auto"/>
        <w:right w:val="none" w:sz="0" w:space="0" w:color="auto"/>
      </w:divBdr>
    </w:div>
    <w:div w:id="190806308">
      <w:bodyDiv w:val="1"/>
      <w:marLeft w:val="0"/>
      <w:marRight w:val="0"/>
      <w:marTop w:val="0"/>
      <w:marBottom w:val="0"/>
      <w:divBdr>
        <w:top w:val="none" w:sz="0" w:space="0" w:color="auto"/>
        <w:left w:val="none" w:sz="0" w:space="0" w:color="auto"/>
        <w:bottom w:val="none" w:sz="0" w:space="0" w:color="auto"/>
        <w:right w:val="none" w:sz="0" w:space="0" w:color="auto"/>
      </w:divBdr>
    </w:div>
    <w:div w:id="193467512">
      <w:bodyDiv w:val="1"/>
      <w:marLeft w:val="0"/>
      <w:marRight w:val="0"/>
      <w:marTop w:val="0"/>
      <w:marBottom w:val="0"/>
      <w:divBdr>
        <w:top w:val="none" w:sz="0" w:space="0" w:color="auto"/>
        <w:left w:val="none" w:sz="0" w:space="0" w:color="auto"/>
        <w:bottom w:val="none" w:sz="0" w:space="0" w:color="auto"/>
        <w:right w:val="none" w:sz="0" w:space="0" w:color="auto"/>
      </w:divBdr>
    </w:div>
    <w:div w:id="201093726">
      <w:bodyDiv w:val="1"/>
      <w:marLeft w:val="0"/>
      <w:marRight w:val="0"/>
      <w:marTop w:val="0"/>
      <w:marBottom w:val="0"/>
      <w:divBdr>
        <w:top w:val="none" w:sz="0" w:space="0" w:color="auto"/>
        <w:left w:val="none" w:sz="0" w:space="0" w:color="auto"/>
        <w:bottom w:val="none" w:sz="0" w:space="0" w:color="auto"/>
        <w:right w:val="none" w:sz="0" w:space="0" w:color="auto"/>
      </w:divBdr>
    </w:div>
    <w:div w:id="212083060">
      <w:bodyDiv w:val="1"/>
      <w:marLeft w:val="0"/>
      <w:marRight w:val="0"/>
      <w:marTop w:val="0"/>
      <w:marBottom w:val="0"/>
      <w:divBdr>
        <w:top w:val="none" w:sz="0" w:space="0" w:color="auto"/>
        <w:left w:val="none" w:sz="0" w:space="0" w:color="auto"/>
        <w:bottom w:val="none" w:sz="0" w:space="0" w:color="auto"/>
        <w:right w:val="none" w:sz="0" w:space="0" w:color="auto"/>
      </w:divBdr>
    </w:div>
    <w:div w:id="284312794">
      <w:bodyDiv w:val="1"/>
      <w:marLeft w:val="0"/>
      <w:marRight w:val="0"/>
      <w:marTop w:val="0"/>
      <w:marBottom w:val="0"/>
      <w:divBdr>
        <w:top w:val="none" w:sz="0" w:space="0" w:color="auto"/>
        <w:left w:val="none" w:sz="0" w:space="0" w:color="auto"/>
        <w:bottom w:val="none" w:sz="0" w:space="0" w:color="auto"/>
        <w:right w:val="none" w:sz="0" w:space="0" w:color="auto"/>
      </w:divBdr>
    </w:div>
    <w:div w:id="285040639">
      <w:bodyDiv w:val="1"/>
      <w:marLeft w:val="0"/>
      <w:marRight w:val="0"/>
      <w:marTop w:val="0"/>
      <w:marBottom w:val="0"/>
      <w:divBdr>
        <w:top w:val="none" w:sz="0" w:space="0" w:color="auto"/>
        <w:left w:val="none" w:sz="0" w:space="0" w:color="auto"/>
        <w:bottom w:val="none" w:sz="0" w:space="0" w:color="auto"/>
        <w:right w:val="none" w:sz="0" w:space="0" w:color="auto"/>
      </w:divBdr>
    </w:div>
    <w:div w:id="298387300">
      <w:bodyDiv w:val="1"/>
      <w:marLeft w:val="0"/>
      <w:marRight w:val="0"/>
      <w:marTop w:val="0"/>
      <w:marBottom w:val="0"/>
      <w:divBdr>
        <w:top w:val="none" w:sz="0" w:space="0" w:color="auto"/>
        <w:left w:val="none" w:sz="0" w:space="0" w:color="auto"/>
        <w:bottom w:val="none" w:sz="0" w:space="0" w:color="auto"/>
        <w:right w:val="none" w:sz="0" w:space="0" w:color="auto"/>
      </w:divBdr>
    </w:div>
    <w:div w:id="312562596">
      <w:bodyDiv w:val="1"/>
      <w:marLeft w:val="0"/>
      <w:marRight w:val="0"/>
      <w:marTop w:val="0"/>
      <w:marBottom w:val="0"/>
      <w:divBdr>
        <w:top w:val="none" w:sz="0" w:space="0" w:color="auto"/>
        <w:left w:val="none" w:sz="0" w:space="0" w:color="auto"/>
        <w:bottom w:val="none" w:sz="0" w:space="0" w:color="auto"/>
        <w:right w:val="none" w:sz="0" w:space="0" w:color="auto"/>
      </w:divBdr>
    </w:div>
    <w:div w:id="323968699">
      <w:bodyDiv w:val="1"/>
      <w:marLeft w:val="0"/>
      <w:marRight w:val="0"/>
      <w:marTop w:val="0"/>
      <w:marBottom w:val="0"/>
      <w:divBdr>
        <w:top w:val="none" w:sz="0" w:space="0" w:color="auto"/>
        <w:left w:val="none" w:sz="0" w:space="0" w:color="auto"/>
        <w:bottom w:val="none" w:sz="0" w:space="0" w:color="auto"/>
        <w:right w:val="none" w:sz="0" w:space="0" w:color="auto"/>
      </w:divBdr>
    </w:div>
    <w:div w:id="335882826">
      <w:bodyDiv w:val="1"/>
      <w:marLeft w:val="0"/>
      <w:marRight w:val="0"/>
      <w:marTop w:val="0"/>
      <w:marBottom w:val="0"/>
      <w:divBdr>
        <w:top w:val="none" w:sz="0" w:space="0" w:color="auto"/>
        <w:left w:val="none" w:sz="0" w:space="0" w:color="auto"/>
        <w:bottom w:val="none" w:sz="0" w:space="0" w:color="auto"/>
        <w:right w:val="none" w:sz="0" w:space="0" w:color="auto"/>
      </w:divBdr>
    </w:div>
    <w:div w:id="350618320">
      <w:bodyDiv w:val="1"/>
      <w:marLeft w:val="0"/>
      <w:marRight w:val="0"/>
      <w:marTop w:val="0"/>
      <w:marBottom w:val="0"/>
      <w:divBdr>
        <w:top w:val="none" w:sz="0" w:space="0" w:color="auto"/>
        <w:left w:val="none" w:sz="0" w:space="0" w:color="auto"/>
        <w:bottom w:val="none" w:sz="0" w:space="0" w:color="auto"/>
        <w:right w:val="none" w:sz="0" w:space="0" w:color="auto"/>
      </w:divBdr>
    </w:div>
    <w:div w:id="356350962">
      <w:bodyDiv w:val="1"/>
      <w:marLeft w:val="0"/>
      <w:marRight w:val="0"/>
      <w:marTop w:val="0"/>
      <w:marBottom w:val="0"/>
      <w:divBdr>
        <w:top w:val="none" w:sz="0" w:space="0" w:color="auto"/>
        <w:left w:val="none" w:sz="0" w:space="0" w:color="auto"/>
        <w:bottom w:val="none" w:sz="0" w:space="0" w:color="auto"/>
        <w:right w:val="none" w:sz="0" w:space="0" w:color="auto"/>
      </w:divBdr>
    </w:div>
    <w:div w:id="393163847">
      <w:bodyDiv w:val="1"/>
      <w:marLeft w:val="0"/>
      <w:marRight w:val="0"/>
      <w:marTop w:val="0"/>
      <w:marBottom w:val="0"/>
      <w:divBdr>
        <w:top w:val="none" w:sz="0" w:space="0" w:color="auto"/>
        <w:left w:val="none" w:sz="0" w:space="0" w:color="auto"/>
        <w:bottom w:val="none" w:sz="0" w:space="0" w:color="auto"/>
        <w:right w:val="none" w:sz="0" w:space="0" w:color="auto"/>
      </w:divBdr>
    </w:div>
    <w:div w:id="406733264">
      <w:bodyDiv w:val="1"/>
      <w:marLeft w:val="0"/>
      <w:marRight w:val="0"/>
      <w:marTop w:val="0"/>
      <w:marBottom w:val="0"/>
      <w:divBdr>
        <w:top w:val="none" w:sz="0" w:space="0" w:color="auto"/>
        <w:left w:val="none" w:sz="0" w:space="0" w:color="auto"/>
        <w:bottom w:val="none" w:sz="0" w:space="0" w:color="auto"/>
        <w:right w:val="none" w:sz="0" w:space="0" w:color="auto"/>
      </w:divBdr>
    </w:div>
    <w:div w:id="409811198">
      <w:bodyDiv w:val="1"/>
      <w:marLeft w:val="0"/>
      <w:marRight w:val="0"/>
      <w:marTop w:val="0"/>
      <w:marBottom w:val="0"/>
      <w:divBdr>
        <w:top w:val="none" w:sz="0" w:space="0" w:color="auto"/>
        <w:left w:val="none" w:sz="0" w:space="0" w:color="auto"/>
        <w:bottom w:val="none" w:sz="0" w:space="0" w:color="auto"/>
        <w:right w:val="none" w:sz="0" w:space="0" w:color="auto"/>
      </w:divBdr>
    </w:div>
    <w:div w:id="412702575">
      <w:bodyDiv w:val="1"/>
      <w:marLeft w:val="0"/>
      <w:marRight w:val="0"/>
      <w:marTop w:val="0"/>
      <w:marBottom w:val="0"/>
      <w:divBdr>
        <w:top w:val="none" w:sz="0" w:space="0" w:color="auto"/>
        <w:left w:val="none" w:sz="0" w:space="0" w:color="auto"/>
        <w:bottom w:val="none" w:sz="0" w:space="0" w:color="auto"/>
        <w:right w:val="none" w:sz="0" w:space="0" w:color="auto"/>
      </w:divBdr>
    </w:div>
    <w:div w:id="421142637">
      <w:bodyDiv w:val="1"/>
      <w:marLeft w:val="0"/>
      <w:marRight w:val="0"/>
      <w:marTop w:val="0"/>
      <w:marBottom w:val="0"/>
      <w:divBdr>
        <w:top w:val="none" w:sz="0" w:space="0" w:color="auto"/>
        <w:left w:val="none" w:sz="0" w:space="0" w:color="auto"/>
        <w:bottom w:val="none" w:sz="0" w:space="0" w:color="auto"/>
        <w:right w:val="none" w:sz="0" w:space="0" w:color="auto"/>
      </w:divBdr>
    </w:div>
    <w:div w:id="444235684">
      <w:bodyDiv w:val="1"/>
      <w:marLeft w:val="0"/>
      <w:marRight w:val="0"/>
      <w:marTop w:val="0"/>
      <w:marBottom w:val="0"/>
      <w:divBdr>
        <w:top w:val="none" w:sz="0" w:space="0" w:color="auto"/>
        <w:left w:val="none" w:sz="0" w:space="0" w:color="auto"/>
        <w:bottom w:val="none" w:sz="0" w:space="0" w:color="auto"/>
        <w:right w:val="none" w:sz="0" w:space="0" w:color="auto"/>
      </w:divBdr>
    </w:div>
    <w:div w:id="445005687">
      <w:bodyDiv w:val="1"/>
      <w:marLeft w:val="0"/>
      <w:marRight w:val="0"/>
      <w:marTop w:val="0"/>
      <w:marBottom w:val="0"/>
      <w:divBdr>
        <w:top w:val="none" w:sz="0" w:space="0" w:color="auto"/>
        <w:left w:val="none" w:sz="0" w:space="0" w:color="auto"/>
        <w:bottom w:val="none" w:sz="0" w:space="0" w:color="auto"/>
        <w:right w:val="none" w:sz="0" w:space="0" w:color="auto"/>
      </w:divBdr>
    </w:div>
    <w:div w:id="447505870">
      <w:bodyDiv w:val="1"/>
      <w:marLeft w:val="0"/>
      <w:marRight w:val="0"/>
      <w:marTop w:val="0"/>
      <w:marBottom w:val="0"/>
      <w:divBdr>
        <w:top w:val="none" w:sz="0" w:space="0" w:color="auto"/>
        <w:left w:val="none" w:sz="0" w:space="0" w:color="auto"/>
        <w:bottom w:val="none" w:sz="0" w:space="0" w:color="auto"/>
        <w:right w:val="none" w:sz="0" w:space="0" w:color="auto"/>
      </w:divBdr>
    </w:div>
    <w:div w:id="459374054">
      <w:bodyDiv w:val="1"/>
      <w:marLeft w:val="0"/>
      <w:marRight w:val="0"/>
      <w:marTop w:val="0"/>
      <w:marBottom w:val="0"/>
      <w:divBdr>
        <w:top w:val="none" w:sz="0" w:space="0" w:color="auto"/>
        <w:left w:val="none" w:sz="0" w:space="0" w:color="auto"/>
        <w:bottom w:val="none" w:sz="0" w:space="0" w:color="auto"/>
        <w:right w:val="none" w:sz="0" w:space="0" w:color="auto"/>
      </w:divBdr>
    </w:div>
    <w:div w:id="469330104">
      <w:bodyDiv w:val="1"/>
      <w:marLeft w:val="0"/>
      <w:marRight w:val="0"/>
      <w:marTop w:val="0"/>
      <w:marBottom w:val="0"/>
      <w:divBdr>
        <w:top w:val="none" w:sz="0" w:space="0" w:color="auto"/>
        <w:left w:val="none" w:sz="0" w:space="0" w:color="auto"/>
        <w:bottom w:val="none" w:sz="0" w:space="0" w:color="auto"/>
        <w:right w:val="none" w:sz="0" w:space="0" w:color="auto"/>
      </w:divBdr>
    </w:div>
    <w:div w:id="507908012">
      <w:bodyDiv w:val="1"/>
      <w:marLeft w:val="0"/>
      <w:marRight w:val="0"/>
      <w:marTop w:val="0"/>
      <w:marBottom w:val="0"/>
      <w:divBdr>
        <w:top w:val="none" w:sz="0" w:space="0" w:color="auto"/>
        <w:left w:val="none" w:sz="0" w:space="0" w:color="auto"/>
        <w:bottom w:val="none" w:sz="0" w:space="0" w:color="auto"/>
        <w:right w:val="none" w:sz="0" w:space="0" w:color="auto"/>
      </w:divBdr>
    </w:div>
    <w:div w:id="531304226">
      <w:bodyDiv w:val="1"/>
      <w:marLeft w:val="0"/>
      <w:marRight w:val="0"/>
      <w:marTop w:val="0"/>
      <w:marBottom w:val="0"/>
      <w:divBdr>
        <w:top w:val="none" w:sz="0" w:space="0" w:color="auto"/>
        <w:left w:val="none" w:sz="0" w:space="0" w:color="auto"/>
        <w:bottom w:val="none" w:sz="0" w:space="0" w:color="auto"/>
        <w:right w:val="none" w:sz="0" w:space="0" w:color="auto"/>
      </w:divBdr>
    </w:div>
    <w:div w:id="544294451">
      <w:bodyDiv w:val="1"/>
      <w:marLeft w:val="0"/>
      <w:marRight w:val="0"/>
      <w:marTop w:val="0"/>
      <w:marBottom w:val="0"/>
      <w:divBdr>
        <w:top w:val="none" w:sz="0" w:space="0" w:color="auto"/>
        <w:left w:val="none" w:sz="0" w:space="0" w:color="auto"/>
        <w:bottom w:val="none" w:sz="0" w:space="0" w:color="auto"/>
        <w:right w:val="none" w:sz="0" w:space="0" w:color="auto"/>
      </w:divBdr>
    </w:div>
    <w:div w:id="549999376">
      <w:bodyDiv w:val="1"/>
      <w:marLeft w:val="0"/>
      <w:marRight w:val="0"/>
      <w:marTop w:val="0"/>
      <w:marBottom w:val="0"/>
      <w:divBdr>
        <w:top w:val="none" w:sz="0" w:space="0" w:color="auto"/>
        <w:left w:val="none" w:sz="0" w:space="0" w:color="auto"/>
        <w:bottom w:val="none" w:sz="0" w:space="0" w:color="auto"/>
        <w:right w:val="none" w:sz="0" w:space="0" w:color="auto"/>
      </w:divBdr>
    </w:div>
    <w:div w:id="570771937">
      <w:bodyDiv w:val="1"/>
      <w:marLeft w:val="0"/>
      <w:marRight w:val="0"/>
      <w:marTop w:val="0"/>
      <w:marBottom w:val="0"/>
      <w:divBdr>
        <w:top w:val="none" w:sz="0" w:space="0" w:color="auto"/>
        <w:left w:val="none" w:sz="0" w:space="0" w:color="auto"/>
        <w:bottom w:val="none" w:sz="0" w:space="0" w:color="auto"/>
        <w:right w:val="none" w:sz="0" w:space="0" w:color="auto"/>
      </w:divBdr>
    </w:div>
    <w:div w:id="583995427">
      <w:bodyDiv w:val="1"/>
      <w:marLeft w:val="0"/>
      <w:marRight w:val="0"/>
      <w:marTop w:val="0"/>
      <w:marBottom w:val="0"/>
      <w:divBdr>
        <w:top w:val="none" w:sz="0" w:space="0" w:color="auto"/>
        <w:left w:val="none" w:sz="0" w:space="0" w:color="auto"/>
        <w:bottom w:val="none" w:sz="0" w:space="0" w:color="auto"/>
        <w:right w:val="none" w:sz="0" w:space="0" w:color="auto"/>
      </w:divBdr>
    </w:div>
    <w:div w:id="606422772">
      <w:bodyDiv w:val="1"/>
      <w:marLeft w:val="0"/>
      <w:marRight w:val="0"/>
      <w:marTop w:val="0"/>
      <w:marBottom w:val="0"/>
      <w:divBdr>
        <w:top w:val="none" w:sz="0" w:space="0" w:color="auto"/>
        <w:left w:val="none" w:sz="0" w:space="0" w:color="auto"/>
        <w:bottom w:val="none" w:sz="0" w:space="0" w:color="auto"/>
        <w:right w:val="none" w:sz="0" w:space="0" w:color="auto"/>
      </w:divBdr>
    </w:div>
    <w:div w:id="613245484">
      <w:bodyDiv w:val="1"/>
      <w:marLeft w:val="0"/>
      <w:marRight w:val="0"/>
      <w:marTop w:val="0"/>
      <w:marBottom w:val="0"/>
      <w:divBdr>
        <w:top w:val="none" w:sz="0" w:space="0" w:color="auto"/>
        <w:left w:val="none" w:sz="0" w:space="0" w:color="auto"/>
        <w:bottom w:val="none" w:sz="0" w:space="0" w:color="auto"/>
        <w:right w:val="none" w:sz="0" w:space="0" w:color="auto"/>
      </w:divBdr>
    </w:div>
    <w:div w:id="622344245">
      <w:bodyDiv w:val="1"/>
      <w:marLeft w:val="0"/>
      <w:marRight w:val="0"/>
      <w:marTop w:val="0"/>
      <w:marBottom w:val="0"/>
      <w:divBdr>
        <w:top w:val="none" w:sz="0" w:space="0" w:color="auto"/>
        <w:left w:val="none" w:sz="0" w:space="0" w:color="auto"/>
        <w:bottom w:val="none" w:sz="0" w:space="0" w:color="auto"/>
        <w:right w:val="none" w:sz="0" w:space="0" w:color="auto"/>
      </w:divBdr>
    </w:div>
    <w:div w:id="640617679">
      <w:bodyDiv w:val="1"/>
      <w:marLeft w:val="0"/>
      <w:marRight w:val="0"/>
      <w:marTop w:val="0"/>
      <w:marBottom w:val="0"/>
      <w:divBdr>
        <w:top w:val="none" w:sz="0" w:space="0" w:color="auto"/>
        <w:left w:val="none" w:sz="0" w:space="0" w:color="auto"/>
        <w:bottom w:val="none" w:sz="0" w:space="0" w:color="auto"/>
        <w:right w:val="none" w:sz="0" w:space="0" w:color="auto"/>
      </w:divBdr>
    </w:div>
    <w:div w:id="652220306">
      <w:bodyDiv w:val="1"/>
      <w:marLeft w:val="0"/>
      <w:marRight w:val="0"/>
      <w:marTop w:val="0"/>
      <w:marBottom w:val="0"/>
      <w:divBdr>
        <w:top w:val="none" w:sz="0" w:space="0" w:color="auto"/>
        <w:left w:val="none" w:sz="0" w:space="0" w:color="auto"/>
        <w:bottom w:val="none" w:sz="0" w:space="0" w:color="auto"/>
        <w:right w:val="none" w:sz="0" w:space="0" w:color="auto"/>
      </w:divBdr>
    </w:div>
    <w:div w:id="658928126">
      <w:bodyDiv w:val="1"/>
      <w:marLeft w:val="0"/>
      <w:marRight w:val="0"/>
      <w:marTop w:val="0"/>
      <w:marBottom w:val="0"/>
      <w:divBdr>
        <w:top w:val="none" w:sz="0" w:space="0" w:color="auto"/>
        <w:left w:val="none" w:sz="0" w:space="0" w:color="auto"/>
        <w:bottom w:val="none" w:sz="0" w:space="0" w:color="auto"/>
        <w:right w:val="none" w:sz="0" w:space="0" w:color="auto"/>
      </w:divBdr>
    </w:div>
    <w:div w:id="665018085">
      <w:bodyDiv w:val="1"/>
      <w:marLeft w:val="0"/>
      <w:marRight w:val="0"/>
      <w:marTop w:val="0"/>
      <w:marBottom w:val="0"/>
      <w:divBdr>
        <w:top w:val="none" w:sz="0" w:space="0" w:color="auto"/>
        <w:left w:val="none" w:sz="0" w:space="0" w:color="auto"/>
        <w:bottom w:val="none" w:sz="0" w:space="0" w:color="auto"/>
        <w:right w:val="none" w:sz="0" w:space="0" w:color="auto"/>
      </w:divBdr>
    </w:div>
    <w:div w:id="669648830">
      <w:bodyDiv w:val="1"/>
      <w:marLeft w:val="0"/>
      <w:marRight w:val="0"/>
      <w:marTop w:val="0"/>
      <w:marBottom w:val="0"/>
      <w:divBdr>
        <w:top w:val="none" w:sz="0" w:space="0" w:color="auto"/>
        <w:left w:val="none" w:sz="0" w:space="0" w:color="auto"/>
        <w:bottom w:val="none" w:sz="0" w:space="0" w:color="auto"/>
        <w:right w:val="none" w:sz="0" w:space="0" w:color="auto"/>
      </w:divBdr>
    </w:div>
    <w:div w:id="702948563">
      <w:bodyDiv w:val="1"/>
      <w:marLeft w:val="0"/>
      <w:marRight w:val="0"/>
      <w:marTop w:val="0"/>
      <w:marBottom w:val="0"/>
      <w:divBdr>
        <w:top w:val="none" w:sz="0" w:space="0" w:color="auto"/>
        <w:left w:val="none" w:sz="0" w:space="0" w:color="auto"/>
        <w:bottom w:val="none" w:sz="0" w:space="0" w:color="auto"/>
        <w:right w:val="none" w:sz="0" w:space="0" w:color="auto"/>
      </w:divBdr>
    </w:div>
    <w:div w:id="713428096">
      <w:bodyDiv w:val="1"/>
      <w:marLeft w:val="0"/>
      <w:marRight w:val="0"/>
      <w:marTop w:val="0"/>
      <w:marBottom w:val="0"/>
      <w:divBdr>
        <w:top w:val="none" w:sz="0" w:space="0" w:color="auto"/>
        <w:left w:val="none" w:sz="0" w:space="0" w:color="auto"/>
        <w:bottom w:val="none" w:sz="0" w:space="0" w:color="auto"/>
        <w:right w:val="none" w:sz="0" w:space="0" w:color="auto"/>
      </w:divBdr>
    </w:div>
    <w:div w:id="732386569">
      <w:bodyDiv w:val="1"/>
      <w:marLeft w:val="0"/>
      <w:marRight w:val="0"/>
      <w:marTop w:val="0"/>
      <w:marBottom w:val="0"/>
      <w:divBdr>
        <w:top w:val="none" w:sz="0" w:space="0" w:color="auto"/>
        <w:left w:val="none" w:sz="0" w:space="0" w:color="auto"/>
        <w:bottom w:val="none" w:sz="0" w:space="0" w:color="auto"/>
        <w:right w:val="none" w:sz="0" w:space="0" w:color="auto"/>
      </w:divBdr>
    </w:div>
    <w:div w:id="737630679">
      <w:bodyDiv w:val="1"/>
      <w:marLeft w:val="0"/>
      <w:marRight w:val="0"/>
      <w:marTop w:val="0"/>
      <w:marBottom w:val="0"/>
      <w:divBdr>
        <w:top w:val="none" w:sz="0" w:space="0" w:color="auto"/>
        <w:left w:val="none" w:sz="0" w:space="0" w:color="auto"/>
        <w:bottom w:val="none" w:sz="0" w:space="0" w:color="auto"/>
        <w:right w:val="none" w:sz="0" w:space="0" w:color="auto"/>
      </w:divBdr>
    </w:div>
    <w:div w:id="738089446">
      <w:bodyDiv w:val="1"/>
      <w:marLeft w:val="0"/>
      <w:marRight w:val="0"/>
      <w:marTop w:val="0"/>
      <w:marBottom w:val="0"/>
      <w:divBdr>
        <w:top w:val="none" w:sz="0" w:space="0" w:color="auto"/>
        <w:left w:val="none" w:sz="0" w:space="0" w:color="auto"/>
        <w:bottom w:val="none" w:sz="0" w:space="0" w:color="auto"/>
        <w:right w:val="none" w:sz="0" w:space="0" w:color="auto"/>
      </w:divBdr>
    </w:div>
    <w:div w:id="739182864">
      <w:bodyDiv w:val="1"/>
      <w:marLeft w:val="0"/>
      <w:marRight w:val="0"/>
      <w:marTop w:val="0"/>
      <w:marBottom w:val="0"/>
      <w:divBdr>
        <w:top w:val="none" w:sz="0" w:space="0" w:color="auto"/>
        <w:left w:val="none" w:sz="0" w:space="0" w:color="auto"/>
        <w:bottom w:val="none" w:sz="0" w:space="0" w:color="auto"/>
        <w:right w:val="none" w:sz="0" w:space="0" w:color="auto"/>
      </w:divBdr>
    </w:div>
    <w:div w:id="755443338">
      <w:bodyDiv w:val="1"/>
      <w:marLeft w:val="0"/>
      <w:marRight w:val="0"/>
      <w:marTop w:val="0"/>
      <w:marBottom w:val="0"/>
      <w:divBdr>
        <w:top w:val="none" w:sz="0" w:space="0" w:color="auto"/>
        <w:left w:val="none" w:sz="0" w:space="0" w:color="auto"/>
        <w:bottom w:val="none" w:sz="0" w:space="0" w:color="auto"/>
        <w:right w:val="none" w:sz="0" w:space="0" w:color="auto"/>
      </w:divBdr>
    </w:div>
    <w:div w:id="759760456">
      <w:bodyDiv w:val="1"/>
      <w:marLeft w:val="0"/>
      <w:marRight w:val="0"/>
      <w:marTop w:val="0"/>
      <w:marBottom w:val="0"/>
      <w:divBdr>
        <w:top w:val="none" w:sz="0" w:space="0" w:color="auto"/>
        <w:left w:val="none" w:sz="0" w:space="0" w:color="auto"/>
        <w:bottom w:val="none" w:sz="0" w:space="0" w:color="auto"/>
        <w:right w:val="none" w:sz="0" w:space="0" w:color="auto"/>
      </w:divBdr>
    </w:div>
    <w:div w:id="795105795">
      <w:bodyDiv w:val="1"/>
      <w:marLeft w:val="0"/>
      <w:marRight w:val="0"/>
      <w:marTop w:val="0"/>
      <w:marBottom w:val="0"/>
      <w:divBdr>
        <w:top w:val="none" w:sz="0" w:space="0" w:color="auto"/>
        <w:left w:val="none" w:sz="0" w:space="0" w:color="auto"/>
        <w:bottom w:val="none" w:sz="0" w:space="0" w:color="auto"/>
        <w:right w:val="none" w:sz="0" w:space="0" w:color="auto"/>
      </w:divBdr>
    </w:div>
    <w:div w:id="826745323">
      <w:bodyDiv w:val="1"/>
      <w:marLeft w:val="0"/>
      <w:marRight w:val="0"/>
      <w:marTop w:val="0"/>
      <w:marBottom w:val="0"/>
      <w:divBdr>
        <w:top w:val="none" w:sz="0" w:space="0" w:color="auto"/>
        <w:left w:val="none" w:sz="0" w:space="0" w:color="auto"/>
        <w:bottom w:val="none" w:sz="0" w:space="0" w:color="auto"/>
        <w:right w:val="none" w:sz="0" w:space="0" w:color="auto"/>
      </w:divBdr>
    </w:div>
    <w:div w:id="857087682">
      <w:bodyDiv w:val="1"/>
      <w:marLeft w:val="0"/>
      <w:marRight w:val="0"/>
      <w:marTop w:val="0"/>
      <w:marBottom w:val="0"/>
      <w:divBdr>
        <w:top w:val="none" w:sz="0" w:space="0" w:color="auto"/>
        <w:left w:val="none" w:sz="0" w:space="0" w:color="auto"/>
        <w:bottom w:val="none" w:sz="0" w:space="0" w:color="auto"/>
        <w:right w:val="none" w:sz="0" w:space="0" w:color="auto"/>
      </w:divBdr>
    </w:div>
    <w:div w:id="859776393">
      <w:bodyDiv w:val="1"/>
      <w:marLeft w:val="0"/>
      <w:marRight w:val="0"/>
      <w:marTop w:val="0"/>
      <w:marBottom w:val="0"/>
      <w:divBdr>
        <w:top w:val="none" w:sz="0" w:space="0" w:color="auto"/>
        <w:left w:val="none" w:sz="0" w:space="0" w:color="auto"/>
        <w:bottom w:val="none" w:sz="0" w:space="0" w:color="auto"/>
        <w:right w:val="none" w:sz="0" w:space="0" w:color="auto"/>
      </w:divBdr>
    </w:div>
    <w:div w:id="860168438">
      <w:bodyDiv w:val="1"/>
      <w:marLeft w:val="0"/>
      <w:marRight w:val="0"/>
      <w:marTop w:val="0"/>
      <w:marBottom w:val="0"/>
      <w:divBdr>
        <w:top w:val="none" w:sz="0" w:space="0" w:color="auto"/>
        <w:left w:val="none" w:sz="0" w:space="0" w:color="auto"/>
        <w:bottom w:val="none" w:sz="0" w:space="0" w:color="auto"/>
        <w:right w:val="none" w:sz="0" w:space="0" w:color="auto"/>
      </w:divBdr>
    </w:div>
    <w:div w:id="866792291">
      <w:bodyDiv w:val="1"/>
      <w:marLeft w:val="0"/>
      <w:marRight w:val="0"/>
      <w:marTop w:val="0"/>
      <w:marBottom w:val="0"/>
      <w:divBdr>
        <w:top w:val="none" w:sz="0" w:space="0" w:color="auto"/>
        <w:left w:val="none" w:sz="0" w:space="0" w:color="auto"/>
        <w:bottom w:val="none" w:sz="0" w:space="0" w:color="auto"/>
        <w:right w:val="none" w:sz="0" w:space="0" w:color="auto"/>
      </w:divBdr>
    </w:div>
    <w:div w:id="869563163">
      <w:bodyDiv w:val="1"/>
      <w:marLeft w:val="0"/>
      <w:marRight w:val="0"/>
      <w:marTop w:val="0"/>
      <w:marBottom w:val="0"/>
      <w:divBdr>
        <w:top w:val="none" w:sz="0" w:space="0" w:color="auto"/>
        <w:left w:val="none" w:sz="0" w:space="0" w:color="auto"/>
        <w:bottom w:val="none" w:sz="0" w:space="0" w:color="auto"/>
        <w:right w:val="none" w:sz="0" w:space="0" w:color="auto"/>
      </w:divBdr>
      <w:divsChild>
        <w:div w:id="190730963">
          <w:marLeft w:val="547"/>
          <w:marRight w:val="0"/>
          <w:marTop w:val="0"/>
          <w:marBottom w:val="0"/>
          <w:divBdr>
            <w:top w:val="none" w:sz="0" w:space="0" w:color="auto"/>
            <w:left w:val="none" w:sz="0" w:space="0" w:color="auto"/>
            <w:bottom w:val="none" w:sz="0" w:space="0" w:color="auto"/>
            <w:right w:val="none" w:sz="0" w:space="0" w:color="auto"/>
          </w:divBdr>
        </w:div>
        <w:div w:id="665716209">
          <w:marLeft w:val="547"/>
          <w:marRight w:val="0"/>
          <w:marTop w:val="0"/>
          <w:marBottom w:val="0"/>
          <w:divBdr>
            <w:top w:val="none" w:sz="0" w:space="0" w:color="auto"/>
            <w:left w:val="none" w:sz="0" w:space="0" w:color="auto"/>
            <w:bottom w:val="none" w:sz="0" w:space="0" w:color="auto"/>
            <w:right w:val="none" w:sz="0" w:space="0" w:color="auto"/>
          </w:divBdr>
        </w:div>
        <w:div w:id="1184125644">
          <w:marLeft w:val="547"/>
          <w:marRight w:val="0"/>
          <w:marTop w:val="0"/>
          <w:marBottom w:val="0"/>
          <w:divBdr>
            <w:top w:val="none" w:sz="0" w:space="0" w:color="auto"/>
            <w:left w:val="none" w:sz="0" w:space="0" w:color="auto"/>
            <w:bottom w:val="none" w:sz="0" w:space="0" w:color="auto"/>
            <w:right w:val="none" w:sz="0" w:space="0" w:color="auto"/>
          </w:divBdr>
        </w:div>
        <w:div w:id="1379474085">
          <w:marLeft w:val="547"/>
          <w:marRight w:val="0"/>
          <w:marTop w:val="0"/>
          <w:marBottom w:val="0"/>
          <w:divBdr>
            <w:top w:val="none" w:sz="0" w:space="0" w:color="auto"/>
            <w:left w:val="none" w:sz="0" w:space="0" w:color="auto"/>
            <w:bottom w:val="none" w:sz="0" w:space="0" w:color="auto"/>
            <w:right w:val="none" w:sz="0" w:space="0" w:color="auto"/>
          </w:divBdr>
        </w:div>
        <w:div w:id="2121800187">
          <w:marLeft w:val="547"/>
          <w:marRight w:val="0"/>
          <w:marTop w:val="0"/>
          <w:marBottom w:val="0"/>
          <w:divBdr>
            <w:top w:val="none" w:sz="0" w:space="0" w:color="auto"/>
            <w:left w:val="none" w:sz="0" w:space="0" w:color="auto"/>
            <w:bottom w:val="none" w:sz="0" w:space="0" w:color="auto"/>
            <w:right w:val="none" w:sz="0" w:space="0" w:color="auto"/>
          </w:divBdr>
        </w:div>
      </w:divsChild>
    </w:div>
    <w:div w:id="871764423">
      <w:bodyDiv w:val="1"/>
      <w:marLeft w:val="0"/>
      <w:marRight w:val="0"/>
      <w:marTop w:val="0"/>
      <w:marBottom w:val="0"/>
      <w:divBdr>
        <w:top w:val="none" w:sz="0" w:space="0" w:color="auto"/>
        <w:left w:val="none" w:sz="0" w:space="0" w:color="auto"/>
        <w:bottom w:val="none" w:sz="0" w:space="0" w:color="auto"/>
        <w:right w:val="none" w:sz="0" w:space="0" w:color="auto"/>
      </w:divBdr>
    </w:div>
    <w:div w:id="904069770">
      <w:bodyDiv w:val="1"/>
      <w:marLeft w:val="0"/>
      <w:marRight w:val="0"/>
      <w:marTop w:val="0"/>
      <w:marBottom w:val="0"/>
      <w:divBdr>
        <w:top w:val="none" w:sz="0" w:space="0" w:color="auto"/>
        <w:left w:val="none" w:sz="0" w:space="0" w:color="auto"/>
        <w:bottom w:val="none" w:sz="0" w:space="0" w:color="auto"/>
        <w:right w:val="none" w:sz="0" w:space="0" w:color="auto"/>
      </w:divBdr>
    </w:div>
    <w:div w:id="906184288">
      <w:bodyDiv w:val="1"/>
      <w:marLeft w:val="0"/>
      <w:marRight w:val="0"/>
      <w:marTop w:val="0"/>
      <w:marBottom w:val="0"/>
      <w:divBdr>
        <w:top w:val="none" w:sz="0" w:space="0" w:color="auto"/>
        <w:left w:val="none" w:sz="0" w:space="0" w:color="auto"/>
        <w:bottom w:val="none" w:sz="0" w:space="0" w:color="auto"/>
        <w:right w:val="none" w:sz="0" w:space="0" w:color="auto"/>
      </w:divBdr>
    </w:div>
    <w:div w:id="906770208">
      <w:bodyDiv w:val="1"/>
      <w:marLeft w:val="0"/>
      <w:marRight w:val="0"/>
      <w:marTop w:val="0"/>
      <w:marBottom w:val="0"/>
      <w:divBdr>
        <w:top w:val="none" w:sz="0" w:space="0" w:color="auto"/>
        <w:left w:val="none" w:sz="0" w:space="0" w:color="auto"/>
        <w:bottom w:val="none" w:sz="0" w:space="0" w:color="auto"/>
        <w:right w:val="none" w:sz="0" w:space="0" w:color="auto"/>
      </w:divBdr>
    </w:div>
    <w:div w:id="922028577">
      <w:bodyDiv w:val="1"/>
      <w:marLeft w:val="0"/>
      <w:marRight w:val="0"/>
      <w:marTop w:val="0"/>
      <w:marBottom w:val="0"/>
      <w:divBdr>
        <w:top w:val="none" w:sz="0" w:space="0" w:color="auto"/>
        <w:left w:val="none" w:sz="0" w:space="0" w:color="auto"/>
        <w:bottom w:val="none" w:sz="0" w:space="0" w:color="auto"/>
        <w:right w:val="none" w:sz="0" w:space="0" w:color="auto"/>
      </w:divBdr>
    </w:div>
    <w:div w:id="922495733">
      <w:bodyDiv w:val="1"/>
      <w:marLeft w:val="0"/>
      <w:marRight w:val="0"/>
      <w:marTop w:val="0"/>
      <w:marBottom w:val="0"/>
      <w:divBdr>
        <w:top w:val="none" w:sz="0" w:space="0" w:color="auto"/>
        <w:left w:val="none" w:sz="0" w:space="0" w:color="auto"/>
        <w:bottom w:val="none" w:sz="0" w:space="0" w:color="auto"/>
        <w:right w:val="none" w:sz="0" w:space="0" w:color="auto"/>
      </w:divBdr>
    </w:div>
    <w:div w:id="924800404">
      <w:bodyDiv w:val="1"/>
      <w:marLeft w:val="0"/>
      <w:marRight w:val="0"/>
      <w:marTop w:val="0"/>
      <w:marBottom w:val="0"/>
      <w:divBdr>
        <w:top w:val="none" w:sz="0" w:space="0" w:color="auto"/>
        <w:left w:val="none" w:sz="0" w:space="0" w:color="auto"/>
        <w:bottom w:val="none" w:sz="0" w:space="0" w:color="auto"/>
        <w:right w:val="none" w:sz="0" w:space="0" w:color="auto"/>
      </w:divBdr>
    </w:div>
    <w:div w:id="949239346">
      <w:bodyDiv w:val="1"/>
      <w:marLeft w:val="0"/>
      <w:marRight w:val="0"/>
      <w:marTop w:val="0"/>
      <w:marBottom w:val="0"/>
      <w:divBdr>
        <w:top w:val="none" w:sz="0" w:space="0" w:color="auto"/>
        <w:left w:val="none" w:sz="0" w:space="0" w:color="auto"/>
        <w:bottom w:val="none" w:sz="0" w:space="0" w:color="auto"/>
        <w:right w:val="none" w:sz="0" w:space="0" w:color="auto"/>
      </w:divBdr>
    </w:div>
    <w:div w:id="950816424">
      <w:bodyDiv w:val="1"/>
      <w:marLeft w:val="0"/>
      <w:marRight w:val="0"/>
      <w:marTop w:val="0"/>
      <w:marBottom w:val="0"/>
      <w:divBdr>
        <w:top w:val="none" w:sz="0" w:space="0" w:color="auto"/>
        <w:left w:val="none" w:sz="0" w:space="0" w:color="auto"/>
        <w:bottom w:val="none" w:sz="0" w:space="0" w:color="auto"/>
        <w:right w:val="none" w:sz="0" w:space="0" w:color="auto"/>
      </w:divBdr>
    </w:div>
    <w:div w:id="997922422">
      <w:bodyDiv w:val="1"/>
      <w:marLeft w:val="0"/>
      <w:marRight w:val="0"/>
      <w:marTop w:val="0"/>
      <w:marBottom w:val="0"/>
      <w:divBdr>
        <w:top w:val="none" w:sz="0" w:space="0" w:color="auto"/>
        <w:left w:val="none" w:sz="0" w:space="0" w:color="auto"/>
        <w:bottom w:val="none" w:sz="0" w:space="0" w:color="auto"/>
        <w:right w:val="none" w:sz="0" w:space="0" w:color="auto"/>
      </w:divBdr>
    </w:div>
    <w:div w:id="999502317">
      <w:bodyDiv w:val="1"/>
      <w:marLeft w:val="0"/>
      <w:marRight w:val="0"/>
      <w:marTop w:val="0"/>
      <w:marBottom w:val="0"/>
      <w:divBdr>
        <w:top w:val="none" w:sz="0" w:space="0" w:color="auto"/>
        <w:left w:val="none" w:sz="0" w:space="0" w:color="auto"/>
        <w:bottom w:val="none" w:sz="0" w:space="0" w:color="auto"/>
        <w:right w:val="none" w:sz="0" w:space="0" w:color="auto"/>
      </w:divBdr>
    </w:div>
    <w:div w:id="1006059851">
      <w:bodyDiv w:val="1"/>
      <w:marLeft w:val="0"/>
      <w:marRight w:val="0"/>
      <w:marTop w:val="0"/>
      <w:marBottom w:val="0"/>
      <w:divBdr>
        <w:top w:val="none" w:sz="0" w:space="0" w:color="auto"/>
        <w:left w:val="none" w:sz="0" w:space="0" w:color="auto"/>
        <w:bottom w:val="none" w:sz="0" w:space="0" w:color="auto"/>
        <w:right w:val="none" w:sz="0" w:space="0" w:color="auto"/>
      </w:divBdr>
    </w:div>
    <w:div w:id="1044332194">
      <w:bodyDiv w:val="1"/>
      <w:marLeft w:val="0"/>
      <w:marRight w:val="0"/>
      <w:marTop w:val="0"/>
      <w:marBottom w:val="0"/>
      <w:divBdr>
        <w:top w:val="none" w:sz="0" w:space="0" w:color="auto"/>
        <w:left w:val="none" w:sz="0" w:space="0" w:color="auto"/>
        <w:bottom w:val="none" w:sz="0" w:space="0" w:color="auto"/>
        <w:right w:val="none" w:sz="0" w:space="0" w:color="auto"/>
      </w:divBdr>
    </w:div>
    <w:div w:id="1044792673">
      <w:bodyDiv w:val="1"/>
      <w:marLeft w:val="0"/>
      <w:marRight w:val="0"/>
      <w:marTop w:val="0"/>
      <w:marBottom w:val="0"/>
      <w:divBdr>
        <w:top w:val="none" w:sz="0" w:space="0" w:color="auto"/>
        <w:left w:val="none" w:sz="0" w:space="0" w:color="auto"/>
        <w:bottom w:val="none" w:sz="0" w:space="0" w:color="auto"/>
        <w:right w:val="none" w:sz="0" w:space="0" w:color="auto"/>
      </w:divBdr>
    </w:div>
    <w:div w:id="1050347728">
      <w:bodyDiv w:val="1"/>
      <w:marLeft w:val="0"/>
      <w:marRight w:val="0"/>
      <w:marTop w:val="0"/>
      <w:marBottom w:val="0"/>
      <w:divBdr>
        <w:top w:val="none" w:sz="0" w:space="0" w:color="auto"/>
        <w:left w:val="none" w:sz="0" w:space="0" w:color="auto"/>
        <w:bottom w:val="none" w:sz="0" w:space="0" w:color="auto"/>
        <w:right w:val="none" w:sz="0" w:space="0" w:color="auto"/>
      </w:divBdr>
    </w:div>
    <w:div w:id="1063144411">
      <w:bodyDiv w:val="1"/>
      <w:marLeft w:val="0"/>
      <w:marRight w:val="0"/>
      <w:marTop w:val="0"/>
      <w:marBottom w:val="0"/>
      <w:divBdr>
        <w:top w:val="none" w:sz="0" w:space="0" w:color="auto"/>
        <w:left w:val="none" w:sz="0" w:space="0" w:color="auto"/>
        <w:bottom w:val="none" w:sz="0" w:space="0" w:color="auto"/>
        <w:right w:val="none" w:sz="0" w:space="0" w:color="auto"/>
      </w:divBdr>
    </w:div>
    <w:div w:id="1066143835">
      <w:bodyDiv w:val="1"/>
      <w:marLeft w:val="0"/>
      <w:marRight w:val="0"/>
      <w:marTop w:val="0"/>
      <w:marBottom w:val="0"/>
      <w:divBdr>
        <w:top w:val="none" w:sz="0" w:space="0" w:color="auto"/>
        <w:left w:val="none" w:sz="0" w:space="0" w:color="auto"/>
        <w:bottom w:val="none" w:sz="0" w:space="0" w:color="auto"/>
        <w:right w:val="none" w:sz="0" w:space="0" w:color="auto"/>
      </w:divBdr>
    </w:div>
    <w:div w:id="1084569638">
      <w:bodyDiv w:val="1"/>
      <w:marLeft w:val="0"/>
      <w:marRight w:val="0"/>
      <w:marTop w:val="0"/>
      <w:marBottom w:val="0"/>
      <w:divBdr>
        <w:top w:val="none" w:sz="0" w:space="0" w:color="auto"/>
        <w:left w:val="none" w:sz="0" w:space="0" w:color="auto"/>
        <w:bottom w:val="none" w:sz="0" w:space="0" w:color="auto"/>
        <w:right w:val="none" w:sz="0" w:space="0" w:color="auto"/>
      </w:divBdr>
    </w:div>
    <w:div w:id="1095856920">
      <w:bodyDiv w:val="1"/>
      <w:marLeft w:val="0"/>
      <w:marRight w:val="0"/>
      <w:marTop w:val="0"/>
      <w:marBottom w:val="0"/>
      <w:divBdr>
        <w:top w:val="none" w:sz="0" w:space="0" w:color="auto"/>
        <w:left w:val="none" w:sz="0" w:space="0" w:color="auto"/>
        <w:bottom w:val="none" w:sz="0" w:space="0" w:color="auto"/>
        <w:right w:val="none" w:sz="0" w:space="0" w:color="auto"/>
      </w:divBdr>
    </w:div>
    <w:div w:id="1118598855">
      <w:bodyDiv w:val="1"/>
      <w:marLeft w:val="0"/>
      <w:marRight w:val="0"/>
      <w:marTop w:val="0"/>
      <w:marBottom w:val="0"/>
      <w:divBdr>
        <w:top w:val="none" w:sz="0" w:space="0" w:color="auto"/>
        <w:left w:val="none" w:sz="0" w:space="0" w:color="auto"/>
        <w:bottom w:val="none" w:sz="0" w:space="0" w:color="auto"/>
        <w:right w:val="none" w:sz="0" w:space="0" w:color="auto"/>
      </w:divBdr>
    </w:div>
    <w:div w:id="1137837378">
      <w:bodyDiv w:val="1"/>
      <w:marLeft w:val="0"/>
      <w:marRight w:val="0"/>
      <w:marTop w:val="0"/>
      <w:marBottom w:val="0"/>
      <w:divBdr>
        <w:top w:val="none" w:sz="0" w:space="0" w:color="auto"/>
        <w:left w:val="none" w:sz="0" w:space="0" w:color="auto"/>
        <w:bottom w:val="none" w:sz="0" w:space="0" w:color="auto"/>
        <w:right w:val="none" w:sz="0" w:space="0" w:color="auto"/>
      </w:divBdr>
    </w:div>
    <w:div w:id="1145783612">
      <w:bodyDiv w:val="1"/>
      <w:marLeft w:val="0"/>
      <w:marRight w:val="0"/>
      <w:marTop w:val="0"/>
      <w:marBottom w:val="0"/>
      <w:divBdr>
        <w:top w:val="none" w:sz="0" w:space="0" w:color="auto"/>
        <w:left w:val="none" w:sz="0" w:space="0" w:color="auto"/>
        <w:bottom w:val="none" w:sz="0" w:space="0" w:color="auto"/>
        <w:right w:val="none" w:sz="0" w:space="0" w:color="auto"/>
      </w:divBdr>
    </w:div>
    <w:div w:id="1156652710">
      <w:bodyDiv w:val="1"/>
      <w:marLeft w:val="0"/>
      <w:marRight w:val="0"/>
      <w:marTop w:val="0"/>
      <w:marBottom w:val="0"/>
      <w:divBdr>
        <w:top w:val="none" w:sz="0" w:space="0" w:color="auto"/>
        <w:left w:val="none" w:sz="0" w:space="0" w:color="auto"/>
        <w:bottom w:val="none" w:sz="0" w:space="0" w:color="auto"/>
        <w:right w:val="none" w:sz="0" w:space="0" w:color="auto"/>
      </w:divBdr>
    </w:div>
    <w:div w:id="1173955238">
      <w:bodyDiv w:val="1"/>
      <w:marLeft w:val="0"/>
      <w:marRight w:val="0"/>
      <w:marTop w:val="0"/>
      <w:marBottom w:val="0"/>
      <w:divBdr>
        <w:top w:val="none" w:sz="0" w:space="0" w:color="auto"/>
        <w:left w:val="none" w:sz="0" w:space="0" w:color="auto"/>
        <w:bottom w:val="none" w:sz="0" w:space="0" w:color="auto"/>
        <w:right w:val="none" w:sz="0" w:space="0" w:color="auto"/>
      </w:divBdr>
    </w:div>
    <w:div w:id="1176961801">
      <w:bodyDiv w:val="1"/>
      <w:marLeft w:val="0"/>
      <w:marRight w:val="0"/>
      <w:marTop w:val="0"/>
      <w:marBottom w:val="0"/>
      <w:divBdr>
        <w:top w:val="none" w:sz="0" w:space="0" w:color="auto"/>
        <w:left w:val="none" w:sz="0" w:space="0" w:color="auto"/>
        <w:bottom w:val="none" w:sz="0" w:space="0" w:color="auto"/>
        <w:right w:val="none" w:sz="0" w:space="0" w:color="auto"/>
      </w:divBdr>
    </w:div>
    <w:div w:id="1181237648">
      <w:bodyDiv w:val="1"/>
      <w:marLeft w:val="0"/>
      <w:marRight w:val="0"/>
      <w:marTop w:val="0"/>
      <w:marBottom w:val="0"/>
      <w:divBdr>
        <w:top w:val="none" w:sz="0" w:space="0" w:color="auto"/>
        <w:left w:val="none" w:sz="0" w:space="0" w:color="auto"/>
        <w:bottom w:val="none" w:sz="0" w:space="0" w:color="auto"/>
        <w:right w:val="none" w:sz="0" w:space="0" w:color="auto"/>
      </w:divBdr>
    </w:div>
    <w:div w:id="1184512010">
      <w:bodyDiv w:val="1"/>
      <w:marLeft w:val="0"/>
      <w:marRight w:val="0"/>
      <w:marTop w:val="0"/>
      <w:marBottom w:val="0"/>
      <w:divBdr>
        <w:top w:val="none" w:sz="0" w:space="0" w:color="auto"/>
        <w:left w:val="none" w:sz="0" w:space="0" w:color="auto"/>
        <w:bottom w:val="none" w:sz="0" w:space="0" w:color="auto"/>
        <w:right w:val="none" w:sz="0" w:space="0" w:color="auto"/>
      </w:divBdr>
    </w:div>
    <w:div w:id="1192458428">
      <w:bodyDiv w:val="1"/>
      <w:marLeft w:val="0"/>
      <w:marRight w:val="0"/>
      <w:marTop w:val="0"/>
      <w:marBottom w:val="0"/>
      <w:divBdr>
        <w:top w:val="none" w:sz="0" w:space="0" w:color="auto"/>
        <w:left w:val="none" w:sz="0" w:space="0" w:color="auto"/>
        <w:bottom w:val="none" w:sz="0" w:space="0" w:color="auto"/>
        <w:right w:val="none" w:sz="0" w:space="0" w:color="auto"/>
      </w:divBdr>
    </w:div>
    <w:div w:id="1199128203">
      <w:bodyDiv w:val="1"/>
      <w:marLeft w:val="0"/>
      <w:marRight w:val="0"/>
      <w:marTop w:val="0"/>
      <w:marBottom w:val="0"/>
      <w:divBdr>
        <w:top w:val="none" w:sz="0" w:space="0" w:color="auto"/>
        <w:left w:val="none" w:sz="0" w:space="0" w:color="auto"/>
        <w:bottom w:val="none" w:sz="0" w:space="0" w:color="auto"/>
        <w:right w:val="none" w:sz="0" w:space="0" w:color="auto"/>
      </w:divBdr>
    </w:div>
    <w:div w:id="1199508816">
      <w:bodyDiv w:val="1"/>
      <w:marLeft w:val="0"/>
      <w:marRight w:val="0"/>
      <w:marTop w:val="0"/>
      <w:marBottom w:val="0"/>
      <w:divBdr>
        <w:top w:val="none" w:sz="0" w:space="0" w:color="auto"/>
        <w:left w:val="none" w:sz="0" w:space="0" w:color="auto"/>
        <w:bottom w:val="none" w:sz="0" w:space="0" w:color="auto"/>
        <w:right w:val="none" w:sz="0" w:space="0" w:color="auto"/>
      </w:divBdr>
    </w:div>
    <w:div w:id="1219123994">
      <w:bodyDiv w:val="1"/>
      <w:marLeft w:val="0"/>
      <w:marRight w:val="0"/>
      <w:marTop w:val="0"/>
      <w:marBottom w:val="0"/>
      <w:divBdr>
        <w:top w:val="none" w:sz="0" w:space="0" w:color="auto"/>
        <w:left w:val="none" w:sz="0" w:space="0" w:color="auto"/>
        <w:bottom w:val="none" w:sz="0" w:space="0" w:color="auto"/>
        <w:right w:val="none" w:sz="0" w:space="0" w:color="auto"/>
      </w:divBdr>
    </w:div>
    <w:div w:id="1233196284">
      <w:bodyDiv w:val="1"/>
      <w:marLeft w:val="0"/>
      <w:marRight w:val="0"/>
      <w:marTop w:val="0"/>
      <w:marBottom w:val="0"/>
      <w:divBdr>
        <w:top w:val="none" w:sz="0" w:space="0" w:color="auto"/>
        <w:left w:val="none" w:sz="0" w:space="0" w:color="auto"/>
        <w:bottom w:val="none" w:sz="0" w:space="0" w:color="auto"/>
        <w:right w:val="none" w:sz="0" w:space="0" w:color="auto"/>
      </w:divBdr>
    </w:div>
    <w:div w:id="1237319848">
      <w:bodyDiv w:val="1"/>
      <w:marLeft w:val="0"/>
      <w:marRight w:val="0"/>
      <w:marTop w:val="0"/>
      <w:marBottom w:val="0"/>
      <w:divBdr>
        <w:top w:val="none" w:sz="0" w:space="0" w:color="auto"/>
        <w:left w:val="none" w:sz="0" w:space="0" w:color="auto"/>
        <w:bottom w:val="none" w:sz="0" w:space="0" w:color="auto"/>
        <w:right w:val="none" w:sz="0" w:space="0" w:color="auto"/>
      </w:divBdr>
    </w:div>
    <w:div w:id="1247152877">
      <w:bodyDiv w:val="1"/>
      <w:marLeft w:val="0"/>
      <w:marRight w:val="0"/>
      <w:marTop w:val="0"/>
      <w:marBottom w:val="0"/>
      <w:divBdr>
        <w:top w:val="none" w:sz="0" w:space="0" w:color="auto"/>
        <w:left w:val="none" w:sz="0" w:space="0" w:color="auto"/>
        <w:bottom w:val="none" w:sz="0" w:space="0" w:color="auto"/>
        <w:right w:val="none" w:sz="0" w:space="0" w:color="auto"/>
      </w:divBdr>
    </w:div>
    <w:div w:id="1272468001">
      <w:bodyDiv w:val="1"/>
      <w:marLeft w:val="0"/>
      <w:marRight w:val="0"/>
      <w:marTop w:val="0"/>
      <w:marBottom w:val="0"/>
      <w:divBdr>
        <w:top w:val="none" w:sz="0" w:space="0" w:color="auto"/>
        <w:left w:val="none" w:sz="0" w:space="0" w:color="auto"/>
        <w:bottom w:val="none" w:sz="0" w:space="0" w:color="auto"/>
        <w:right w:val="none" w:sz="0" w:space="0" w:color="auto"/>
      </w:divBdr>
    </w:div>
    <w:div w:id="1299990440">
      <w:bodyDiv w:val="1"/>
      <w:marLeft w:val="0"/>
      <w:marRight w:val="0"/>
      <w:marTop w:val="0"/>
      <w:marBottom w:val="0"/>
      <w:divBdr>
        <w:top w:val="none" w:sz="0" w:space="0" w:color="auto"/>
        <w:left w:val="none" w:sz="0" w:space="0" w:color="auto"/>
        <w:bottom w:val="none" w:sz="0" w:space="0" w:color="auto"/>
        <w:right w:val="none" w:sz="0" w:space="0" w:color="auto"/>
      </w:divBdr>
    </w:div>
    <w:div w:id="1313217864">
      <w:bodyDiv w:val="1"/>
      <w:marLeft w:val="0"/>
      <w:marRight w:val="0"/>
      <w:marTop w:val="0"/>
      <w:marBottom w:val="0"/>
      <w:divBdr>
        <w:top w:val="none" w:sz="0" w:space="0" w:color="auto"/>
        <w:left w:val="none" w:sz="0" w:space="0" w:color="auto"/>
        <w:bottom w:val="none" w:sz="0" w:space="0" w:color="auto"/>
        <w:right w:val="none" w:sz="0" w:space="0" w:color="auto"/>
      </w:divBdr>
    </w:div>
    <w:div w:id="1317761291">
      <w:bodyDiv w:val="1"/>
      <w:marLeft w:val="0"/>
      <w:marRight w:val="0"/>
      <w:marTop w:val="0"/>
      <w:marBottom w:val="0"/>
      <w:divBdr>
        <w:top w:val="none" w:sz="0" w:space="0" w:color="auto"/>
        <w:left w:val="none" w:sz="0" w:space="0" w:color="auto"/>
        <w:bottom w:val="none" w:sz="0" w:space="0" w:color="auto"/>
        <w:right w:val="none" w:sz="0" w:space="0" w:color="auto"/>
      </w:divBdr>
    </w:div>
    <w:div w:id="1360662577">
      <w:bodyDiv w:val="1"/>
      <w:marLeft w:val="0"/>
      <w:marRight w:val="0"/>
      <w:marTop w:val="0"/>
      <w:marBottom w:val="0"/>
      <w:divBdr>
        <w:top w:val="none" w:sz="0" w:space="0" w:color="auto"/>
        <w:left w:val="none" w:sz="0" w:space="0" w:color="auto"/>
        <w:bottom w:val="none" w:sz="0" w:space="0" w:color="auto"/>
        <w:right w:val="none" w:sz="0" w:space="0" w:color="auto"/>
      </w:divBdr>
    </w:div>
    <w:div w:id="1387413590">
      <w:bodyDiv w:val="1"/>
      <w:marLeft w:val="0"/>
      <w:marRight w:val="0"/>
      <w:marTop w:val="0"/>
      <w:marBottom w:val="0"/>
      <w:divBdr>
        <w:top w:val="none" w:sz="0" w:space="0" w:color="auto"/>
        <w:left w:val="none" w:sz="0" w:space="0" w:color="auto"/>
        <w:bottom w:val="none" w:sz="0" w:space="0" w:color="auto"/>
        <w:right w:val="none" w:sz="0" w:space="0" w:color="auto"/>
      </w:divBdr>
    </w:div>
    <w:div w:id="1415660477">
      <w:bodyDiv w:val="1"/>
      <w:marLeft w:val="0"/>
      <w:marRight w:val="0"/>
      <w:marTop w:val="0"/>
      <w:marBottom w:val="0"/>
      <w:divBdr>
        <w:top w:val="none" w:sz="0" w:space="0" w:color="auto"/>
        <w:left w:val="none" w:sz="0" w:space="0" w:color="auto"/>
        <w:bottom w:val="none" w:sz="0" w:space="0" w:color="auto"/>
        <w:right w:val="none" w:sz="0" w:space="0" w:color="auto"/>
      </w:divBdr>
    </w:div>
    <w:div w:id="1422529632">
      <w:bodyDiv w:val="1"/>
      <w:marLeft w:val="0"/>
      <w:marRight w:val="0"/>
      <w:marTop w:val="0"/>
      <w:marBottom w:val="0"/>
      <w:divBdr>
        <w:top w:val="none" w:sz="0" w:space="0" w:color="auto"/>
        <w:left w:val="none" w:sz="0" w:space="0" w:color="auto"/>
        <w:bottom w:val="none" w:sz="0" w:space="0" w:color="auto"/>
        <w:right w:val="none" w:sz="0" w:space="0" w:color="auto"/>
      </w:divBdr>
    </w:div>
    <w:div w:id="1449591632">
      <w:bodyDiv w:val="1"/>
      <w:marLeft w:val="0"/>
      <w:marRight w:val="0"/>
      <w:marTop w:val="0"/>
      <w:marBottom w:val="0"/>
      <w:divBdr>
        <w:top w:val="none" w:sz="0" w:space="0" w:color="auto"/>
        <w:left w:val="none" w:sz="0" w:space="0" w:color="auto"/>
        <w:bottom w:val="none" w:sz="0" w:space="0" w:color="auto"/>
        <w:right w:val="none" w:sz="0" w:space="0" w:color="auto"/>
      </w:divBdr>
    </w:div>
    <w:div w:id="1467501836">
      <w:bodyDiv w:val="1"/>
      <w:marLeft w:val="0"/>
      <w:marRight w:val="0"/>
      <w:marTop w:val="0"/>
      <w:marBottom w:val="0"/>
      <w:divBdr>
        <w:top w:val="none" w:sz="0" w:space="0" w:color="auto"/>
        <w:left w:val="none" w:sz="0" w:space="0" w:color="auto"/>
        <w:bottom w:val="none" w:sz="0" w:space="0" w:color="auto"/>
        <w:right w:val="none" w:sz="0" w:space="0" w:color="auto"/>
      </w:divBdr>
    </w:div>
    <w:div w:id="1479155224">
      <w:bodyDiv w:val="1"/>
      <w:marLeft w:val="0"/>
      <w:marRight w:val="0"/>
      <w:marTop w:val="0"/>
      <w:marBottom w:val="0"/>
      <w:divBdr>
        <w:top w:val="none" w:sz="0" w:space="0" w:color="auto"/>
        <w:left w:val="none" w:sz="0" w:space="0" w:color="auto"/>
        <w:bottom w:val="none" w:sz="0" w:space="0" w:color="auto"/>
        <w:right w:val="none" w:sz="0" w:space="0" w:color="auto"/>
      </w:divBdr>
    </w:div>
    <w:div w:id="1507741870">
      <w:bodyDiv w:val="1"/>
      <w:marLeft w:val="0"/>
      <w:marRight w:val="0"/>
      <w:marTop w:val="0"/>
      <w:marBottom w:val="0"/>
      <w:divBdr>
        <w:top w:val="none" w:sz="0" w:space="0" w:color="auto"/>
        <w:left w:val="none" w:sz="0" w:space="0" w:color="auto"/>
        <w:bottom w:val="none" w:sz="0" w:space="0" w:color="auto"/>
        <w:right w:val="none" w:sz="0" w:space="0" w:color="auto"/>
      </w:divBdr>
    </w:div>
    <w:div w:id="1512571274">
      <w:bodyDiv w:val="1"/>
      <w:marLeft w:val="0"/>
      <w:marRight w:val="0"/>
      <w:marTop w:val="0"/>
      <w:marBottom w:val="0"/>
      <w:divBdr>
        <w:top w:val="none" w:sz="0" w:space="0" w:color="auto"/>
        <w:left w:val="none" w:sz="0" w:space="0" w:color="auto"/>
        <w:bottom w:val="none" w:sz="0" w:space="0" w:color="auto"/>
        <w:right w:val="none" w:sz="0" w:space="0" w:color="auto"/>
      </w:divBdr>
    </w:div>
    <w:div w:id="1519851373">
      <w:bodyDiv w:val="1"/>
      <w:marLeft w:val="0"/>
      <w:marRight w:val="0"/>
      <w:marTop w:val="0"/>
      <w:marBottom w:val="0"/>
      <w:divBdr>
        <w:top w:val="none" w:sz="0" w:space="0" w:color="auto"/>
        <w:left w:val="none" w:sz="0" w:space="0" w:color="auto"/>
        <w:bottom w:val="none" w:sz="0" w:space="0" w:color="auto"/>
        <w:right w:val="none" w:sz="0" w:space="0" w:color="auto"/>
      </w:divBdr>
    </w:div>
    <w:div w:id="1527061408">
      <w:bodyDiv w:val="1"/>
      <w:marLeft w:val="0"/>
      <w:marRight w:val="0"/>
      <w:marTop w:val="0"/>
      <w:marBottom w:val="0"/>
      <w:divBdr>
        <w:top w:val="none" w:sz="0" w:space="0" w:color="auto"/>
        <w:left w:val="none" w:sz="0" w:space="0" w:color="auto"/>
        <w:bottom w:val="none" w:sz="0" w:space="0" w:color="auto"/>
        <w:right w:val="none" w:sz="0" w:space="0" w:color="auto"/>
      </w:divBdr>
    </w:div>
    <w:div w:id="1529567508">
      <w:bodyDiv w:val="1"/>
      <w:marLeft w:val="0"/>
      <w:marRight w:val="0"/>
      <w:marTop w:val="0"/>
      <w:marBottom w:val="0"/>
      <w:divBdr>
        <w:top w:val="none" w:sz="0" w:space="0" w:color="auto"/>
        <w:left w:val="none" w:sz="0" w:space="0" w:color="auto"/>
        <w:bottom w:val="none" w:sz="0" w:space="0" w:color="auto"/>
        <w:right w:val="none" w:sz="0" w:space="0" w:color="auto"/>
      </w:divBdr>
    </w:div>
    <w:div w:id="1558513808">
      <w:bodyDiv w:val="1"/>
      <w:marLeft w:val="0"/>
      <w:marRight w:val="0"/>
      <w:marTop w:val="0"/>
      <w:marBottom w:val="0"/>
      <w:divBdr>
        <w:top w:val="none" w:sz="0" w:space="0" w:color="auto"/>
        <w:left w:val="none" w:sz="0" w:space="0" w:color="auto"/>
        <w:bottom w:val="none" w:sz="0" w:space="0" w:color="auto"/>
        <w:right w:val="none" w:sz="0" w:space="0" w:color="auto"/>
      </w:divBdr>
    </w:div>
    <w:div w:id="1561213132">
      <w:bodyDiv w:val="1"/>
      <w:marLeft w:val="0"/>
      <w:marRight w:val="0"/>
      <w:marTop w:val="0"/>
      <w:marBottom w:val="0"/>
      <w:divBdr>
        <w:top w:val="none" w:sz="0" w:space="0" w:color="auto"/>
        <w:left w:val="none" w:sz="0" w:space="0" w:color="auto"/>
        <w:bottom w:val="none" w:sz="0" w:space="0" w:color="auto"/>
        <w:right w:val="none" w:sz="0" w:space="0" w:color="auto"/>
      </w:divBdr>
    </w:div>
    <w:div w:id="1577400659">
      <w:bodyDiv w:val="1"/>
      <w:marLeft w:val="0"/>
      <w:marRight w:val="0"/>
      <w:marTop w:val="0"/>
      <w:marBottom w:val="0"/>
      <w:divBdr>
        <w:top w:val="none" w:sz="0" w:space="0" w:color="auto"/>
        <w:left w:val="none" w:sz="0" w:space="0" w:color="auto"/>
        <w:bottom w:val="none" w:sz="0" w:space="0" w:color="auto"/>
        <w:right w:val="none" w:sz="0" w:space="0" w:color="auto"/>
      </w:divBdr>
    </w:div>
    <w:div w:id="1583642946">
      <w:bodyDiv w:val="1"/>
      <w:marLeft w:val="0"/>
      <w:marRight w:val="0"/>
      <w:marTop w:val="0"/>
      <w:marBottom w:val="0"/>
      <w:divBdr>
        <w:top w:val="none" w:sz="0" w:space="0" w:color="auto"/>
        <w:left w:val="none" w:sz="0" w:space="0" w:color="auto"/>
        <w:bottom w:val="none" w:sz="0" w:space="0" w:color="auto"/>
        <w:right w:val="none" w:sz="0" w:space="0" w:color="auto"/>
      </w:divBdr>
    </w:div>
    <w:div w:id="1599220372">
      <w:bodyDiv w:val="1"/>
      <w:marLeft w:val="0"/>
      <w:marRight w:val="0"/>
      <w:marTop w:val="0"/>
      <w:marBottom w:val="0"/>
      <w:divBdr>
        <w:top w:val="none" w:sz="0" w:space="0" w:color="auto"/>
        <w:left w:val="none" w:sz="0" w:space="0" w:color="auto"/>
        <w:bottom w:val="none" w:sz="0" w:space="0" w:color="auto"/>
        <w:right w:val="none" w:sz="0" w:space="0" w:color="auto"/>
      </w:divBdr>
    </w:div>
    <w:div w:id="1634478701">
      <w:bodyDiv w:val="1"/>
      <w:marLeft w:val="0"/>
      <w:marRight w:val="0"/>
      <w:marTop w:val="0"/>
      <w:marBottom w:val="0"/>
      <w:divBdr>
        <w:top w:val="none" w:sz="0" w:space="0" w:color="auto"/>
        <w:left w:val="none" w:sz="0" w:space="0" w:color="auto"/>
        <w:bottom w:val="none" w:sz="0" w:space="0" w:color="auto"/>
        <w:right w:val="none" w:sz="0" w:space="0" w:color="auto"/>
      </w:divBdr>
    </w:div>
    <w:div w:id="1647125433">
      <w:bodyDiv w:val="1"/>
      <w:marLeft w:val="0"/>
      <w:marRight w:val="0"/>
      <w:marTop w:val="0"/>
      <w:marBottom w:val="0"/>
      <w:divBdr>
        <w:top w:val="none" w:sz="0" w:space="0" w:color="auto"/>
        <w:left w:val="none" w:sz="0" w:space="0" w:color="auto"/>
        <w:bottom w:val="none" w:sz="0" w:space="0" w:color="auto"/>
        <w:right w:val="none" w:sz="0" w:space="0" w:color="auto"/>
      </w:divBdr>
    </w:div>
    <w:div w:id="1650205723">
      <w:bodyDiv w:val="1"/>
      <w:marLeft w:val="0"/>
      <w:marRight w:val="0"/>
      <w:marTop w:val="0"/>
      <w:marBottom w:val="0"/>
      <w:divBdr>
        <w:top w:val="none" w:sz="0" w:space="0" w:color="auto"/>
        <w:left w:val="none" w:sz="0" w:space="0" w:color="auto"/>
        <w:bottom w:val="none" w:sz="0" w:space="0" w:color="auto"/>
        <w:right w:val="none" w:sz="0" w:space="0" w:color="auto"/>
      </w:divBdr>
    </w:div>
    <w:div w:id="1667393737">
      <w:bodyDiv w:val="1"/>
      <w:marLeft w:val="0"/>
      <w:marRight w:val="0"/>
      <w:marTop w:val="0"/>
      <w:marBottom w:val="0"/>
      <w:divBdr>
        <w:top w:val="none" w:sz="0" w:space="0" w:color="auto"/>
        <w:left w:val="none" w:sz="0" w:space="0" w:color="auto"/>
        <w:bottom w:val="none" w:sz="0" w:space="0" w:color="auto"/>
        <w:right w:val="none" w:sz="0" w:space="0" w:color="auto"/>
      </w:divBdr>
    </w:div>
    <w:div w:id="1686326680">
      <w:bodyDiv w:val="1"/>
      <w:marLeft w:val="0"/>
      <w:marRight w:val="0"/>
      <w:marTop w:val="0"/>
      <w:marBottom w:val="0"/>
      <w:divBdr>
        <w:top w:val="none" w:sz="0" w:space="0" w:color="auto"/>
        <w:left w:val="none" w:sz="0" w:space="0" w:color="auto"/>
        <w:bottom w:val="none" w:sz="0" w:space="0" w:color="auto"/>
        <w:right w:val="none" w:sz="0" w:space="0" w:color="auto"/>
      </w:divBdr>
    </w:div>
    <w:div w:id="1687976060">
      <w:bodyDiv w:val="1"/>
      <w:marLeft w:val="0"/>
      <w:marRight w:val="0"/>
      <w:marTop w:val="0"/>
      <w:marBottom w:val="0"/>
      <w:divBdr>
        <w:top w:val="none" w:sz="0" w:space="0" w:color="auto"/>
        <w:left w:val="none" w:sz="0" w:space="0" w:color="auto"/>
        <w:bottom w:val="none" w:sz="0" w:space="0" w:color="auto"/>
        <w:right w:val="none" w:sz="0" w:space="0" w:color="auto"/>
      </w:divBdr>
    </w:div>
    <w:div w:id="1693533190">
      <w:bodyDiv w:val="1"/>
      <w:marLeft w:val="0"/>
      <w:marRight w:val="0"/>
      <w:marTop w:val="0"/>
      <w:marBottom w:val="0"/>
      <w:divBdr>
        <w:top w:val="none" w:sz="0" w:space="0" w:color="auto"/>
        <w:left w:val="none" w:sz="0" w:space="0" w:color="auto"/>
        <w:bottom w:val="none" w:sz="0" w:space="0" w:color="auto"/>
        <w:right w:val="none" w:sz="0" w:space="0" w:color="auto"/>
      </w:divBdr>
    </w:div>
    <w:div w:id="1701860344">
      <w:bodyDiv w:val="1"/>
      <w:marLeft w:val="0"/>
      <w:marRight w:val="0"/>
      <w:marTop w:val="0"/>
      <w:marBottom w:val="0"/>
      <w:divBdr>
        <w:top w:val="none" w:sz="0" w:space="0" w:color="auto"/>
        <w:left w:val="none" w:sz="0" w:space="0" w:color="auto"/>
        <w:bottom w:val="none" w:sz="0" w:space="0" w:color="auto"/>
        <w:right w:val="none" w:sz="0" w:space="0" w:color="auto"/>
      </w:divBdr>
    </w:div>
    <w:div w:id="1715888662">
      <w:bodyDiv w:val="1"/>
      <w:marLeft w:val="0"/>
      <w:marRight w:val="0"/>
      <w:marTop w:val="0"/>
      <w:marBottom w:val="0"/>
      <w:divBdr>
        <w:top w:val="none" w:sz="0" w:space="0" w:color="auto"/>
        <w:left w:val="none" w:sz="0" w:space="0" w:color="auto"/>
        <w:bottom w:val="none" w:sz="0" w:space="0" w:color="auto"/>
        <w:right w:val="none" w:sz="0" w:space="0" w:color="auto"/>
      </w:divBdr>
    </w:div>
    <w:div w:id="1718044740">
      <w:bodyDiv w:val="1"/>
      <w:marLeft w:val="0"/>
      <w:marRight w:val="0"/>
      <w:marTop w:val="0"/>
      <w:marBottom w:val="0"/>
      <w:divBdr>
        <w:top w:val="none" w:sz="0" w:space="0" w:color="auto"/>
        <w:left w:val="none" w:sz="0" w:space="0" w:color="auto"/>
        <w:bottom w:val="none" w:sz="0" w:space="0" w:color="auto"/>
        <w:right w:val="none" w:sz="0" w:space="0" w:color="auto"/>
      </w:divBdr>
    </w:div>
    <w:div w:id="1719430992">
      <w:bodyDiv w:val="1"/>
      <w:marLeft w:val="0"/>
      <w:marRight w:val="0"/>
      <w:marTop w:val="0"/>
      <w:marBottom w:val="0"/>
      <w:divBdr>
        <w:top w:val="none" w:sz="0" w:space="0" w:color="auto"/>
        <w:left w:val="none" w:sz="0" w:space="0" w:color="auto"/>
        <w:bottom w:val="none" w:sz="0" w:space="0" w:color="auto"/>
        <w:right w:val="none" w:sz="0" w:space="0" w:color="auto"/>
      </w:divBdr>
    </w:div>
    <w:div w:id="1784225809">
      <w:bodyDiv w:val="1"/>
      <w:marLeft w:val="0"/>
      <w:marRight w:val="0"/>
      <w:marTop w:val="0"/>
      <w:marBottom w:val="0"/>
      <w:divBdr>
        <w:top w:val="none" w:sz="0" w:space="0" w:color="auto"/>
        <w:left w:val="none" w:sz="0" w:space="0" w:color="auto"/>
        <w:bottom w:val="none" w:sz="0" w:space="0" w:color="auto"/>
        <w:right w:val="none" w:sz="0" w:space="0" w:color="auto"/>
      </w:divBdr>
    </w:div>
    <w:div w:id="1785492837">
      <w:bodyDiv w:val="1"/>
      <w:marLeft w:val="0"/>
      <w:marRight w:val="0"/>
      <w:marTop w:val="0"/>
      <w:marBottom w:val="0"/>
      <w:divBdr>
        <w:top w:val="none" w:sz="0" w:space="0" w:color="auto"/>
        <w:left w:val="none" w:sz="0" w:space="0" w:color="auto"/>
        <w:bottom w:val="none" w:sz="0" w:space="0" w:color="auto"/>
        <w:right w:val="none" w:sz="0" w:space="0" w:color="auto"/>
      </w:divBdr>
    </w:div>
    <w:div w:id="1819106070">
      <w:bodyDiv w:val="1"/>
      <w:marLeft w:val="0"/>
      <w:marRight w:val="0"/>
      <w:marTop w:val="0"/>
      <w:marBottom w:val="0"/>
      <w:divBdr>
        <w:top w:val="none" w:sz="0" w:space="0" w:color="auto"/>
        <w:left w:val="none" w:sz="0" w:space="0" w:color="auto"/>
        <w:bottom w:val="none" w:sz="0" w:space="0" w:color="auto"/>
        <w:right w:val="none" w:sz="0" w:space="0" w:color="auto"/>
      </w:divBdr>
    </w:div>
    <w:div w:id="1827473817">
      <w:bodyDiv w:val="1"/>
      <w:marLeft w:val="0"/>
      <w:marRight w:val="0"/>
      <w:marTop w:val="0"/>
      <w:marBottom w:val="0"/>
      <w:divBdr>
        <w:top w:val="none" w:sz="0" w:space="0" w:color="auto"/>
        <w:left w:val="none" w:sz="0" w:space="0" w:color="auto"/>
        <w:bottom w:val="none" w:sz="0" w:space="0" w:color="auto"/>
        <w:right w:val="none" w:sz="0" w:space="0" w:color="auto"/>
      </w:divBdr>
    </w:div>
    <w:div w:id="1849324842">
      <w:bodyDiv w:val="1"/>
      <w:marLeft w:val="0"/>
      <w:marRight w:val="0"/>
      <w:marTop w:val="0"/>
      <w:marBottom w:val="0"/>
      <w:divBdr>
        <w:top w:val="none" w:sz="0" w:space="0" w:color="auto"/>
        <w:left w:val="none" w:sz="0" w:space="0" w:color="auto"/>
        <w:bottom w:val="none" w:sz="0" w:space="0" w:color="auto"/>
        <w:right w:val="none" w:sz="0" w:space="0" w:color="auto"/>
      </w:divBdr>
    </w:div>
    <w:div w:id="1851211187">
      <w:bodyDiv w:val="1"/>
      <w:marLeft w:val="0"/>
      <w:marRight w:val="0"/>
      <w:marTop w:val="0"/>
      <w:marBottom w:val="0"/>
      <w:divBdr>
        <w:top w:val="none" w:sz="0" w:space="0" w:color="auto"/>
        <w:left w:val="none" w:sz="0" w:space="0" w:color="auto"/>
        <w:bottom w:val="none" w:sz="0" w:space="0" w:color="auto"/>
        <w:right w:val="none" w:sz="0" w:space="0" w:color="auto"/>
      </w:divBdr>
    </w:div>
    <w:div w:id="1859729866">
      <w:bodyDiv w:val="1"/>
      <w:marLeft w:val="0"/>
      <w:marRight w:val="0"/>
      <w:marTop w:val="0"/>
      <w:marBottom w:val="0"/>
      <w:divBdr>
        <w:top w:val="none" w:sz="0" w:space="0" w:color="auto"/>
        <w:left w:val="none" w:sz="0" w:space="0" w:color="auto"/>
        <w:bottom w:val="none" w:sz="0" w:space="0" w:color="auto"/>
        <w:right w:val="none" w:sz="0" w:space="0" w:color="auto"/>
      </w:divBdr>
    </w:div>
    <w:div w:id="1861116243">
      <w:bodyDiv w:val="1"/>
      <w:marLeft w:val="0"/>
      <w:marRight w:val="0"/>
      <w:marTop w:val="0"/>
      <w:marBottom w:val="0"/>
      <w:divBdr>
        <w:top w:val="none" w:sz="0" w:space="0" w:color="auto"/>
        <w:left w:val="none" w:sz="0" w:space="0" w:color="auto"/>
        <w:bottom w:val="none" w:sz="0" w:space="0" w:color="auto"/>
        <w:right w:val="none" w:sz="0" w:space="0" w:color="auto"/>
      </w:divBdr>
    </w:div>
    <w:div w:id="1874423415">
      <w:bodyDiv w:val="1"/>
      <w:marLeft w:val="0"/>
      <w:marRight w:val="0"/>
      <w:marTop w:val="0"/>
      <w:marBottom w:val="0"/>
      <w:divBdr>
        <w:top w:val="none" w:sz="0" w:space="0" w:color="auto"/>
        <w:left w:val="none" w:sz="0" w:space="0" w:color="auto"/>
        <w:bottom w:val="none" w:sz="0" w:space="0" w:color="auto"/>
        <w:right w:val="none" w:sz="0" w:space="0" w:color="auto"/>
      </w:divBdr>
    </w:div>
    <w:div w:id="1903127940">
      <w:bodyDiv w:val="1"/>
      <w:marLeft w:val="0"/>
      <w:marRight w:val="0"/>
      <w:marTop w:val="0"/>
      <w:marBottom w:val="0"/>
      <w:divBdr>
        <w:top w:val="none" w:sz="0" w:space="0" w:color="auto"/>
        <w:left w:val="none" w:sz="0" w:space="0" w:color="auto"/>
        <w:bottom w:val="none" w:sz="0" w:space="0" w:color="auto"/>
        <w:right w:val="none" w:sz="0" w:space="0" w:color="auto"/>
      </w:divBdr>
    </w:div>
    <w:div w:id="1907372296">
      <w:bodyDiv w:val="1"/>
      <w:marLeft w:val="0"/>
      <w:marRight w:val="0"/>
      <w:marTop w:val="0"/>
      <w:marBottom w:val="0"/>
      <w:divBdr>
        <w:top w:val="none" w:sz="0" w:space="0" w:color="auto"/>
        <w:left w:val="none" w:sz="0" w:space="0" w:color="auto"/>
        <w:bottom w:val="none" w:sz="0" w:space="0" w:color="auto"/>
        <w:right w:val="none" w:sz="0" w:space="0" w:color="auto"/>
      </w:divBdr>
    </w:div>
    <w:div w:id="1921521757">
      <w:bodyDiv w:val="1"/>
      <w:marLeft w:val="0"/>
      <w:marRight w:val="0"/>
      <w:marTop w:val="0"/>
      <w:marBottom w:val="0"/>
      <w:divBdr>
        <w:top w:val="none" w:sz="0" w:space="0" w:color="auto"/>
        <w:left w:val="none" w:sz="0" w:space="0" w:color="auto"/>
        <w:bottom w:val="none" w:sz="0" w:space="0" w:color="auto"/>
        <w:right w:val="none" w:sz="0" w:space="0" w:color="auto"/>
      </w:divBdr>
    </w:div>
    <w:div w:id="1926038650">
      <w:bodyDiv w:val="1"/>
      <w:marLeft w:val="0"/>
      <w:marRight w:val="0"/>
      <w:marTop w:val="0"/>
      <w:marBottom w:val="0"/>
      <w:divBdr>
        <w:top w:val="none" w:sz="0" w:space="0" w:color="auto"/>
        <w:left w:val="none" w:sz="0" w:space="0" w:color="auto"/>
        <w:bottom w:val="none" w:sz="0" w:space="0" w:color="auto"/>
        <w:right w:val="none" w:sz="0" w:space="0" w:color="auto"/>
      </w:divBdr>
    </w:div>
    <w:div w:id="1931238164">
      <w:bodyDiv w:val="1"/>
      <w:marLeft w:val="0"/>
      <w:marRight w:val="0"/>
      <w:marTop w:val="0"/>
      <w:marBottom w:val="0"/>
      <w:divBdr>
        <w:top w:val="none" w:sz="0" w:space="0" w:color="auto"/>
        <w:left w:val="none" w:sz="0" w:space="0" w:color="auto"/>
        <w:bottom w:val="none" w:sz="0" w:space="0" w:color="auto"/>
        <w:right w:val="none" w:sz="0" w:space="0" w:color="auto"/>
      </w:divBdr>
    </w:div>
    <w:div w:id="1958641528">
      <w:bodyDiv w:val="1"/>
      <w:marLeft w:val="0"/>
      <w:marRight w:val="0"/>
      <w:marTop w:val="0"/>
      <w:marBottom w:val="0"/>
      <w:divBdr>
        <w:top w:val="none" w:sz="0" w:space="0" w:color="auto"/>
        <w:left w:val="none" w:sz="0" w:space="0" w:color="auto"/>
        <w:bottom w:val="none" w:sz="0" w:space="0" w:color="auto"/>
        <w:right w:val="none" w:sz="0" w:space="0" w:color="auto"/>
      </w:divBdr>
    </w:div>
    <w:div w:id="1966815152">
      <w:bodyDiv w:val="1"/>
      <w:marLeft w:val="0"/>
      <w:marRight w:val="0"/>
      <w:marTop w:val="0"/>
      <w:marBottom w:val="0"/>
      <w:divBdr>
        <w:top w:val="none" w:sz="0" w:space="0" w:color="auto"/>
        <w:left w:val="none" w:sz="0" w:space="0" w:color="auto"/>
        <w:bottom w:val="none" w:sz="0" w:space="0" w:color="auto"/>
        <w:right w:val="none" w:sz="0" w:space="0" w:color="auto"/>
      </w:divBdr>
    </w:div>
    <w:div w:id="1975021779">
      <w:bodyDiv w:val="1"/>
      <w:marLeft w:val="0"/>
      <w:marRight w:val="0"/>
      <w:marTop w:val="0"/>
      <w:marBottom w:val="0"/>
      <w:divBdr>
        <w:top w:val="none" w:sz="0" w:space="0" w:color="auto"/>
        <w:left w:val="none" w:sz="0" w:space="0" w:color="auto"/>
        <w:bottom w:val="none" w:sz="0" w:space="0" w:color="auto"/>
        <w:right w:val="none" w:sz="0" w:space="0" w:color="auto"/>
      </w:divBdr>
    </w:div>
    <w:div w:id="1998683862">
      <w:bodyDiv w:val="1"/>
      <w:marLeft w:val="0"/>
      <w:marRight w:val="0"/>
      <w:marTop w:val="0"/>
      <w:marBottom w:val="0"/>
      <w:divBdr>
        <w:top w:val="none" w:sz="0" w:space="0" w:color="auto"/>
        <w:left w:val="none" w:sz="0" w:space="0" w:color="auto"/>
        <w:bottom w:val="none" w:sz="0" w:space="0" w:color="auto"/>
        <w:right w:val="none" w:sz="0" w:space="0" w:color="auto"/>
      </w:divBdr>
    </w:div>
    <w:div w:id="2004576401">
      <w:bodyDiv w:val="1"/>
      <w:marLeft w:val="0"/>
      <w:marRight w:val="0"/>
      <w:marTop w:val="0"/>
      <w:marBottom w:val="0"/>
      <w:divBdr>
        <w:top w:val="none" w:sz="0" w:space="0" w:color="auto"/>
        <w:left w:val="none" w:sz="0" w:space="0" w:color="auto"/>
        <w:bottom w:val="none" w:sz="0" w:space="0" w:color="auto"/>
        <w:right w:val="none" w:sz="0" w:space="0" w:color="auto"/>
      </w:divBdr>
    </w:div>
    <w:div w:id="2024042234">
      <w:bodyDiv w:val="1"/>
      <w:marLeft w:val="0"/>
      <w:marRight w:val="0"/>
      <w:marTop w:val="0"/>
      <w:marBottom w:val="0"/>
      <w:divBdr>
        <w:top w:val="none" w:sz="0" w:space="0" w:color="auto"/>
        <w:left w:val="none" w:sz="0" w:space="0" w:color="auto"/>
        <w:bottom w:val="none" w:sz="0" w:space="0" w:color="auto"/>
        <w:right w:val="none" w:sz="0" w:space="0" w:color="auto"/>
      </w:divBdr>
    </w:div>
    <w:div w:id="2055232470">
      <w:bodyDiv w:val="1"/>
      <w:marLeft w:val="0"/>
      <w:marRight w:val="0"/>
      <w:marTop w:val="0"/>
      <w:marBottom w:val="0"/>
      <w:divBdr>
        <w:top w:val="none" w:sz="0" w:space="0" w:color="auto"/>
        <w:left w:val="none" w:sz="0" w:space="0" w:color="auto"/>
        <w:bottom w:val="none" w:sz="0" w:space="0" w:color="auto"/>
        <w:right w:val="none" w:sz="0" w:space="0" w:color="auto"/>
      </w:divBdr>
    </w:div>
    <w:div w:id="2058973324">
      <w:bodyDiv w:val="1"/>
      <w:marLeft w:val="0"/>
      <w:marRight w:val="0"/>
      <w:marTop w:val="0"/>
      <w:marBottom w:val="0"/>
      <w:divBdr>
        <w:top w:val="none" w:sz="0" w:space="0" w:color="auto"/>
        <w:left w:val="none" w:sz="0" w:space="0" w:color="auto"/>
        <w:bottom w:val="none" w:sz="0" w:space="0" w:color="auto"/>
        <w:right w:val="none" w:sz="0" w:space="0" w:color="auto"/>
      </w:divBdr>
    </w:div>
    <w:div w:id="2062709768">
      <w:bodyDiv w:val="1"/>
      <w:marLeft w:val="0"/>
      <w:marRight w:val="0"/>
      <w:marTop w:val="0"/>
      <w:marBottom w:val="0"/>
      <w:divBdr>
        <w:top w:val="none" w:sz="0" w:space="0" w:color="auto"/>
        <w:left w:val="none" w:sz="0" w:space="0" w:color="auto"/>
        <w:bottom w:val="none" w:sz="0" w:space="0" w:color="auto"/>
        <w:right w:val="none" w:sz="0" w:space="0" w:color="auto"/>
      </w:divBdr>
    </w:div>
    <w:div w:id="2065715250">
      <w:bodyDiv w:val="1"/>
      <w:marLeft w:val="0"/>
      <w:marRight w:val="0"/>
      <w:marTop w:val="0"/>
      <w:marBottom w:val="0"/>
      <w:divBdr>
        <w:top w:val="none" w:sz="0" w:space="0" w:color="auto"/>
        <w:left w:val="none" w:sz="0" w:space="0" w:color="auto"/>
        <w:bottom w:val="none" w:sz="0" w:space="0" w:color="auto"/>
        <w:right w:val="none" w:sz="0" w:space="0" w:color="auto"/>
      </w:divBdr>
    </w:div>
    <w:div w:id="2065986492">
      <w:bodyDiv w:val="1"/>
      <w:marLeft w:val="0"/>
      <w:marRight w:val="0"/>
      <w:marTop w:val="0"/>
      <w:marBottom w:val="0"/>
      <w:divBdr>
        <w:top w:val="none" w:sz="0" w:space="0" w:color="auto"/>
        <w:left w:val="none" w:sz="0" w:space="0" w:color="auto"/>
        <w:bottom w:val="none" w:sz="0" w:space="0" w:color="auto"/>
        <w:right w:val="none" w:sz="0" w:space="0" w:color="auto"/>
      </w:divBdr>
    </w:div>
    <w:div w:id="2091736991">
      <w:bodyDiv w:val="1"/>
      <w:marLeft w:val="0"/>
      <w:marRight w:val="0"/>
      <w:marTop w:val="0"/>
      <w:marBottom w:val="0"/>
      <w:divBdr>
        <w:top w:val="none" w:sz="0" w:space="0" w:color="auto"/>
        <w:left w:val="none" w:sz="0" w:space="0" w:color="auto"/>
        <w:bottom w:val="none" w:sz="0" w:space="0" w:color="auto"/>
        <w:right w:val="none" w:sz="0" w:space="0" w:color="auto"/>
      </w:divBdr>
    </w:div>
    <w:div w:id="2098817913">
      <w:bodyDiv w:val="1"/>
      <w:marLeft w:val="0"/>
      <w:marRight w:val="0"/>
      <w:marTop w:val="0"/>
      <w:marBottom w:val="0"/>
      <w:divBdr>
        <w:top w:val="none" w:sz="0" w:space="0" w:color="auto"/>
        <w:left w:val="none" w:sz="0" w:space="0" w:color="auto"/>
        <w:bottom w:val="none" w:sz="0" w:space="0" w:color="auto"/>
        <w:right w:val="none" w:sz="0" w:space="0" w:color="auto"/>
      </w:divBdr>
    </w:div>
    <w:div w:id="2103531124">
      <w:bodyDiv w:val="1"/>
      <w:marLeft w:val="0"/>
      <w:marRight w:val="0"/>
      <w:marTop w:val="0"/>
      <w:marBottom w:val="0"/>
      <w:divBdr>
        <w:top w:val="none" w:sz="0" w:space="0" w:color="auto"/>
        <w:left w:val="none" w:sz="0" w:space="0" w:color="auto"/>
        <w:bottom w:val="none" w:sz="0" w:space="0" w:color="auto"/>
        <w:right w:val="none" w:sz="0" w:space="0" w:color="auto"/>
      </w:divBdr>
    </w:div>
    <w:div w:id="2119451149">
      <w:bodyDiv w:val="1"/>
      <w:marLeft w:val="0"/>
      <w:marRight w:val="0"/>
      <w:marTop w:val="0"/>
      <w:marBottom w:val="0"/>
      <w:divBdr>
        <w:top w:val="none" w:sz="0" w:space="0" w:color="auto"/>
        <w:left w:val="none" w:sz="0" w:space="0" w:color="auto"/>
        <w:bottom w:val="none" w:sz="0" w:space="0" w:color="auto"/>
        <w:right w:val="none" w:sz="0" w:space="0" w:color="auto"/>
      </w:divBdr>
    </w:div>
    <w:div w:id="2119596481">
      <w:bodyDiv w:val="1"/>
      <w:marLeft w:val="0"/>
      <w:marRight w:val="0"/>
      <w:marTop w:val="0"/>
      <w:marBottom w:val="0"/>
      <w:divBdr>
        <w:top w:val="none" w:sz="0" w:space="0" w:color="auto"/>
        <w:left w:val="none" w:sz="0" w:space="0" w:color="auto"/>
        <w:bottom w:val="none" w:sz="0" w:space="0" w:color="auto"/>
        <w:right w:val="none" w:sz="0" w:space="0" w:color="auto"/>
      </w:divBdr>
    </w:div>
    <w:div w:id="2142260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theme" Target="theme/theme1.xml"/><Relationship Id="rId21" Type="http://schemas.openxmlformats.org/officeDocument/2006/relationships/image" Target="media/image11.png"/><Relationship Id="rId34" Type="http://schemas.openxmlformats.org/officeDocument/2006/relationships/image" Target="media/image23.emf"/><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2.emf"/><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asotic.org" TargetMode="External"/><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image" Target="media/image21.emf"/><Relationship Id="rId37"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5.emf"/><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www.supersociedades.gov.c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4.emf"/><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6.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6ec7b04-ae10-4631-84af-105d163611ec">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9684C83288B3BD4786EF13370CD881CF" ma:contentTypeVersion="11" ma:contentTypeDescription="Crear nuevo documento." ma:contentTypeScope="" ma:versionID="8ce3fcbdb35a477327796ce9b9207c11">
  <xsd:schema xmlns:xsd="http://www.w3.org/2001/XMLSchema" xmlns:xs="http://www.w3.org/2001/XMLSchema" xmlns:p="http://schemas.microsoft.com/office/2006/metadata/properties" xmlns:ns2="d256e2dd-2aa8-480d-92e7-d5daff0985c4" xmlns:ns3="06ec7b04-ae10-4631-84af-105d163611ec" targetNamespace="http://schemas.microsoft.com/office/2006/metadata/properties" ma:root="true" ma:fieldsID="895f98c37feebe4edf311e3bf3f64736" ns2:_="" ns3:_="">
    <xsd:import namespace="d256e2dd-2aa8-480d-92e7-d5daff0985c4"/>
    <xsd:import namespace="06ec7b04-ae10-4631-84af-105d163611e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56e2dd-2aa8-480d-92e7-d5daff0985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6ec7b04-ae10-4631-84af-105d163611ec"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39D666-3627-473D-9780-16752F976E24}">
  <ds:schemaRefs>
    <ds:schemaRef ds:uri="http://schemas.microsoft.com/office/2006/metadata/properties"/>
    <ds:schemaRef ds:uri="http://schemas.microsoft.com/office/infopath/2007/PartnerControls"/>
    <ds:schemaRef ds:uri="06ec7b04-ae10-4631-84af-105d163611ec"/>
  </ds:schemaRefs>
</ds:datastoreItem>
</file>

<file path=customXml/itemProps2.xml><?xml version="1.0" encoding="utf-8"?>
<ds:datastoreItem xmlns:ds="http://schemas.openxmlformats.org/officeDocument/2006/customXml" ds:itemID="{BF106C44-2A48-4484-9CEC-9B99B4291BD1}">
  <ds:schemaRefs>
    <ds:schemaRef ds:uri="http://schemas.microsoft.com/sharepoint/v3/contenttype/forms"/>
  </ds:schemaRefs>
</ds:datastoreItem>
</file>

<file path=customXml/itemProps3.xml><?xml version="1.0" encoding="utf-8"?>
<ds:datastoreItem xmlns:ds="http://schemas.openxmlformats.org/officeDocument/2006/customXml" ds:itemID="{DF74E7ED-147B-4B84-B0FC-356548B2FFA6}">
  <ds:schemaRefs>
    <ds:schemaRef ds:uri="http://schemas.openxmlformats.org/officeDocument/2006/bibliography"/>
  </ds:schemaRefs>
</ds:datastoreItem>
</file>

<file path=customXml/itemProps4.xml><?xml version="1.0" encoding="utf-8"?>
<ds:datastoreItem xmlns:ds="http://schemas.openxmlformats.org/officeDocument/2006/customXml" ds:itemID="{B3323AA9-C3EC-4103-818A-8BD141227F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56e2dd-2aa8-480d-92e7-d5daff0985c4"/>
    <ds:schemaRef ds:uri="06ec7b04-ae10-4631-84af-105d163611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31</Pages>
  <Words>10869</Words>
  <Characters>59783</Characters>
  <Application>Microsoft Office Word</Application>
  <DocSecurity>0</DocSecurity>
  <Lines>498</Lines>
  <Paragraphs>141</Paragraphs>
  <ScaleCrop>false</ScaleCrop>
  <Company/>
  <LinksUpToDate>false</LinksUpToDate>
  <CharactersWithSpaces>70511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Angely Carolay Gomez Camargo</dc:creator>
  <cp:keywords/>
  <dc:description/>
  <cp:lastModifiedBy>Mauricio Barragan</cp:lastModifiedBy>
  <cp:revision>169</cp:revision>
  <cp:lastPrinted>2019-09-13T20:01:00Z</cp:lastPrinted>
  <dcterms:created xsi:type="dcterms:W3CDTF">2020-07-28T16:44:00Z</dcterms:created>
  <dcterms:modified xsi:type="dcterms:W3CDTF">2020-08-12T02:15:00Z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0x0101009684C83288B3BD4786EF13370CD881CF</vt:lpwstr>
  </property>
  <property fmtid="{D5CDD505-2E9C-101B-9397-08002B2CF9AE}" pid="3" name="ComplianceAssetId">
    <vt:lpwstr/>
  </property>
</Properties>
</file>