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F92" w:rsidRDefault="00D21F9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ANEXO No </w:t>
      </w:r>
      <w:r w:rsidR="009667F6">
        <w:rPr>
          <w:rFonts w:cs="Arial"/>
          <w:b/>
          <w:color w:val="0D0D0D" w:themeColor="text1" w:themeTint="F2"/>
          <w:sz w:val="20"/>
        </w:rPr>
        <w:t>4</w:t>
      </w:r>
    </w:p>
    <w:p w:rsidR="00E743F2" w:rsidRDefault="00E743F2" w:rsidP="00E743F2">
      <w:pPr>
        <w:pStyle w:val="Textoindependiente"/>
        <w:jc w:val="center"/>
        <w:rPr>
          <w:rFonts w:cs="Arial"/>
          <w:b/>
          <w:color w:val="0D0D0D" w:themeColor="text1" w:themeTint="F2"/>
          <w:sz w:val="20"/>
        </w:rPr>
      </w:pP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rsidR="00E743F2" w:rsidRPr="00C43F6C" w:rsidRDefault="00E743F2" w:rsidP="00E743F2">
      <w:pPr>
        <w:pStyle w:val="Prrafodelista"/>
        <w:adjustRightInd w:val="0"/>
        <w:ind w:left="851"/>
        <w:jc w:val="both"/>
        <w:rPr>
          <w:color w:val="0D0D0D" w:themeColor="text1" w:themeTint="F2"/>
        </w:rPr>
      </w:pPr>
    </w:p>
    <w:p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rsidR="00E743F2" w:rsidRPr="00C43F6C" w:rsidRDefault="00E743F2" w:rsidP="00E743F2">
      <w:pPr>
        <w:pStyle w:val="Textoindependiente"/>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E743F2" w:rsidRPr="00C43F6C" w:rsidRDefault="00E743F2" w:rsidP="00E743F2">
      <w:pPr>
        <w:pStyle w:val="Textoindependiente"/>
        <w:numPr>
          <w:ilvl w:val="12"/>
          <w:numId w:val="0"/>
        </w:numPr>
        <w:ind w:left="284" w:hanging="284"/>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E743F2" w:rsidRPr="00C43F6C" w:rsidRDefault="00E743F2" w:rsidP="00E743F2">
      <w:pPr>
        <w:pStyle w:val="Prrafodelista"/>
        <w:ind w:left="284" w:hanging="284"/>
        <w:rPr>
          <w:color w:val="0D0D0D" w:themeColor="text1" w:themeTint="F2"/>
        </w:rPr>
      </w:pPr>
    </w:p>
    <w:p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E743F2" w:rsidRPr="00C43F6C" w:rsidRDefault="00E743F2" w:rsidP="00E743F2">
      <w:pPr>
        <w:pStyle w:val="Prrafodelista"/>
        <w:rPr>
          <w:color w:val="0D0D0D" w:themeColor="text1" w:themeTint="F2"/>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rsidR="00E743F2"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ind w:left="66"/>
        <w:jc w:val="both"/>
        <w:rPr>
          <w:rFonts w:cs="Arial"/>
          <w:color w:val="0D0D0D" w:themeColor="text1" w:themeTint="F2"/>
          <w:sz w:val="20"/>
        </w:rPr>
      </w:pPr>
    </w:p>
    <w:p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E743F2" w:rsidRPr="00C43F6C" w:rsidRDefault="00E743F2" w:rsidP="00E743F2">
      <w:pPr>
        <w:pStyle w:val="Textoindependiente"/>
        <w:ind w:left="426"/>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E743F2" w:rsidRPr="00C43F6C" w:rsidRDefault="00E743F2" w:rsidP="00E743F2">
      <w:pPr>
        <w:pStyle w:val="Textoindependiente"/>
        <w:numPr>
          <w:ilvl w:val="0"/>
          <w:numId w:val="2"/>
        </w:numPr>
        <w:ind w:left="426" w:hanging="426"/>
        <w:jc w:val="both"/>
        <w:rPr>
          <w:rFonts w:cs="Arial"/>
          <w:color w:val="0D0D0D" w:themeColor="text1" w:themeTint="F2"/>
          <w:sz w:val="20"/>
        </w:rPr>
      </w:pPr>
      <w:bookmarkStart w:id="0" w:name="_GoBack"/>
      <w:bookmarkEnd w:id="0"/>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ÁREA DE SANIDAD TOLIMA DE LA POLICÍA NACIONAL ACEPTARÁ DOCUMENTOS EN FOTOCOPIAS SIMPLES.</w:t>
      </w:r>
    </w:p>
    <w:p w:rsidR="00E743F2" w:rsidRPr="00C43F6C" w:rsidRDefault="00E743F2" w:rsidP="00E743F2">
      <w:pPr>
        <w:pStyle w:val="Textoindependiente"/>
        <w:jc w:val="both"/>
        <w:rPr>
          <w:rFonts w:cs="Arial"/>
          <w:b/>
          <w:color w:val="0D0D0D" w:themeColor="text1" w:themeTint="F2"/>
          <w:sz w:val="20"/>
        </w:rPr>
      </w:pPr>
    </w:p>
    <w:p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ÁREA DE SANIDAD TOLIMA DE LA POLICÍA NACIONAL ACEPTARÁ DOCUMENTOS EN FOTOCOPIAS SIMPLES.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E743F2" w:rsidRPr="00C43F6C" w:rsidRDefault="00E743F2" w:rsidP="00E743F2">
      <w:pPr>
        <w:pStyle w:val="Textoindependiente"/>
        <w:jc w:val="both"/>
        <w:rPr>
          <w:rFonts w:cs="Arial"/>
          <w:color w:val="0D0D0D" w:themeColor="text1" w:themeTint="F2"/>
          <w:sz w:val="20"/>
        </w:rPr>
      </w:pPr>
    </w:p>
    <w:p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Consularización</w:t>
      </w:r>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ÁREA DE SANIDAD TOLIMA DE LA POLICÍA NACIONAL ACEPTARÁ FOTOCOPIAS SIMPLES.</w:t>
      </w:r>
    </w:p>
    <w:p w:rsidR="009C1030" w:rsidRDefault="009C1030" w:rsidP="004314E3">
      <w:pPr>
        <w:rPr>
          <w:lang w:val="es-ES"/>
        </w:rPr>
      </w:pPr>
    </w:p>
    <w:p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rsidR="009C1030" w:rsidRPr="00C43F6C" w:rsidRDefault="009C1030" w:rsidP="009C1030">
      <w:pPr>
        <w:adjustRightInd w:val="0"/>
        <w:jc w:val="both"/>
        <w:rPr>
          <w:b/>
          <w:bCs/>
          <w:color w:val="0D0D0D" w:themeColor="text1" w:themeTint="F2"/>
        </w:rPr>
      </w:pPr>
    </w:p>
    <w:p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acreditar la existencia del consorcio o de la unión temporal, y específicamente la circunstancia de tratarse de uno u otro, lo cual deberá declararse de manera expresa en el acuerdo de asociación </w:t>
      </w:r>
      <w:r w:rsidRPr="00C43F6C">
        <w:rPr>
          <w:color w:val="0D0D0D" w:themeColor="text1" w:themeTint="F2"/>
        </w:rPr>
        <w:lastRenderedPageBreak/>
        <w:t xml:space="preserve">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C1030" w:rsidRPr="00C43F6C" w:rsidRDefault="009C1030" w:rsidP="009C1030">
      <w:pPr>
        <w:tabs>
          <w:tab w:val="num" w:pos="0"/>
        </w:tabs>
        <w:adjustRightInd w:val="0"/>
        <w:ind w:left="284" w:hanging="284"/>
        <w:jc w:val="both"/>
        <w:rPr>
          <w:color w:val="0D0D0D" w:themeColor="text1" w:themeTint="F2"/>
        </w:rPr>
      </w:pPr>
    </w:p>
    <w:p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C1030" w:rsidRPr="00C43F6C" w:rsidRDefault="009C1030" w:rsidP="009C1030">
      <w:pPr>
        <w:adjustRightInd w:val="0"/>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ÁREA DE SANIDAD TOLIMA La omisión de este señalamiento, hará que la POLICÍA NACIONAL – POLICÍA METROPOLITANA DE IBAGUE ÁREA DE SANIDAD TOLIMA tome la propuesta como presentada por un Consorcio para todos los efectos.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C1030" w:rsidRPr="00C43F6C" w:rsidRDefault="009C1030" w:rsidP="009C1030">
      <w:pPr>
        <w:adjustRightInd w:val="0"/>
        <w:ind w:left="284"/>
        <w:jc w:val="both"/>
        <w:rPr>
          <w:color w:val="0D0D0D" w:themeColor="text1" w:themeTint="F2"/>
        </w:rPr>
      </w:pPr>
    </w:p>
    <w:p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C1030" w:rsidRPr="00C43F6C" w:rsidRDefault="009C1030" w:rsidP="009C1030">
      <w:pPr>
        <w:pStyle w:val="Prrafodelista"/>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C1030" w:rsidRPr="00C43F6C" w:rsidRDefault="009C1030" w:rsidP="009C1030">
      <w:pPr>
        <w:tabs>
          <w:tab w:val="num" w:pos="0"/>
        </w:tabs>
        <w:adjustRightInd w:val="0"/>
        <w:ind w:left="284" w:hanging="283"/>
        <w:jc w:val="both"/>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C1030" w:rsidRPr="00C43F6C" w:rsidRDefault="009C1030" w:rsidP="009C1030">
      <w:pPr>
        <w:pStyle w:val="Prrafodelista"/>
        <w:tabs>
          <w:tab w:val="num" w:pos="0"/>
        </w:tabs>
        <w:ind w:left="284" w:hanging="283"/>
        <w:rPr>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C1030" w:rsidRPr="00C43F6C" w:rsidRDefault="009C1030" w:rsidP="009C1030">
      <w:pPr>
        <w:pStyle w:val="Prrafodelista"/>
        <w:rPr>
          <w:b/>
          <w:bCs/>
          <w:color w:val="0D0D0D" w:themeColor="text1" w:themeTint="F2"/>
        </w:rPr>
      </w:pPr>
    </w:p>
    <w:p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rsidR="009C1030" w:rsidRPr="00C43F6C" w:rsidRDefault="009C1030" w:rsidP="009C1030">
      <w:pPr>
        <w:tabs>
          <w:tab w:val="num" w:pos="0"/>
        </w:tabs>
        <w:adjustRightInd w:val="0"/>
        <w:ind w:left="284" w:hanging="283"/>
        <w:jc w:val="both"/>
        <w:rPr>
          <w:b/>
          <w:bCs/>
          <w:color w:val="0D0D0D" w:themeColor="text1" w:themeTint="F2"/>
        </w:rPr>
      </w:pPr>
    </w:p>
    <w:p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rsidR="009C1030" w:rsidRPr="00C43F6C" w:rsidRDefault="009C1030" w:rsidP="009C1030">
      <w:pPr>
        <w:adjustRightInd w:val="0"/>
        <w:ind w:left="284"/>
        <w:jc w:val="both"/>
        <w:rPr>
          <w:bCs/>
          <w:color w:val="0D0D0D" w:themeColor="text1" w:themeTint="F2"/>
        </w:rPr>
      </w:pPr>
    </w:p>
    <w:p w:rsidR="009C1030" w:rsidRDefault="009C1030" w:rsidP="009C1030">
      <w:r w:rsidRPr="00C43F6C">
        <w:rPr>
          <w:color w:val="0D0D0D" w:themeColor="text1" w:themeTint="F2"/>
        </w:rPr>
        <w:t>Se deberán indicar las obligaciones que cumple cada uno de los miembros de la unión temporal o consorcio</w:t>
      </w:r>
    </w:p>
    <w:p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3F2"/>
    <w:rsid w:val="00121589"/>
    <w:rsid w:val="003630BB"/>
    <w:rsid w:val="004314E3"/>
    <w:rsid w:val="00815B16"/>
    <w:rsid w:val="008D651C"/>
    <w:rsid w:val="009667F6"/>
    <w:rsid w:val="009C1030"/>
    <w:rsid w:val="00D21F92"/>
    <w:rsid w:val="00E74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2345</Words>
  <Characters>12900</Characters>
  <Application>Microsoft Office Word</Application>
  <DocSecurity>0</DocSecurity>
  <Lines>107</Lines>
  <Paragraphs>30</Paragraphs>
  <ScaleCrop>false</ScaleCrop>
  <Company/>
  <LinksUpToDate>false</LinksUpToDate>
  <CharactersWithSpaces>15215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JOHN FREDY JIMENEZ SUAREZ</cp:lastModifiedBy>
  <cp:revision>8</cp:revision>
  <dcterms:created xsi:type="dcterms:W3CDTF">2018-02-17T22:00:00Z</dcterms:created>
  <dcterms:modified xsi:type="dcterms:W3CDTF">2018-05-04T14:12:00Z</dcterms:modified>
</cp:coreProperties>
</file>