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C8524" w14:textId="0A88F173" w:rsidR="004A5328" w:rsidRPr="00695214" w:rsidRDefault="004A5328" w:rsidP="00427306">
      <w:pPr>
        <w:spacing w:line="276" w:lineRule="auto"/>
        <w:jc w:val="center"/>
        <w:rPr>
          <w:rFonts w:ascii="Arial" w:eastAsia="Tahoma" w:hAnsi="Arial" w:cs="Arial"/>
          <w:b/>
        </w:rPr>
      </w:pPr>
      <w:bookmarkStart w:id="0" w:name="_Hlk155191474"/>
      <w:r w:rsidRPr="00695214">
        <w:rPr>
          <w:rFonts w:ascii="Arial" w:eastAsia="Tahoma" w:hAnsi="Arial" w:cs="Arial"/>
          <w:b/>
        </w:rPr>
        <w:t xml:space="preserve">ANÁLISIS DEL SECTOR ECONÓMICO </w:t>
      </w:r>
    </w:p>
    <w:p w14:paraId="0B67E3DB" w14:textId="77777777" w:rsidR="004A5328" w:rsidRPr="00695214" w:rsidRDefault="004A5328" w:rsidP="00427306">
      <w:pPr>
        <w:spacing w:line="276" w:lineRule="auto"/>
        <w:jc w:val="both"/>
        <w:rPr>
          <w:rFonts w:ascii="Arial" w:eastAsia="Tahoma" w:hAnsi="Arial" w:cs="Arial"/>
        </w:rPr>
      </w:pPr>
      <w:r w:rsidRPr="00695214">
        <w:rPr>
          <w:rFonts w:ascii="Arial" w:eastAsia="Tahoma" w:hAnsi="Arial" w:cs="Arial"/>
        </w:rPr>
        <w:t>A continuación, se presentará el estudio del sector económico y de los oferentes por parte de la entidad conforme con lo dispuesto en el artículo 2.2.1.1.1.6.1 del Decreto 1082 de 2015, para adelantar el proceso de contratación y la consecuente aceptación de la oferta.</w:t>
      </w:r>
    </w:p>
    <w:p w14:paraId="421BA452" w14:textId="77777777" w:rsidR="004A5328" w:rsidRPr="00695214" w:rsidRDefault="004A5328" w:rsidP="00427306">
      <w:pPr>
        <w:spacing w:line="276" w:lineRule="auto"/>
        <w:jc w:val="both"/>
        <w:rPr>
          <w:rFonts w:ascii="Arial" w:eastAsia="Tahoma" w:hAnsi="Arial" w:cs="Arial"/>
        </w:rPr>
      </w:pPr>
      <w:r w:rsidRPr="00695214">
        <w:rPr>
          <w:rFonts w:ascii="Arial" w:eastAsia="Tahoma" w:hAnsi="Arial" w:cs="Arial"/>
        </w:rPr>
        <w:t>De acuerdo con la Guía para la Elaboración de Estudios de Sector publicada por Colombia Compra Eficiente G-EES-02, las Entidades Estatales deben entender claramente cuál es su necesidad y cómo pueden satisfacerla, por lo cual, deben conocer y entender cómo y con quién pueden establecer la relación que permite satisfacer la necesidad identificada.</w:t>
      </w:r>
    </w:p>
    <w:p w14:paraId="64913976" w14:textId="77777777" w:rsidR="00E97EE3" w:rsidRPr="00695214" w:rsidRDefault="00E97EE3" w:rsidP="00427306">
      <w:pPr>
        <w:spacing w:line="276" w:lineRule="auto"/>
        <w:jc w:val="both"/>
        <w:rPr>
          <w:rFonts w:ascii="Arial" w:eastAsia="Tahoma" w:hAnsi="Arial" w:cs="Arial"/>
        </w:rPr>
      </w:pPr>
    </w:p>
    <w:p w14:paraId="62C5FB8B" w14:textId="11EF1545" w:rsidR="00695214" w:rsidRPr="00695214" w:rsidRDefault="004A5328" w:rsidP="00427306">
      <w:pPr>
        <w:spacing w:line="276" w:lineRule="auto"/>
        <w:jc w:val="both"/>
        <w:rPr>
          <w:rFonts w:ascii="Arial" w:hAnsi="Arial" w:cs="Arial"/>
          <w:b/>
          <w:bCs/>
        </w:rPr>
      </w:pPr>
      <w:r w:rsidRPr="00695214">
        <w:rPr>
          <w:rFonts w:ascii="Arial" w:eastAsia="Tahoma" w:hAnsi="Arial" w:cs="Arial"/>
          <w:b/>
          <w:bCs/>
        </w:rPr>
        <w:t>OBJETO</w:t>
      </w:r>
      <w:r w:rsidRPr="00695214">
        <w:rPr>
          <w:rFonts w:ascii="Arial" w:eastAsia="Tahoma" w:hAnsi="Arial" w:cs="Arial"/>
        </w:rPr>
        <w:t xml:space="preserve">: </w:t>
      </w:r>
      <w:bookmarkStart w:id="1" w:name="_Hlk178265711"/>
      <w:r w:rsidR="00695214" w:rsidRPr="00695214">
        <w:rPr>
          <w:rFonts w:ascii="Arial" w:hAnsi="Arial" w:cs="Arial"/>
          <w:b/>
          <w:bCs/>
          <w:iCs/>
        </w:rPr>
        <w:t>PRESTACIÓN DE SERVICIOS PARA EL FORTALECIMIENTO E IMPLEMENTACIÓN DE ESTRATEGIAS PARA LA ATENCIÓN INTEGRAL E INCLUSIÓN PRODUCTIVA A PERSONAS CON DISCAPACIDAD Y SUS CUIDADORES EN EL MUNICIPIO DE SAN JACINTO, BOLÍVAR.</w:t>
      </w:r>
      <w:bookmarkEnd w:id="1"/>
    </w:p>
    <w:p w14:paraId="576B87DD" w14:textId="3970B589" w:rsidR="004A5328" w:rsidRPr="00695214" w:rsidRDefault="004A5328" w:rsidP="00427306">
      <w:pPr>
        <w:pStyle w:val="Prrafodelista"/>
        <w:numPr>
          <w:ilvl w:val="0"/>
          <w:numId w:val="19"/>
        </w:numPr>
        <w:spacing w:line="276" w:lineRule="auto"/>
        <w:jc w:val="both"/>
        <w:rPr>
          <w:rFonts w:ascii="Arial" w:eastAsia="Tahoma" w:hAnsi="Arial" w:cs="Arial"/>
          <w:b/>
        </w:rPr>
      </w:pPr>
      <w:r w:rsidRPr="00695214">
        <w:rPr>
          <w:rFonts w:ascii="Arial" w:eastAsia="Tahoma" w:hAnsi="Arial" w:cs="Arial"/>
          <w:b/>
        </w:rPr>
        <w:t>ANTECEDENTES</w:t>
      </w:r>
    </w:p>
    <w:p w14:paraId="32D8C050" w14:textId="77777777" w:rsidR="00695214" w:rsidRPr="00695214" w:rsidRDefault="00695214" w:rsidP="00695214">
      <w:pPr>
        <w:spacing w:line="276" w:lineRule="auto"/>
        <w:jc w:val="both"/>
        <w:rPr>
          <w:rFonts w:ascii="Arial" w:hAnsi="Arial" w:cs="Arial"/>
          <w:i/>
          <w:iCs/>
        </w:rPr>
      </w:pPr>
      <w:bookmarkStart w:id="2" w:name="_Hlk178265924"/>
      <w:r w:rsidRPr="00695214">
        <w:rPr>
          <w:rFonts w:ascii="Arial" w:hAnsi="Arial" w:cs="Arial"/>
        </w:rPr>
        <w:t xml:space="preserve">La Constitución Política de Colombia estableció en su artículo 2° que son fines esenciales del Estado: </w:t>
      </w:r>
      <w:r w:rsidRPr="00695214">
        <w:rPr>
          <w:rFonts w:ascii="Arial" w:hAnsi="Arial" w:cs="Arial"/>
          <w:i/>
          <w:iCs/>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p>
    <w:p w14:paraId="40569E8B" w14:textId="77777777" w:rsidR="00695214" w:rsidRPr="00695214" w:rsidRDefault="00695214" w:rsidP="00695214">
      <w:pPr>
        <w:spacing w:line="276" w:lineRule="auto"/>
        <w:jc w:val="both"/>
        <w:rPr>
          <w:rFonts w:ascii="Arial" w:hAnsi="Arial" w:cs="Arial"/>
        </w:rPr>
      </w:pPr>
      <w:r w:rsidRPr="00695214">
        <w:rPr>
          <w:rFonts w:ascii="Arial" w:hAnsi="Arial" w:cs="Arial"/>
        </w:rPr>
        <w:t>Asimismo, en su artículo 311 ibidem, estableció que: “El municipio es la Entidad fundamental de la división político-administrativa y en tal medida le impone como su responsabilidad la prestación de los servicios públicos que determine la ley, construir la obras que demande el progreso local, ordenar el desarrollo de su territorio, promover la participación comunitaria, el mejoramiento social y cultural de sus habitantes…”.</w:t>
      </w:r>
    </w:p>
    <w:p w14:paraId="560D2066" w14:textId="77777777" w:rsidR="00695214" w:rsidRPr="00695214" w:rsidRDefault="00695214" w:rsidP="00695214">
      <w:pPr>
        <w:pStyle w:val="Sinespaciado"/>
        <w:spacing w:line="276" w:lineRule="auto"/>
        <w:jc w:val="both"/>
        <w:rPr>
          <w:rFonts w:ascii="Arial" w:hAnsi="Arial" w:cs="Arial"/>
        </w:rPr>
      </w:pPr>
      <w:r w:rsidRPr="00695214">
        <w:rPr>
          <w:rFonts w:ascii="Arial" w:hAnsi="Arial" w:cs="Arial"/>
        </w:rPr>
        <w:t>Como entidad descentralizada territorialmente cuenta con autonomía para adelantar y desarrollar los procesos contractuales orientados a desarrollar el plan de desarrollo municipal, para de esta manera cumplir con los fines que la constitución política le señala al estado, tal como lo dispone el artículo 2° de la carta superior y 3° de la Ley 80 de 1993.</w:t>
      </w:r>
    </w:p>
    <w:p w14:paraId="50A0C418" w14:textId="77777777" w:rsidR="00695214" w:rsidRPr="00695214" w:rsidRDefault="00695214" w:rsidP="00695214">
      <w:pPr>
        <w:pStyle w:val="Sinespaciado"/>
        <w:spacing w:line="276" w:lineRule="auto"/>
        <w:jc w:val="both"/>
        <w:rPr>
          <w:rFonts w:ascii="Arial" w:hAnsi="Arial" w:cs="Arial"/>
        </w:rPr>
      </w:pPr>
    </w:p>
    <w:p w14:paraId="428F9ACB" w14:textId="77777777" w:rsidR="00695214" w:rsidRPr="00695214" w:rsidRDefault="00695214" w:rsidP="00695214">
      <w:pPr>
        <w:spacing w:line="276" w:lineRule="auto"/>
        <w:jc w:val="both"/>
        <w:rPr>
          <w:rFonts w:ascii="Arial" w:hAnsi="Arial" w:cs="Arial"/>
        </w:rPr>
      </w:pPr>
      <w:r w:rsidRPr="00695214">
        <w:rPr>
          <w:rFonts w:ascii="Arial" w:hAnsi="Arial" w:cs="Arial"/>
        </w:rPr>
        <w:t>Que dentro de las funciones que corresponde asumir al MUNICIPIO, están las de prestar los servicios públicos que determine la Ley, igualmente ordenar el desarrollo de su territorio y construir las obras que demande el progreso municipal; la promoción de la participación comunitaria y el mejoramiento social y cultural de sus habitantes, planificar el desarrollo económico, social y ambiental de su jurisdicción de conformidad con la Ley y en coordinación con otras necesidades, solucionar las necesidades insatisfechas de salud, educación, saneamiento ambiental, agua potable, servicios públicos domiciliarios, vivienda, recreación y deporte, con especial énfasis en la niñez, la mujer, la tercera edad y los sectores discapacitados, directamente y en concurrencia, complementariedad y coordinación con las demás entidades territoriales y la nación, al temor de la Ley, velar por el adecuado manejo de los recursos naturales y del medio ambiente; promover el mejoramiento económico y social de los habitantes del municipio y las demás funciones y competencias que le señale la constitución y la Ley.</w:t>
      </w:r>
    </w:p>
    <w:p w14:paraId="1A3241EE" w14:textId="77777777" w:rsidR="00695214" w:rsidRPr="00695214" w:rsidRDefault="00695214" w:rsidP="00695214">
      <w:pPr>
        <w:spacing w:line="276" w:lineRule="auto"/>
        <w:jc w:val="both"/>
        <w:rPr>
          <w:rFonts w:ascii="Arial" w:hAnsi="Arial" w:cs="Arial"/>
        </w:rPr>
      </w:pPr>
      <w:r w:rsidRPr="00695214">
        <w:rPr>
          <w:rFonts w:ascii="Arial" w:hAnsi="Arial" w:cs="Arial"/>
        </w:rPr>
        <w:t>Existe una cultura excluyente y segregacionista que pone barreras económicas, sociales, arquitectónicas, tecnológicas, informativas y actitudinales que excluyen a las Personas con Discapacidad, sus familias y cuidadores y cuidadoras. Por esta razón la población con discapacidad sigue estando invisibilizada, la ciudadanía continúa ignorando las riquezas del enfoque diferencial y no se han implementado estrategias contundentes que apunten al cambio de imaginarios y al derrumbamiento de barreras físicas y actitudinales.</w:t>
      </w:r>
    </w:p>
    <w:p w14:paraId="1517F552" w14:textId="77777777" w:rsidR="00695214" w:rsidRPr="00695214" w:rsidRDefault="00695214" w:rsidP="00695214">
      <w:pPr>
        <w:spacing w:line="276" w:lineRule="auto"/>
        <w:jc w:val="both"/>
        <w:rPr>
          <w:rFonts w:ascii="Arial" w:hAnsi="Arial" w:cs="Arial"/>
        </w:rPr>
      </w:pPr>
      <w:r w:rsidRPr="00695214">
        <w:rPr>
          <w:rFonts w:ascii="Arial" w:hAnsi="Arial" w:cs="Arial"/>
        </w:rPr>
        <w:lastRenderedPageBreak/>
        <w:t xml:space="preserve">Los esfuerzos que se hacen por avanzar en materia de inclusión social y económica tanto desde el sector público como el privado, resultan en una atención desarticulada y fragmentada que no permite el desarrollo pleno y sostenible de esta población. Los espacios, fuentes, mecanismos, actores y acciones para que las personas con discapacidad, sus familias y sus cuidadores y cuidadoras puedan ejercer sus derechos son insuficientes o están ausentes. </w:t>
      </w:r>
    </w:p>
    <w:p w14:paraId="532B048F" w14:textId="77777777" w:rsidR="00695214" w:rsidRPr="00695214" w:rsidRDefault="00695214" w:rsidP="00695214">
      <w:pPr>
        <w:spacing w:line="276" w:lineRule="auto"/>
        <w:jc w:val="both"/>
        <w:rPr>
          <w:rFonts w:ascii="Arial" w:hAnsi="Arial" w:cs="Arial"/>
        </w:rPr>
      </w:pPr>
      <w:r w:rsidRPr="00695214">
        <w:rPr>
          <w:rFonts w:ascii="Arial" w:hAnsi="Arial" w:cs="Arial"/>
        </w:rPr>
        <w:t>Es así como, por ejemplo, encontramos que las oportunidades laborales y productivas para la población con discapacidad son escasas y las personas con discapacidad tienen una dificultad real para percibir ingresos económicos en razón de prácticas e imaginarios que segregan a esta población del mercado laboral.</w:t>
      </w:r>
    </w:p>
    <w:p w14:paraId="345ABD83" w14:textId="77777777" w:rsidR="00695214" w:rsidRPr="00695214" w:rsidRDefault="00695214" w:rsidP="00695214">
      <w:pPr>
        <w:spacing w:line="276" w:lineRule="auto"/>
        <w:jc w:val="both"/>
        <w:rPr>
          <w:rFonts w:ascii="Arial" w:hAnsi="Arial" w:cs="Arial"/>
        </w:rPr>
      </w:pPr>
      <w:r w:rsidRPr="00695214">
        <w:rPr>
          <w:rFonts w:ascii="Arial" w:hAnsi="Arial" w:cs="Arial"/>
        </w:rPr>
        <w:t>La atención integral a las personas con discapacidad de San Jacinto Bolívar, en términos de empoderamiento en las políticas públicas de discapacidad, les llega con precariedad a todas las personas con discapacidad, afectando el acceso en igualdad de condiciones a los bienes y servicios que ofrece la institucionalidad, para garantizar la solución a los problemas derivados por esta incidencia.</w:t>
      </w:r>
    </w:p>
    <w:p w14:paraId="18252315" w14:textId="77777777" w:rsidR="00695214" w:rsidRPr="00695214" w:rsidRDefault="00695214" w:rsidP="00695214">
      <w:pPr>
        <w:pStyle w:val="Prrafodelista"/>
        <w:numPr>
          <w:ilvl w:val="0"/>
          <w:numId w:val="22"/>
        </w:numPr>
        <w:spacing w:after="200" w:line="276" w:lineRule="auto"/>
        <w:jc w:val="both"/>
        <w:rPr>
          <w:rFonts w:ascii="Arial" w:hAnsi="Arial" w:cs="Arial"/>
        </w:rPr>
      </w:pPr>
      <w:r w:rsidRPr="00695214">
        <w:rPr>
          <w:rFonts w:ascii="Arial" w:hAnsi="Arial" w:cs="Arial"/>
        </w:rPr>
        <w:t>Falta de una ruta de atención básica in situ de contingencias de salud física y mental para las personas con discapacidad y cuidadores.</w:t>
      </w:r>
    </w:p>
    <w:p w14:paraId="63BFA3F5" w14:textId="77777777" w:rsidR="00695214" w:rsidRPr="00695214" w:rsidRDefault="00695214" w:rsidP="00695214">
      <w:pPr>
        <w:pStyle w:val="Prrafodelista"/>
        <w:numPr>
          <w:ilvl w:val="0"/>
          <w:numId w:val="22"/>
        </w:numPr>
        <w:spacing w:after="200" w:line="276" w:lineRule="auto"/>
        <w:jc w:val="both"/>
        <w:rPr>
          <w:rFonts w:ascii="Arial" w:hAnsi="Arial" w:cs="Arial"/>
        </w:rPr>
      </w:pPr>
      <w:r w:rsidRPr="00695214">
        <w:rPr>
          <w:rFonts w:ascii="Arial" w:hAnsi="Arial" w:cs="Arial"/>
        </w:rPr>
        <w:t>Pobreza extrema, por escasez de asesoría en las oportunidades contenidas en la política pública de discapacidad.</w:t>
      </w:r>
    </w:p>
    <w:p w14:paraId="4A01EB35" w14:textId="77777777" w:rsidR="00695214" w:rsidRPr="00695214" w:rsidRDefault="00695214" w:rsidP="00695214">
      <w:pPr>
        <w:pStyle w:val="Prrafodelista"/>
        <w:numPr>
          <w:ilvl w:val="0"/>
          <w:numId w:val="22"/>
        </w:numPr>
        <w:spacing w:after="200" w:line="276" w:lineRule="auto"/>
        <w:jc w:val="both"/>
        <w:rPr>
          <w:rFonts w:ascii="Arial" w:hAnsi="Arial" w:cs="Arial"/>
        </w:rPr>
      </w:pPr>
      <w:r w:rsidRPr="00695214">
        <w:rPr>
          <w:rFonts w:ascii="Arial" w:hAnsi="Arial" w:cs="Arial"/>
        </w:rPr>
        <w:t>Comité Municipal de Discapacidad, débil por ausencia de fortalecimiento en la aplicación de la política pública para la discapacidad, y herramientas facilitadoras para la aprehensión de conocimientos para su empoderamiento.</w:t>
      </w:r>
    </w:p>
    <w:p w14:paraId="46A93E19" w14:textId="77777777" w:rsidR="00695214" w:rsidRPr="00695214" w:rsidRDefault="00695214" w:rsidP="00695214">
      <w:pPr>
        <w:pStyle w:val="Prrafodelista"/>
        <w:numPr>
          <w:ilvl w:val="0"/>
          <w:numId w:val="22"/>
        </w:numPr>
        <w:spacing w:after="200" w:line="276" w:lineRule="auto"/>
        <w:jc w:val="both"/>
        <w:rPr>
          <w:rFonts w:ascii="Arial" w:hAnsi="Arial" w:cs="Arial"/>
        </w:rPr>
      </w:pPr>
      <w:r w:rsidRPr="00695214">
        <w:rPr>
          <w:rFonts w:ascii="Arial" w:hAnsi="Arial" w:cs="Arial"/>
        </w:rPr>
        <w:t>Afectación por drogadicción, y violencia.</w:t>
      </w:r>
    </w:p>
    <w:p w14:paraId="65C029DC" w14:textId="77777777" w:rsidR="00695214" w:rsidRPr="00695214" w:rsidRDefault="00695214" w:rsidP="00695214">
      <w:pPr>
        <w:spacing w:after="0" w:line="276" w:lineRule="auto"/>
        <w:jc w:val="both"/>
        <w:rPr>
          <w:rFonts w:ascii="Arial" w:hAnsi="Arial" w:cs="Arial"/>
        </w:rPr>
      </w:pPr>
      <w:r w:rsidRPr="00695214">
        <w:rPr>
          <w:rFonts w:ascii="Arial" w:hAnsi="Arial" w:cs="Arial"/>
        </w:rPr>
        <w:t>Según el registro de localización y caracterización de personas con discapacidad, RLCPD en el municipio de San Jacinto encontramos a fecha del 2024, una población de 721 personas en condición de discapacidad y haciendo una relación con la población del municipio según el último censo de población y vivienda 2018, vemos que es del 1,34%, lo que significa que por cada 100 persona en el Municipio aproximadamente dos son discapacitadas. El 3,5 % del total de las personas víctimas del conflicto armado en el Municipio de San Jacinto Bolívar son personas que tienen una condición de Discapacidad, es decir que de cada 100 personas desplazadas 4 son discapacitadas. (Fuente: secretaría municipal Desarrollo Social).</w:t>
      </w:r>
    </w:p>
    <w:p w14:paraId="1812C287" w14:textId="77777777" w:rsidR="00695214" w:rsidRPr="00695214" w:rsidRDefault="00695214" w:rsidP="00695214">
      <w:pPr>
        <w:spacing w:after="0" w:line="276" w:lineRule="auto"/>
        <w:jc w:val="both"/>
        <w:rPr>
          <w:rFonts w:ascii="Arial" w:hAnsi="Arial" w:cs="Arial"/>
        </w:rPr>
      </w:pPr>
    </w:p>
    <w:p w14:paraId="22BD7436" w14:textId="77777777" w:rsidR="00695214" w:rsidRPr="00695214" w:rsidRDefault="00695214" w:rsidP="00695214">
      <w:pPr>
        <w:spacing w:after="0" w:line="276" w:lineRule="auto"/>
        <w:jc w:val="both"/>
        <w:rPr>
          <w:rFonts w:ascii="Arial" w:hAnsi="Arial" w:cs="Arial"/>
        </w:rPr>
      </w:pPr>
      <w:r w:rsidRPr="00695214">
        <w:rPr>
          <w:rFonts w:ascii="Arial" w:hAnsi="Arial" w:cs="Arial"/>
        </w:rPr>
        <w:t>Las personas con discapacidad constituyen un grupo diverso, por lo que sus experiencias vitales y sus necesidades en materia de salud, educación, empleo, se ven afectadas por factores como el sexo, la edad, la identidad de género, la orientación sexual, la religión, la raza, la etnia y la situación económica. Las personas con discapacidad mueren antes, tienen peor salud y experimentan más limitaciones en su actividad cotidiana que las demás.</w:t>
      </w:r>
    </w:p>
    <w:p w14:paraId="591FF3D0" w14:textId="77777777" w:rsidR="00695214" w:rsidRPr="00695214" w:rsidRDefault="00695214" w:rsidP="00695214">
      <w:pPr>
        <w:spacing w:after="0" w:line="276" w:lineRule="auto"/>
        <w:jc w:val="both"/>
        <w:rPr>
          <w:rFonts w:ascii="Arial" w:hAnsi="Arial" w:cs="Arial"/>
        </w:rPr>
      </w:pPr>
    </w:p>
    <w:p w14:paraId="39D9553E" w14:textId="77777777" w:rsidR="00695214" w:rsidRPr="00695214" w:rsidRDefault="00695214" w:rsidP="00695214">
      <w:pPr>
        <w:spacing w:line="276" w:lineRule="auto"/>
        <w:jc w:val="both"/>
        <w:rPr>
          <w:rFonts w:ascii="Arial" w:hAnsi="Arial" w:cs="Arial"/>
        </w:rPr>
      </w:pPr>
      <w:r w:rsidRPr="00695214">
        <w:rPr>
          <w:rFonts w:ascii="Arial" w:hAnsi="Arial" w:cs="Arial"/>
        </w:rPr>
        <w:t xml:space="preserve">No solo las personas con discapacidad resultan directamente afectadas por esta exclusión social sino que cada vez más, se viene evidenciando la enorme sobrecarga y la injusticia social de que son víctimas los cuidadores y cuidadoras de las personas con discapacidad ya que, no solo pierden su independencia y su libertad para poder cuidar al otro sino que además no se benefician de las pocas oportunidades de desarrollo y crecimiento que puedan surgir pues estás han priorizado siempre a la persona con discapacidad, desconociendo completamente a quienes se encargan de ellos y ellas. </w:t>
      </w:r>
    </w:p>
    <w:p w14:paraId="61A80DD4" w14:textId="77777777" w:rsidR="00695214" w:rsidRPr="00695214" w:rsidRDefault="00695214" w:rsidP="00695214">
      <w:pPr>
        <w:spacing w:line="276" w:lineRule="auto"/>
        <w:jc w:val="both"/>
        <w:rPr>
          <w:rFonts w:ascii="Arial" w:hAnsi="Arial" w:cs="Arial"/>
        </w:rPr>
      </w:pPr>
      <w:r w:rsidRPr="00695214">
        <w:rPr>
          <w:rFonts w:ascii="Arial" w:hAnsi="Arial" w:cs="Arial"/>
        </w:rPr>
        <w:t xml:space="preserve">Posiblemente, por la sobrecarga que esta situación supone, también se ve que algunas familias de las personas con discapacidad tienden a eludir su responsabilidad en el cuidado y apoyo de sus familiares con discapacidad, dejándole toda la carga al estado. De otro lado, se ha visto que la mayoría de las personas con discapacidad no se reconocen como ciudadanas y no se organizan para la exigibilidad de sus derechos. Hacen falta procesos de construcción de </w:t>
      </w:r>
      <w:r w:rsidRPr="00695214">
        <w:rPr>
          <w:rFonts w:ascii="Arial" w:hAnsi="Arial" w:cs="Arial"/>
        </w:rPr>
        <w:lastRenderedPageBreak/>
        <w:t xml:space="preserve">ciudadanía que cautiven el interés de estas personas en los procesos de participación incidente y falta empoderar a aquellos líderes y lideresas que inician el ejercicio de ciudadanía con timidez y muchas debilidades. </w:t>
      </w:r>
    </w:p>
    <w:p w14:paraId="072763D9" w14:textId="77777777" w:rsidR="00695214" w:rsidRPr="00695214" w:rsidRDefault="00695214" w:rsidP="00695214">
      <w:pPr>
        <w:spacing w:line="276" w:lineRule="auto"/>
        <w:jc w:val="both"/>
        <w:rPr>
          <w:rFonts w:ascii="Arial" w:hAnsi="Arial" w:cs="Arial"/>
        </w:rPr>
      </w:pPr>
      <w:r w:rsidRPr="00695214">
        <w:rPr>
          <w:rFonts w:ascii="Arial" w:hAnsi="Arial" w:cs="Arial"/>
        </w:rPr>
        <w:t xml:space="preserve">Es por ello, que en el Plan de Desarrollo Municipal 2024 – 2027 3 “HECHOS Y SOLUCIONES”, se estableció dentro </w:t>
      </w:r>
      <w:r w:rsidRPr="00695214">
        <w:rPr>
          <w:rFonts w:ascii="Arial" w:hAnsi="Arial" w:cs="Arial"/>
          <w:i/>
          <w:iCs/>
        </w:rPr>
        <w:t xml:space="preserve">la “LINEA ESTRATEGCA 1: HECHOS Y SOLUCIONES SOCIALES PARA SAN JACINTO”, </w:t>
      </w:r>
      <w:r w:rsidRPr="00695214">
        <w:rPr>
          <w:rFonts w:ascii="Arial" w:hAnsi="Arial" w:cs="Arial"/>
        </w:rPr>
        <w:t xml:space="preserve">programa titulado </w:t>
      </w:r>
      <w:r w:rsidRPr="00695214">
        <w:rPr>
          <w:rFonts w:ascii="Arial" w:hAnsi="Arial" w:cs="Arial"/>
          <w:b/>
          <w:bCs/>
        </w:rPr>
        <w:t xml:space="preserve">“Fortalecimiento del buen gobierno para el respeto y garantía de los derechos humanos”, </w:t>
      </w:r>
      <w:r w:rsidRPr="00695214">
        <w:rPr>
          <w:rFonts w:ascii="Arial" w:hAnsi="Arial" w:cs="Arial"/>
        </w:rPr>
        <w:t>el cual dentro de sus objetivos se encuentran:</w:t>
      </w:r>
    </w:p>
    <w:p w14:paraId="0D2E298B" w14:textId="77777777" w:rsidR="00695214" w:rsidRPr="00695214" w:rsidRDefault="00695214" w:rsidP="00695214">
      <w:pPr>
        <w:pStyle w:val="Prrafodelista"/>
        <w:numPr>
          <w:ilvl w:val="0"/>
          <w:numId w:val="23"/>
        </w:numPr>
        <w:spacing w:after="0" w:line="278" w:lineRule="auto"/>
        <w:jc w:val="both"/>
        <w:rPr>
          <w:rFonts w:ascii="Arial" w:hAnsi="Arial" w:cs="Arial"/>
        </w:rPr>
      </w:pPr>
      <w:r w:rsidRPr="00695214">
        <w:rPr>
          <w:rFonts w:ascii="Arial" w:hAnsi="Arial" w:cs="Arial"/>
        </w:rPr>
        <w:t>Fortalecer el sistema municipal de discapacidad a través de la adopción de la Política Pública de discapacidad, oferta institucional y una infraestructura adecuada en aceras, parque e ingreso a espacios públicos.</w:t>
      </w:r>
    </w:p>
    <w:p w14:paraId="3EFC6554" w14:textId="77777777" w:rsidR="00695214" w:rsidRPr="00695214" w:rsidRDefault="00695214" w:rsidP="00695214">
      <w:pPr>
        <w:pStyle w:val="Prrafodelista"/>
        <w:numPr>
          <w:ilvl w:val="0"/>
          <w:numId w:val="23"/>
        </w:numPr>
        <w:spacing w:after="0" w:line="276" w:lineRule="auto"/>
        <w:jc w:val="both"/>
        <w:rPr>
          <w:rFonts w:ascii="Arial" w:hAnsi="Arial" w:cs="Arial"/>
        </w:rPr>
      </w:pPr>
      <w:r w:rsidRPr="00695214">
        <w:rPr>
          <w:rFonts w:ascii="Arial" w:hAnsi="Arial" w:cs="Arial"/>
        </w:rPr>
        <w:t>Beneficiar a las personas con discapacidad y/o sus cuidadores en el municipio de San Jacinto, con acceso a bienes y servicios ofertados por el Estado.</w:t>
      </w:r>
    </w:p>
    <w:p w14:paraId="73C82B51" w14:textId="77777777" w:rsidR="00695214" w:rsidRPr="00695214" w:rsidRDefault="00695214" w:rsidP="00695214">
      <w:pPr>
        <w:spacing w:after="0"/>
        <w:jc w:val="both"/>
        <w:rPr>
          <w:rFonts w:ascii="Arial" w:hAnsi="Arial" w:cs="Arial"/>
        </w:rPr>
      </w:pPr>
    </w:p>
    <w:p w14:paraId="6132C087" w14:textId="77777777" w:rsidR="00695214" w:rsidRPr="00695214" w:rsidRDefault="00695214" w:rsidP="00695214">
      <w:pPr>
        <w:spacing w:after="0"/>
        <w:jc w:val="both"/>
        <w:rPr>
          <w:rFonts w:ascii="Arial" w:hAnsi="Arial" w:cs="Arial"/>
        </w:rPr>
      </w:pPr>
      <w:r w:rsidRPr="00695214">
        <w:rPr>
          <w:rFonts w:ascii="Arial" w:hAnsi="Arial" w:cs="Arial"/>
        </w:rPr>
        <w:t>A pesar de estas dificultades, muchas personas con discapacidad poseen habilidades, talentos, conocimientos y aspiraciones emprendedoras que hoy están invisibilizados o desaprovechados. Por ello, la implementación de un enfoque de desarrollo productivo inclusivo, que promueva la creación de unidades de negocio, el fortalecimiento de capacidades empresariales y el acceso a canales de comercialización, se convierte en una estrategia clave para transformar sus condiciones de vida.</w:t>
      </w:r>
    </w:p>
    <w:p w14:paraId="7310EFDA" w14:textId="77777777" w:rsidR="00695214" w:rsidRPr="00695214" w:rsidRDefault="00695214" w:rsidP="00695214">
      <w:pPr>
        <w:spacing w:after="0"/>
        <w:jc w:val="both"/>
        <w:rPr>
          <w:rFonts w:ascii="Arial" w:hAnsi="Arial" w:cs="Arial"/>
        </w:rPr>
      </w:pPr>
    </w:p>
    <w:p w14:paraId="6BCE8537" w14:textId="77777777" w:rsidR="00695214" w:rsidRPr="00695214" w:rsidRDefault="00695214" w:rsidP="00695214">
      <w:pPr>
        <w:spacing w:line="276" w:lineRule="auto"/>
        <w:jc w:val="both"/>
        <w:rPr>
          <w:rFonts w:ascii="Arial" w:hAnsi="Arial" w:cs="Arial"/>
        </w:rPr>
      </w:pPr>
      <w:r w:rsidRPr="00695214">
        <w:rPr>
          <w:rFonts w:ascii="Arial" w:hAnsi="Arial" w:cs="Arial"/>
        </w:rPr>
        <w:t>El Municipio de San Jacinto Bolívar requiere contratar a una persona natural o jurídica que preste sus servicios para la ejecución del objeto que este estudio plantea, haciendo uso de la posibilidad que otorga la ley, para lo cual se obtendrá una oferta que permita contratar con la persona idónea y con experiencia requerida en el tema de conformidad con los postulados del Decreto 1082 de 2015.</w:t>
      </w:r>
    </w:p>
    <w:p w14:paraId="6CD9751B" w14:textId="77777777" w:rsidR="00695214" w:rsidRPr="00695214" w:rsidRDefault="00695214" w:rsidP="00695214">
      <w:pPr>
        <w:spacing w:line="276" w:lineRule="auto"/>
        <w:jc w:val="both"/>
        <w:rPr>
          <w:rFonts w:ascii="Arial" w:hAnsi="Arial" w:cs="Arial"/>
        </w:rPr>
      </w:pPr>
      <w:r w:rsidRPr="00695214">
        <w:rPr>
          <w:rFonts w:ascii="Arial" w:hAnsi="Arial" w:cs="Arial"/>
        </w:rPr>
        <w:t>Teniendo presente los postulados anteriores es menester y necesidad del Municipio contratar al profesional que realice las actividades según el cronograma anexo al presente estudio previo.</w:t>
      </w:r>
    </w:p>
    <w:bookmarkEnd w:id="2"/>
    <w:p w14:paraId="48EBDE36" w14:textId="77777777" w:rsidR="00695214" w:rsidRPr="00695214" w:rsidRDefault="00695214" w:rsidP="00427306">
      <w:pPr>
        <w:widowControl w:val="0"/>
        <w:autoSpaceDE w:val="0"/>
        <w:autoSpaceDN w:val="0"/>
        <w:adjustRightInd w:val="0"/>
        <w:spacing w:after="0" w:line="276" w:lineRule="auto"/>
        <w:ind w:right="82"/>
        <w:jc w:val="both"/>
        <w:rPr>
          <w:rFonts w:ascii="Arial" w:hAnsi="Arial" w:cs="Arial"/>
        </w:rPr>
      </w:pPr>
    </w:p>
    <w:p w14:paraId="13049BC6" w14:textId="77777777" w:rsidR="00695214" w:rsidRPr="00695214" w:rsidRDefault="00695214" w:rsidP="00427306">
      <w:pPr>
        <w:widowControl w:val="0"/>
        <w:autoSpaceDE w:val="0"/>
        <w:autoSpaceDN w:val="0"/>
        <w:adjustRightInd w:val="0"/>
        <w:spacing w:after="0" w:line="276" w:lineRule="auto"/>
        <w:ind w:right="82"/>
        <w:jc w:val="both"/>
        <w:rPr>
          <w:rFonts w:ascii="Arial" w:eastAsia="Tahoma" w:hAnsi="Arial" w:cs="Arial"/>
        </w:rPr>
      </w:pPr>
    </w:p>
    <w:p w14:paraId="15F4A126" w14:textId="11B0CBB8" w:rsidR="00976B4B" w:rsidRPr="00695214" w:rsidRDefault="0001472F" w:rsidP="0001472F">
      <w:pPr>
        <w:pStyle w:val="Prrafodelista"/>
        <w:numPr>
          <w:ilvl w:val="0"/>
          <w:numId w:val="19"/>
        </w:numPr>
        <w:autoSpaceDE w:val="0"/>
        <w:autoSpaceDN w:val="0"/>
        <w:adjustRightInd w:val="0"/>
        <w:spacing w:after="0" w:line="276" w:lineRule="auto"/>
        <w:rPr>
          <w:rFonts w:ascii="Arial" w:eastAsiaTheme="minorHAnsi" w:hAnsi="Arial" w:cs="Arial"/>
          <w:b/>
          <w:bCs/>
          <w:lang w:eastAsia="en-US"/>
        </w:rPr>
      </w:pPr>
      <w:r w:rsidRPr="00695214">
        <w:rPr>
          <w:rFonts w:ascii="Arial" w:eastAsiaTheme="minorHAnsi" w:hAnsi="Arial" w:cs="Arial"/>
          <w:b/>
          <w:bCs/>
          <w:lang w:eastAsia="en-US"/>
        </w:rPr>
        <w:t>A</w:t>
      </w:r>
      <w:r w:rsidR="00976B4B" w:rsidRPr="00695214">
        <w:rPr>
          <w:rFonts w:ascii="Arial" w:eastAsiaTheme="minorHAnsi" w:hAnsi="Arial" w:cs="Arial"/>
          <w:b/>
          <w:bCs/>
          <w:lang w:eastAsia="en-US"/>
        </w:rPr>
        <w:t>NALISIS DE LA DEMANDA</w:t>
      </w:r>
    </w:p>
    <w:p w14:paraId="64D6E01B" w14:textId="77777777" w:rsidR="00976B4B" w:rsidRPr="00695214" w:rsidRDefault="00976B4B" w:rsidP="00E97EE3">
      <w:pPr>
        <w:adjustRightInd w:val="0"/>
        <w:spacing w:line="276" w:lineRule="auto"/>
        <w:rPr>
          <w:rFonts w:ascii="Arial" w:eastAsiaTheme="minorHAnsi" w:hAnsi="Arial" w:cs="Arial"/>
          <w:b/>
          <w:bCs/>
          <w:lang w:eastAsia="en-US"/>
        </w:rPr>
      </w:pPr>
    </w:p>
    <w:p w14:paraId="22605995" w14:textId="77777777" w:rsidR="00976B4B" w:rsidRPr="00695214" w:rsidRDefault="00976B4B" w:rsidP="00E97EE3">
      <w:pPr>
        <w:adjustRightInd w:val="0"/>
        <w:spacing w:line="276" w:lineRule="auto"/>
        <w:rPr>
          <w:rFonts w:ascii="Arial" w:eastAsiaTheme="minorHAnsi" w:hAnsi="Arial" w:cs="Arial"/>
          <w:b/>
          <w:bCs/>
          <w:lang w:eastAsia="en-US"/>
        </w:rPr>
      </w:pPr>
      <w:r w:rsidRPr="00695214">
        <w:rPr>
          <w:rFonts w:ascii="Arial" w:eastAsiaTheme="minorHAnsi" w:hAnsi="Arial" w:cs="Arial"/>
          <w:b/>
          <w:bCs/>
          <w:lang w:eastAsia="en-US"/>
        </w:rPr>
        <w:t>ADQUISICIONES PREVIAS DE LA ENTIDAD</w:t>
      </w:r>
    </w:p>
    <w:p w14:paraId="30DAD121" w14:textId="2A4D5D80" w:rsidR="00976B4B" w:rsidRPr="00695214" w:rsidRDefault="00976B4B" w:rsidP="00E97EE3">
      <w:pPr>
        <w:spacing w:line="276" w:lineRule="auto"/>
        <w:jc w:val="both"/>
        <w:rPr>
          <w:rFonts w:ascii="Arial" w:hAnsi="Arial" w:cs="Arial"/>
        </w:rPr>
      </w:pPr>
      <w:r w:rsidRPr="00695214">
        <w:rPr>
          <w:rFonts w:ascii="Arial" w:hAnsi="Arial" w:cs="Arial"/>
        </w:rPr>
        <w:t xml:space="preserve">Para el análisis del sector se partió de la búsqueda en el SECOP </w:t>
      </w:r>
      <w:r w:rsidR="0001472F" w:rsidRPr="00695214">
        <w:rPr>
          <w:rFonts w:ascii="Arial" w:hAnsi="Arial" w:cs="Arial"/>
        </w:rPr>
        <w:t xml:space="preserve">II </w:t>
      </w:r>
      <w:r w:rsidRPr="00695214">
        <w:rPr>
          <w:rFonts w:ascii="Arial" w:hAnsi="Arial" w:cs="Arial"/>
        </w:rPr>
        <w:t>de los procesos adelantados por la entidad en vigencias anteriores relacionados con el objeto a contratar:</w:t>
      </w:r>
    </w:p>
    <w:p w14:paraId="2ADA150D" w14:textId="0271FAF2" w:rsidR="007F4F64" w:rsidRPr="00695214" w:rsidRDefault="0001472F" w:rsidP="00E97EE3">
      <w:pPr>
        <w:spacing w:line="276" w:lineRule="auto"/>
        <w:jc w:val="both"/>
        <w:rPr>
          <w:rFonts w:ascii="Arial" w:eastAsia="Tahoma" w:hAnsi="Arial" w:cs="Arial"/>
        </w:rPr>
      </w:pPr>
      <w:bookmarkStart w:id="3" w:name="_heading=h.gjdgxs" w:colFirst="0" w:colLast="0"/>
      <w:bookmarkEnd w:id="3"/>
      <w:r w:rsidRPr="00695214">
        <w:rPr>
          <w:rFonts w:ascii="Arial" w:eastAsia="Tahoma" w:hAnsi="Arial" w:cs="Arial"/>
          <w:noProof/>
        </w:rPr>
        <w:drawing>
          <wp:inline distT="0" distB="0" distL="0" distR="0" wp14:anchorId="69B4B874" wp14:editId="4DD4F3FA">
            <wp:extent cx="5943600" cy="2601595"/>
            <wp:effectExtent l="0" t="0" r="0" b="8255"/>
            <wp:docPr id="14166408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40827" name=""/>
                    <pic:cNvPicPr/>
                  </pic:nvPicPr>
                  <pic:blipFill>
                    <a:blip r:embed="rId7"/>
                    <a:stretch>
                      <a:fillRect/>
                    </a:stretch>
                  </pic:blipFill>
                  <pic:spPr>
                    <a:xfrm>
                      <a:off x="0" y="0"/>
                      <a:ext cx="5943600" cy="2601595"/>
                    </a:xfrm>
                    <a:prstGeom prst="rect">
                      <a:avLst/>
                    </a:prstGeom>
                  </pic:spPr>
                </pic:pic>
              </a:graphicData>
            </a:graphic>
          </wp:inline>
        </w:drawing>
      </w:r>
    </w:p>
    <w:p w14:paraId="326962A2" w14:textId="7BCA011E" w:rsidR="00E97EE3" w:rsidRPr="00695214" w:rsidRDefault="0001472F" w:rsidP="00E97EE3">
      <w:pPr>
        <w:spacing w:line="276" w:lineRule="auto"/>
        <w:jc w:val="both"/>
        <w:rPr>
          <w:rFonts w:ascii="Arial" w:eastAsia="Tahoma" w:hAnsi="Arial" w:cs="Arial"/>
        </w:rPr>
      </w:pPr>
      <w:r w:rsidRPr="00695214">
        <w:rPr>
          <w:rFonts w:ascii="Arial" w:eastAsia="Tahoma" w:hAnsi="Arial" w:cs="Arial"/>
          <w:noProof/>
        </w:rPr>
        <w:lastRenderedPageBreak/>
        <w:drawing>
          <wp:inline distT="0" distB="0" distL="0" distR="0" wp14:anchorId="0F99E2EC" wp14:editId="49B7484D">
            <wp:extent cx="5943600" cy="2594610"/>
            <wp:effectExtent l="0" t="0" r="0" b="0"/>
            <wp:docPr id="637875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7592" name=""/>
                    <pic:cNvPicPr/>
                  </pic:nvPicPr>
                  <pic:blipFill>
                    <a:blip r:embed="rId8"/>
                    <a:stretch>
                      <a:fillRect/>
                    </a:stretch>
                  </pic:blipFill>
                  <pic:spPr>
                    <a:xfrm>
                      <a:off x="0" y="0"/>
                      <a:ext cx="5943600" cy="2594610"/>
                    </a:xfrm>
                    <a:prstGeom prst="rect">
                      <a:avLst/>
                    </a:prstGeom>
                  </pic:spPr>
                </pic:pic>
              </a:graphicData>
            </a:graphic>
          </wp:inline>
        </w:drawing>
      </w:r>
    </w:p>
    <w:p w14:paraId="7EE1B786" w14:textId="77777777" w:rsidR="00695214" w:rsidRPr="00695214" w:rsidRDefault="004A5328" w:rsidP="00695214">
      <w:pPr>
        <w:spacing w:line="276" w:lineRule="auto"/>
        <w:jc w:val="both"/>
        <w:rPr>
          <w:rFonts w:ascii="Arial" w:hAnsi="Arial" w:cs="Arial"/>
          <w:b/>
          <w:bCs/>
        </w:rPr>
      </w:pPr>
      <w:r w:rsidRPr="00695214">
        <w:rPr>
          <w:rFonts w:ascii="Arial" w:eastAsia="Tahoma" w:hAnsi="Arial" w:cs="Arial"/>
        </w:rPr>
        <w:t>Con base en lo antes mencionado y en las implicaciones que tiene la toma de decisiones en la entidad que involucran recursos públicos del orden de la ALCALDÍA MUNICIPAL mental, y como quiera que la necesidad es cierta y evidente, se advierte que resulta necesario</w:t>
      </w:r>
      <w:r w:rsidRPr="00695214">
        <w:rPr>
          <w:rFonts w:ascii="Arial" w:eastAsia="Tahoma" w:hAnsi="Arial" w:cs="Arial"/>
          <w:bCs/>
        </w:rPr>
        <w:t xml:space="preserve"> </w:t>
      </w:r>
      <w:r w:rsidR="00695214" w:rsidRPr="00695214">
        <w:rPr>
          <w:rFonts w:ascii="Arial" w:hAnsi="Arial" w:cs="Arial"/>
          <w:b/>
          <w:bCs/>
          <w:iCs/>
        </w:rPr>
        <w:t>PRESTACIÓN DE SERVICIOS PARA EL FORTALECIMIENTO E IMPLEMENTACIÓN DE ESTRATEGIAS PARA LA ATENCIÓN INTEGRAL E INCLUSIÓN PRODUCTIVA A PERSONAS CON DISCAPACIDAD Y SUS CUIDADORES EN EL MUNICIPIO DE SAN JACINTO, BOLÍVAR.</w:t>
      </w:r>
    </w:p>
    <w:p w14:paraId="6B9E74B9" w14:textId="344A894A" w:rsidR="004A5328" w:rsidRPr="00695214" w:rsidRDefault="004A5328" w:rsidP="00E97EE3">
      <w:pPr>
        <w:spacing w:line="276" w:lineRule="auto"/>
        <w:jc w:val="both"/>
        <w:rPr>
          <w:rFonts w:ascii="Arial" w:eastAsia="Tahoma" w:hAnsi="Arial" w:cs="Arial"/>
        </w:rPr>
      </w:pPr>
      <w:r w:rsidRPr="00695214">
        <w:rPr>
          <w:rFonts w:ascii="Arial" w:eastAsia="Tahoma" w:hAnsi="Arial" w:cs="Arial"/>
        </w:rPr>
        <w:t>El objeto del contrato se encuentra codificado en la clasificación UNSPSC de la siguiente manera:</w:t>
      </w:r>
    </w:p>
    <w:tbl>
      <w:tblPr>
        <w:tblStyle w:val="Tablaconcuadrcula"/>
        <w:tblW w:w="0" w:type="auto"/>
        <w:jc w:val="center"/>
        <w:tblLook w:val="04A0" w:firstRow="1" w:lastRow="0" w:firstColumn="1" w:lastColumn="0" w:noHBand="0" w:noVBand="1"/>
      </w:tblPr>
      <w:tblGrid>
        <w:gridCol w:w="1526"/>
        <w:gridCol w:w="1134"/>
        <w:gridCol w:w="1559"/>
        <w:gridCol w:w="1985"/>
        <w:gridCol w:w="2776"/>
      </w:tblGrid>
      <w:tr w:rsidR="004A5564" w:rsidRPr="00695214" w14:paraId="51E7C34C" w14:textId="77777777" w:rsidTr="00C50E62">
        <w:trPr>
          <w:jc w:val="center"/>
        </w:trPr>
        <w:tc>
          <w:tcPr>
            <w:tcW w:w="1526" w:type="dxa"/>
          </w:tcPr>
          <w:p w14:paraId="4E68ABAD" w14:textId="77777777" w:rsidR="004A5564" w:rsidRPr="00695214" w:rsidRDefault="004A5564" w:rsidP="00C50E62">
            <w:pPr>
              <w:widowControl w:val="0"/>
              <w:autoSpaceDE w:val="0"/>
              <w:autoSpaceDN w:val="0"/>
              <w:adjustRightInd w:val="0"/>
              <w:spacing w:before="9" w:line="276" w:lineRule="auto"/>
              <w:jc w:val="center"/>
              <w:rPr>
                <w:rFonts w:ascii="Arial" w:hAnsi="Arial" w:cs="Arial"/>
                <w:b/>
                <w:bCs/>
              </w:rPr>
            </w:pPr>
            <w:r w:rsidRPr="00695214">
              <w:rPr>
                <w:rFonts w:ascii="Arial" w:hAnsi="Arial" w:cs="Arial"/>
                <w:b/>
                <w:bCs/>
              </w:rPr>
              <w:t>SEGMENTO</w:t>
            </w:r>
          </w:p>
        </w:tc>
        <w:tc>
          <w:tcPr>
            <w:tcW w:w="1134" w:type="dxa"/>
          </w:tcPr>
          <w:p w14:paraId="208EDA4D" w14:textId="77777777" w:rsidR="004A5564" w:rsidRPr="00695214" w:rsidRDefault="004A5564" w:rsidP="00C50E62">
            <w:pPr>
              <w:widowControl w:val="0"/>
              <w:autoSpaceDE w:val="0"/>
              <w:autoSpaceDN w:val="0"/>
              <w:adjustRightInd w:val="0"/>
              <w:spacing w:before="9" w:line="276" w:lineRule="auto"/>
              <w:jc w:val="center"/>
              <w:rPr>
                <w:rFonts w:ascii="Arial" w:hAnsi="Arial" w:cs="Arial"/>
                <w:b/>
                <w:bCs/>
              </w:rPr>
            </w:pPr>
            <w:r w:rsidRPr="00695214">
              <w:rPr>
                <w:rFonts w:ascii="Arial" w:hAnsi="Arial" w:cs="Arial"/>
                <w:b/>
                <w:bCs/>
              </w:rPr>
              <w:t>FAMILIA</w:t>
            </w:r>
          </w:p>
        </w:tc>
        <w:tc>
          <w:tcPr>
            <w:tcW w:w="1559" w:type="dxa"/>
          </w:tcPr>
          <w:p w14:paraId="23597645" w14:textId="77777777" w:rsidR="004A5564" w:rsidRPr="00695214" w:rsidRDefault="004A5564" w:rsidP="00C50E62">
            <w:pPr>
              <w:widowControl w:val="0"/>
              <w:autoSpaceDE w:val="0"/>
              <w:autoSpaceDN w:val="0"/>
              <w:adjustRightInd w:val="0"/>
              <w:spacing w:before="9" w:line="276" w:lineRule="auto"/>
              <w:jc w:val="center"/>
              <w:rPr>
                <w:rFonts w:ascii="Arial" w:hAnsi="Arial" w:cs="Arial"/>
                <w:b/>
                <w:bCs/>
              </w:rPr>
            </w:pPr>
            <w:r w:rsidRPr="00695214">
              <w:rPr>
                <w:rFonts w:ascii="Arial" w:hAnsi="Arial" w:cs="Arial"/>
                <w:b/>
                <w:bCs/>
              </w:rPr>
              <w:t>CLASE</w:t>
            </w:r>
          </w:p>
        </w:tc>
        <w:tc>
          <w:tcPr>
            <w:tcW w:w="1985" w:type="dxa"/>
          </w:tcPr>
          <w:p w14:paraId="3A1AF4AE" w14:textId="77777777" w:rsidR="004A5564" w:rsidRPr="00695214" w:rsidRDefault="004A5564" w:rsidP="00C50E62">
            <w:pPr>
              <w:widowControl w:val="0"/>
              <w:autoSpaceDE w:val="0"/>
              <w:autoSpaceDN w:val="0"/>
              <w:adjustRightInd w:val="0"/>
              <w:spacing w:before="9" w:line="276" w:lineRule="auto"/>
              <w:jc w:val="center"/>
              <w:rPr>
                <w:rFonts w:ascii="Arial" w:hAnsi="Arial" w:cs="Arial"/>
                <w:b/>
                <w:bCs/>
              </w:rPr>
            </w:pPr>
            <w:r w:rsidRPr="00695214">
              <w:rPr>
                <w:rFonts w:ascii="Arial" w:hAnsi="Arial" w:cs="Arial"/>
                <w:b/>
                <w:bCs/>
              </w:rPr>
              <w:t>PRODUCTO</w:t>
            </w:r>
          </w:p>
        </w:tc>
        <w:tc>
          <w:tcPr>
            <w:tcW w:w="2776" w:type="dxa"/>
          </w:tcPr>
          <w:p w14:paraId="37299938" w14:textId="77777777" w:rsidR="004A5564" w:rsidRPr="00695214" w:rsidRDefault="004A5564" w:rsidP="00C50E62">
            <w:pPr>
              <w:widowControl w:val="0"/>
              <w:autoSpaceDE w:val="0"/>
              <w:autoSpaceDN w:val="0"/>
              <w:adjustRightInd w:val="0"/>
              <w:spacing w:before="9" w:line="276" w:lineRule="auto"/>
              <w:jc w:val="center"/>
              <w:rPr>
                <w:rFonts w:ascii="Arial" w:hAnsi="Arial" w:cs="Arial"/>
                <w:b/>
                <w:bCs/>
              </w:rPr>
            </w:pPr>
            <w:r w:rsidRPr="00695214">
              <w:rPr>
                <w:rFonts w:ascii="Arial" w:hAnsi="Arial" w:cs="Arial"/>
                <w:b/>
                <w:bCs/>
              </w:rPr>
              <w:t>DESCRIPCIÓN DEL PRODUCTO</w:t>
            </w:r>
          </w:p>
        </w:tc>
      </w:tr>
      <w:tr w:rsidR="004A5564" w:rsidRPr="00695214" w14:paraId="4548B717" w14:textId="77777777" w:rsidTr="00C50E62">
        <w:trPr>
          <w:jc w:val="center"/>
        </w:trPr>
        <w:tc>
          <w:tcPr>
            <w:tcW w:w="1526" w:type="dxa"/>
          </w:tcPr>
          <w:p w14:paraId="433C1F2A" w14:textId="77777777" w:rsidR="004A5564" w:rsidRPr="00695214" w:rsidRDefault="004A5564" w:rsidP="00C50E62">
            <w:pPr>
              <w:widowControl w:val="0"/>
              <w:autoSpaceDE w:val="0"/>
              <w:autoSpaceDN w:val="0"/>
              <w:adjustRightInd w:val="0"/>
              <w:spacing w:before="9" w:line="276" w:lineRule="auto"/>
              <w:jc w:val="center"/>
              <w:rPr>
                <w:rFonts w:ascii="Arial" w:hAnsi="Arial" w:cs="Arial"/>
              </w:rPr>
            </w:pPr>
            <w:r w:rsidRPr="00695214">
              <w:rPr>
                <w:rFonts w:ascii="Arial" w:hAnsi="Arial" w:cs="Arial"/>
              </w:rPr>
              <w:t>80</w:t>
            </w:r>
          </w:p>
        </w:tc>
        <w:tc>
          <w:tcPr>
            <w:tcW w:w="1134" w:type="dxa"/>
          </w:tcPr>
          <w:p w14:paraId="74845EF4" w14:textId="77777777" w:rsidR="004A5564" w:rsidRPr="00695214" w:rsidRDefault="004A5564" w:rsidP="00C50E62">
            <w:pPr>
              <w:widowControl w:val="0"/>
              <w:autoSpaceDE w:val="0"/>
              <w:autoSpaceDN w:val="0"/>
              <w:adjustRightInd w:val="0"/>
              <w:spacing w:before="9" w:line="276" w:lineRule="auto"/>
              <w:jc w:val="center"/>
              <w:rPr>
                <w:rFonts w:ascii="Arial" w:hAnsi="Arial" w:cs="Arial"/>
              </w:rPr>
            </w:pPr>
            <w:r w:rsidRPr="00695214">
              <w:rPr>
                <w:rFonts w:ascii="Arial" w:hAnsi="Arial" w:cs="Arial"/>
              </w:rPr>
              <w:t>8011</w:t>
            </w:r>
          </w:p>
        </w:tc>
        <w:tc>
          <w:tcPr>
            <w:tcW w:w="1559" w:type="dxa"/>
          </w:tcPr>
          <w:p w14:paraId="153BA889" w14:textId="77777777" w:rsidR="004A5564" w:rsidRPr="00695214" w:rsidRDefault="004A5564" w:rsidP="00C50E62">
            <w:pPr>
              <w:widowControl w:val="0"/>
              <w:autoSpaceDE w:val="0"/>
              <w:autoSpaceDN w:val="0"/>
              <w:adjustRightInd w:val="0"/>
              <w:spacing w:before="9" w:line="276" w:lineRule="auto"/>
              <w:jc w:val="center"/>
              <w:rPr>
                <w:rFonts w:ascii="Arial" w:hAnsi="Arial" w:cs="Arial"/>
              </w:rPr>
            </w:pPr>
            <w:r w:rsidRPr="00695214">
              <w:rPr>
                <w:rFonts w:ascii="Arial" w:hAnsi="Arial" w:cs="Arial"/>
              </w:rPr>
              <w:t>801116</w:t>
            </w:r>
          </w:p>
        </w:tc>
        <w:tc>
          <w:tcPr>
            <w:tcW w:w="1985" w:type="dxa"/>
          </w:tcPr>
          <w:p w14:paraId="2CBD46D8" w14:textId="77777777" w:rsidR="004A5564" w:rsidRPr="00695214" w:rsidRDefault="004A5564" w:rsidP="00C50E62">
            <w:pPr>
              <w:widowControl w:val="0"/>
              <w:autoSpaceDE w:val="0"/>
              <w:autoSpaceDN w:val="0"/>
              <w:adjustRightInd w:val="0"/>
              <w:spacing w:before="9" w:line="276" w:lineRule="auto"/>
              <w:jc w:val="center"/>
              <w:rPr>
                <w:rFonts w:ascii="Arial" w:hAnsi="Arial" w:cs="Arial"/>
              </w:rPr>
            </w:pPr>
            <w:r w:rsidRPr="00695214">
              <w:rPr>
                <w:rFonts w:ascii="Arial" w:hAnsi="Arial" w:cs="Arial"/>
              </w:rPr>
              <w:t>80111620</w:t>
            </w:r>
          </w:p>
        </w:tc>
        <w:tc>
          <w:tcPr>
            <w:tcW w:w="2776" w:type="dxa"/>
          </w:tcPr>
          <w:p w14:paraId="74539359" w14:textId="77777777" w:rsidR="004A5564" w:rsidRPr="00695214" w:rsidRDefault="004A5564" w:rsidP="00C50E62">
            <w:pPr>
              <w:widowControl w:val="0"/>
              <w:autoSpaceDE w:val="0"/>
              <w:autoSpaceDN w:val="0"/>
              <w:adjustRightInd w:val="0"/>
              <w:spacing w:before="9" w:line="276" w:lineRule="auto"/>
              <w:jc w:val="center"/>
              <w:rPr>
                <w:rFonts w:ascii="Arial" w:hAnsi="Arial" w:cs="Arial"/>
              </w:rPr>
            </w:pPr>
            <w:r w:rsidRPr="00695214">
              <w:rPr>
                <w:rFonts w:ascii="Arial" w:hAnsi="Arial" w:cs="Arial"/>
              </w:rPr>
              <w:t>Servicios temporales de recursos humanos</w:t>
            </w:r>
          </w:p>
        </w:tc>
      </w:tr>
    </w:tbl>
    <w:p w14:paraId="521017AA" w14:textId="77777777" w:rsidR="004A5564" w:rsidRPr="00695214" w:rsidRDefault="004A5564" w:rsidP="00E97EE3">
      <w:pPr>
        <w:spacing w:line="276" w:lineRule="auto"/>
        <w:ind w:right="309"/>
        <w:jc w:val="both"/>
        <w:rPr>
          <w:rFonts w:ascii="Arial" w:eastAsia="Tahoma" w:hAnsi="Arial" w:cs="Arial"/>
        </w:rPr>
      </w:pPr>
    </w:p>
    <w:p w14:paraId="3D6A0E2E" w14:textId="77777777" w:rsidR="00B04F2E" w:rsidRPr="00695214" w:rsidRDefault="00B04F2E" w:rsidP="00B04F2E">
      <w:pPr>
        <w:numPr>
          <w:ilvl w:val="0"/>
          <w:numId w:val="10"/>
        </w:numPr>
        <w:autoSpaceDE w:val="0"/>
        <w:autoSpaceDN w:val="0"/>
        <w:adjustRightInd w:val="0"/>
        <w:spacing w:after="0" w:line="276" w:lineRule="auto"/>
        <w:jc w:val="both"/>
        <w:rPr>
          <w:rFonts w:ascii="Arial" w:hAnsi="Arial" w:cs="Arial"/>
          <w:b/>
          <w:iCs/>
        </w:rPr>
      </w:pPr>
      <w:r w:rsidRPr="00695214">
        <w:rPr>
          <w:rFonts w:ascii="Arial" w:hAnsi="Arial" w:cs="Arial"/>
          <w:b/>
          <w:iCs/>
        </w:rPr>
        <w:t>DEFINICION DE RIESGO:</w:t>
      </w:r>
    </w:p>
    <w:p w14:paraId="28AED47A" w14:textId="77777777" w:rsidR="00B04F2E" w:rsidRPr="00695214" w:rsidRDefault="00B04F2E" w:rsidP="00B04F2E">
      <w:pPr>
        <w:autoSpaceDE w:val="0"/>
        <w:autoSpaceDN w:val="0"/>
        <w:adjustRightInd w:val="0"/>
        <w:spacing w:line="276" w:lineRule="auto"/>
        <w:jc w:val="both"/>
        <w:rPr>
          <w:rFonts w:ascii="Arial" w:hAnsi="Arial" w:cs="Arial"/>
          <w:iCs/>
          <w:spacing w:val="-2"/>
          <w:w w:val="101"/>
        </w:rPr>
      </w:pPr>
      <w:r w:rsidRPr="00695214">
        <w:rPr>
          <w:rFonts w:ascii="Arial" w:hAnsi="Arial" w:cs="Arial"/>
          <w:iCs/>
          <w:spacing w:val="-2"/>
          <w:w w:val="101"/>
        </w:rPr>
        <w:t>El Municipio de San Jacinto entiende por riesgo cualquier posibilidad de afectación en la prestación del servicio que limite, retrase o suspenda la ejecución del contrato, que atente contra el equilibrio económico del contrato para las dos partes, o que perjudique en cualquier forma la ecuación contractual.</w:t>
      </w:r>
    </w:p>
    <w:p w14:paraId="561A1706" w14:textId="77777777" w:rsidR="00B04F2E" w:rsidRPr="00695214" w:rsidRDefault="00B04F2E" w:rsidP="00B04F2E">
      <w:pPr>
        <w:autoSpaceDE w:val="0"/>
        <w:autoSpaceDN w:val="0"/>
        <w:adjustRightInd w:val="0"/>
        <w:spacing w:line="276" w:lineRule="auto"/>
        <w:jc w:val="both"/>
        <w:rPr>
          <w:rFonts w:ascii="Arial" w:hAnsi="Arial" w:cs="Arial"/>
          <w:iCs/>
        </w:rPr>
      </w:pPr>
      <w:r w:rsidRPr="00695214">
        <w:rPr>
          <w:rFonts w:ascii="Arial" w:hAnsi="Arial" w:cs="Arial"/>
          <w:iCs/>
          <w:spacing w:val="-2"/>
          <w:w w:val="101"/>
        </w:rPr>
        <w:t>El suceso que prevé el riesgo deberá tener relación directa con la ejecución y valor del contrato, para que sea asumido</w:t>
      </w:r>
      <w:r w:rsidRPr="00695214">
        <w:rPr>
          <w:rFonts w:ascii="Arial" w:hAnsi="Arial" w:cs="Arial"/>
          <w:iCs/>
        </w:rPr>
        <w:t>.</w:t>
      </w:r>
    </w:p>
    <w:p w14:paraId="41F21EB1" w14:textId="77777777" w:rsidR="00B04F2E" w:rsidRPr="00695214" w:rsidRDefault="00B04F2E" w:rsidP="00B04F2E">
      <w:pPr>
        <w:pStyle w:val="Prrafodelista"/>
        <w:numPr>
          <w:ilvl w:val="0"/>
          <w:numId w:val="10"/>
        </w:numPr>
        <w:spacing w:after="0" w:line="276" w:lineRule="auto"/>
        <w:jc w:val="both"/>
        <w:rPr>
          <w:rFonts w:ascii="Arial" w:hAnsi="Arial" w:cs="Arial"/>
          <w:b/>
          <w:iCs/>
        </w:rPr>
      </w:pPr>
      <w:r w:rsidRPr="00695214">
        <w:rPr>
          <w:rFonts w:ascii="Arial" w:hAnsi="Arial" w:cs="Arial"/>
          <w:b/>
          <w:iCs/>
        </w:rPr>
        <w:t>CLASIFICACION DE LOS RIESGOS</w:t>
      </w:r>
    </w:p>
    <w:p w14:paraId="00903A28" w14:textId="77777777" w:rsidR="00B04F2E" w:rsidRPr="00695214" w:rsidRDefault="00B04F2E" w:rsidP="00B04F2E">
      <w:pPr>
        <w:spacing w:line="276" w:lineRule="auto"/>
        <w:jc w:val="both"/>
        <w:rPr>
          <w:rFonts w:ascii="Arial" w:hAnsi="Arial" w:cs="Arial"/>
          <w:iCs/>
        </w:rPr>
      </w:pPr>
    </w:p>
    <w:p w14:paraId="3813B971" w14:textId="77777777" w:rsidR="00B04F2E" w:rsidRPr="00695214" w:rsidRDefault="00B04F2E" w:rsidP="00B04F2E">
      <w:pPr>
        <w:spacing w:line="276" w:lineRule="auto"/>
        <w:jc w:val="both"/>
        <w:rPr>
          <w:rFonts w:ascii="Arial" w:hAnsi="Arial" w:cs="Arial"/>
          <w:iCs/>
          <w:spacing w:val="-2"/>
          <w:w w:val="101"/>
        </w:rPr>
      </w:pPr>
      <w:r w:rsidRPr="00695214">
        <w:rPr>
          <w:rFonts w:ascii="Arial" w:hAnsi="Arial" w:cs="Arial"/>
          <w:iCs/>
          <w:spacing w:val="-2"/>
          <w:w w:val="101"/>
        </w:rPr>
        <w:t>Existen diversas formas de clasificar los riesgos:</w:t>
      </w:r>
    </w:p>
    <w:p w14:paraId="67BE04A2" w14:textId="77777777" w:rsidR="00B04F2E" w:rsidRPr="00695214" w:rsidRDefault="00B04F2E" w:rsidP="00B04F2E">
      <w:pPr>
        <w:pStyle w:val="Prrafodelista"/>
        <w:numPr>
          <w:ilvl w:val="0"/>
          <w:numId w:val="12"/>
        </w:numPr>
        <w:spacing w:after="200" w:line="276" w:lineRule="auto"/>
        <w:jc w:val="both"/>
        <w:rPr>
          <w:rFonts w:ascii="Arial" w:hAnsi="Arial" w:cs="Arial"/>
          <w:iCs/>
          <w:spacing w:val="-2"/>
          <w:w w:val="101"/>
        </w:rPr>
      </w:pPr>
      <w:r w:rsidRPr="00695214">
        <w:rPr>
          <w:rFonts w:ascii="Arial" w:hAnsi="Arial" w:cs="Arial"/>
          <w:iCs/>
          <w:spacing w:val="-2"/>
          <w:w w:val="101"/>
        </w:rPr>
        <w:t>Por su procedencia</w:t>
      </w:r>
    </w:p>
    <w:p w14:paraId="7FC4A552" w14:textId="77777777" w:rsidR="00B04F2E" w:rsidRPr="00695214" w:rsidRDefault="00B04F2E" w:rsidP="00B04F2E">
      <w:pPr>
        <w:pStyle w:val="Prrafodelista"/>
        <w:numPr>
          <w:ilvl w:val="0"/>
          <w:numId w:val="12"/>
        </w:numPr>
        <w:spacing w:after="200" w:line="276" w:lineRule="auto"/>
        <w:jc w:val="both"/>
        <w:rPr>
          <w:rFonts w:ascii="Arial" w:hAnsi="Arial" w:cs="Arial"/>
          <w:iCs/>
          <w:spacing w:val="-2"/>
          <w:w w:val="101"/>
        </w:rPr>
      </w:pPr>
      <w:r w:rsidRPr="00695214">
        <w:rPr>
          <w:rFonts w:ascii="Arial" w:hAnsi="Arial" w:cs="Arial"/>
          <w:iCs/>
          <w:spacing w:val="-2"/>
          <w:w w:val="101"/>
        </w:rPr>
        <w:t>Por el momento en que se pueda producir</w:t>
      </w:r>
    </w:p>
    <w:p w14:paraId="36073F43" w14:textId="77777777" w:rsidR="00B04F2E" w:rsidRPr="00695214" w:rsidRDefault="00B04F2E" w:rsidP="00B04F2E">
      <w:pPr>
        <w:pStyle w:val="Prrafodelista"/>
        <w:numPr>
          <w:ilvl w:val="0"/>
          <w:numId w:val="12"/>
        </w:numPr>
        <w:spacing w:after="200" w:line="276" w:lineRule="auto"/>
        <w:jc w:val="both"/>
        <w:rPr>
          <w:rFonts w:ascii="Arial" w:hAnsi="Arial" w:cs="Arial"/>
          <w:iCs/>
          <w:spacing w:val="-2"/>
          <w:w w:val="101"/>
        </w:rPr>
      </w:pPr>
      <w:r w:rsidRPr="00695214">
        <w:rPr>
          <w:rFonts w:ascii="Arial" w:hAnsi="Arial" w:cs="Arial"/>
          <w:iCs/>
          <w:spacing w:val="-2"/>
          <w:w w:val="101"/>
        </w:rPr>
        <w:t>Por las causas desde las cuales se produce</w:t>
      </w:r>
    </w:p>
    <w:p w14:paraId="4F12CC93" w14:textId="77777777" w:rsidR="00B04F2E" w:rsidRPr="00695214" w:rsidRDefault="00B04F2E" w:rsidP="00B04F2E">
      <w:pPr>
        <w:pStyle w:val="Prrafodelista"/>
        <w:numPr>
          <w:ilvl w:val="0"/>
          <w:numId w:val="12"/>
        </w:numPr>
        <w:spacing w:after="200" w:line="276" w:lineRule="auto"/>
        <w:jc w:val="both"/>
        <w:rPr>
          <w:rFonts w:ascii="Arial" w:hAnsi="Arial" w:cs="Arial"/>
          <w:iCs/>
          <w:spacing w:val="-2"/>
          <w:w w:val="101"/>
        </w:rPr>
      </w:pPr>
      <w:r w:rsidRPr="00695214">
        <w:rPr>
          <w:rFonts w:ascii="Arial" w:hAnsi="Arial" w:cs="Arial"/>
          <w:iCs/>
          <w:spacing w:val="-2"/>
          <w:w w:val="101"/>
        </w:rPr>
        <w:t>Por las Áreas que llegue a afectar</w:t>
      </w:r>
    </w:p>
    <w:p w14:paraId="1F3EF813" w14:textId="77777777" w:rsidR="00B04F2E" w:rsidRPr="00695214" w:rsidRDefault="00B04F2E" w:rsidP="00B04F2E">
      <w:pPr>
        <w:spacing w:line="276" w:lineRule="auto"/>
        <w:jc w:val="both"/>
        <w:rPr>
          <w:rFonts w:ascii="Arial" w:hAnsi="Arial" w:cs="Arial"/>
          <w:iCs/>
          <w:spacing w:val="-2"/>
          <w:w w:val="101"/>
        </w:rPr>
      </w:pPr>
      <w:r w:rsidRPr="00695214">
        <w:rPr>
          <w:rFonts w:ascii="Arial" w:hAnsi="Arial" w:cs="Arial"/>
          <w:iCs/>
          <w:spacing w:val="-2"/>
          <w:w w:val="101"/>
        </w:rPr>
        <w:t>Para el municipio los riesgos del futuro proceso de contratación se clasificarán según su procedencia, sin tener en cuenta las causas y las áreas que llegue a afectar toda vez que tal daño será siempre dentro de la ejecución del contrato.</w:t>
      </w:r>
    </w:p>
    <w:p w14:paraId="6A197EE6" w14:textId="77777777" w:rsidR="004A5564" w:rsidRPr="00695214" w:rsidRDefault="004A5564" w:rsidP="00B04F2E">
      <w:pPr>
        <w:spacing w:line="276" w:lineRule="auto"/>
        <w:jc w:val="both"/>
        <w:rPr>
          <w:rFonts w:ascii="Arial" w:hAnsi="Arial" w:cs="Arial"/>
          <w:iCs/>
          <w:spacing w:val="-2"/>
          <w:w w:val="101"/>
        </w:rPr>
      </w:pPr>
    </w:p>
    <w:p w14:paraId="2747823B" w14:textId="77777777" w:rsidR="004A5564" w:rsidRPr="00695214" w:rsidRDefault="004A5564" w:rsidP="00B04F2E">
      <w:pPr>
        <w:spacing w:line="276" w:lineRule="auto"/>
        <w:jc w:val="both"/>
        <w:rPr>
          <w:rFonts w:ascii="Arial" w:hAnsi="Arial" w:cs="Arial"/>
          <w:iCs/>
          <w:spacing w:val="-2"/>
          <w:w w:val="101"/>
        </w:rPr>
      </w:pPr>
    </w:p>
    <w:p w14:paraId="4DBFAE1E" w14:textId="77777777" w:rsidR="00B04F2E" w:rsidRPr="00695214" w:rsidRDefault="00B04F2E" w:rsidP="00B04F2E">
      <w:pPr>
        <w:pStyle w:val="Prrafodelista"/>
        <w:numPr>
          <w:ilvl w:val="0"/>
          <w:numId w:val="10"/>
        </w:numPr>
        <w:spacing w:after="0" w:line="276" w:lineRule="auto"/>
        <w:jc w:val="both"/>
        <w:rPr>
          <w:rFonts w:ascii="Arial" w:hAnsi="Arial" w:cs="Arial"/>
          <w:b/>
          <w:iCs/>
        </w:rPr>
      </w:pPr>
      <w:r w:rsidRPr="00695214">
        <w:rPr>
          <w:rFonts w:ascii="Arial" w:hAnsi="Arial" w:cs="Arial"/>
          <w:b/>
          <w:iCs/>
        </w:rPr>
        <w:lastRenderedPageBreak/>
        <w:t>CLASIFICACION DEL RIESGO POR SU PROCEDENCIA</w:t>
      </w:r>
    </w:p>
    <w:p w14:paraId="4D879E19" w14:textId="77777777" w:rsidR="00B04F2E" w:rsidRPr="00695214" w:rsidRDefault="00B04F2E" w:rsidP="00B04F2E">
      <w:pPr>
        <w:spacing w:line="276" w:lineRule="auto"/>
        <w:jc w:val="both"/>
        <w:rPr>
          <w:rFonts w:ascii="Arial" w:hAnsi="Arial" w:cs="Arial"/>
          <w:iCs/>
          <w:spacing w:val="-2"/>
          <w:w w:val="101"/>
        </w:rPr>
      </w:pPr>
    </w:p>
    <w:p w14:paraId="66C8FFD1" w14:textId="77777777" w:rsidR="00B04F2E" w:rsidRPr="00695214" w:rsidRDefault="00B04F2E" w:rsidP="00B04F2E">
      <w:pPr>
        <w:spacing w:line="276" w:lineRule="auto"/>
        <w:jc w:val="both"/>
        <w:rPr>
          <w:rFonts w:ascii="Arial" w:hAnsi="Arial" w:cs="Arial"/>
          <w:iCs/>
          <w:spacing w:val="-2"/>
          <w:w w:val="101"/>
        </w:rPr>
      </w:pPr>
      <w:r w:rsidRPr="00695214">
        <w:rPr>
          <w:rFonts w:ascii="Arial" w:hAnsi="Arial" w:cs="Arial"/>
          <w:iCs/>
          <w:spacing w:val="-2"/>
          <w:w w:val="101"/>
        </w:rPr>
        <w:t>Se clasifican y tipifican los riesgos por su procedencia así:</w:t>
      </w:r>
    </w:p>
    <w:p w14:paraId="480AF3DB" w14:textId="77777777" w:rsidR="00B04F2E" w:rsidRPr="00695214"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695214">
        <w:rPr>
          <w:rFonts w:ascii="Arial" w:hAnsi="Arial" w:cs="Arial"/>
          <w:iCs/>
          <w:spacing w:val="-2"/>
          <w:w w:val="101"/>
        </w:rPr>
        <w:t>Riesgo de carácter jurídico.</w:t>
      </w:r>
    </w:p>
    <w:p w14:paraId="6739E6DB" w14:textId="77777777" w:rsidR="00B04F2E" w:rsidRPr="00695214"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695214">
        <w:rPr>
          <w:rFonts w:ascii="Arial" w:hAnsi="Arial" w:cs="Arial"/>
          <w:iCs/>
          <w:spacing w:val="-2"/>
          <w:w w:val="101"/>
        </w:rPr>
        <w:t>Riesgo de carácter financiero.</w:t>
      </w:r>
    </w:p>
    <w:p w14:paraId="335A58A5" w14:textId="77777777" w:rsidR="00B04F2E" w:rsidRPr="00695214" w:rsidRDefault="00B04F2E" w:rsidP="00B04F2E">
      <w:pPr>
        <w:autoSpaceDE w:val="0"/>
        <w:autoSpaceDN w:val="0"/>
        <w:adjustRightInd w:val="0"/>
        <w:spacing w:line="276" w:lineRule="auto"/>
        <w:jc w:val="both"/>
        <w:rPr>
          <w:rFonts w:ascii="Arial" w:hAnsi="Arial" w:cs="Arial"/>
          <w:iCs/>
        </w:rPr>
      </w:pPr>
    </w:p>
    <w:p w14:paraId="2C0779CD" w14:textId="37B3FEA2" w:rsidR="00B04F2E" w:rsidRPr="00695214" w:rsidRDefault="00B04F2E" w:rsidP="0094452D">
      <w:pPr>
        <w:pStyle w:val="Prrafodelista"/>
        <w:numPr>
          <w:ilvl w:val="1"/>
          <w:numId w:val="19"/>
        </w:numPr>
        <w:autoSpaceDE w:val="0"/>
        <w:autoSpaceDN w:val="0"/>
        <w:adjustRightInd w:val="0"/>
        <w:spacing w:after="200" w:line="276" w:lineRule="auto"/>
        <w:jc w:val="both"/>
        <w:rPr>
          <w:rFonts w:ascii="Arial" w:hAnsi="Arial" w:cs="Arial"/>
          <w:iCs/>
        </w:rPr>
      </w:pPr>
      <w:r w:rsidRPr="00695214">
        <w:rPr>
          <w:rFonts w:ascii="Arial" w:hAnsi="Arial" w:cs="Arial"/>
          <w:b/>
          <w:iCs/>
        </w:rPr>
        <w:t>RIESGO DE CARÁCTER JURIDICO.</w:t>
      </w:r>
    </w:p>
    <w:p w14:paraId="35D8685E" w14:textId="77777777" w:rsidR="00B04F2E" w:rsidRPr="00695214" w:rsidRDefault="00B04F2E" w:rsidP="00B04F2E">
      <w:pPr>
        <w:autoSpaceDE w:val="0"/>
        <w:autoSpaceDN w:val="0"/>
        <w:adjustRightInd w:val="0"/>
        <w:spacing w:line="276" w:lineRule="auto"/>
        <w:jc w:val="both"/>
        <w:rPr>
          <w:rFonts w:ascii="Arial" w:hAnsi="Arial" w:cs="Arial"/>
          <w:iCs/>
          <w:spacing w:val="3"/>
          <w:w w:val="101"/>
        </w:rPr>
      </w:pPr>
      <w:r w:rsidRPr="00695214">
        <w:rPr>
          <w:rFonts w:ascii="Arial" w:hAnsi="Arial" w:cs="Arial"/>
          <w:iCs/>
          <w:spacing w:val="-2"/>
          <w:w w:val="101"/>
        </w:rPr>
        <w:t>Las condiciones jurídicas del contrato se encuentran regidas especialmente por el régimen laboral, toda vez que el servicio se prestará básicamente con recurso human</w:t>
      </w:r>
      <w:r w:rsidRPr="00695214">
        <w:rPr>
          <w:rFonts w:ascii="Arial" w:hAnsi="Arial" w:cs="Arial"/>
          <w:iCs/>
          <w:spacing w:val="3"/>
          <w:w w:val="101"/>
        </w:rPr>
        <w:t>o.</w:t>
      </w:r>
    </w:p>
    <w:p w14:paraId="4A28AF25" w14:textId="6925356A" w:rsidR="00B04F2E" w:rsidRPr="00695214" w:rsidRDefault="00B04F2E" w:rsidP="0094452D">
      <w:pPr>
        <w:pStyle w:val="Prrafodelista"/>
        <w:numPr>
          <w:ilvl w:val="1"/>
          <w:numId w:val="19"/>
        </w:numPr>
        <w:autoSpaceDE w:val="0"/>
        <w:autoSpaceDN w:val="0"/>
        <w:adjustRightInd w:val="0"/>
        <w:spacing w:after="200" w:line="276" w:lineRule="auto"/>
        <w:jc w:val="both"/>
        <w:rPr>
          <w:rFonts w:ascii="Arial" w:hAnsi="Arial" w:cs="Arial"/>
          <w:b/>
          <w:iCs/>
        </w:rPr>
      </w:pPr>
      <w:r w:rsidRPr="00695214">
        <w:rPr>
          <w:rFonts w:ascii="Arial" w:hAnsi="Arial" w:cs="Arial"/>
          <w:b/>
          <w:iCs/>
        </w:rPr>
        <w:t>RIESGO POR CAMBIOS EN EL REGIMEN LABORAL COLOMBIANO.</w:t>
      </w:r>
    </w:p>
    <w:p w14:paraId="15D405D8" w14:textId="77777777" w:rsidR="00B04F2E" w:rsidRPr="00695214" w:rsidRDefault="00B04F2E" w:rsidP="00B04F2E">
      <w:pPr>
        <w:autoSpaceDE w:val="0"/>
        <w:autoSpaceDN w:val="0"/>
        <w:adjustRightInd w:val="0"/>
        <w:spacing w:line="276" w:lineRule="auto"/>
        <w:jc w:val="both"/>
        <w:rPr>
          <w:rFonts w:ascii="Arial" w:hAnsi="Arial" w:cs="Arial"/>
          <w:b/>
          <w:iCs/>
        </w:rPr>
      </w:pPr>
      <w:r w:rsidRPr="00695214">
        <w:rPr>
          <w:rFonts w:ascii="Arial" w:hAnsi="Arial" w:cs="Arial"/>
          <w:b/>
          <w:iCs/>
        </w:rPr>
        <w:t>Riesgo por cambios en el régimen laboral colombiano que afecte el contrato y las condiciones pactadas en él.</w:t>
      </w:r>
    </w:p>
    <w:p w14:paraId="01F0FC6D" w14:textId="77777777" w:rsidR="00B04F2E" w:rsidRPr="00695214" w:rsidRDefault="00B04F2E" w:rsidP="00B04F2E">
      <w:pPr>
        <w:autoSpaceDE w:val="0"/>
        <w:autoSpaceDN w:val="0"/>
        <w:adjustRightInd w:val="0"/>
        <w:spacing w:line="276" w:lineRule="auto"/>
        <w:jc w:val="both"/>
        <w:rPr>
          <w:rFonts w:ascii="Arial" w:hAnsi="Arial" w:cs="Arial"/>
          <w:iCs/>
          <w:spacing w:val="-2"/>
          <w:w w:val="101"/>
        </w:rPr>
      </w:pPr>
      <w:r w:rsidRPr="00695214">
        <w:rPr>
          <w:rFonts w:ascii="Arial" w:hAnsi="Arial" w:cs="Arial"/>
          <w:b/>
          <w:iCs/>
        </w:rPr>
        <w:t xml:space="preserve">Tipificación: </w:t>
      </w:r>
      <w:r w:rsidRPr="00695214">
        <w:rPr>
          <w:rFonts w:ascii="Arial" w:hAnsi="Arial" w:cs="Arial"/>
          <w:iCs/>
          <w:spacing w:val="-2"/>
          <w:w w:val="101"/>
        </w:rPr>
        <w:t>Toda norma de obligatorio cumplimiento para el Municipio que modifiquen las condiciones pactadas en el contrato y que afecte las condiciones laborales inicialmente tenidas en cuenta por el Contratista al momento de proyectar su propuesta, será introducida al contrato, sin que medie negociación alguna con el contratista. Ejemplo de este riesgo es en el evento que mediante una norma se aumenten las cuantías que deba pagar el contratista por concepto de régimen de salud, pensiones, RL, entre otras.</w:t>
      </w:r>
    </w:p>
    <w:p w14:paraId="1510839E" w14:textId="77777777" w:rsidR="00B04F2E" w:rsidRPr="00695214" w:rsidRDefault="00B04F2E" w:rsidP="00B04F2E">
      <w:pPr>
        <w:autoSpaceDE w:val="0"/>
        <w:autoSpaceDN w:val="0"/>
        <w:adjustRightInd w:val="0"/>
        <w:spacing w:line="276" w:lineRule="auto"/>
        <w:jc w:val="both"/>
        <w:rPr>
          <w:rFonts w:ascii="Arial" w:hAnsi="Arial" w:cs="Arial"/>
          <w:iCs/>
        </w:rPr>
      </w:pPr>
      <w:r w:rsidRPr="00695214">
        <w:rPr>
          <w:rFonts w:ascii="Arial" w:hAnsi="Arial" w:cs="Arial"/>
          <w:b/>
          <w:iCs/>
        </w:rPr>
        <w:t>Asignación</w:t>
      </w:r>
      <w:r w:rsidRPr="00695214">
        <w:rPr>
          <w:rFonts w:ascii="Arial" w:hAnsi="Arial" w:cs="Arial"/>
          <w:iCs/>
          <w:spacing w:val="-2"/>
          <w:w w:val="101"/>
        </w:rPr>
        <w:t>: Este riesgo y sus consecuencias serán asumidos en su totalidad por el contratista</w:t>
      </w:r>
      <w:r w:rsidRPr="00695214">
        <w:rPr>
          <w:rFonts w:ascii="Arial" w:hAnsi="Arial" w:cs="Arial"/>
          <w:iCs/>
        </w:rPr>
        <w:t xml:space="preserve">. </w:t>
      </w:r>
    </w:p>
    <w:p w14:paraId="359609B6" w14:textId="77777777" w:rsidR="00B04F2E" w:rsidRPr="00695214" w:rsidRDefault="00B04F2E" w:rsidP="00B04F2E">
      <w:pPr>
        <w:autoSpaceDE w:val="0"/>
        <w:autoSpaceDN w:val="0"/>
        <w:adjustRightInd w:val="0"/>
        <w:spacing w:line="276" w:lineRule="auto"/>
        <w:jc w:val="both"/>
        <w:rPr>
          <w:rFonts w:ascii="Arial" w:hAnsi="Arial" w:cs="Arial"/>
          <w:iCs/>
          <w:spacing w:val="-2"/>
          <w:w w:val="101"/>
        </w:rPr>
      </w:pPr>
      <w:r w:rsidRPr="00695214">
        <w:rPr>
          <w:rFonts w:ascii="Arial" w:hAnsi="Arial" w:cs="Arial"/>
          <w:iCs/>
          <w:spacing w:val="-2"/>
          <w:w w:val="101"/>
        </w:rPr>
        <w:t>En el caso de que afecte el equilibrio económico del contrato, serán objeto de modificación de las condiciones económicas siempre y cuando la afectación supere el porcentaje de imprevistos incluidos dentro del valor de la oferta económica. La carga de la prueba le corresponde, en este caso en particular, al CONTRATISTA, por ser la parte afectada.</w:t>
      </w:r>
    </w:p>
    <w:p w14:paraId="57FF5645" w14:textId="77777777" w:rsidR="00B04F2E" w:rsidRPr="00695214" w:rsidRDefault="00B04F2E" w:rsidP="00B04F2E">
      <w:pPr>
        <w:autoSpaceDE w:val="0"/>
        <w:autoSpaceDN w:val="0"/>
        <w:adjustRightInd w:val="0"/>
        <w:spacing w:line="276" w:lineRule="auto"/>
        <w:jc w:val="both"/>
        <w:rPr>
          <w:rFonts w:ascii="Arial" w:hAnsi="Arial" w:cs="Arial"/>
          <w:iCs/>
          <w:spacing w:val="-2"/>
          <w:w w:val="101"/>
        </w:rPr>
      </w:pPr>
      <w:r w:rsidRPr="00695214">
        <w:rPr>
          <w:rFonts w:ascii="Arial" w:hAnsi="Arial" w:cs="Arial"/>
          <w:b/>
          <w:iCs/>
        </w:rPr>
        <w:t>Mitigación del Riesgo</w:t>
      </w:r>
      <w:r w:rsidRPr="00695214">
        <w:rPr>
          <w:rFonts w:ascii="Arial" w:hAnsi="Arial" w:cs="Arial"/>
          <w:b/>
          <w:iCs/>
          <w:spacing w:val="3"/>
          <w:w w:val="101"/>
        </w:rPr>
        <w:t>:</w:t>
      </w:r>
      <w:r w:rsidRPr="00695214">
        <w:rPr>
          <w:rFonts w:ascii="Arial" w:hAnsi="Arial" w:cs="Arial"/>
          <w:iCs/>
          <w:spacing w:val="3"/>
          <w:w w:val="101"/>
        </w:rPr>
        <w:t xml:space="preserve"> </w:t>
      </w:r>
      <w:r w:rsidRPr="00695214">
        <w:rPr>
          <w:rFonts w:ascii="Arial" w:hAnsi="Arial" w:cs="Arial"/>
          <w:iCs/>
          <w:spacing w:val="-2"/>
          <w:w w:val="101"/>
        </w:rPr>
        <w:t>Se llevará a cabo una permanente vigilancia de los cambios normativos que afecten la ejecución de los contratos del MUNICIPIO y se aplicarán las medidas obligatorias a que haya lugar. Para el análisis del valor del desequilibrio económico, de ser necesario, la Entidad podrá contratar los peritos que considere necesarios y que informen con exactitud el valor real de tal desequilibrio.</w:t>
      </w:r>
    </w:p>
    <w:p w14:paraId="408B34B8" w14:textId="7B1BCDCE" w:rsidR="00B04F2E" w:rsidRPr="00695214" w:rsidRDefault="00B04F2E" w:rsidP="0094452D">
      <w:pPr>
        <w:pStyle w:val="Prrafodelista"/>
        <w:numPr>
          <w:ilvl w:val="1"/>
          <w:numId w:val="19"/>
        </w:numPr>
        <w:autoSpaceDE w:val="0"/>
        <w:autoSpaceDN w:val="0"/>
        <w:adjustRightInd w:val="0"/>
        <w:spacing w:after="200" w:line="276" w:lineRule="auto"/>
        <w:jc w:val="both"/>
        <w:rPr>
          <w:rFonts w:ascii="Arial" w:hAnsi="Arial" w:cs="Arial"/>
          <w:b/>
          <w:iCs/>
        </w:rPr>
      </w:pPr>
      <w:r w:rsidRPr="00695214">
        <w:rPr>
          <w:rFonts w:ascii="Arial" w:hAnsi="Arial" w:cs="Arial"/>
          <w:b/>
          <w:iCs/>
        </w:rPr>
        <w:t>RIESGO DE CARÁCTER FINANCIERO.</w:t>
      </w:r>
    </w:p>
    <w:p w14:paraId="37724944" w14:textId="77777777" w:rsidR="00B04F2E" w:rsidRPr="00695214" w:rsidRDefault="00B04F2E" w:rsidP="00B04F2E">
      <w:pPr>
        <w:autoSpaceDE w:val="0"/>
        <w:autoSpaceDN w:val="0"/>
        <w:adjustRightInd w:val="0"/>
        <w:spacing w:line="276" w:lineRule="auto"/>
        <w:jc w:val="both"/>
        <w:rPr>
          <w:rFonts w:ascii="Arial" w:hAnsi="Arial" w:cs="Arial"/>
          <w:iCs/>
          <w:spacing w:val="-2"/>
          <w:w w:val="101"/>
        </w:rPr>
      </w:pPr>
      <w:r w:rsidRPr="00695214">
        <w:rPr>
          <w:rFonts w:ascii="Arial" w:hAnsi="Arial" w:cs="Arial"/>
          <w:iCs/>
          <w:spacing w:val="-2"/>
          <w:w w:val="101"/>
        </w:rPr>
        <w:t>Son aquellos que se producen por modificaciones del régimen de impuestos que afecten el equilibrio contractual.</w:t>
      </w:r>
    </w:p>
    <w:p w14:paraId="3671880D" w14:textId="502A1F13" w:rsidR="00B04F2E" w:rsidRPr="00695214" w:rsidRDefault="00B04F2E" w:rsidP="0094452D">
      <w:pPr>
        <w:pStyle w:val="Prrafodelista"/>
        <w:numPr>
          <w:ilvl w:val="1"/>
          <w:numId w:val="19"/>
        </w:numPr>
        <w:autoSpaceDE w:val="0"/>
        <w:autoSpaceDN w:val="0"/>
        <w:adjustRightInd w:val="0"/>
        <w:spacing w:after="200" w:line="276" w:lineRule="auto"/>
        <w:jc w:val="both"/>
        <w:rPr>
          <w:rFonts w:ascii="Arial" w:hAnsi="Arial" w:cs="Arial"/>
          <w:b/>
          <w:iCs/>
        </w:rPr>
      </w:pPr>
      <w:r w:rsidRPr="00695214">
        <w:rPr>
          <w:rFonts w:ascii="Arial" w:hAnsi="Arial" w:cs="Arial"/>
          <w:b/>
          <w:iCs/>
        </w:rPr>
        <w:t>RIESGO POR MODIFICACION DEL REGIMEN DE IMPUESTO.</w:t>
      </w:r>
    </w:p>
    <w:p w14:paraId="3C7D261A" w14:textId="77777777" w:rsidR="00B04F2E" w:rsidRPr="00695214" w:rsidRDefault="00B04F2E" w:rsidP="00B04F2E">
      <w:pPr>
        <w:pStyle w:val="Prrafodelista"/>
        <w:autoSpaceDE w:val="0"/>
        <w:autoSpaceDN w:val="0"/>
        <w:adjustRightInd w:val="0"/>
        <w:ind w:left="0"/>
        <w:jc w:val="both"/>
        <w:rPr>
          <w:rFonts w:ascii="Arial" w:hAnsi="Arial" w:cs="Arial"/>
          <w:b/>
          <w:iCs/>
        </w:rPr>
      </w:pPr>
    </w:p>
    <w:p w14:paraId="282B82F2" w14:textId="77777777" w:rsidR="00B04F2E" w:rsidRPr="00695214" w:rsidRDefault="00B04F2E" w:rsidP="00B04F2E">
      <w:pPr>
        <w:pStyle w:val="Prrafodelista"/>
        <w:autoSpaceDE w:val="0"/>
        <w:autoSpaceDN w:val="0"/>
        <w:adjustRightInd w:val="0"/>
        <w:ind w:left="0"/>
        <w:jc w:val="both"/>
        <w:rPr>
          <w:rFonts w:ascii="Arial" w:hAnsi="Arial" w:cs="Arial"/>
          <w:b/>
          <w:iCs/>
        </w:rPr>
      </w:pPr>
      <w:r w:rsidRPr="00695214">
        <w:rPr>
          <w:rFonts w:ascii="Arial" w:hAnsi="Arial" w:cs="Arial"/>
          <w:b/>
          <w:iCs/>
        </w:rPr>
        <w:t>Modificación del régimen de impuestos aplicables al contrato (Hecho del Príncipe).</w:t>
      </w:r>
    </w:p>
    <w:p w14:paraId="284B4D0A" w14:textId="77777777" w:rsidR="00B04F2E" w:rsidRPr="00695214" w:rsidRDefault="00B04F2E" w:rsidP="00B04F2E">
      <w:pPr>
        <w:autoSpaceDE w:val="0"/>
        <w:autoSpaceDN w:val="0"/>
        <w:adjustRightInd w:val="0"/>
        <w:spacing w:line="276" w:lineRule="auto"/>
        <w:jc w:val="both"/>
        <w:rPr>
          <w:rFonts w:ascii="Arial" w:hAnsi="Arial" w:cs="Arial"/>
          <w:iCs/>
          <w:spacing w:val="3"/>
          <w:w w:val="101"/>
        </w:rPr>
      </w:pPr>
      <w:r w:rsidRPr="00695214">
        <w:rPr>
          <w:rFonts w:ascii="Arial" w:hAnsi="Arial" w:cs="Arial"/>
          <w:b/>
          <w:iCs/>
        </w:rPr>
        <w:t xml:space="preserve">Tipificación: </w:t>
      </w:r>
      <w:r w:rsidRPr="00695214">
        <w:rPr>
          <w:rFonts w:ascii="Arial" w:hAnsi="Arial" w:cs="Arial"/>
          <w:iCs/>
          <w:spacing w:val="-2"/>
          <w:w w:val="101"/>
        </w:rPr>
        <w:t>Se configura cuando en el desarrollo del contrato se modifican las tarifas de los impuestos o se crean nuevos impuestos o se eliminan los ya existentes, siempre y cuando sean aplicables al contrato</w:t>
      </w:r>
      <w:r w:rsidRPr="00695214">
        <w:rPr>
          <w:rFonts w:ascii="Arial" w:hAnsi="Arial" w:cs="Arial"/>
          <w:iCs/>
          <w:spacing w:val="3"/>
          <w:w w:val="101"/>
        </w:rPr>
        <w:t>; o se expida una norma de carácter municipal que afecte a ecuación financiera del contrato.</w:t>
      </w:r>
    </w:p>
    <w:p w14:paraId="6BD74B47" w14:textId="77777777" w:rsidR="00B04F2E" w:rsidRPr="00695214" w:rsidRDefault="00B04F2E" w:rsidP="00B04F2E">
      <w:pPr>
        <w:autoSpaceDE w:val="0"/>
        <w:autoSpaceDN w:val="0"/>
        <w:adjustRightInd w:val="0"/>
        <w:spacing w:line="276" w:lineRule="auto"/>
        <w:jc w:val="both"/>
        <w:rPr>
          <w:rFonts w:ascii="Arial" w:hAnsi="Arial" w:cs="Arial"/>
          <w:iCs/>
          <w:spacing w:val="-2"/>
          <w:w w:val="101"/>
        </w:rPr>
      </w:pPr>
      <w:r w:rsidRPr="00695214">
        <w:rPr>
          <w:rFonts w:ascii="Arial" w:hAnsi="Arial" w:cs="Arial"/>
          <w:b/>
          <w:iCs/>
        </w:rPr>
        <w:t xml:space="preserve">Asignación: </w:t>
      </w:r>
      <w:r w:rsidRPr="00695214">
        <w:rPr>
          <w:rFonts w:ascii="Arial" w:hAnsi="Arial" w:cs="Arial"/>
          <w:iCs/>
          <w:spacing w:val="-2"/>
          <w:w w:val="101"/>
        </w:rPr>
        <w:t xml:space="preserve">Cuando en el desarrollo del contrato se modifican las tarifas de los impuestos o se crean nuevos impuestos o se eliminan los ya existentes o cuando se modifiquen en la ejecución del contrato las tarifas de impuestos establecidas, generando desequilibrio económico por un valor superior al establecido, se modificará el contrato, adicionando el valor faltante para que el equilibrio económico se mantenga. Este riesgo será asumido por el contratante. Si el desequilibrio </w:t>
      </w:r>
      <w:r w:rsidRPr="00695214">
        <w:rPr>
          <w:rFonts w:ascii="Arial" w:hAnsi="Arial" w:cs="Arial"/>
          <w:iCs/>
          <w:spacing w:val="-2"/>
          <w:w w:val="101"/>
        </w:rPr>
        <w:lastRenderedPageBreak/>
        <w:t xml:space="preserve">económico genera un menor valor del contrato, el Municipio se reserva el derecho de disminuir tal valor hasta por aquella suma que mantenga el equilibrio económico o aumentar el plazo del contrato hasta por un tiempo igual al valor diferencial, sin negociación alguna con el contratista. Si por el contrario genera mayor costo en la ejecución del contrato, este deberá ser demostrado por quien lo alega, y una vez demostrado la entidad contratante procederá a mitigarlo hasta el punto de equilibrio financiero inicial. </w:t>
      </w:r>
    </w:p>
    <w:p w14:paraId="4C05C441" w14:textId="77777777" w:rsidR="0094452D" w:rsidRPr="00695214" w:rsidRDefault="0094452D" w:rsidP="0094452D">
      <w:pPr>
        <w:autoSpaceDE w:val="0"/>
        <w:autoSpaceDN w:val="0"/>
        <w:adjustRightInd w:val="0"/>
        <w:spacing w:after="0" w:line="276" w:lineRule="auto"/>
        <w:jc w:val="both"/>
        <w:rPr>
          <w:rFonts w:ascii="Arial" w:hAnsi="Arial" w:cs="Arial"/>
          <w:b/>
          <w:iCs/>
        </w:rPr>
      </w:pPr>
    </w:p>
    <w:p w14:paraId="3D6FCA0B" w14:textId="019790DB" w:rsidR="00B04F2E" w:rsidRPr="00695214" w:rsidRDefault="00B04F2E" w:rsidP="0094452D">
      <w:pPr>
        <w:pStyle w:val="Prrafodelista"/>
        <w:numPr>
          <w:ilvl w:val="1"/>
          <w:numId w:val="19"/>
        </w:numPr>
        <w:autoSpaceDE w:val="0"/>
        <w:autoSpaceDN w:val="0"/>
        <w:adjustRightInd w:val="0"/>
        <w:spacing w:after="0" w:line="276" w:lineRule="auto"/>
        <w:jc w:val="both"/>
        <w:rPr>
          <w:rFonts w:ascii="Arial" w:hAnsi="Arial" w:cs="Arial"/>
          <w:b/>
          <w:iCs/>
        </w:rPr>
      </w:pPr>
      <w:r w:rsidRPr="00695214">
        <w:rPr>
          <w:rFonts w:ascii="Arial" w:hAnsi="Arial" w:cs="Arial"/>
          <w:b/>
          <w:iCs/>
        </w:rPr>
        <w:t>Riesgo Económico o de Resultado.</w:t>
      </w:r>
    </w:p>
    <w:p w14:paraId="04A6ED87" w14:textId="77777777" w:rsidR="00B04F2E" w:rsidRPr="00695214" w:rsidRDefault="00B04F2E" w:rsidP="00B04F2E">
      <w:pPr>
        <w:autoSpaceDE w:val="0"/>
        <w:autoSpaceDN w:val="0"/>
        <w:adjustRightInd w:val="0"/>
        <w:spacing w:line="276" w:lineRule="auto"/>
        <w:jc w:val="both"/>
        <w:rPr>
          <w:rFonts w:ascii="Arial" w:hAnsi="Arial" w:cs="Arial"/>
          <w:iCs/>
        </w:rPr>
      </w:pPr>
    </w:p>
    <w:p w14:paraId="12F30C3E" w14:textId="77777777" w:rsidR="00B04F2E" w:rsidRPr="00695214" w:rsidRDefault="00B04F2E" w:rsidP="00B04F2E">
      <w:pPr>
        <w:autoSpaceDE w:val="0"/>
        <w:autoSpaceDN w:val="0"/>
        <w:adjustRightInd w:val="0"/>
        <w:spacing w:line="276" w:lineRule="auto"/>
        <w:jc w:val="both"/>
        <w:rPr>
          <w:rFonts w:ascii="Arial" w:hAnsi="Arial" w:cs="Arial"/>
          <w:iCs/>
          <w:spacing w:val="-2"/>
          <w:w w:val="101"/>
        </w:rPr>
      </w:pPr>
      <w:r w:rsidRPr="00695214">
        <w:rPr>
          <w:rFonts w:ascii="Arial" w:hAnsi="Arial" w:cs="Arial"/>
          <w:b/>
          <w:iCs/>
        </w:rPr>
        <w:t xml:space="preserve">Tipificación: </w:t>
      </w:r>
      <w:r w:rsidRPr="00695214">
        <w:rPr>
          <w:rFonts w:ascii="Arial" w:hAnsi="Arial" w:cs="Arial"/>
          <w:iCs/>
          <w:spacing w:val="-2"/>
          <w:w w:val="101"/>
        </w:rPr>
        <w:t>Se tipifica cuando el contratista no consigue la utilidad proyectada en su propuesta, por causas ajenas al contratante.</w:t>
      </w:r>
    </w:p>
    <w:p w14:paraId="112962D8" w14:textId="77777777" w:rsidR="00B04F2E" w:rsidRPr="00695214" w:rsidRDefault="00B04F2E" w:rsidP="00B04F2E">
      <w:pPr>
        <w:autoSpaceDE w:val="0"/>
        <w:autoSpaceDN w:val="0"/>
        <w:adjustRightInd w:val="0"/>
        <w:spacing w:line="276" w:lineRule="auto"/>
        <w:jc w:val="both"/>
        <w:rPr>
          <w:rFonts w:ascii="Arial" w:hAnsi="Arial" w:cs="Arial"/>
          <w:iCs/>
        </w:rPr>
      </w:pPr>
      <w:r w:rsidRPr="00695214">
        <w:rPr>
          <w:rFonts w:ascii="Arial" w:hAnsi="Arial" w:cs="Arial"/>
          <w:b/>
          <w:iCs/>
          <w:spacing w:val="-2"/>
          <w:w w:val="101"/>
        </w:rPr>
        <w:t>Asignación:</w:t>
      </w:r>
      <w:r w:rsidRPr="00695214">
        <w:rPr>
          <w:rFonts w:ascii="Arial" w:hAnsi="Arial" w:cs="Arial"/>
          <w:iCs/>
          <w:spacing w:val="-2"/>
          <w:w w:val="101"/>
        </w:rPr>
        <w:t xml:space="preserve"> Este riesgo lo asume única y exclusivamente el contratista</w:t>
      </w:r>
      <w:r w:rsidRPr="00695214">
        <w:rPr>
          <w:rFonts w:ascii="Arial" w:hAnsi="Arial" w:cs="Arial"/>
          <w:iCs/>
        </w:rPr>
        <w:t>.</w:t>
      </w:r>
    </w:p>
    <w:p w14:paraId="487B1789" w14:textId="77777777" w:rsidR="004A5564" w:rsidRPr="00695214" w:rsidRDefault="004A5564" w:rsidP="004A5564">
      <w:pPr>
        <w:spacing w:line="276" w:lineRule="auto"/>
        <w:jc w:val="both"/>
        <w:rPr>
          <w:rFonts w:ascii="Arial" w:eastAsia="Tahoma" w:hAnsi="Arial" w:cs="Arial"/>
        </w:rPr>
      </w:pPr>
    </w:p>
    <w:p w14:paraId="41F71E79" w14:textId="116CAE5B" w:rsidR="004A5328" w:rsidRPr="00695214" w:rsidRDefault="004A5328" w:rsidP="0094452D">
      <w:pPr>
        <w:pStyle w:val="Prrafodelista"/>
        <w:numPr>
          <w:ilvl w:val="0"/>
          <w:numId w:val="19"/>
        </w:numPr>
        <w:spacing w:line="276" w:lineRule="auto"/>
        <w:jc w:val="both"/>
        <w:rPr>
          <w:rFonts w:ascii="Arial" w:eastAsia="Tahoma" w:hAnsi="Arial" w:cs="Arial"/>
          <w:b/>
        </w:rPr>
      </w:pPr>
      <w:r w:rsidRPr="00695214">
        <w:rPr>
          <w:rFonts w:ascii="Arial" w:eastAsia="Tahoma" w:hAnsi="Arial" w:cs="Arial"/>
          <w:b/>
        </w:rPr>
        <w:t>ANÁLISIS ECONÓMICO</w:t>
      </w:r>
    </w:p>
    <w:p w14:paraId="380444A7" w14:textId="647EB867" w:rsidR="00516D92" w:rsidRPr="00695214" w:rsidRDefault="00516D92" w:rsidP="00E97EE3">
      <w:pPr>
        <w:spacing w:line="276" w:lineRule="auto"/>
        <w:jc w:val="both"/>
        <w:rPr>
          <w:rFonts w:ascii="Arial" w:eastAsia="Tahoma" w:hAnsi="Arial" w:cs="Arial"/>
        </w:rPr>
      </w:pPr>
      <w:r w:rsidRPr="00695214">
        <w:rPr>
          <w:rFonts w:ascii="Arial" w:eastAsia="Tahoma" w:hAnsi="Arial" w:cs="Arial"/>
        </w:rPr>
        <w:t>El Departamento Administrativo Nacional de Estadística (DANE) informa sobre la reprogramación de la publicación de los resultados del Producto Interno Bruto (PIB) III Trimestre de 2024, para el lunes 18 de noviembre del 2024 debido a que Colombia será sede del Foro Mundial de Datos de Naciones Unidas, entre el 12 al 15 de noviembre de 2024.</w:t>
      </w:r>
    </w:p>
    <w:p w14:paraId="244E5728" w14:textId="77777777" w:rsidR="00516D92" w:rsidRPr="00695214" w:rsidRDefault="00516D92" w:rsidP="00516D92">
      <w:pPr>
        <w:spacing w:line="276" w:lineRule="auto"/>
        <w:jc w:val="both"/>
        <w:rPr>
          <w:rFonts w:ascii="Arial" w:eastAsia="Tahoma" w:hAnsi="Arial" w:cs="Arial"/>
        </w:rPr>
      </w:pPr>
      <w:r w:rsidRPr="00695214">
        <w:rPr>
          <w:rFonts w:ascii="Arial" w:eastAsia="Tahoma" w:hAnsi="Arial" w:cs="Arial"/>
        </w:rPr>
        <w:t>En el tercer trimestre de 2024</w:t>
      </w:r>
      <w:r w:rsidRPr="00695214">
        <w:rPr>
          <w:rFonts w:ascii="Arial" w:eastAsia="Tahoma" w:hAnsi="Arial" w:cs="Arial"/>
          <w:vertAlign w:val="superscript"/>
        </w:rPr>
        <w:t>pr</w:t>
      </w:r>
      <w:r w:rsidRPr="00695214">
        <w:rPr>
          <w:rFonts w:ascii="Arial" w:eastAsia="Tahoma" w:hAnsi="Arial" w:cs="Arial"/>
        </w:rPr>
        <w:t>, el Producto Interno Bruto en su serie original, crece 2,0% respecto al mismo periodo de 2023</w:t>
      </w:r>
      <w:r w:rsidRPr="00695214">
        <w:rPr>
          <w:rFonts w:ascii="Arial" w:eastAsia="Tahoma" w:hAnsi="Arial" w:cs="Arial"/>
          <w:vertAlign w:val="superscript"/>
        </w:rPr>
        <w:t>pr</w:t>
      </w:r>
    </w:p>
    <w:p w14:paraId="72D2E65D" w14:textId="77F7ACB8" w:rsidR="00516D92" w:rsidRPr="00695214" w:rsidRDefault="00516D92" w:rsidP="00516D92">
      <w:pPr>
        <w:spacing w:line="276" w:lineRule="auto"/>
        <w:jc w:val="center"/>
        <w:rPr>
          <w:rFonts w:ascii="Arial" w:eastAsia="Tahoma" w:hAnsi="Arial" w:cs="Arial"/>
        </w:rPr>
      </w:pPr>
      <w:r w:rsidRPr="00695214">
        <w:rPr>
          <w:rFonts w:ascii="Arial" w:eastAsia="Tahoma" w:hAnsi="Arial" w:cs="Arial"/>
          <w:noProof/>
        </w:rPr>
        <w:drawing>
          <wp:inline distT="0" distB="0" distL="0" distR="0" wp14:anchorId="73AA193C" wp14:editId="554C3384">
            <wp:extent cx="5191125" cy="2612201"/>
            <wp:effectExtent l="0" t="0" r="0" b="0"/>
            <wp:docPr id="6402602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60237" name=""/>
                    <pic:cNvPicPr/>
                  </pic:nvPicPr>
                  <pic:blipFill>
                    <a:blip r:embed="rId9"/>
                    <a:stretch>
                      <a:fillRect/>
                    </a:stretch>
                  </pic:blipFill>
                  <pic:spPr>
                    <a:xfrm>
                      <a:off x="0" y="0"/>
                      <a:ext cx="5194315" cy="2613806"/>
                    </a:xfrm>
                    <a:prstGeom prst="rect">
                      <a:avLst/>
                    </a:prstGeom>
                  </pic:spPr>
                </pic:pic>
              </a:graphicData>
            </a:graphic>
          </wp:inline>
        </w:drawing>
      </w:r>
    </w:p>
    <w:p w14:paraId="4DAAEB6E" w14:textId="77777777" w:rsidR="00516D92" w:rsidRPr="00695214" w:rsidRDefault="00516D92" w:rsidP="00516D92">
      <w:pPr>
        <w:spacing w:line="276" w:lineRule="auto"/>
        <w:jc w:val="both"/>
        <w:rPr>
          <w:rFonts w:ascii="Arial" w:eastAsia="Tahoma" w:hAnsi="Arial" w:cs="Arial"/>
        </w:rPr>
      </w:pPr>
      <w:r w:rsidRPr="00695214">
        <w:rPr>
          <w:rFonts w:ascii="Arial" w:eastAsia="Tahoma" w:hAnsi="Arial" w:cs="Arial"/>
        </w:rPr>
        <w:t>Las actividades económicas que más contribuyen a la dinámica del valor agregado son:</w:t>
      </w:r>
    </w:p>
    <w:p w14:paraId="3116C968" w14:textId="77777777" w:rsidR="00516D92" w:rsidRPr="00695214" w:rsidRDefault="00516D92" w:rsidP="00516D92">
      <w:pPr>
        <w:numPr>
          <w:ilvl w:val="0"/>
          <w:numId w:val="13"/>
        </w:numPr>
        <w:spacing w:line="276" w:lineRule="auto"/>
        <w:jc w:val="both"/>
        <w:rPr>
          <w:rFonts w:ascii="Arial" w:eastAsia="Tahoma" w:hAnsi="Arial" w:cs="Arial"/>
        </w:rPr>
      </w:pPr>
      <w:r w:rsidRPr="00695214">
        <w:rPr>
          <w:rFonts w:ascii="Arial" w:eastAsia="Tahoma" w:hAnsi="Arial" w:cs="Arial"/>
        </w:rPr>
        <w:t>Agricultura, ganadería, caza, silvicultura y pesca crece 10,7% (contribuye 1,1 puntos porcentuales a la variación anual).</w:t>
      </w:r>
    </w:p>
    <w:p w14:paraId="52396A94" w14:textId="77777777" w:rsidR="00516D92" w:rsidRPr="00695214" w:rsidRDefault="00516D92" w:rsidP="00516D92">
      <w:pPr>
        <w:numPr>
          <w:ilvl w:val="0"/>
          <w:numId w:val="13"/>
        </w:numPr>
        <w:spacing w:line="276" w:lineRule="auto"/>
        <w:jc w:val="both"/>
        <w:rPr>
          <w:rFonts w:ascii="Arial" w:eastAsia="Tahoma" w:hAnsi="Arial" w:cs="Arial"/>
        </w:rPr>
      </w:pPr>
      <w:r w:rsidRPr="00695214">
        <w:rPr>
          <w:rFonts w:ascii="Arial" w:eastAsia="Tahoma"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14,1% (contribuye 0,5 puntos porcentuales a la variación anual).</w:t>
      </w:r>
    </w:p>
    <w:p w14:paraId="7FBA9AC2" w14:textId="77777777" w:rsidR="00516D92" w:rsidRPr="00695214" w:rsidRDefault="00516D92" w:rsidP="00516D92">
      <w:pPr>
        <w:numPr>
          <w:ilvl w:val="0"/>
          <w:numId w:val="13"/>
        </w:numPr>
        <w:spacing w:line="276" w:lineRule="auto"/>
        <w:jc w:val="both"/>
        <w:rPr>
          <w:rFonts w:ascii="Arial" w:eastAsia="Tahoma" w:hAnsi="Arial" w:cs="Arial"/>
        </w:rPr>
      </w:pPr>
      <w:r w:rsidRPr="00695214">
        <w:rPr>
          <w:rFonts w:ascii="Arial" w:eastAsia="Tahoma" w:hAnsi="Arial" w:cs="Arial"/>
        </w:rPr>
        <w:t>Administración pública y defensa; planes de seguridad social de afiliación obligatoria; Educación; Actividades de atención de la salud humana y de servicios sociales crece 2,1% (contribuye 0,3 puntos porcentuales a la variación anual)</w:t>
      </w:r>
    </w:p>
    <w:p w14:paraId="2D83BF9C" w14:textId="24C49113" w:rsidR="00516D92" w:rsidRPr="00695214" w:rsidRDefault="00516D92" w:rsidP="00516D92">
      <w:pPr>
        <w:spacing w:line="276" w:lineRule="auto"/>
        <w:jc w:val="both"/>
        <w:rPr>
          <w:rFonts w:ascii="Arial" w:eastAsia="Tahoma" w:hAnsi="Arial" w:cs="Arial"/>
        </w:rPr>
      </w:pPr>
      <w:r w:rsidRPr="00695214">
        <w:rPr>
          <w:rFonts w:ascii="Arial" w:eastAsia="Tahoma" w:hAnsi="Arial" w:cs="Arial"/>
        </w:rPr>
        <w:lastRenderedPageBreak/>
        <w:t>En lo corrido del año 2024</w:t>
      </w:r>
      <w:r w:rsidRPr="00695214">
        <w:rPr>
          <w:rFonts w:ascii="Arial" w:eastAsia="Tahoma" w:hAnsi="Arial" w:cs="Arial"/>
          <w:vertAlign w:val="superscript"/>
        </w:rPr>
        <w:t>pr</w:t>
      </w:r>
      <w:r w:rsidRPr="00695214">
        <w:rPr>
          <w:rFonts w:ascii="Arial" w:eastAsia="Tahoma" w:hAnsi="Arial" w:cs="Arial"/>
        </w:rPr>
        <w:t>, respecto al mismo periodo del año anterior, el Producto Interno Bruto presenta un crecimiento de 1,6%. Las actividades económicas que más contribuyen a la dinámica del valor agregado son:</w:t>
      </w:r>
    </w:p>
    <w:p w14:paraId="325AA1EF" w14:textId="77777777" w:rsidR="00516D92" w:rsidRPr="00695214" w:rsidRDefault="00516D92" w:rsidP="00516D92">
      <w:pPr>
        <w:numPr>
          <w:ilvl w:val="0"/>
          <w:numId w:val="14"/>
        </w:numPr>
        <w:spacing w:line="276" w:lineRule="auto"/>
        <w:jc w:val="both"/>
        <w:rPr>
          <w:rFonts w:ascii="Arial" w:eastAsia="Tahoma" w:hAnsi="Arial" w:cs="Arial"/>
        </w:rPr>
      </w:pPr>
      <w:r w:rsidRPr="00695214">
        <w:rPr>
          <w:rFonts w:ascii="Arial" w:eastAsia="Tahoma" w:hAnsi="Arial" w:cs="Arial"/>
        </w:rPr>
        <w:t>Agricultura, ganadería, caza, silvicultura y pesca crece 8,9% (contribuye 0,9 puntos porcentuales a la variación anual).</w:t>
      </w:r>
    </w:p>
    <w:p w14:paraId="5A0314A1" w14:textId="77777777" w:rsidR="00516D92" w:rsidRPr="00695214" w:rsidRDefault="00516D92" w:rsidP="00516D92">
      <w:pPr>
        <w:numPr>
          <w:ilvl w:val="0"/>
          <w:numId w:val="14"/>
        </w:numPr>
        <w:spacing w:line="276" w:lineRule="auto"/>
        <w:jc w:val="both"/>
        <w:rPr>
          <w:rFonts w:ascii="Arial" w:eastAsia="Tahoma" w:hAnsi="Arial" w:cs="Arial"/>
        </w:rPr>
      </w:pPr>
      <w:r w:rsidRPr="00695214">
        <w:rPr>
          <w:rFonts w:ascii="Arial" w:eastAsia="Tahoma" w:hAnsi="Arial" w:cs="Arial"/>
        </w:rPr>
        <w:t>Administración pública y defensa; planes de seguridad social de afiliación obligatoria; Educación; Actividades de atención de la salud humana y de servicios sociales crece 4,2% (contribuye 0,7 puntos porcentuales a la variación anual).</w:t>
      </w:r>
    </w:p>
    <w:p w14:paraId="433B5747" w14:textId="77777777" w:rsidR="00516D92" w:rsidRPr="00695214" w:rsidRDefault="00516D92" w:rsidP="00516D92">
      <w:pPr>
        <w:numPr>
          <w:ilvl w:val="0"/>
          <w:numId w:val="14"/>
        </w:numPr>
        <w:spacing w:line="276" w:lineRule="auto"/>
        <w:jc w:val="both"/>
        <w:rPr>
          <w:rFonts w:ascii="Arial" w:eastAsia="Tahoma" w:hAnsi="Arial" w:cs="Arial"/>
        </w:rPr>
      </w:pPr>
      <w:r w:rsidRPr="00695214">
        <w:rPr>
          <w:rFonts w:ascii="Arial" w:eastAsia="Tahoma"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9,8% (contribuye 0,4 puntos porcentuales a la variación anual).</w:t>
      </w:r>
    </w:p>
    <w:p w14:paraId="717EC087" w14:textId="3ABA921A" w:rsidR="004A5328" w:rsidRPr="00695214" w:rsidRDefault="00516D92" w:rsidP="004A5564">
      <w:pPr>
        <w:spacing w:line="276" w:lineRule="auto"/>
        <w:jc w:val="both"/>
        <w:rPr>
          <w:rFonts w:ascii="Arial" w:eastAsia="Tahoma" w:hAnsi="Arial" w:cs="Arial"/>
        </w:rPr>
      </w:pPr>
      <w:r w:rsidRPr="00695214">
        <w:rPr>
          <w:rFonts w:ascii="Arial" w:eastAsia="Tahoma" w:hAnsi="Arial" w:cs="Arial"/>
        </w:rPr>
        <w:t> </w:t>
      </w:r>
    </w:p>
    <w:p w14:paraId="30138017" w14:textId="54531D39" w:rsidR="004A5328" w:rsidRPr="00695214" w:rsidRDefault="00AD406A"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r w:rsidRPr="00695214">
        <w:rPr>
          <w:rFonts w:ascii="Arial" w:eastAsia="Tahoma" w:hAnsi="Arial" w:cs="Arial"/>
          <w:noProof/>
        </w:rPr>
        <w:drawing>
          <wp:inline distT="0" distB="0" distL="0" distR="0" wp14:anchorId="1394F56B" wp14:editId="5497B7F3">
            <wp:extent cx="4525006" cy="4039164"/>
            <wp:effectExtent l="0" t="0" r="0" b="0"/>
            <wp:docPr id="1443965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65566" name=""/>
                    <pic:cNvPicPr/>
                  </pic:nvPicPr>
                  <pic:blipFill>
                    <a:blip r:embed="rId10"/>
                    <a:stretch>
                      <a:fillRect/>
                    </a:stretch>
                  </pic:blipFill>
                  <pic:spPr>
                    <a:xfrm>
                      <a:off x="0" y="0"/>
                      <a:ext cx="4525006" cy="4039164"/>
                    </a:xfrm>
                    <a:prstGeom prst="rect">
                      <a:avLst/>
                    </a:prstGeom>
                  </pic:spPr>
                </pic:pic>
              </a:graphicData>
            </a:graphic>
          </wp:inline>
        </w:drawing>
      </w:r>
    </w:p>
    <w:p w14:paraId="198212A1" w14:textId="77777777" w:rsidR="00AD406A" w:rsidRPr="00695214"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695214">
        <w:rPr>
          <w:rFonts w:ascii="Arial" w:eastAsia="Tahoma" w:hAnsi="Arial" w:cs="Arial"/>
          <w:b/>
          <w:bCs/>
        </w:rPr>
        <w:t xml:space="preserve">Valor agregado por actividad económica </w:t>
      </w:r>
    </w:p>
    <w:p w14:paraId="55C028FB" w14:textId="76D1AFAF" w:rsidR="00AD406A" w:rsidRPr="00695214"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Agricultura, ganadería, caza, silvicultura y pesca.</w:t>
      </w:r>
    </w:p>
    <w:p w14:paraId="75A1756F" w14:textId="47B52424" w:rsidR="00AD406A" w:rsidRPr="00695214"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En el segundo trimestre de 2024pr, el valor agregado de la agricultura, ganadería, caza, silvicultura y pesca crece 10,2% en su serie original, respecto al mismo periodo de 2023pr. Esta dinámica se explica por los siguientes comportamientos:</w:t>
      </w:r>
    </w:p>
    <w:p w14:paraId="275F1C60" w14:textId="77777777" w:rsidR="00AD406A" w:rsidRPr="00695214"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10,9%. </w:t>
      </w:r>
    </w:p>
    <w:p w14:paraId="417890F7" w14:textId="77777777" w:rsidR="00AD406A" w:rsidRPr="00695214"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Cultivo permanente de café crece 25,8%. </w:t>
      </w:r>
    </w:p>
    <w:p w14:paraId="283DC620" w14:textId="77777777" w:rsidR="00AD406A" w:rsidRPr="00695214"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Ganadería crece 6,5%. </w:t>
      </w:r>
    </w:p>
    <w:p w14:paraId="5B59E280" w14:textId="77777777" w:rsidR="00AD406A" w:rsidRPr="00695214"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Silvicultura y extracción de madera decrece 7,3%. </w:t>
      </w:r>
    </w:p>
    <w:p w14:paraId="1436701F" w14:textId="77777777" w:rsidR="00AD406A" w:rsidRPr="00695214"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lastRenderedPageBreak/>
        <w:t>Pesca y acuicultura decrece 9,1%.</w:t>
      </w:r>
    </w:p>
    <w:p w14:paraId="0D80D423" w14:textId="77777777" w:rsidR="00AD406A" w:rsidRPr="00695214" w:rsidRDefault="00AD406A" w:rsidP="00AD406A">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Respecto al trimestre inmediatamente anterior en su serie ajustada por efecto estacional y calendario, el valor agregado de la agricultura, ganadería, caza, silvicultura y pesca crece en 1,5%, cuando se observa el comportamiento de las actividades económicas relacionadas: </w:t>
      </w:r>
    </w:p>
    <w:p w14:paraId="51A18233" w14:textId="77777777" w:rsidR="00AD406A" w:rsidRPr="00695214" w:rsidRDefault="00AD406A" w:rsidP="00AD406A">
      <w:pPr>
        <w:pStyle w:val="Prrafodelista"/>
        <w:numPr>
          <w:ilvl w:val="0"/>
          <w:numId w:val="16"/>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1,5%. </w:t>
      </w:r>
    </w:p>
    <w:p w14:paraId="7725BDF4" w14:textId="5CA8C52F" w:rsidR="004A5328" w:rsidRPr="00695214" w:rsidRDefault="00AD406A" w:rsidP="00AD406A">
      <w:pPr>
        <w:pStyle w:val="Prrafodelista"/>
        <w:numPr>
          <w:ilvl w:val="0"/>
          <w:numId w:val="16"/>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Cultivo permanente de café crece 10,9%. • Ganadería crece 1,1%. • Silvicultura y extracción de madera decrece 2,1%. • Pesca y acuicultura decrece 0,2%.</w:t>
      </w:r>
    </w:p>
    <w:p w14:paraId="0B9ECB24" w14:textId="77777777" w:rsidR="00AD406A" w:rsidRPr="00695214"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1D0546C5" w14:textId="68D6AD91" w:rsidR="00AD406A" w:rsidRPr="00695214" w:rsidRDefault="00FF77EB" w:rsidP="00FF77EB">
      <w:pPr>
        <w:pBdr>
          <w:top w:val="nil"/>
          <w:left w:val="nil"/>
          <w:bottom w:val="nil"/>
          <w:right w:val="nil"/>
          <w:between w:val="nil"/>
        </w:pBdr>
        <w:tabs>
          <w:tab w:val="center" w:pos="4252"/>
          <w:tab w:val="right" w:pos="8504"/>
        </w:tabs>
        <w:spacing w:line="276" w:lineRule="auto"/>
        <w:rPr>
          <w:rFonts w:ascii="Arial" w:eastAsia="Tahoma" w:hAnsi="Arial" w:cs="Arial"/>
        </w:rPr>
      </w:pPr>
      <w:r w:rsidRPr="00695214">
        <w:rPr>
          <w:rFonts w:ascii="Arial" w:eastAsia="Tahoma" w:hAnsi="Arial" w:cs="Arial"/>
          <w:noProof/>
        </w:rPr>
        <w:drawing>
          <wp:anchor distT="0" distB="0" distL="114300" distR="114300" simplePos="0" relativeHeight="251659264" behindDoc="0" locked="0" layoutInCell="1" allowOverlap="1" wp14:anchorId="2C3C60F5" wp14:editId="313F7292">
            <wp:simplePos x="0" y="0"/>
            <wp:positionH relativeFrom="column">
              <wp:posOffset>514350</wp:posOffset>
            </wp:positionH>
            <wp:positionV relativeFrom="paragraph">
              <wp:posOffset>9525</wp:posOffset>
            </wp:positionV>
            <wp:extent cx="4295332" cy="3365415"/>
            <wp:effectExtent l="0" t="0" r="0" b="6985"/>
            <wp:wrapSquare wrapText="bothSides"/>
            <wp:docPr id="1005432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32321" name=""/>
                    <pic:cNvPicPr/>
                  </pic:nvPicPr>
                  <pic:blipFill>
                    <a:blip r:embed="rId11">
                      <a:extLst>
                        <a:ext uri="{28A0092B-C50C-407E-A947-70E740481C1C}">
                          <a14:useLocalDpi xmlns:a14="http://schemas.microsoft.com/office/drawing/2010/main" val="0"/>
                        </a:ext>
                      </a:extLst>
                    </a:blip>
                    <a:stretch>
                      <a:fillRect/>
                    </a:stretch>
                  </pic:blipFill>
                  <pic:spPr>
                    <a:xfrm>
                      <a:off x="0" y="0"/>
                      <a:ext cx="4295332" cy="3365415"/>
                    </a:xfrm>
                    <a:prstGeom prst="rect">
                      <a:avLst/>
                    </a:prstGeom>
                  </pic:spPr>
                </pic:pic>
              </a:graphicData>
            </a:graphic>
          </wp:anchor>
        </w:drawing>
      </w:r>
      <w:r w:rsidRPr="00695214">
        <w:rPr>
          <w:rFonts w:ascii="Arial" w:eastAsia="Tahoma" w:hAnsi="Arial" w:cs="Arial"/>
        </w:rPr>
        <w:br w:type="textWrapping" w:clear="all"/>
      </w:r>
    </w:p>
    <w:p w14:paraId="4470863D" w14:textId="178FA558" w:rsidR="00FF77EB" w:rsidRPr="00695214"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695214">
        <w:rPr>
          <w:rFonts w:ascii="Arial" w:eastAsia="Tahoma" w:hAnsi="Arial" w:cs="Arial"/>
          <w:b/>
          <w:bCs/>
        </w:rPr>
        <w:t>PIB desde el enfoque del gasto</w:t>
      </w:r>
    </w:p>
    <w:p w14:paraId="38785523" w14:textId="533A1287" w:rsidR="00FF77EB" w:rsidRPr="00695214"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En el segundo trimestre de 2024pr, el Producto Interno Bruto en su serie original crece 2,1% respecto al mismo periodo de 2023pr. Esta dinámica se explica por los siguientes comportamientos del componente del gasto:</w:t>
      </w:r>
    </w:p>
    <w:p w14:paraId="1B00A4A7" w14:textId="77777777" w:rsidR="00FF77EB" w:rsidRPr="00695214"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Gasto en consumo final crece 1,6%. </w:t>
      </w:r>
    </w:p>
    <w:p w14:paraId="59489252" w14:textId="6BC597A5" w:rsidR="00FF77EB" w:rsidRPr="00695214"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Formación bruta de capital crece 1,7%. </w:t>
      </w:r>
    </w:p>
    <w:p w14:paraId="05679B9F" w14:textId="77777777" w:rsidR="00FF77EB" w:rsidRPr="00695214"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Exportaciones crecen 4,8%. </w:t>
      </w:r>
    </w:p>
    <w:p w14:paraId="42160BE3" w14:textId="1E56B478" w:rsidR="00FF77EB" w:rsidRPr="00695214"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Importaciones crecen 2,2%. </w:t>
      </w:r>
    </w:p>
    <w:p w14:paraId="3F97EC3B" w14:textId="5A2A4146" w:rsidR="00FF77EB" w:rsidRPr="00695214" w:rsidRDefault="00FF77EB" w:rsidP="00FF77EB">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Respecto al trimestre inmediatamente anterior, el Producto Interno Bruto crece en 0,1%, en su serie ajustada por efecto estacional y calendario. Cuando se observa el comportamiento de sus componentes: </w:t>
      </w:r>
    </w:p>
    <w:p w14:paraId="57BC6683" w14:textId="088389AA" w:rsidR="00FF77EB" w:rsidRPr="00695214"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Gasto en consumo final crece 0,9%. </w:t>
      </w:r>
    </w:p>
    <w:p w14:paraId="597D7290" w14:textId="316D663D" w:rsidR="00FF77EB" w:rsidRPr="00695214"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Formación bruta de capital crece 0,7%. </w:t>
      </w:r>
    </w:p>
    <w:p w14:paraId="13B3BA31" w14:textId="446E2C45" w:rsidR="00FF77EB" w:rsidRPr="00695214"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 xml:space="preserve">Exportaciones crecen 0,8%. </w:t>
      </w:r>
    </w:p>
    <w:p w14:paraId="2A86EACD" w14:textId="5F5E0A3E" w:rsidR="00AD406A" w:rsidRPr="00695214"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Importaciones crecen 5,7%.</w:t>
      </w:r>
    </w:p>
    <w:p w14:paraId="03E72E28" w14:textId="35BBE409" w:rsidR="00AD406A" w:rsidRPr="00695214" w:rsidRDefault="004A5564"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noProof/>
        </w:rPr>
        <w:lastRenderedPageBreak/>
        <w:drawing>
          <wp:anchor distT="0" distB="0" distL="114300" distR="114300" simplePos="0" relativeHeight="251658240" behindDoc="1" locked="0" layoutInCell="1" allowOverlap="1" wp14:anchorId="0C5FF4D9" wp14:editId="6A1AE0C6">
            <wp:simplePos x="0" y="0"/>
            <wp:positionH relativeFrom="column">
              <wp:posOffset>1542197</wp:posOffset>
            </wp:positionH>
            <wp:positionV relativeFrom="paragraph">
              <wp:posOffset>7145</wp:posOffset>
            </wp:positionV>
            <wp:extent cx="3079330" cy="2085997"/>
            <wp:effectExtent l="0" t="0" r="6985" b="0"/>
            <wp:wrapNone/>
            <wp:docPr id="1557885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8573" name=""/>
                    <pic:cNvPicPr/>
                  </pic:nvPicPr>
                  <pic:blipFill>
                    <a:blip r:embed="rId12">
                      <a:extLst>
                        <a:ext uri="{28A0092B-C50C-407E-A947-70E740481C1C}">
                          <a14:useLocalDpi xmlns:a14="http://schemas.microsoft.com/office/drawing/2010/main" val="0"/>
                        </a:ext>
                      </a:extLst>
                    </a:blip>
                    <a:stretch>
                      <a:fillRect/>
                    </a:stretch>
                  </pic:blipFill>
                  <pic:spPr>
                    <a:xfrm>
                      <a:off x="0" y="0"/>
                      <a:ext cx="3083528" cy="2088841"/>
                    </a:xfrm>
                    <a:prstGeom prst="rect">
                      <a:avLst/>
                    </a:prstGeom>
                  </pic:spPr>
                </pic:pic>
              </a:graphicData>
            </a:graphic>
            <wp14:sizeRelH relativeFrom="page">
              <wp14:pctWidth>0</wp14:pctWidth>
            </wp14:sizeRelH>
            <wp14:sizeRelV relativeFrom="page">
              <wp14:pctHeight>0</wp14:pctHeight>
            </wp14:sizeRelV>
          </wp:anchor>
        </w:drawing>
      </w:r>
    </w:p>
    <w:p w14:paraId="360EBB5C" w14:textId="0DA6E749" w:rsidR="004A5328" w:rsidRPr="00695214" w:rsidRDefault="004A5328" w:rsidP="00E97EE3">
      <w:pPr>
        <w:pBdr>
          <w:top w:val="nil"/>
          <w:left w:val="nil"/>
          <w:bottom w:val="nil"/>
          <w:right w:val="nil"/>
          <w:between w:val="nil"/>
        </w:pBdr>
        <w:tabs>
          <w:tab w:val="center" w:pos="4252"/>
          <w:tab w:val="right" w:pos="8504"/>
        </w:tabs>
        <w:spacing w:line="276" w:lineRule="auto"/>
        <w:rPr>
          <w:rFonts w:ascii="Arial" w:eastAsia="Tahoma" w:hAnsi="Arial" w:cs="Arial"/>
        </w:rPr>
      </w:pPr>
    </w:p>
    <w:p w14:paraId="6E367F14" w14:textId="43B4AAEF" w:rsidR="004A5328" w:rsidRPr="00695214"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3BB6071F" w14:textId="77777777" w:rsidR="004A5328" w:rsidRPr="00695214"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13BF69E" w14:textId="70FA98EE" w:rsidR="004A5328" w:rsidRPr="00695214"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0470FABF" w14:textId="77777777" w:rsidR="004A5328" w:rsidRPr="00695214"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D5021B6" w14:textId="77777777" w:rsidR="004A5328" w:rsidRPr="00695214"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1EBC296F" w14:textId="77777777" w:rsidR="00FF77EB" w:rsidRPr="00695214"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062A4964" w14:textId="0C3C5AEA" w:rsidR="004A5328" w:rsidRPr="00695214" w:rsidRDefault="004A5328" w:rsidP="0094452D">
      <w:pPr>
        <w:pStyle w:val="Prrafodelista"/>
        <w:numPr>
          <w:ilvl w:val="0"/>
          <w:numId w:val="19"/>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695214">
        <w:rPr>
          <w:rFonts w:ascii="Arial" w:eastAsia="Tahoma" w:hAnsi="Arial" w:cs="Arial"/>
          <w:b/>
        </w:rPr>
        <w:t>DESEMPLEO</w:t>
      </w:r>
    </w:p>
    <w:p w14:paraId="192C7367" w14:textId="50AFE039" w:rsidR="004A5328" w:rsidRPr="00695214"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Para el mes de noviembre de 2024, la tasa de desocupación del total nacional fue 8,2%, lo que representó una disminución de 0,8 puntos porcentuales respecto al mismo mes de 2023 (9,0%). La tasa global de participación se ubicó en 63,7%, mientras que en noviembre de 2023 fue 64,1%. Finalmente, la tasa de ocupación fue 58,5%.</w:t>
      </w:r>
    </w:p>
    <w:p w14:paraId="7BAD9ACF" w14:textId="0639DB54" w:rsidR="001A7542" w:rsidRPr="00695214"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noProof/>
        </w:rPr>
        <w:drawing>
          <wp:anchor distT="0" distB="0" distL="114300" distR="114300" simplePos="0" relativeHeight="251660288" behindDoc="1" locked="0" layoutInCell="1" allowOverlap="1" wp14:anchorId="09B2128B" wp14:editId="335CF98F">
            <wp:simplePos x="0" y="0"/>
            <wp:positionH relativeFrom="column">
              <wp:posOffset>313055</wp:posOffset>
            </wp:positionH>
            <wp:positionV relativeFrom="paragraph">
              <wp:posOffset>-4445</wp:posOffset>
            </wp:positionV>
            <wp:extent cx="4483100" cy="1769110"/>
            <wp:effectExtent l="0" t="0" r="0" b="2540"/>
            <wp:wrapNone/>
            <wp:docPr id="975586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86534" name=""/>
                    <pic:cNvPicPr/>
                  </pic:nvPicPr>
                  <pic:blipFill>
                    <a:blip r:embed="rId13">
                      <a:extLst>
                        <a:ext uri="{28A0092B-C50C-407E-A947-70E740481C1C}">
                          <a14:useLocalDpi xmlns:a14="http://schemas.microsoft.com/office/drawing/2010/main" val="0"/>
                        </a:ext>
                      </a:extLst>
                    </a:blip>
                    <a:stretch>
                      <a:fillRect/>
                    </a:stretch>
                  </pic:blipFill>
                  <pic:spPr>
                    <a:xfrm>
                      <a:off x="0" y="0"/>
                      <a:ext cx="4483100" cy="1769110"/>
                    </a:xfrm>
                    <a:prstGeom prst="rect">
                      <a:avLst/>
                    </a:prstGeom>
                  </pic:spPr>
                </pic:pic>
              </a:graphicData>
            </a:graphic>
            <wp14:sizeRelH relativeFrom="page">
              <wp14:pctWidth>0</wp14:pctWidth>
            </wp14:sizeRelH>
            <wp14:sizeRelV relativeFrom="page">
              <wp14:pctHeight>0</wp14:pctHeight>
            </wp14:sizeRelV>
          </wp:anchor>
        </w:drawing>
      </w:r>
    </w:p>
    <w:p w14:paraId="2F8D1418" w14:textId="77777777" w:rsidR="001A7542" w:rsidRPr="00695214"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482C192B" w14:textId="77777777" w:rsidR="001A7542" w:rsidRPr="00695214"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953FCA0" w14:textId="175698B2" w:rsidR="004A5328" w:rsidRPr="00695214"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1803AB58" w14:textId="77777777" w:rsidR="004A5328" w:rsidRPr="00695214"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123B7E7" w14:textId="77777777" w:rsidR="004A5328" w:rsidRPr="00695214"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C6A9100" w14:textId="77777777" w:rsidR="001A7542" w:rsidRPr="00695214"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974B3A2" w14:textId="77777777" w:rsidR="001E75ED" w:rsidRPr="00695214"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bCs/>
        </w:rPr>
      </w:pPr>
      <w:r w:rsidRPr="00695214">
        <w:rPr>
          <w:rFonts w:ascii="Arial" w:eastAsia="Tahoma" w:hAnsi="Arial" w:cs="Arial"/>
          <w:bCs/>
        </w:rPr>
        <w:t>En noviembre de 2024, la tasa de desocupación en el total de las 13 ciudades y áreas metropolitanas fue 8,0%, mientras que en el mismo mes de 2023 fue 8,7%. La tasa global de participación se ubicó en 66,7% y la tasa de ocupación fue 61,4%. En noviembre de 2023 estas tasas fueron 67,3% y 61,4%, respectivamente.</w:t>
      </w:r>
    </w:p>
    <w:p w14:paraId="0D1C485D" w14:textId="2BA1C35E" w:rsidR="001E75ED" w:rsidRPr="00695214" w:rsidRDefault="001E75ED" w:rsidP="001E75ED">
      <w:pPr>
        <w:pBdr>
          <w:top w:val="nil"/>
          <w:left w:val="nil"/>
          <w:bottom w:val="nil"/>
          <w:right w:val="nil"/>
          <w:between w:val="nil"/>
        </w:pBdr>
        <w:tabs>
          <w:tab w:val="center" w:pos="4252"/>
          <w:tab w:val="right" w:pos="8504"/>
        </w:tabs>
        <w:spacing w:line="276" w:lineRule="auto"/>
        <w:jc w:val="center"/>
        <w:rPr>
          <w:rFonts w:ascii="Arial" w:eastAsia="Tahoma" w:hAnsi="Arial" w:cs="Arial"/>
          <w:b/>
        </w:rPr>
      </w:pPr>
      <w:r w:rsidRPr="00695214">
        <w:rPr>
          <w:rFonts w:ascii="Arial" w:eastAsia="Tahoma" w:hAnsi="Arial" w:cs="Arial"/>
          <w:b/>
        </w:rPr>
        <w:t> </w:t>
      </w:r>
    </w:p>
    <w:p w14:paraId="1CA6A8A5" w14:textId="6DE6E505" w:rsidR="004A5328" w:rsidRPr="00695214" w:rsidRDefault="004A5328" w:rsidP="0094452D">
      <w:pPr>
        <w:pStyle w:val="Prrafodelista"/>
        <w:numPr>
          <w:ilvl w:val="0"/>
          <w:numId w:val="19"/>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695214">
        <w:rPr>
          <w:rFonts w:ascii="Arial" w:eastAsia="Tahoma" w:hAnsi="Arial" w:cs="Arial"/>
          <w:b/>
        </w:rPr>
        <w:t>INFLACIÓN</w:t>
      </w:r>
    </w:p>
    <w:p w14:paraId="309C177E" w14:textId="4DECE149" w:rsidR="001E75ED" w:rsidRPr="00695214" w:rsidRDefault="0094452D" w:rsidP="001E75ED">
      <w:p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695214">
        <w:rPr>
          <w:rFonts w:ascii="Arial" w:eastAsia="Tahoma" w:hAnsi="Arial" w:cs="Arial"/>
          <w:b/>
          <w:noProof/>
        </w:rPr>
        <w:drawing>
          <wp:anchor distT="0" distB="0" distL="114300" distR="114300" simplePos="0" relativeHeight="251661312" behindDoc="1" locked="0" layoutInCell="1" allowOverlap="1" wp14:anchorId="50833377" wp14:editId="363168DC">
            <wp:simplePos x="0" y="0"/>
            <wp:positionH relativeFrom="column">
              <wp:posOffset>340730</wp:posOffset>
            </wp:positionH>
            <wp:positionV relativeFrom="paragraph">
              <wp:posOffset>78996</wp:posOffset>
            </wp:positionV>
            <wp:extent cx="3970020" cy="2510790"/>
            <wp:effectExtent l="0" t="0" r="0" b="3810"/>
            <wp:wrapNone/>
            <wp:docPr id="656004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004461" name=""/>
                    <pic:cNvPicPr/>
                  </pic:nvPicPr>
                  <pic:blipFill>
                    <a:blip r:embed="rId14">
                      <a:extLst>
                        <a:ext uri="{28A0092B-C50C-407E-A947-70E740481C1C}">
                          <a14:useLocalDpi xmlns:a14="http://schemas.microsoft.com/office/drawing/2010/main" val="0"/>
                        </a:ext>
                      </a:extLst>
                    </a:blip>
                    <a:stretch>
                      <a:fillRect/>
                    </a:stretch>
                  </pic:blipFill>
                  <pic:spPr>
                    <a:xfrm>
                      <a:off x="0" y="0"/>
                      <a:ext cx="3970020" cy="2510790"/>
                    </a:xfrm>
                    <a:prstGeom prst="rect">
                      <a:avLst/>
                    </a:prstGeom>
                  </pic:spPr>
                </pic:pic>
              </a:graphicData>
            </a:graphic>
            <wp14:sizeRelH relativeFrom="page">
              <wp14:pctWidth>0</wp14:pctWidth>
            </wp14:sizeRelH>
            <wp14:sizeRelV relativeFrom="page">
              <wp14:pctHeight>0</wp14:pctHeight>
            </wp14:sizeRelV>
          </wp:anchor>
        </w:drawing>
      </w:r>
    </w:p>
    <w:p w14:paraId="0C029B1D" w14:textId="79408E81" w:rsidR="001E75ED" w:rsidRPr="00695214"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40A080BB" w14:textId="29110376" w:rsidR="004A5328" w:rsidRPr="00695214"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410C22F9" w14:textId="77777777" w:rsidR="001E75ED" w:rsidRPr="00695214" w:rsidRDefault="001E75ED"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67E41D1A" w14:textId="77777777" w:rsidR="0094452D" w:rsidRPr="00695214"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0D5DEF6D" w14:textId="77777777" w:rsidR="0094452D" w:rsidRPr="00695214"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6BB886FF" w14:textId="77777777" w:rsidR="0094452D" w:rsidRPr="00695214"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D7B965E" w14:textId="77777777" w:rsidR="0094452D" w:rsidRPr="00695214"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04FF4943" w14:textId="77777777" w:rsidR="0094452D" w:rsidRPr="00695214"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2ED4FD78" w14:textId="77777777" w:rsidR="0094452D" w:rsidRPr="00695214"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323F6D4F" w14:textId="50AA42E4" w:rsidR="004A5328" w:rsidRPr="00695214"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lastRenderedPageBreak/>
        <w:t xml:space="preserve">En el mes de diciembre de 2024, el IPC registró una variación de 5,20% en comparación con diciembre de 2023. En el último año, las divisiones Educación (10,62%), Restaurantes y hoteles (7,87%), Alojamiento, agua, electricidad, gas y otros combustibles (6,96%), Bebidas alcohólicas y tabaco (5,57%) </w:t>
      </w:r>
      <w:proofErr w:type="gramStart"/>
      <w:r w:rsidRPr="00695214">
        <w:rPr>
          <w:rFonts w:ascii="Arial" w:eastAsia="Tahoma" w:hAnsi="Arial" w:cs="Arial"/>
        </w:rPr>
        <w:t>y</w:t>
      </w:r>
      <w:proofErr w:type="gramEnd"/>
      <w:r w:rsidRPr="00695214">
        <w:rPr>
          <w:rFonts w:ascii="Arial" w:eastAsia="Tahoma" w:hAnsi="Arial" w:cs="Arial"/>
        </w:rPr>
        <w:t xml:space="preserve"> por último, Salud (5,54%) se ubicaron por encima del promedio nacional (5,20%). Entre tanto, las divisiones Transporte (5,19%), Bienes y servicios diversos (3,33%), Alimentos y bebidas no alcohólicas (3,31%), Muebles, artículos para el hogar y para la conservación ordinaria del hogar (2,18%), Prendas de vestir y calzado (2,06%), Recreación y cultura (-0,21%) </w:t>
      </w:r>
      <w:proofErr w:type="gramStart"/>
      <w:r w:rsidRPr="00695214">
        <w:rPr>
          <w:rFonts w:ascii="Arial" w:eastAsia="Tahoma" w:hAnsi="Arial" w:cs="Arial"/>
        </w:rPr>
        <w:t>y</w:t>
      </w:r>
      <w:proofErr w:type="gramEnd"/>
      <w:r w:rsidRPr="00695214">
        <w:rPr>
          <w:rFonts w:ascii="Arial" w:eastAsia="Tahoma" w:hAnsi="Arial" w:cs="Arial"/>
        </w:rPr>
        <w:t xml:space="preserve"> por último, Información y comunicación (-0,93%) se ubicaron por debajo del promedio nacional.</w:t>
      </w:r>
    </w:p>
    <w:p w14:paraId="267D3100" w14:textId="3FDCF273" w:rsidR="001E75ED" w:rsidRPr="00695214"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noProof/>
        </w:rPr>
        <w:drawing>
          <wp:inline distT="0" distB="0" distL="0" distR="0" wp14:anchorId="1A4DF428" wp14:editId="15928577">
            <wp:extent cx="5943600" cy="3163570"/>
            <wp:effectExtent l="0" t="0" r="0" b="0"/>
            <wp:docPr id="19637288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28805" name=""/>
                    <pic:cNvPicPr/>
                  </pic:nvPicPr>
                  <pic:blipFill>
                    <a:blip r:embed="rId15"/>
                    <a:stretch>
                      <a:fillRect/>
                    </a:stretch>
                  </pic:blipFill>
                  <pic:spPr>
                    <a:xfrm>
                      <a:off x="0" y="0"/>
                      <a:ext cx="5943600" cy="3163570"/>
                    </a:xfrm>
                    <a:prstGeom prst="rect">
                      <a:avLst/>
                    </a:prstGeom>
                  </pic:spPr>
                </pic:pic>
              </a:graphicData>
            </a:graphic>
          </wp:inline>
        </w:drawing>
      </w:r>
    </w:p>
    <w:p w14:paraId="0827FE94" w14:textId="77777777" w:rsidR="001E75ED" w:rsidRPr="00695214"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38B9C705" w14:textId="52203FBC" w:rsidR="004A5328" w:rsidRPr="00695214"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695214">
        <w:rPr>
          <w:rFonts w:ascii="Arial" w:eastAsia="Tahoma" w:hAnsi="Arial" w:cs="Arial"/>
        </w:rPr>
        <w:t>Los mayores aportes a la variación anual se registraron en las divisiones de: Alojamiento, agua, electricidad, gas y otros combustibles, Restaurantes y hoteles, Transporte y Alimentos y bebidas no alcohólicas, las cuales en conjunto contribuyeron con 4,31 puntos porcentuales al acumulado anual de dicha variación.</w:t>
      </w:r>
    </w:p>
    <w:p w14:paraId="1C057031" w14:textId="77777777" w:rsidR="004A5328" w:rsidRPr="00695214" w:rsidRDefault="004A5328" w:rsidP="00E97EE3">
      <w:pPr>
        <w:spacing w:before="21" w:line="276" w:lineRule="auto"/>
        <w:ind w:right="72"/>
        <w:jc w:val="both"/>
        <w:rPr>
          <w:rFonts w:ascii="Arial" w:eastAsia="Tahoma" w:hAnsi="Arial" w:cs="Arial"/>
        </w:rPr>
      </w:pPr>
      <w:r w:rsidRPr="00695214">
        <w:rPr>
          <w:rFonts w:ascii="Arial" w:eastAsia="Tahoma" w:hAnsi="Arial" w:cs="Arial"/>
        </w:rPr>
        <w:t xml:space="preserve">Durante los últimos años la entidad viene realizando esfuerzos para optimizar las herramientas tecnológicas y aumentar su infraestructura y capacidad técnica en el marco de modernización tecnológica. La demanda de servicios que exige la atención al ciudadano y sus tiempos de respuesta, deben ser atendidas con tecnología de punta y estas herramientas han demostrado ser un instrumento eficaz para fortalecer las funciones misionales y la cultura de calidad en la Entidad. Las aplicaciones se han convertido en mecanismos eficaces para el desempeño institucional, mejorando la prestación de servicios, aumento de recaudo y fortaleciendo el desarrollo integral de apoyo con misión crítica en actividades que son fundamentales a la hora de toma de decisiones, resguardo de información y mejora de prácticas basadas en procedimientos ITIL. </w:t>
      </w:r>
    </w:p>
    <w:p w14:paraId="01B984A8" w14:textId="77777777" w:rsidR="004A5328" w:rsidRPr="00695214" w:rsidRDefault="004A5328" w:rsidP="00E97EE3">
      <w:pPr>
        <w:spacing w:before="21" w:line="276" w:lineRule="auto"/>
        <w:ind w:right="72"/>
        <w:jc w:val="both"/>
        <w:rPr>
          <w:rFonts w:ascii="Arial" w:eastAsia="Tahoma" w:hAnsi="Arial" w:cs="Arial"/>
        </w:rPr>
      </w:pPr>
      <w:r w:rsidRPr="00695214">
        <w:rPr>
          <w:rFonts w:ascii="Arial" w:eastAsia="Tahoma" w:hAnsi="Arial" w:cs="Arial"/>
        </w:rPr>
        <w:t xml:space="preserve">El propósito es el de contribuir al fortalecimiento de las competencias y conjunto de normas que ofrezcan servicios con altos estándares de calidad. Por otro lado, los agentes en la economía del sector de las tecnologías de información y comunicación, han presentado crecimiento por encima del promedio de la economía nacional, es decir el 3,1%, constituyéndose en una actividad que jalona la economía del país respondiendo a los retos que en la actualidad se exigen en este campo, posicionando la mano de obra nacional eficientemente y logrando posicionar el mercado laboral colombiano. </w:t>
      </w:r>
    </w:p>
    <w:p w14:paraId="61BB6DDE" w14:textId="77777777" w:rsidR="004A5328" w:rsidRPr="00695214" w:rsidRDefault="004A5328" w:rsidP="00E97EE3">
      <w:pPr>
        <w:spacing w:before="21" w:line="276" w:lineRule="auto"/>
        <w:ind w:right="72"/>
        <w:jc w:val="both"/>
        <w:rPr>
          <w:rFonts w:ascii="Arial" w:eastAsia="Tahoma" w:hAnsi="Arial" w:cs="Arial"/>
        </w:rPr>
      </w:pPr>
      <w:r w:rsidRPr="00695214">
        <w:rPr>
          <w:rFonts w:ascii="Arial" w:eastAsia="Tahoma" w:hAnsi="Arial" w:cs="Arial"/>
        </w:rPr>
        <w:lastRenderedPageBreak/>
        <w:t xml:space="preserve">Con esta visión global se puede concluir que aparecen numerosos retos a nivel global, donde Colombia no puede continuar con las brechas actuales en aspectos y políticas digitales, la inteligencia artificial, la Internet de las Cosas, los macro datos, entre otras revoluciones tecnológicas, presentan oportunidades y desafíos que no podemos desconocer, teniendo en cuenta que repercutirán en la economía y el quehacer diario de las personas y empresas. </w:t>
      </w:r>
    </w:p>
    <w:p w14:paraId="45B33D04" w14:textId="71BC6688" w:rsidR="004A5328" w:rsidRPr="00695214" w:rsidRDefault="004A5328" w:rsidP="00E97EE3">
      <w:pPr>
        <w:spacing w:before="21" w:line="276" w:lineRule="auto"/>
        <w:ind w:right="72"/>
        <w:jc w:val="both"/>
        <w:rPr>
          <w:rFonts w:ascii="Arial" w:eastAsia="Tahoma" w:hAnsi="Arial" w:cs="Arial"/>
          <w:b/>
        </w:rPr>
      </w:pPr>
      <w:r w:rsidRPr="00695214">
        <w:rPr>
          <w:rFonts w:ascii="Arial" w:eastAsia="Tahoma" w:hAnsi="Arial" w:cs="Arial"/>
        </w:rPr>
        <w:t>En este sentido el Alcaldía municipal requiere para el desarrollo de su objeto y teniendo en cuenta los planes y proyectos a realizar durante la vigencia del 202</w:t>
      </w:r>
      <w:r w:rsidR="004A5564" w:rsidRPr="00695214">
        <w:rPr>
          <w:rFonts w:ascii="Arial" w:eastAsia="Tahoma" w:hAnsi="Arial" w:cs="Arial"/>
        </w:rPr>
        <w:t>5</w:t>
      </w:r>
      <w:r w:rsidRPr="00695214">
        <w:rPr>
          <w:rFonts w:ascii="Arial" w:eastAsia="Tahoma" w:hAnsi="Arial" w:cs="Arial"/>
        </w:rPr>
        <w:t xml:space="preserve">, satisfacer la necesidad de contratar mediante contrato de </w:t>
      </w:r>
      <w:r w:rsidRPr="00695214">
        <w:rPr>
          <w:rFonts w:ascii="Arial" w:eastAsia="Tahoma" w:hAnsi="Arial" w:cs="Arial"/>
          <w:b/>
        </w:rPr>
        <w:t>PRESTACIÓN DE SERVICIOS</w:t>
      </w:r>
      <w:r w:rsidRPr="00695214">
        <w:rPr>
          <w:rFonts w:ascii="Arial" w:eastAsia="Tahoma" w:hAnsi="Arial" w:cs="Arial"/>
        </w:rPr>
        <w:t xml:space="preserve"> para que preste sus servicios de manera independiente y externa, por el término de </w:t>
      </w:r>
      <w:r w:rsidR="00695214" w:rsidRPr="00695214">
        <w:rPr>
          <w:rFonts w:ascii="Arial" w:eastAsia="Tahoma" w:hAnsi="Arial" w:cs="Arial"/>
          <w:b/>
        </w:rPr>
        <w:t>TRES (03)</w:t>
      </w:r>
      <w:r w:rsidR="00E97EE3" w:rsidRPr="00695214">
        <w:rPr>
          <w:rFonts w:ascii="Arial" w:eastAsia="Tahoma" w:hAnsi="Arial" w:cs="Arial"/>
          <w:b/>
        </w:rPr>
        <w:t xml:space="preserve"> MES</w:t>
      </w:r>
      <w:r w:rsidR="004A5564" w:rsidRPr="00695214">
        <w:rPr>
          <w:rFonts w:ascii="Arial" w:eastAsia="Tahoma" w:hAnsi="Arial" w:cs="Arial"/>
          <w:b/>
        </w:rPr>
        <w:t>ES</w:t>
      </w:r>
      <w:r w:rsidR="00A13850" w:rsidRPr="00695214">
        <w:rPr>
          <w:rFonts w:ascii="Arial" w:eastAsia="Tahoma" w:hAnsi="Arial" w:cs="Arial"/>
        </w:rPr>
        <w:t xml:space="preserve">. </w:t>
      </w:r>
      <w:r w:rsidRPr="00695214">
        <w:rPr>
          <w:rFonts w:ascii="Arial" w:eastAsia="Tahoma" w:hAnsi="Arial" w:cs="Arial"/>
        </w:rPr>
        <w:t>El valor del contrato es por la suma de</w:t>
      </w:r>
      <w:r w:rsidR="004A5564" w:rsidRPr="00695214">
        <w:rPr>
          <w:rFonts w:ascii="Arial" w:eastAsia="Tahoma" w:hAnsi="Arial" w:cs="Arial"/>
        </w:rPr>
        <w:t xml:space="preserve"> </w:t>
      </w:r>
      <w:r w:rsidR="00695214" w:rsidRPr="00695214">
        <w:rPr>
          <w:rFonts w:ascii="Arial" w:hAnsi="Arial" w:cs="Arial"/>
          <w:b/>
          <w:bCs/>
          <w:iCs/>
          <w:lang w:eastAsia="es-ES"/>
        </w:rPr>
        <w:t>CIENTO VEINTE MILLONES DE PESOS MCTE ($120.000.000)</w:t>
      </w:r>
      <w:r w:rsidR="00E97EE3" w:rsidRPr="00695214">
        <w:rPr>
          <w:rFonts w:ascii="Arial" w:eastAsia="Tahoma" w:hAnsi="Arial" w:cs="Arial"/>
          <w:b/>
        </w:rPr>
        <w:t>,</w:t>
      </w:r>
      <w:r w:rsidRPr="00695214">
        <w:rPr>
          <w:rFonts w:ascii="Arial" w:eastAsia="Tahoma" w:hAnsi="Arial" w:cs="Arial"/>
          <w:b/>
        </w:rPr>
        <w:t xml:space="preserve"> </w:t>
      </w:r>
      <w:r w:rsidRPr="00695214">
        <w:rPr>
          <w:rFonts w:ascii="Arial" w:eastAsia="Tahoma" w:hAnsi="Arial" w:cs="Arial"/>
        </w:rPr>
        <w:t>IVA incluido. Se hace constar que los valor estimados están acorde con los precios que en el mercado se pagan por asesorías como la que demanda la entidad y que para ello se han consultado las tarifas de honorarios profesionales y técnicos  fijadas para este tipo de servicios integrales por la administración central y sus entes descentralizados; de igual forma, conveniente es señalar que acudir a la valoración del apoyo legal en la modalidad "por servicio requerido", que implica pagos individuales por cada concepto, asistencia a reuniones, horas, encarecería el costo de la satisfacción de la necesidad y el costo administrativo de su atención, lo que hace más conveniente asumir de manera integral la contratación de los servicios.</w:t>
      </w:r>
    </w:p>
    <w:p w14:paraId="21C06C15" w14:textId="69652761" w:rsidR="00695214" w:rsidRPr="00695214" w:rsidRDefault="004A5328" w:rsidP="00695214">
      <w:pPr>
        <w:spacing w:line="276" w:lineRule="auto"/>
        <w:jc w:val="both"/>
        <w:rPr>
          <w:rFonts w:ascii="Arial" w:hAnsi="Arial" w:cs="Arial"/>
        </w:rPr>
      </w:pPr>
      <w:r w:rsidRPr="00695214">
        <w:rPr>
          <w:rFonts w:ascii="Arial" w:eastAsia="Tahoma" w:hAnsi="Arial" w:cs="Arial"/>
        </w:rPr>
        <w:t>En cuanto a la forma de pago, el</w:t>
      </w:r>
      <w:r w:rsidRPr="00695214">
        <w:rPr>
          <w:rFonts w:ascii="Arial" w:eastAsia="Tahoma" w:hAnsi="Arial" w:cs="Arial"/>
          <w:b/>
        </w:rPr>
        <w:t xml:space="preserve"> </w:t>
      </w:r>
      <w:r w:rsidR="00A13850" w:rsidRPr="00695214">
        <w:rPr>
          <w:rFonts w:ascii="Arial" w:eastAsia="Tahoma" w:hAnsi="Arial" w:cs="Arial"/>
          <w:b/>
        </w:rPr>
        <w:t>ALCALDÍA MUNICIPAL DE SAN JACINTO</w:t>
      </w:r>
      <w:r w:rsidR="00E97EE3" w:rsidRPr="00695214">
        <w:rPr>
          <w:rFonts w:ascii="Arial" w:eastAsia="Tahoma" w:hAnsi="Arial" w:cs="Arial"/>
          <w:b/>
        </w:rPr>
        <w:t xml:space="preserve">, </w:t>
      </w:r>
      <w:r w:rsidR="00A13850" w:rsidRPr="00695214">
        <w:rPr>
          <w:rFonts w:ascii="Arial" w:eastAsia="Tahoma" w:hAnsi="Arial" w:cs="Arial"/>
          <w:b/>
        </w:rPr>
        <w:t>BOLÍVAR</w:t>
      </w:r>
      <w:r w:rsidRPr="00695214">
        <w:rPr>
          <w:rFonts w:ascii="Arial" w:eastAsia="Tahoma" w:hAnsi="Arial" w:cs="Arial"/>
        </w:rPr>
        <w:t xml:space="preserve">, </w:t>
      </w:r>
      <w:proofErr w:type="gramStart"/>
      <w:r w:rsidR="007D288D" w:rsidRPr="00695214">
        <w:rPr>
          <w:rFonts w:ascii="Arial" w:eastAsia="Tahoma" w:hAnsi="Arial" w:cs="Arial"/>
        </w:rPr>
        <w:t>realizara</w:t>
      </w:r>
      <w:bookmarkStart w:id="4" w:name="_Hlk165999649"/>
      <w:proofErr w:type="gramEnd"/>
      <w:r w:rsidR="00695214" w:rsidRPr="00695214">
        <w:rPr>
          <w:rFonts w:ascii="Arial" w:eastAsia="Tahoma" w:hAnsi="Arial" w:cs="Arial"/>
        </w:rPr>
        <w:t xml:space="preserve"> u</w:t>
      </w:r>
      <w:r w:rsidR="00695214" w:rsidRPr="00695214">
        <w:rPr>
          <w:rFonts w:ascii="Arial" w:hAnsi="Arial" w:cs="Arial"/>
        </w:rPr>
        <w:t xml:space="preserve">n pago por concepto de anticipo del cuarenta por ciento (40%) del valor de contrato correspondiente por la suma de </w:t>
      </w:r>
      <w:r w:rsidR="00695214" w:rsidRPr="00695214">
        <w:rPr>
          <w:rFonts w:ascii="Arial" w:hAnsi="Arial" w:cs="Arial"/>
          <w:b/>
          <w:bCs/>
        </w:rPr>
        <w:t xml:space="preserve">CUARENTA Y OCHO MILLONES DE PESOS MCTE ($48.000.000); </w:t>
      </w:r>
      <w:r w:rsidR="00695214" w:rsidRPr="00695214">
        <w:rPr>
          <w:rFonts w:ascii="Arial" w:hAnsi="Arial" w:cs="Arial"/>
        </w:rPr>
        <w:t xml:space="preserve">y el otro 60%, se cancelará en dos cuotas del 30% cada una de acuerdo al avance del proyecto, realizando amortización del anticipo. </w:t>
      </w:r>
      <w:r w:rsidR="00695214" w:rsidRPr="00695214">
        <w:rPr>
          <w:rFonts w:ascii="Arial" w:eastAsia="Tahoma" w:hAnsi="Arial" w:cs="Arial"/>
        </w:rPr>
        <w:t>El contratista deberá presentar: informe de actividades, recibo a satisfacción expedido por el supervisor del contrato y acreditar el cumplimiento de las obligaciones según lo dispuesto en el artículo 23 de la Ley 1150 de 2007 sobre el pago de las obligaciones de seguridad social Integral (Salud, Pensión y ARL).</w:t>
      </w:r>
    </w:p>
    <w:bookmarkEnd w:id="4"/>
    <w:p w14:paraId="676DF683" w14:textId="4239BB7E" w:rsidR="004A5328" w:rsidRPr="0094452D" w:rsidRDefault="004A5328" w:rsidP="0094452D">
      <w:pPr>
        <w:pStyle w:val="Prrafodelista"/>
        <w:numPr>
          <w:ilvl w:val="0"/>
          <w:numId w:val="19"/>
        </w:numPr>
        <w:spacing w:line="276" w:lineRule="auto"/>
        <w:jc w:val="both"/>
        <w:rPr>
          <w:rFonts w:ascii="Arial" w:eastAsia="Tahoma" w:hAnsi="Arial" w:cs="Arial"/>
          <w:b/>
        </w:rPr>
      </w:pPr>
      <w:r w:rsidRPr="0094452D">
        <w:rPr>
          <w:rFonts w:ascii="Arial" w:eastAsia="Tahoma" w:hAnsi="Arial" w:cs="Arial"/>
          <w:b/>
        </w:rPr>
        <w:t>ANÁLISIS TÉCNICO</w:t>
      </w:r>
    </w:p>
    <w:p w14:paraId="619129B8" w14:textId="77777777" w:rsidR="001E75ED" w:rsidRPr="001E75ED" w:rsidRDefault="001E75ED" w:rsidP="001E75ED">
      <w:pPr>
        <w:spacing w:after="200" w:line="276" w:lineRule="auto"/>
        <w:rPr>
          <w:rFonts w:ascii="Arial" w:hAnsi="Arial" w:cs="Arial"/>
          <w:b/>
          <w:bCs/>
        </w:rPr>
      </w:pPr>
      <w:r w:rsidRPr="001E75ED">
        <w:rPr>
          <w:rFonts w:ascii="Arial" w:hAnsi="Arial" w:cs="Arial"/>
          <w:b/>
          <w:bCs/>
        </w:rPr>
        <w:t>Obligaciones Especificas:</w:t>
      </w:r>
    </w:p>
    <w:p w14:paraId="2FC83DC2" w14:textId="77777777" w:rsidR="00695214" w:rsidRDefault="00695214" w:rsidP="00695214">
      <w:pPr>
        <w:pStyle w:val="Prrafodelista"/>
        <w:numPr>
          <w:ilvl w:val="0"/>
          <w:numId w:val="24"/>
        </w:numPr>
        <w:spacing w:after="200" w:line="278" w:lineRule="auto"/>
        <w:jc w:val="both"/>
        <w:rPr>
          <w:rFonts w:ascii="Arial Narrow" w:hAnsi="Arial Narrow"/>
          <w:sz w:val="24"/>
          <w:szCs w:val="24"/>
        </w:rPr>
      </w:pPr>
      <w:r w:rsidRPr="00B6255C">
        <w:rPr>
          <w:rFonts w:ascii="Arial Narrow" w:hAnsi="Arial Narrow"/>
          <w:sz w:val="24"/>
          <w:szCs w:val="24"/>
        </w:rPr>
        <w:t>Desarrollar una estrategia de emprendimiento inclusivo para personas con discapacidad y sus cuidadores en San Jacinto, que promueva la generación de ingresos, el desarrollo de habilidades y la inclusión social y económica, mejorando su calidad de vida y participación ciudadana.</w:t>
      </w:r>
    </w:p>
    <w:p w14:paraId="2FF6164A" w14:textId="77777777" w:rsidR="00695214" w:rsidRDefault="00695214" w:rsidP="00695214">
      <w:pPr>
        <w:pStyle w:val="Prrafodelista"/>
        <w:numPr>
          <w:ilvl w:val="0"/>
          <w:numId w:val="24"/>
        </w:numPr>
        <w:spacing w:after="200" w:line="278" w:lineRule="auto"/>
        <w:jc w:val="both"/>
        <w:rPr>
          <w:rFonts w:ascii="Arial Narrow" w:hAnsi="Arial Narrow"/>
          <w:sz w:val="24"/>
          <w:szCs w:val="24"/>
        </w:rPr>
      </w:pPr>
      <w:r w:rsidRPr="00B6255C">
        <w:rPr>
          <w:rFonts w:ascii="Arial Narrow" w:hAnsi="Arial Narrow"/>
          <w:sz w:val="24"/>
          <w:szCs w:val="24"/>
        </w:rPr>
        <w:t xml:space="preserve">Fortalecer capacidades emprendedoras y habilidades blandas de personas con discapacidad y sus cuidadores. </w:t>
      </w:r>
    </w:p>
    <w:p w14:paraId="0EC1F46B" w14:textId="77777777" w:rsidR="00695214" w:rsidRDefault="00695214" w:rsidP="00695214">
      <w:pPr>
        <w:pStyle w:val="Prrafodelista"/>
        <w:numPr>
          <w:ilvl w:val="0"/>
          <w:numId w:val="24"/>
        </w:numPr>
        <w:spacing w:after="200" w:line="278" w:lineRule="auto"/>
        <w:jc w:val="both"/>
        <w:rPr>
          <w:rFonts w:ascii="Arial Narrow" w:hAnsi="Arial Narrow"/>
          <w:sz w:val="24"/>
          <w:szCs w:val="24"/>
        </w:rPr>
      </w:pPr>
      <w:r w:rsidRPr="00B6255C">
        <w:rPr>
          <w:rFonts w:ascii="Arial Narrow" w:hAnsi="Arial Narrow"/>
          <w:sz w:val="24"/>
          <w:szCs w:val="24"/>
        </w:rPr>
        <w:t xml:space="preserve">Implementar unidades productivas adaptadas, sostenibles y viables económicamente. </w:t>
      </w:r>
    </w:p>
    <w:p w14:paraId="41CA770D" w14:textId="77777777" w:rsidR="00695214" w:rsidRDefault="00695214" w:rsidP="00695214">
      <w:pPr>
        <w:pStyle w:val="Prrafodelista"/>
        <w:numPr>
          <w:ilvl w:val="0"/>
          <w:numId w:val="24"/>
        </w:numPr>
        <w:spacing w:after="200" w:line="278" w:lineRule="auto"/>
        <w:jc w:val="both"/>
        <w:rPr>
          <w:rFonts w:ascii="Arial Narrow" w:hAnsi="Arial Narrow"/>
          <w:sz w:val="24"/>
          <w:szCs w:val="24"/>
        </w:rPr>
      </w:pPr>
      <w:r>
        <w:rPr>
          <w:rFonts w:ascii="Arial Narrow" w:hAnsi="Arial Narrow"/>
          <w:sz w:val="24"/>
          <w:szCs w:val="24"/>
        </w:rPr>
        <w:t xml:space="preserve">Capacitar y apoyar en la creación de </w:t>
      </w:r>
      <w:r w:rsidRPr="00B6255C">
        <w:rPr>
          <w:rFonts w:ascii="Arial Narrow" w:hAnsi="Arial Narrow"/>
          <w:sz w:val="24"/>
          <w:szCs w:val="24"/>
        </w:rPr>
        <w:t xml:space="preserve">redes locales de comercialización solidaria y promoción del consumo responsable e inclusivo. </w:t>
      </w:r>
    </w:p>
    <w:p w14:paraId="0F4600D2" w14:textId="77777777" w:rsidR="00695214" w:rsidRDefault="00695214" w:rsidP="00695214">
      <w:pPr>
        <w:pStyle w:val="Prrafodelista"/>
        <w:numPr>
          <w:ilvl w:val="0"/>
          <w:numId w:val="24"/>
        </w:numPr>
        <w:spacing w:after="200" w:line="278" w:lineRule="auto"/>
        <w:jc w:val="both"/>
        <w:rPr>
          <w:rFonts w:ascii="Arial Narrow" w:hAnsi="Arial Narrow"/>
          <w:sz w:val="24"/>
          <w:szCs w:val="24"/>
        </w:rPr>
      </w:pPr>
      <w:r w:rsidRPr="00B6255C">
        <w:rPr>
          <w:rFonts w:ascii="Arial Narrow" w:hAnsi="Arial Narrow"/>
          <w:sz w:val="24"/>
          <w:szCs w:val="24"/>
        </w:rPr>
        <w:t>Sensibilizar a la comunidad sobre los derechos y potencial productivo de las personas con discapacidad</w:t>
      </w:r>
      <w:r>
        <w:rPr>
          <w:rFonts w:ascii="Arial Narrow" w:hAnsi="Arial Narrow"/>
          <w:sz w:val="24"/>
          <w:szCs w:val="24"/>
        </w:rPr>
        <w:t xml:space="preserve"> y sus cuidadores. </w:t>
      </w:r>
    </w:p>
    <w:p w14:paraId="0B9A3CA1" w14:textId="77777777" w:rsidR="00695214" w:rsidRDefault="00695214" w:rsidP="00695214">
      <w:pPr>
        <w:pStyle w:val="Prrafodelista"/>
        <w:numPr>
          <w:ilvl w:val="0"/>
          <w:numId w:val="24"/>
        </w:numPr>
        <w:spacing w:after="200" w:line="278" w:lineRule="auto"/>
        <w:jc w:val="both"/>
        <w:rPr>
          <w:rFonts w:ascii="Arial Narrow" w:hAnsi="Arial Narrow"/>
          <w:sz w:val="24"/>
          <w:szCs w:val="24"/>
        </w:rPr>
      </w:pPr>
      <w:r>
        <w:rPr>
          <w:rFonts w:ascii="Arial Narrow" w:hAnsi="Arial Narrow"/>
          <w:sz w:val="24"/>
          <w:szCs w:val="24"/>
        </w:rPr>
        <w:t xml:space="preserve">Fortalecer y realizar acompañamiento técnico </w:t>
      </w:r>
      <w:r w:rsidRPr="00B6255C">
        <w:rPr>
          <w:rFonts w:ascii="Arial Narrow" w:hAnsi="Arial Narrow"/>
          <w:sz w:val="24"/>
          <w:szCs w:val="24"/>
        </w:rPr>
        <w:t>y psicosocial</w:t>
      </w:r>
      <w:r>
        <w:rPr>
          <w:rFonts w:ascii="Arial Narrow" w:hAnsi="Arial Narrow"/>
          <w:sz w:val="24"/>
          <w:szCs w:val="24"/>
        </w:rPr>
        <w:t xml:space="preserve"> en </w:t>
      </w:r>
      <w:r w:rsidRPr="00B6255C">
        <w:rPr>
          <w:rFonts w:ascii="Arial Narrow" w:hAnsi="Arial Narrow"/>
          <w:sz w:val="24"/>
          <w:szCs w:val="24"/>
        </w:rPr>
        <w:t>los procesos</w:t>
      </w:r>
      <w:r>
        <w:rPr>
          <w:rFonts w:ascii="Arial Narrow" w:hAnsi="Arial Narrow"/>
          <w:sz w:val="24"/>
          <w:szCs w:val="24"/>
        </w:rPr>
        <w:t xml:space="preserve"> de</w:t>
      </w:r>
      <w:r w:rsidRPr="00B6255C">
        <w:rPr>
          <w:rFonts w:ascii="Arial Narrow" w:hAnsi="Arial Narrow"/>
          <w:sz w:val="24"/>
          <w:szCs w:val="24"/>
        </w:rPr>
        <w:t xml:space="preserve"> emprendedores durante y después del proyecto.</w:t>
      </w:r>
    </w:p>
    <w:p w14:paraId="371492C7" w14:textId="77777777" w:rsidR="00695214" w:rsidRPr="00107EC6" w:rsidRDefault="00695214" w:rsidP="00695214">
      <w:pPr>
        <w:pStyle w:val="Prrafodelista"/>
        <w:numPr>
          <w:ilvl w:val="0"/>
          <w:numId w:val="24"/>
        </w:numPr>
        <w:spacing w:after="200" w:line="276" w:lineRule="auto"/>
        <w:jc w:val="both"/>
        <w:rPr>
          <w:rFonts w:ascii="Arial Narrow" w:hAnsi="Arial Narrow"/>
          <w:sz w:val="24"/>
          <w:szCs w:val="24"/>
        </w:rPr>
      </w:pPr>
      <w:r w:rsidRPr="00107EC6">
        <w:rPr>
          <w:rFonts w:ascii="Arial Narrow" w:hAnsi="Arial Narrow"/>
          <w:sz w:val="24"/>
          <w:szCs w:val="24"/>
        </w:rPr>
        <w:t>Fortalecer e implementar un componente educativo y de sensibilización en las personas en condición de discapacidad y sus cuidadores.</w:t>
      </w:r>
    </w:p>
    <w:p w14:paraId="2B4FAF2A" w14:textId="77777777" w:rsidR="00695214" w:rsidRPr="00107EC6" w:rsidRDefault="00695214" w:rsidP="00695214">
      <w:pPr>
        <w:pStyle w:val="Prrafodelista"/>
        <w:numPr>
          <w:ilvl w:val="0"/>
          <w:numId w:val="24"/>
        </w:numPr>
        <w:spacing w:after="200" w:line="276" w:lineRule="auto"/>
        <w:jc w:val="both"/>
        <w:rPr>
          <w:rFonts w:ascii="Arial Narrow" w:hAnsi="Arial Narrow"/>
          <w:sz w:val="24"/>
          <w:szCs w:val="24"/>
        </w:rPr>
      </w:pPr>
      <w:r w:rsidRPr="00107EC6">
        <w:rPr>
          <w:rFonts w:ascii="Arial Narrow" w:hAnsi="Arial Narrow"/>
          <w:sz w:val="24"/>
          <w:szCs w:val="24"/>
        </w:rPr>
        <w:t>Contribuir a la independencia socioeconómica de la persona con discapacidad, a través del proceso enseñanza – aprendizaje de las garantías que trae la política pública de discapacidad.</w:t>
      </w:r>
    </w:p>
    <w:p w14:paraId="2AFFB40D" w14:textId="77777777" w:rsidR="00695214" w:rsidRPr="00107EC6" w:rsidRDefault="00695214" w:rsidP="00695214">
      <w:pPr>
        <w:pStyle w:val="Prrafodelista"/>
        <w:numPr>
          <w:ilvl w:val="0"/>
          <w:numId w:val="24"/>
        </w:numPr>
        <w:spacing w:after="200" w:line="276" w:lineRule="auto"/>
        <w:jc w:val="both"/>
        <w:rPr>
          <w:rFonts w:ascii="Arial Narrow" w:hAnsi="Arial Narrow"/>
          <w:sz w:val="24"/>
          <w:szCs w:val="24"/>
        </w:rPr>
      </w:pPr>
      <w:r w:rsidRPr="00107EC6">
        <w:rPr>
          <w:rFonts w:ascii="Arial Narrow" w:hAnsi="Arial Narrow"/>
          <w:sz w:val="24"/>
          <w:szCs w:val="24"/>
        </w:rPr>
        <w:lastRenderedPageBreak/>
        <w:t>Potenciar el funcionamiento del Comité Municipal de Discapacidad - CMD como órgano rector que garantiza la conexión entre la aplicación de las políticas públicas de discapacidad, y las comunidades de personas con discapacidad</w:t>
      </w:r>
      <w:r>
        <w:rPr>
          <w:rFonts w:ascii="Arial Narrow" w:hAnsi="Arial Narrow"/>
          <w:sz w:val="24"/>
          <w:szCs w:val="24"/>
        </w:rPr>
        <w:t xml:space="preserve">. </w:t>
      </w:r>
    </w:p>
    <w:p w14:paraId="69F2C5C5" w14:textId="0E61762B" w:rsidR="004A5328" w:rsidRPr="00E97EE3" w:rsidRDefault="004A5328" w:rsidP="00E97EE3">
      <w:pPr>
        <w:spacing w:line="276" w:lineRule="auto"/>
        <w:jc w:val="both"/>
        <w:rPr>
          <w:rFonts w:ascii="Arial" w:eastAsia="Tahoma" w:hAnsi="Arial" w:cs="Arial"/>
          <w:b/>
        </w:rPr>
      </w:pPr>
      <w:r w:rsidRPr="00E97EE3">
        <w:rPr>
          <w:rFonts w:ascii="Arial" w:eastAsia="Tahoma" w:hAnsi="Arial" w:cs="Arial"/>
        </w:rPr>
        <w:t>b)</w:t>
      </w:r>
      <w:r w:rsidRPr="00E97EE3">
        <w:rPr>
          <w:rFonts w:ascii="Arial" w:eastAsia="Tahoma" w:hAnsi="Arial" w:cs="Arial"/>
        </w:rPr>
        <w:tab/>
      </w:r>
      <w:r w:rsidRPr="00E97EE3">
        <w:rPr>
          <w:rFonts w:ascii="Arial" w:eastAsia="Tahoma" w:hAnsi="Arial" w:cs="Arial"/>
          <w:b/>
        </w:rPr>
        <w:t>PARAMETRIZACIÓN DEL VALOR:</w:t>
      </w:r>
    </w:p>
    <w:p w14:paraId="2CDD4292" w14:textId="77777777" w:rsidR="004A5328" w:rsidRPr="00E97EE3" w:rsidRDefault="004A5328" w:rsidP="00E97EE3">
      <w:pPr>
        <w:spacing w:line="276" w:lineRule="auto"/>
        <w:jc w:val="both"/>
        <w:rPr>
          <w:rFonts w:ascii="Arial" w:eastAsia="Tahoma" w:hAnsi="Arial" w:cs="Arial"/>
        </w:rPr>
      </w:pPr>
      <w:r w:rsidRPr="00E97EE3">
        <w:rPr>
          <w:rFonts w:ascii="Arial" w:eastAsia="Tahoma" w:hAnsi="Arial" w:cs="Arial"/>
        </w:rPr>
        <w:t>Es necesario establecer el valor sujeto al alcance de las actuaciones llevadas a cabo en la entidad y los subprocesos derivados de estas. Esto implica una conciencia administrativa respecto a la ejecución de los procesos que serán liderados desde la aplicación. Se debe considerar el número de usuarios que interactuaron en la plataforma y la secuencia de necesidades que puedan surgir. Luego de realizar un análisis técnico y económico para su determinación.</w:t>
      </w:r>
    </w:p>
    <w:p w14:paraId="65003D12" w14:textId="77777777" w:rsidR="0094452D" w:rsidRDefault="0094452D" w:rsidP="0094452D">
      <w:pPr>
        <w:spacing w:before="202" w:line="276" w:lineRule="auto"/>
        <w:ind w:right="72"/>
        <w:rPr>
          <w:rFonts w:ascii="Arial" w:eastAsia="Tahoma" w:hAnsi="Arial" w:cs="Arial"/>
          <w:b/>
        </w:rPr>
      </w:pPr>
    </w:p>
    <w:p w14:paraId="7DF480C3" w14:textId="3DC6FA50" w:rsidR="004A5328" w:rsidRPr="0094452D" w:rsidRDefault="004A5328" w:rsidP="0094452D">
      <w:pPr>
        <w:pStyle w:val="Prrafodelista"/>
        <w:numPr>
          <w:ilvl w:val="0"/>
          <w:numId w:val="19"/>
        </w:numPr>
        <w:spacing w:before="202" w:line="276" w:lineRule="auto"/>
        <w:ind w:right="72"/>
        <w:rPr>
          <w:rFonts w:ascii="Arial" w:eastAsia="Tahoma" w:hAnsi="Arial" w:cs="Arial"/>
          <w:b/>
        </w:rPr>
      </w:pPr>
      <w:r w:rsidRPr="0094452D">
        <w:rPr>
          <w:rFonts w:ascii="Arial" w:eastAsia="Tahoma" w:hAnsi="Arial" w:cs="Arial"/>
          <w:b/>
        </w:rPr>
        <w:t>ANÁLISIS DE RIESGOS.</w:t>
      </w:r>
    </w:p>
    <w:p w14:paraId="27FCAD48" w14:textId="77777777" w:rsidR="004A5328" w:rsidRPr="00E97EE3" w:rsidRDefault="004A5328" w:rsidP="00E97EE3">
      <w:pPr>
        <w:spacing w:before="202" w:line="276" w:lineRule="auto"/>
        <w:ind w:right="72"/>
        <w:jc w:val="center"/>
        <w:rPr>
          <w:rFonts w:ascii="Arial" w:eastAsia="Tahoma" w:hAnsi="Arial" w:cs="Arial"/>
          <w:b/>
        </w:rPr>
      </w:pPr>
      <w:r w:rsidRPr="00E97EE3">
        <w:rPr>
          <w:rFonts w:ascii="Arial" w:eastAsia="Tahoma" w:hAnsi="Arial" w:cs="Arial"/>
          <w:b/>
          <w:noProof/>
        </w:rPr>
        <w:drawing>
          <wp:inline distT="0" distB="0" distL="0" distR="0" wp14:anchorId="4751B17C" wp14:editId="2412B37F">
            <wp:extent cx="4343058" cy="328513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l="29016" t="28931" r="28772" b="19984"/>
                    <a:stretch>
                      <a:fillRect/>
                    </a:stretch>
                  </pic:blipFill>
                  <pic:spPr>
                    <a:xfrm>
                      <a:off x="0" y="0"/>
                      <a:ext cx="4343058" cy="3285130"/>
                    </a:xfrm>
                    <a:prstGeom prst="rect">
                      <a:avLst/>
                    </a:prstGeom>
                    <a:ln/>
                  </pic:spPr>
                </pic:pic>
              </a:graphicData>
            </a:graphic>
          </wp:inline>
        </w:drawing>
      </w:r>
    </w:p>
    <w:p w14:paraId="23906120" w14:textId="77777777" w:rsidR="004A5328" w:rsidRPr="00E97EE3" w:rsidRDefault="004A5328" w:rsidP="00B04F2E">
      <w:pPr>
        <w:spacing w:before="202" w:line="276" w:lineRule="auto"/>
        <w:ind w:right="72"/>
        <w:jc w:val="both"/>
        <w:rPr>
          <w:rFonts w:ascii="Arial" w:eastAsia="Tahoma" w:hAnsi="Arial" w:cs="Arial"/>
        </w:rPr>
      </w:pPr>
      <w:r w:rsidRPr="00E97EE3">
        <w:rPr>
          <w:rFonts w:ascii="Arial" w:eastAsia="Tahoma" w:hAnsi="Arial" w:cs="Arial"/>
          <w:b/>
        </w:rPr>
        <w:t>ANÁLISIS DEL RIESGO</w:t>
      </w:r>
      <w:r w:rsidRPr="00E97EE3">
        <w:rPr>
          <w:rFonts w:ascii="Arial" w:eastAsia="Tahoma" w:hAnsi="Arial" w:cs="Arial"/>
        </w:rPr>
        <w:t xml:space="preserve"> De conformidad con lo dispuesto por el artículo 4 de la Ley 1150 de 2007 y el artículo 2.2.1.1.1.6.3 del Decreto 1082 de 2015, en el presente proceso de contratación la entidad ha evaluado el riesgo que representa para el cumplimiento de sus metas y objetivos, basándose en las reglas contenidas en el manual para la identificación y cobertura del riesgo en los procesos de contratación versión 1, expedido por Colombia Compra Eficiente, así: </w:t>
      </w:r>
    </w:p>
    <w:p w14:paraId="18EF593B" w14:textId="77777777" w:rsidR="004A5328" w:rsidRPr="00E97EE3"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E97EE3">
        <w:rPr>
          <w:rFonts w:ascii="Arial" w:eastAsia="Tahoma" w:hAnsi="Arial" w:cs="Arial"/>
        </w:rPr>
        <w:t xml:space="preserve">La Alcaldía </w:t>
      </w:r>
      <w:proofErr w:type="gramStart"/>
      <w:r w:rsidRPr="00E97EE3">
        <w:rPr>
          <w:rFonts w:ascii="Arial" w:eastAsia="Tahoma" w:hAnsi="Arial" w:cs="Arial"/>
        </w:rPr>
        <w:t>municipal  en</w:t>
      </w:r>
      <w:proofErr w:type="gramEnd"/>
      <w:r w:rsidRPr="00E97EE3">
        <w:rPr>
          <w:rFonts w:ascii="Arial" w:eastAsia="Tahoma" w:hAnsi="Arial" w:cs="Arial"/>
        </w:rPr>
        <w:t xml:space="preserve"> cumplimiento de la función pública asignada, no se evidencia un evento adverso frente a las condiciones políticas actuales, teniendo en cuenta que se cuenta con las herramientas legales necesarias para llevar a cabo no sólo el proceso de la contratación sino también la ejecución misma del contrato, sin verse afectado por cambios de políticas gubernamentales. No obstante, puede presentarse una directriz expedida por el gobierno nacional que reglamente aspectos nuevos de la normatividad o no existentes en ella. </w:t>
      </w:r>
    </w:p>
    <w:p w14:paraId="313EDE90" w14:textId="57B580C3" w:rsidR="004A5328" w:rsidRPr="00E97EE3"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E97EE3">
        <w:rPr>
          <w:rFonts w:ascii="Arial" w:eastAsia="Tahoma" w:hAnsi="Arial" w:cs="Arial"/>
        </w:rPr>
        <w:t xml:space="preserve">Los factores ambientales. La alcaldía en cumplimiento de la función pública asignada, servicios que son alojados en un data center de alta tecnología que cumpla con todos los estándares para su buen funcionamiento, es decir, son servicios, por lo cual no se observa un evento adverso que genere un impacto directo en el medio ambiente, por lo </w:t>
      </w:r>
      <w:r w:rsidRPr="00E97EE3">
        <w:rPr>
          <w:rFonts w:ascii="Arial" w:eastAsia="Tahoma" w:hAnsi="Arial" w:cs="Arial"/>
        </w:rPr>
        <w:lastRenderedPageBreak/>
        <w:t xml:space="preserve">cual no hay necesidad de iniciar para el proceso de selección y la posterior ejecución del objeto del contrato, estudio, licencias o permisos en materia ambiental. </w:t>
      </w:r>
    </w:p>
    <w:p w14:paraId="53ED01A5" w14:textId="54426640" w:rsidR="004A5328" w:rsidRPr="00E97EE3" w:rsidRDefault="004A5328" w:rsidP="00B04F2E">
      <w:pPr>
        <w:numPr>
          <w:ilvl w:val="0"/>
          <w:numId w:val="2"/>
        </w:numPr>
        <w:pBdr>
          <w:top w:val="nil"/>
          <w:left w:val="nil"/>
          <w:bottom w:val="nil"/>
          <w:right w:val="nil"/>
          <w:between w:val="nil"/>
        </w:pBdr>
        <w:spacing w:line="276" w:lineRule="auto"/>
        <w:ind w:right="72"/>
        <w:jc w:val="both"/>
        <w:rPr>
          <w:rFonts w:ascii="Arial" w:eastAsia="Tahoma" w:hAnsi="Arial" w:cs="Arial"/>
        </w:rPr>
      </w:pPr>
      <w:r w:rsidRPr="00E97EE3">
        <w:rPr>
          <w:rFonts w:ascii="Arial" w:eastAsia="Tahoma" w:hAnsi="Arial" w:cs="Arial"/>
        </w:rPr>
        <w:t xml:space="preserve">La </w:t>
      </w:r>
      <w:r w:rsidR="00A13850" w:rsidRPr="00E97EE3">
        <w:rPr>
          <w:rFonts w:ascii="Arial" w:eastAsia="Tahoma" w:hAnsi="Arial" w:cs="Arial"/>
          <w:b/>
        </w:rPr>
        <w:t>ALCALDÍA MUNICIPAL DE SAN JACINTO</w:t>
      </w:r>
      <w:r w:rsidR="00B04F2E">
        <w:rPr>
          <w:rFonts w:ascii="Arial" w:eastAsia="Tahoma" w:hAnsi="Arial" w:cs="Arial"/>
          <w:b/>
        </w:rPr>
        <w:t xml:space="preserve">, </w:t>
      </w:r>
      <w:r w:rsidR="00A13850" w:rsidRPr="00E97EE3">
        <w:rPr>
          <w:rFonts w:ascii="Arial" w:eastAsia="Tahoma" w:hAnsi="Arial" w:cs="Arial"/>
          <w:b/>
        </w:rPr>
        <w:t>BOLÍVAR</w:t>
      </w:r>
      <w:r w:rsidR="00A13850" w:rsidRPr="00E97EE3">
        <w:rPr>
          <w:rFonts w:ascii="Arial" w:eastAsia="Tahoma" w:hAnsi="Arial" w:cs="Arial"/>
        </w:rPr>
        <w:t xml:space="preserve"> </w:t>
      </w:r>
      <w:r w:rsidRPr="00E97EE3">
        <w:rPr>
          <w:rFonts w:ascii="Arial" w:eastAsia="Tahoma" w:hAnsi="Arial" w:cs="Arial"/>
        </w:rPr>
        <w:t xml:space="preserve">en cumplimiento de la función pública asignada ha llevado a cabo sus procesos de contratación para con objeto similar para el funcionamiento de la entidad con un resultado satisfactorio. Y de las contrataciones realizadas en años anteriores, no se han observado eventos adversos de incumplimiento por parte de los contratistas seleccionados. En virtud de lo anterior, no se han aplicado instrumentos legales de conminación al cumplimiento de obligaciones ni las cláusulas excepcionales pactadas. </w:t>
      </w:r>
    </w:p>
    <w:p w14:paraId="4664EDC9" w14:textId="77777777" w:rsidR="004A5328" w:rsidRPr="00E97EE3" w:rsidRDefault="004A5328" w:rsidP="00B04F2E">
      <w:pPr>
        <w:spacing w:before="202" w:line="276" w:lineRule="auto"/>
        <w:ind w:right="72"/>
        <w:jc w:val="both"/>
        <w:rPr>
          <w:rFonts w:ascii="Arial" w:eastAsia="Tahoma" w:hAnsi="Arial" w:cs="Arial"/>
        </w:rPr>
      </w:pPr>
      <w:r w:rsidRPr="00E97EE3">
        <w:rPr>
          <w:rFonts w:ascii="Arial" w:eastAsia="Tahoma" w:hAnsi="Arial" w:cs="Arial"/>
        </w:rPr>
        <w:t>De acuerdo con lo previsto en el artículo 4º de la Ley 1150 de 2007, el artículo 2.2.1.1.1.6.3 del Decreto 1082 de 2015, los lineamientos del manual de riesgos expedido por Colombia Compra Eficiente y el CONPES 3714 de 2011, esta entidad ha definido como riesgos dentro de la ejecución del presente proceso de contratación los siguientes riesgos:</w:t>
      </w:r>
    </w:p>
    <w:tbl>
      <w:tblPr>
        <w:tblW w:w="9346" w:type="dxa"/>
        <w:jc w:val="center"/>
        <w:tblLayout w:type="fixed"/>
        <w:tblLook w:val="0400" w:firstRow="0" w:lastRow="0" w:firstColumn="0" w:lastColumn="0" w:noHBand="0" w:noVBand="1"/>
      </w:tblPr>
      <w:tblGrid>
        <w:gridCol w:w="334"/>
        <w:gridCol w:w="520"/>
        <w:gridCol w:w="525"/>
        <w:gridCol w:w="570"/>
        <w:gridCol w:w="570"/>
        <w:gridCol w:w="2865"/>
        <w:gridCol w:w="1694"/>
        <w:gridCol w:w="466"/>
        <w:gridCol w:w="510"/>
        <w:gridCol w:w="754"/>
        <w:gridCol w:w="538"/>
      </w:tblGrid>
      <w:tr w:rsidR="004A5328" w:rsidRPr="004A5328" w14:paraId="1FADA3D2" w14:textId="77777777" w:rsidTr="00A13850">
        <w:trPr>
          <w:cantSplit/>
          <w:trHeight w:val="772"/>
          <w:tblHeader/>
          <w:jc w:val="center"/>
        </w:trPr>
        <w:tc>
          <w:tcPr>
            <w:tcW w:w="334" w:type="dxa"/>
            <w:tcBorders>
              <w:top w:val="single" w:sz="4" w:space="0" w:color="000000"/>
              <w:left w:val="single" w:sz="8" w:space="0" w:color="000000"/>
              <w:bottom w:val="single" w:sz="8" w:space="0" w:color="000000"/>
              <w:right w:val="single" w:sz="8" w:space="0" w:color="000000"/>
            </w:tcBorders>
            <w:shd w:val="clear" w:color="auto" w:fill="auto"/>
          </w:tcPr>
          <w:p w14:paraId="2902FF81" w14:textId="116993E5"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No.</w:t>
            </w:r>
          </w:p>
        </w:tc>
        <w:tc>
          <w:tcPr>
            <w:tcW w:w="520" w:type="dxa"/>
            <w:tcBorders>
              <w:top w:val="single" w:sz="4" w:space="0" w:color="000000"/>
              <w:left w:val="single" w:sz="8" w:space="0" w:color="000000"/>
              <w:bottom w:val="single" w:sz="8" w:space="0" w:color="000000"/>
              <w:right w:val="single" w:sz="8" w:space="0" w:color="000000"/>
            </w:tcBorders>
            <w:shd w:val="clear" w:color="auto" w:fill="auto"/>
          </w:tcPr>
          <w:p w14:paraId="7310B647"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Clase</w:t>
            </w:r>
          </w:p>
        </w:tc>
        <w:tc>
          <w:tcPr>
            <w:tcW w:w="525" w:type="dxa"/>
            <w:tcBorders>
              <w:top w:val="single" w:sz="4" w:space="0" w:color="000000"/>
              <w:left w:val="single" w:sz="8" w:space="0" w:color="000000"/>
              <w:bottom w:val="single" w:sz="8" w:space="0" w:color="000000"/>
              <w:right w:val="single" w:sz="8" w:space="0" w:color="000000"/>
            </w:tcBorders>
            <w:shd w:val="clear" w:color="auto" w:fill="auto"/>
          </w:tcPr>
          <w:p w14:paraId="632DA765"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Fuente</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697BB338"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Etapa</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499749E7"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Tipo</w:t>
            </w:r>
          </w:p>
        </w:tc>
        <w:tc>
          <w:tcPr>
            <w:tcW w:w="2865" w:type="dxa"/>
            <w:tcBorders>
              <w:top w:val="single" w:sz="4" w:space="0" w:color="000000"/>
              <w:bottom w:val="single" w:sz="8" w:space="0" w:color="000000"/>
              <w:right w:val="single" w:sz="8" w:space="0" w:color="000000"/>
            </w:tcBorders>
            <w:shd w:val="clear" w:color="auto" w:fill="auto"/>
          </w:tcPr>
          <w:p w14:paraId="4BFB0599"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DESCRIPCIÓN</w:t>
            </w:r>
          </w:p>
          <w:p w14:paraId="7812A0E3"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(Qué puede pasar y cómo puede ocurrir)</w:t>
            </w:r>
          </w:p>
        </w:tc>
        <w:tc>
          <w:tcPr>
            <w:tcW w:w="1694" w:type="dxa"/>
            <w:tcBorders>
              <w:top w:val="single" w:sz="4" w:space="0" w:color="000000"/>
              <w:left w:val="single" w:sz="8" w:space="0" w:color="000000"/>
              <w:bottom w:val="single" w:sz="8" w:space="0" w:color="000000"/>
              <w:right w:val="single" w:sz="8" w:space="0" w:color="000000"/>
            </w:tcBorders>
            <w:shd w:val="clear" w:color="auto" w:fill="auto"/>
          </w:tcPr>
          <w:p w14:paraId="7DB30A4A"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Consecuencia de la ocurrencia del evento</w:t>
            </w:r>
          </w:p>
        </w:tc>
        <w:tc>
          <w:tcPr>
            <w:tcW w:w="466" w:type="dxa"/>
            <w:tcBorders>
              <w:top w:val="single" w:sz="4" w:space="0" w:color="000000"/>
              <w:left w:val="single" w:sz="8" w:space="0" w:color="000000"/>
              <w:bottom w:val="single" w:sz="8" w:space="0" w:color="000000"/>
              <w:right w:val="single" w:sz="8" w:space="0" w:color="000000"/>
            </w:tcBorders>
            <w:shd w:val="clear" w:color="auto" w:fill="auto"/>
          </w:tcPr>
          <w:p w14:paraId="589EB364"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Probabilidad</w:t>
            </w:r>
          </w:p>
        </w:tc>
        <w:tc>
          <w:tcPr>
            <w:tcW w:w="510" w:type="dxa"/>
            <w:tcBorders>
              <w:top w:val="single" w:sz="4" w:space="0" w:color="000000"/>
              <w:left w:val="single" w:sz="8" w:space="0" w:color="000000"/>
              <w:bottom w:val="single" w:sz="8" w:space="0" w:color="000000"/>
              <w:right w:val="single" w:sz="8" w:space="0" w:color="000000"/>
            </w:tcBorders>
            <w:shd w:val="clear" w:color="auto" w:fill="auto"/>
          </w:tcPr>
          <w:p w14:paraId="5B54DC91"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Impacto</w:t>
            </w:r>
          </w:p>
        </w:tc>
        <w:tc>
          <w:tcPr>
            <w:tcW w:w="754" w:type="dxa"/>
            <w:tcBorders>
              <w:top w:val="single" w:sz="4" w:space="0" w:color="000000"/>
              <w:left w:val="single" w:sz="8" w:space="0" w:color="000000"/>
              <w:bottom w:val="single" w:sz="8" w:space="0" w:color="000000"/>
              <w:right w:val="single" w:sz="8" w:space="0" w:color="000000"/>
            </w:tcBorders>
            <w:shd w:val="clear" w:color="auto" w:fill="auto"/>
          </w:tcPr>
          <w:p w14:paraId="619E8D53"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Calificación Total</w:t>
            </w:r>
          </w:p>
        </w:tc>
        <w:tc>
          <w:tcPr>
            <w:tcW w:w="538" w:type="dxa"/>
            <w:tcBorders>
              <w:top w:val="single" w:sz="4" w:space="0" w:color="000000"/>
              <w:left w:val="single" w:sz="8" w:space="0" w:color="000000"/>
              <w:bottom w:val="single" w:sz="8" w:space="0" w:color="000000"/>
              <w:right w:val="single" w:sz="8" w:space="0" w:color="000000"/>
            </w:tcBorders>
            <w:shd w:val="clear" w:color="auto" w:fill="auto"/>
          </w:tcPr>
          <w:p w14:paraId="1AA0A38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b/>
                <w:sz w:val="10"/>
                <w:szCs w:val="10"/>
              </w:rPr>
              <w:t>Prioridad</w:t>
            </w:r>
          </w:p>
        </w:tc>
      </w:tr>
      <w:tr w:rsidR="004A5328" w:rsidRPr="004A5328" w14:paraId="33CDD491" w14:textId="77777777" w:rsidTr="00A13850">
        <w:trPr>
          <w:cantSplit/>
          <w:trHeight w:val="860"/>
          <w:jc w:val="center"/>
        </w:trPr>
        <w:tc>
          <w:tcPr>
            <w:tcW w:w="334" w:type="dxa"/>
            <w:tcBorders>
              <w:left w:val="single" w:sz="8" w:space="0" w:color="000000"/>
              <w:bottom w:val="single" w:sz="8" w:space="0" w:color="000000"/>
              <w:right w:val="single" w:sz="8" w:space="0" w:color="000000"/>
            </w:tcBorders>
            <w:shd w:val="clear" w:color="auto" w:fill="FFFFFF"/>
          </w:tcPr>
          <w:p w14:paraId="637270D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1</w:t>
            </w:r>
          </w:p>
        </w:tc>
        <w:tc>
          <w:tcPr>
            <w:tcW w:w="520" w:type="dxa"/>
            <w:tcBorders>
              <w:bottom w:val="single" w:sz="8" w:space="0" w:color="000000"/>
              <w:right w:val="single" w:sz="8" w:space="0" w:color="000000"/>
            </w:tcBorders>
            <w:shd w:val="clear" w:color="auto" w:fill="FFFFFF"/>
          </w:tcPr>
          <w:p w14:paraId="38603290"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5D80903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8" w:space="0" w:color="000000"/>
              <w:right w:val="single" w:sz="8" w:space="0" w:color="000000"/>
            </w:tcBorders>
            <w:shd w:val="clear" w:color="auto" w:fill="FFFFFF"/>
          </w:tcPr>
          <w:p w14:paraId="28292F8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Ejecución</w:t>
            </w:r>
          </w:p>
        </w:tc>
        <w:tc>
          <w:tcPr>
            <w:tcW w:w="570" w:type="dxa"/>
            <w:tcBorders>
              <w:bottom w:val="single" w:sz="8" w:space="0" w:color="000000"/>
              <w:right w:val="single" w:sz="8" w:space="0" w:color="000000"/>
            </w:tcBorders>
            <w:shd w:val="clear" w:color="auto" w:fill="FFFFFF"/>
          </w:tcPr>
          <w:p w14:paraId="4F11F61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7F1A76D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un riesgo, cuando la Información suministrada por el oferente o contratista es errónea o desactualizada.</w:t>
            </w:r>
          </w:p>
        </w:tc>
        <w:tc>
          <w:tcPr>
            <w:tcW w:w="1694" w:type="dxa"/>
            <w:tcBorders>
              <w:bottom w:val="single" w:sz="8" w:space="0" w:color="000000"/>
              <w:right w:val="single" w:sz="8" w:space="0" w:color="000000"/>
            </w:tcBorders>
            <w:shd w:val="clear" w:color="auto" w:fill="FFFFFF"/>
          </w:tcPr>
          <w:p w14:paraId="354F0A6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Puede variar el resultado</w:t>
            </w:r>
          </w:p>
        </w:tc>
        <w:tc>
          <w:tcPr>
            <w:tcW w:w="466" w:type="dxa"/>
            <w:tcBorders>
              <w:bottom w:val="single" w:sz="8" w:space="0" w:color="000000"/>
              <w:right w:val="single" w:sz="8" w:space="0" w:color="000000"/>
            </w:tcBorders>
            <w:shd w:val="clear" w:color="auto" w:fill="FFFFFF"/>
          </w:tcPr>
          <w:p w14:paraId="344FC11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3- Posible</w:t>
            </w:r>
          </w:p>
        </w:tc>
        <w:tc>
          <w:tcPr>
            <w:tcW w:w="510" w:type="dxa"/>
            <w:tcBorders>
              <w:bottom w:val="single" w:sz="8" w:space="0" w:color="000000"/>
              <w:right w:val="single" w:sz="8" w:space="0" w:color="000000"/>
            </w:tcBorders>
            <w:shd w:val="clear" w:color="auto" w:fill="FFFFFF"/>
          </w:tcPr>
          <w:p w14:paraId="72AFE38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Catastrófica</w:t>
            </w:r>
          </w:p>
        </w:tc>
        <w:tc>
          <w:tcPr>
            <w:tcW w:w="754" w:type="dxa"/>
            <w:tcBorders>
              <w:bottom w:val="single" w:sz="8" w:space="0" w:color="000000"/>
              <w:right w:val="single" w:sz="8" w:space="0" w:color="000000"/>
            </w:tcBorders>
            <w:shd w:val="clear" w:color="auto" w:fill="FFFFFF"/>
          </w:tcPr>
          <w:p w14:paraId="60B981A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Extremo</w:t>
            </w:r>
          </w:p>
        </w:tc>
        <w:tc>
          <w:tcPr>
            <w:tcW w:w="538" w:type="dxa"/>
            <w:tcBorders>
              <w:top w:val="single" w:sz="8" w:space="0" w:color="000000"/>
              <w:bottom w:val="single" w:sz="8" w:space="0" w:color="000000"/>
              <w:right w:val="single" w:sz="4" w:space="0" w:color="000000"/>
            </w:tcBorders>
            <w:shd w:val="clear" w:color="auto" w:fill="FFFFFF"/>
          </w:tcPr>
          <w:p w14:paraId="47AF86A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r>
      <w:tr w:rsidR="004A5328" w:rsidRPr="004A5328" w14:paraId="151A4AF5" w14:textId="77777777" w:rsidTr="00A13850">
        <w:trPr>
          <w:cantSplit/>
          <w:trHeight w:val="547"/>
          <w:jc w:val="center"/>
        </w:trPr>
        <w:tc>
          <w:tcPr>
            <w:tcW w:w="334" w:type="dxa"/>
            <w:tcBorders>
              <w:left w:val="single" w:sz="8" w:space="0" w:color="000000"/>
              <w:bottom w:val="single" w:sz="8" w:space="0" w:color="000000"/>
              <w:right w:val="single" w:sz="8" w:space="0" w:color="000000"/>
            </w:tcBorders>
            <w:shd w:val="clear" w:color="auto" w:fill="FFFFFF"/>
          </w:tcPr>
          <w:p w14:paraId="7A6089F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2</w:t>
            </w:r>
          </w:p>
        </w:tc>
        <w:tc>
          <w:tcPr>
            <w:tcW w:w="520" w:type="dxa"/>
            <w:tcBorders>
              <w:bottom w:val="single" w:sz="8" w:space="0" w:color="000000"/>
              <w:right w:val="single" w:sz="8" w:space="0" w:color="000000"/>
            </w:tcBorders>
            <w:shd w:val="clear" w:color="auto" w:fill="FFFFFF"/>
          </w:tcPr>
          <w:p w14:paraId="649A2AB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096581B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Externo</w:t>
            </w:r>
          </w:p>
        </w:tc>
        <w:tc>
          <w:tcPr>
            <w:tcW w:w="570" w:type="dxa"/>
            <w:tcBorders>
              <w:bottom w:val="single" w:sz="8" w:space="0" w:color="000000"/>
              <w:right w:val="single" w:sz="8" w:space="0" w:color="000000"/>
            </w:tcBorders>
            <w:shd w:val="clear" w:color="auto" w:fill="FFFFFF"/>
          </w:tcPr>
          <w:p w14:paraId="162E8ED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Precontractual</w:t>
            </w:r>
          </w:p>
        </w:tc>
        <w:tc>
          <w:tcPr>
            <w:tcW w:w="570" w:type="dxa"/>
            <w:tcBorders>
              <w:bottom w:val="single" w:sz="8" w:space="0" w:color="000000"/>
              <w:right w:val="single" w:sz="8" w:space="0" w:color="000000"/>
            </w:tcBorders>
            <w:shd w:val="clear" w:color="auto" w:fill="FFFFFF"/>
          </w:tcPr>
          <w:p w14:paraId="132AB8E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6903635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el riesgo, cuando el uso o recolección de Información precontractual es errada</w:t>
            </w:r>
          </w:p>
        </w:tc>
        <w:tc>
          <w:tcPr>
            <w:tcW w:w="1694" w:type="dxa"/>
            <w:tcBorders>
              <w:bottom w:val="single" w:sz="8" w:space="0" w:color="000000"/>
              <w:right w:val="single" w:sz="8" w:space="0" w:color="000000"/>
            </w:tcBorders>
            <w:shd w:val="clear" w:color="auto" w:fill="FFFFFF"/>
          </w:tcPr>
          <w:p w14:paraId="42078F2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Inadecuada selección del contratista</w:t>
            </w:r>
          </w:p>
        </w:tc>
        <w:tc>
          <w:tcPr>
            <w:tcW w:w="466" w:type="dxa"/>
            <w:tcBorders>
              <w:bottom w:val="single" w:sz="8" w:space="0" w:color="000000"/>
              <w:right w:val="single" w:sz="8" w:space="0" w:color="000000"/>
            </w:tcBorders>
            <w:shd w:val="clear" w:color="auto" w:fill="FFFFFF"/>
          </w:tcPr>
          <w:p w14:paraId="370C6127"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8" w:space="0" w:color="000000"/>
              <w:right w:val="single" w:sz="8" w:space="0" w:color="000000"/>
            </w:tcBorders>
            <w:shd w:val="clear" w:color="auto" w:fill="FFFFFF"/>
          </w:tcPr>
          <w:p w14:paraId="70F7EAA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8" w:space="0" w:color="000000"/>
              <w:right w:val="single" w:sz="8" w:space="0" w:color="000000"/>
            </w:tcBorders>
            <w:shd w:val="clear" w:color="auto" w:fill="FFFFFF"/>
          </w:tcPr>
          <w:p w14:paraId="71F238E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c>
          <w:tcPr>
            <w:tcW w:w="538" w:type="dxa"/>
            <w:tcBorders>
              <w:top w:val="single" w:sz="8" w:space="0" w:color="000000"/>
              <w:bottom w:val="single" w:sz="8" w:space="0" w:color="000000"/>
              <w:right w:val="single" w:sz="4" w:space="0" w:color="000000"/>
            </w:tcBorders>
            <w:shd w:val="clear" w:color="auto" w:fill="FFFFFF"/>
          </w:tcPr>
          <w:p w14:paraId="747DB1C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Menor</w:t>
            </w:r>
          </w:p>
        </w:tc>
      </w:tr>
      <w:tr w:rsidR="004A5328" w:rsidRPr="004A5328" w14:paraId="2EA7B789" w14:textId="77777777" w:rsidTr="00A13850">
        <w:trPr>
          <w:cantSplit/>
          <w:trHeight w:val="614"/>
          <w:jc w:val="center"/>
        </w:trPr>
        <w:tc>
          <w:tcPr>
            <w:tcW w:w="334" w:type="dxa"/>
            <w:tcBorders>
              <w:left w:val="single" w:sz="8" w:space="0" w:color="000000"/>
              <w:bottom w:val="single" w:sz="4" w:space="0" w:color="000000"/>
              <w:right w:val="single" w:sz="8" w:space="0" w:color="000000"/>
            </w:tcBorders>
            <w:shd w:val="clear" w:color="auto" w:fill="FFFFFF"/>
          </w:tcPr>
          <w:p w14:paraId="2CBA51E0"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3</w:t>
            </w:r>
          </w:p>
        </w:tc>
        <w:tc>
          <w:tcPr>
            <w:tcW w:w="520" w:type="dxa"/>
            <w:tcBorders>
              <w:bottom w:val="single" w:sz="4" w:space="0" w:color="000000"/>
              <w:right w:val="single" w:sz="8" w:space="0" w:color="000000"/>
            </w:tcBorders>
            <w:shd w:val="clear" w:color="auto" w:fill="FFFFFF"/>
          </w:tcPr>
          <w:p w14:paraId="02E3D30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4" w:space="0" w:color="000000"/>
              <w:right w:val="single" w:sz="8" w:space="0" w:color="000000"/>
            </w:tcBorders>
            <w:shd w:val="clear" w:color="auto" w:fill="FFFFFF"/>
          </w:tcPr>
          <w:p w14:paraId="7924309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68609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4B4EE5C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4" w:space="0" w:color="000000"/>
              <w:right w:val="single" w:sz="8" w:space="0" w:color="000000"/>
            </w:tcBorders>
            <w:shd w:val="clear" w:color="auto" w:fill="FFFFFF"/>
          </w:tcPr>
          <w:p w14:paraId="2CD1406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Designar supervisores que no cuentan con conocimientos suficientes para desempeñar la función.</w:t>
            </w:r>
          </w:p>
        </w:tc>
        <w:tc>
          <w:tcPr>
            <w:tcW w:w="1694" w:type="dxa"/>
            <w:tcBorders>
              <w:bottom w:val="single" w:sz="4" w:space="0" w:color="000000"/>
              <w:right w:val="single" w:sz="8" w:space="0" w:color="000000"/>
            </w:tcBorders>
            <w:shd w:val="clear" w:color="auto" w:fill="FFFFFF"/>
          </w:tcPr>
          <w:p w14:paraId="729FC19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Ejecución y supervisión contractual deficiente.</w:t>
            </w:r>
          </w:p>
        </w:tc>
        <w:tc>
          <w:tcPr>
            <w:tcW w:w="466" w:type="dxa"/>
            <w:tcBorders>
              <w:bottom w:val="single" w:sz="4" w:space="0" w:color="000000"/>
              <w:right w:val="single" w:sz="8" w:space="0" w:color="000000"/>
            </w:tcBorders>
            <w:shd w:val="clear" w:color="auto" w:fill="FFFFFF"/>
          </w:tcPr>
          <w:p w14:paraId="75D1F34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126FB52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62856D7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Medio</w:t>
            </w:r>
          </w:p>
        </w:tc>
        <w:tc>
          <w:tcPr>
            <w:tcW w:w="538" w:type="dxa"/>
            <w:tcBorders>
              <w:bottom w:val="single" w:sz="4" w:space="0" w:color="000000"/>
              <w:right w:val="single" w:sz="8" w:space="0" w:color="000000"/>
            </w:tcBorders>
            <w:shd w:val="clear" w:color="auto" w:fill="FFFFFF"/>
          </w:tcPr>
          <w:p w14:paraId="33C52EF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r>
      <w:tr w:rsidR="004A5328" w:rsidRPr="004A5328" w14:paraId="4570B567" w14:textId="77777777" w:rsidTr="00A13850">
        <w:trPr>
          <w:cantSplit/>
          <w:trHeight w:val="1251"/>
          <w:jc w:val="center"/>
        </w:trPr>
        <w:tc>
          <w:tcPr>
            <w:tcW w:w="334" w:type="dxa"/>
            <w:tcBorders>
              <w:left w:val="single" w:sz="8" w:space="0" w:color="000000"/>
              <w:bottom w:val="single" w:sz="4" w:space="0" w:color="000000"/>
              <w:right w:val="single" w:sz="8" w:space="0" w:color="000000"/>
            </w:tcBorders>
            <w:shd w:val="clear" w:color="auto" w:fill="FFFFFF"/>
          </w:tcPr>
          <w:p w14:paraId="7338DBA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4</w:t>
            </w:r>
          </w:p>
        </w:tc>
        <w:tc>
          <w:tcPr>
            <w:tcW w:w="520" w:type="dxa"/>
            <w:tcBorders>
              <w:bottom w:val="single" w:sz="4" w:space="0" w:color="000000"/>
              <w:right w:val="single" w:sz="8" w:space="0" w:color="000000"/>
            </w:tcBorders>
            <w:shd w:val="clear" w:color="auto" w:fill="FFFFFF"/>
          </w:tcPr>
          <w:p w14:paraId="674EC00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Especifico</w:t>
            </w:r>
          </w:p>
        </w:tc>
        <w:tc>
          <w:tcPr>
            <w:tcW w:w="525" w:type="dxa"/>
            <w:tcBorders>
              <w:bottom w:val="single" w:sz="4" w:space="0" w:color="000000"/>
              <w:right w:val="single" w:sz="8" w:space="0" w:color="000000"/>
            </w:tcBorders>
            <w:shd w:val="clear" w:color="auto" w:fill="FFFFFF"/>
          </w:tcPr>
          <w:p w14:paraId="53298ED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5A37E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2C1EA827"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Económico</w:t>
            </w:r>
          </w:p>
        </w:tc>
        <w:tc>
          <w:tcPr>
            <w:tcW w:w="2865" w:type="dxa"/>
            <w:tcBorders>
              <w:bottom w:val="single" w:sz="4" w:space="0" w:color="000000"/>
              <w:right w:val="single" w:sz="8" w:space="0" w:color="000000"/>
            </w:tcBorders>
            <w:shd w:val="clear" w:color="auto" w:fill="FFFFFF"/>
          </w:tcPr>
          <w:p w14:paraId="2F25ABE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cuando se necesitan servicios adicionales necesarios para la ejecución del objeto contractual.</w:t>
            </w:r>
          </w:p>
        </w:tc>
        <w:tc>
          <w:tcPr>
            <w:tcW w:w="1694" w:type="dxa"/>
            <w:tcBorders>
              <w:bottom w:val="single" w:sz="4" w:space="0" w:color="000000"/>
              <w:right w:val="single" w:sz="8" w:space="0" w:color="000000"/>
            </w:tcBorders>
            <w:shd w:val="clear" w:color="auto" w:fill="FFFFFF"/>
          </w:tcPr>
          <w:p w14:paraId="534148B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 xml:space="preserve">Controversias </w:t>
            </w:r>
            <w:proofErr w:type="spellStart"/>
            <w:r w:rsidRPr="00A13850">
              <w:rPr>
                <w:rFonts w:ascii="Arial" w:eastAsia="Tahoma" w:hAnsi="Arial" w:cs="Arial"/>
                <w:sz w:val="10"/>
                <w:szCs w:val="10"/>
              </w:rPr>
              <w:t>post-contractuales</w:t>
            </w:r>
            <w:proofErr w:type="spellEnd"/>
            <w:r w:rsidRPr="00A13850">
              <w:rPr>
                <w:rFonts w:ascii="Arial" w:eastAsia="Tahoma" w:hAnsi="Arial" w:cs="Arial"/>
                <w:sz w:val="10"/>
                <w:szCs w:val="10"/>
              </w:rPr>
              <w:t xml:space="preserve"> (liquidación)</w:t>
            </w:r>
          </w:p>
        </w:tc>
        <w:tc>
          <w:tcPr>
            <w:tcW w:w="466" w:type="dxa"/>
            <w:tcBorders>
              <w:bottom w:val="single" w:sz="4" w:space="0" w:color="000000"/>
              <w:right w:val="single" w:sz="8" w:space="0" w:color="000000"/>
            </w:tcBorders>
            <w:shd w:val="clear" w:color="auto" w:fill="FFFFFF"/>
          </w:tcPr>
          <w:p w14:paraId="0A8F4F0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36D6878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5F19CEF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Alto</w:t>
            </w:r>
          </w:p>
        </w:tc>
        <w:tc>
          <w:tcPr>
            <w:tcW w:w="538" w:type="dxa"/>
            <w:tcBorders>
              <w:bottom w:val="single" w:sz="4" w:space="0" w:color="000000"/>
              <w:right w:val="single" w:sz="8" w:space="0" w:color="000000"/>
            </w:tcBorders>
            <w:shd w:val="clear" w:color="auto" w:fill="FFFFFF"/>
          </w:tcPr>
          <w:p w14:paraId="7C257E7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Menor</w:t>
            </w:r>
          </w:p>
        </w:tc>
      </w:tr>
    </w:tbl>
    <w:p w14:paraId="0FEC101B" w14:textId="77777777" w:rsidR="004A5328" w:rsidRPr="004A5328" w:rsidRDefault="004A5328" w:rsidP="004A5328">
      <w:pPr>
        <w:spacing w:line="276" w:lineRule="auto"/>
        <w:jc w:val="both"/>
        <w:rPr>
          <w:rFonts w:ascii="Arial" w:eastAsia="Tahoma" w:hAnsi="Arial" w:cs="Arial"/>
          <w:b/>
          <w:sz w:val="20"/>
          <w:szCs w:val="20"/>
        </w:rPr>
      </w:pPr>
    </w:p>
    <w:p w14:paraId="2A963B31" w14:textId="77777777" w:rsidR="00A13850" w:rsidRDefault="00A13850" w:rsidP="00A13850">
      <w:pPr>
        <w:spacing w:line="276" w:lineRule="auto"/>
        <w:rPr>
          <w:rFonts w:ascii="Arial" w:hAnsi="Arial" w:cs="Arial"/>
        </w:rPr>
      </w:pPr>
    </w:p>
    <w:p w14:paraId="7B44159F" w14:textId="77777777" w:rsidR="00A13850" w:rsidRDefault="00A13850" w:rsidP="00A13850">
      <w:pPr>
        <w:spacing w:line="276" w:lineRule="auto"/>
        <w:rPr>
          <w:rFonts w:ascii="Arial" w:hAnsi="Arial" w:cs="Arial"/>
        </w:rPr>
      </w:pPr>
    </w:p>
    <w:bookmarkEnd w:id="0"/>
    <w:p w14:paraId="133C37B6" w14:textId="77777777" w:rsidR="00B04F2E" w:rsidRPr="00E37864" w:rsidRDefault="00B04F2E" w:rsidP="007D288D">
      <w:pPr>
        <w:spacing w:after="0" w:line="276" w:lineRule="auto"/>
        <w:ind w:right="425"/>
        <w:contextualSpacing/>
        <w:jc w:val="center"/>
        <w:rPr>
          <w:rFonts w:ascii="Arial" w:hAnsi="Arial" w:cs="Arial"/>
          <w:bCs/>
          <w:lang w:val="es-ES"/>
        </w:rPr>
      </w:pPr>
    </w:p>
    <w:p w14:paraId="10F2A8EC" w14:textId="77777777" w:rsidR="00695214" w:rsidRPr="00107EC6" w:rsidRDefault="00695214" w:rsidP="00695214">
      <w:pPr>
        <w:spacing w:after="0" w:line="276" w:lineRule="auto"/>
        <w:contextualSpacing/>
        <w:jc w:val="center"/>
        <w:rPr>
          <w:rFonts w:ascii="Arial Narrow" w:hAnsi="Arial Narrow" w:cs="Arial"/>
          <w:b/>
          <w:sz w:val="24"/>
          <w:szCs w:val="24"/>
          <w:lang w:val="es-PE"/>
        </w:rPr>
      </w:pPr>
      <w:r w:rsidRPr="00107EC6">
        <w:rPr>
          <w:rFonts w:ascii="Arial Narrow" w:hAnsi="Arial Narrow" w:cs="Arial"/>
          <w:b/>
          <w:sz w:val="24"/>
          <w:szCs w:val="24"/>
          <w:lang w:val="es-PE"/>
        </w:rPr>
        <w:t>ERICA PATRICIA RICO LLANOS</w:t>
      </w:r>
    </w:p>
    <w:p w14:paraId="484713F7" w14:textId="77777777" w:rsidR="00695214" w:rsidRPr="00107EC6" w:rsidRDefault="00695214" w:rsidP="00695214">
      <w:pPr>
        <w:spacing w:after="0" w:line="276" w:lineRule="auto"/>
        <w:ind w:right="425"/>
        <w:contextualSpacing/>
        <w:jc w:val="center"/>
        <w:rPr>
          <w:rFonts w:ascii="Arial Narrow" w:hAnsi="Arial Narrow" w:cs="Arial"/>
          <w:sz w:val="24"/>
          <w:szCs w:val="24"/>
          <w:lang w:val="es-ES"/>
        </w:rPr>
      </w:pPr>
      <w:r w:rsidRPr="00107EC6">
        <w:rPr>
          <w:rFonts w:ascii="Arial Narrow" w:hAnsi="Arial Narrow" w:cs="Arial"/>
          <w:sz w:val="24"/>
          <w:szCs w:val="24"/>
          <w:lang w:val="es-ES"/>
        </w:rPr>
        <w:t>Secretario de Interior y de Gobierno Municipal</w:t>
      </w:r>
    </w:p>
    <w:p w14:paraId="4019F413" w14:textId="77777777" w:rsidR="007D288D" w:rsidRPr="00ED5903" w:rsidRDefault="007D288D" w:rsidP="007D288D">
      <w:pPr>
        <w:jc w:val="center"/>
        <w:rPr>
          <w:rFonts w:ascii="Arial" w:hAnsi="Arial" w:cs="Arial"/>
        </w:rPr>
      </w:pPr>
    </w:p>
    <w:p w14:paraId="461E9AFC" w14:textId="77777777" w:rsidR="004A5328" w:rsidRPr="004A5328" w:rsidRDefault="004A5328" w:rsidP="007D288D">
      <w:pPr>
        <w:spacing w:after="0" w:line="276" w:lineRule="auto"/>
        <w:jc w:val="center"/>
        <w:rPr>
          <w:rFonts w:ascii="Arial" w:hAnsi="Arial" w:cs="Arial"/>
        </w:rPr>
      </w:pPr>
    </w:p>
    <w:p w14:paraId="79F531F6" w14:textId="77777777" w:rsidR="004A5328" w:rsidRPr="004A5328" w:rsidRDefault="004A5328" w:rsidP="004A5328">
      <w:pPr>
        <w:spacing w:line="276" w:lineRule="auto"/>
        <w:rPr>
          <w:rFonts w:ascii="Arial" w:hAnsi="Arial" w:cs="Arial"/>
        </w:rPr>
      </w:pPr>
    </w:p>
    <w:sectPr w:rsidR="004A5328" w:rsidRPr="004A5328" w:rsidSect="003741AE">
      <w:headerReference w:type="even" r:id="rId17"/>
      <w:headerReference w:type="default" r:id="rId18"/>
      <w:footerReference w:type="default" r:id="rId19"/>
      <w:headerReference w:type="first" r:id="rId2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CCBC0" w14:textId="77777777" w:rsidR="00867DCA" w:rsidRDefault="00867DCA">
      <w:pPr>
        <w:spacing w:after="0" w:line="240" w:lineRule="auto"/>
      </w:pPr>
      <w:r>
        <w:separator/>
      </w:r>
    </w:p>
  </w:endnote>
  <w:endnote w:type="continuationSeparator" w:id="0">
    <w:p w14:paraId="086C4D1B" w14:textId="77777777" w:rsidR="00867DCA" w:rsidRDefault="00867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FE7E8" w14:textId="77777777" w:rsidR="00B12E25" w:rsidRDefault="00000000">
    <w:pPr>
      <w:pStyle w:val="Piedepgina"/>
    </w:pPr>
    <w:r>
      <w:rPr>
        <w:noProof/>
      </w:rPr>
      <w:drawing>
        <wp:anchor distT="0" distB="0" distL="114300" distR="114300" simplePos="0" relativeHeight="251657728" behindDoc="1" locked="0" layoutInCell="1" allowOverlap="1" wp14:anchorId="2CD1572D" wp14:editId="760A1417">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7BB19FC7" wp14:editId="684B8502">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66A82E8A"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EDF57" w14:textId="77777777" w:rsidR="00867DCA" w:rsidRDefault="00867DCA">
      <w:pPr>
        <w:spacing w:after="0" w:line="240" w:lineRule="auto"/>
      </w:pPr>
      <w:r>
        <w:separator/>
      </w:r>
    </w:p>
  </w:footnote>
  <w:footnote w:type="continuationSeparator" w:id="0">
    <w:p w14:paraId="758EC6D1" w14:textId="77777777" w:rsidR="00867DCA" w:rsidRDefault="00867D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953A1" w14:textId="77777777" w:rsidR="00B12E25" w:rsidRDefault="00000000">
    <w:pPr>
      <w:pStyle w:val="Encabezado"/>
    </w:pPr>
    <w:r>
      <w:rPr>
        <w:noProof/>
      </w:rPr>
      <w:pict w14:anchorId="1F2CA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4414" w14:textId="77777777" w:rsidR="00B12E25" w:rsidRDefault="00000000">
    <w:pPr>
      <w:pStyle w:val="Encabezado"/>
    </w:pPr>
    <w:r>
      <w:rPr>
        <w:noProof/>
      </w:rPr>
      <w:pict w14:anchorId="0E59F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55680" behindDoc="0" locked="0" layoutInCell="1" allowOverlap="1" wp14:anchorId="0B96BBE2" wp14:editId="30B277F6">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46160146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341112686"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085264"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896017759"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55A7A7A8"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4656" behindDoc="1" locked="0" layoutInCell="1" allowOverlap="1" wp14:anchorId="49B0EE4F" wp14:editId="23B333A7">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99FFC" w14:textId="77777777" w:rsidR="00B12E25" w:rsidRDefault="00B12E25">
    <w:pPr>
      <w:pStyle w:val="Encabezado"/>
    </w:pPr>
  </w:p>
  <w:p w14:paraId="18CB75E5" w14:textId="77777777" w:rsidR="00B12E25" w:rsidRDefault="00B12E25">
    <w:pPr>
      <w:pStyle w:val="Encabezado"/>
    </w:pPr>
  </w:p>
  <w:p w14:paraId="507682AB" w14:textId="77777777" w:rsidR="00B12E25" w:rsidRDefault="00B12E25">
    <w:pPr>
      <w:pStyle w:val="Encabezado"/>
    </w:pPr>
  </w:p>
  <w:p w14:paraId="6D7FC7F7" w14:textId="77777777" w:rsidR="00B12E25" w:rsidRDefault="00B12E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53DF2" w14:textId="77777777" w:rsidR="00B12E25" w:rsidRDefault="00000000">
    <w:pPr>
      <w:pStyle w:val="Encabezado"/>
    </w:pPr>
    <w:r>
      <w:rPr>
        <w:noProof/>
      </w:rPr>
      <w:pict w14:anchorId="2CDA75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1.25pt;height:11.25pt;visibility:visible;mso-wrap-style:square" o:bullet="t">
        <v:imagedata r:id="rId1" o:title=""/>
      </v:shape>
    </w:pict>
  </w:numPicBullet>
  <w:abstractNum w:abstractNumId="0"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FB31E8"/>
    <w:multiLevelType w:val="hybridMultilevel"/>
    <w:tmpl w:val="28CA2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C930BE"/>
    <w:multiLevelType w:val="multilevel"/>
    <w:tmpl w:val="3D02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6370C"/>
    <w:multiLevelType w:val="multilevel"/>
    <w:tmpl w:val="2CA630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C257386"/>
    <w:multiLevelType w:val="multilevel"/>
    <w:tmpl w:val="48D0C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5B14CF"/>
    <w:multiLevelType w:val="hybridMultilevel"/>
    <w:tmpl w:val="CEDEC766"/>
    <w:lvl w:ilvl="0" w:tplc="6A12CA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7A4ED0"/>
    <w:multiLevelType w:val="multilevel"/>
    <w:tmpl w:val="7DDCE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70A4346"/>
    <w:multiLevelType w:val="multilevel"/>
    <w:tmpl w:val="491E8B2E"/>
    <w:lvl w:ilvl="0">
      <w:start w:val="1"/>
      <w:numFmt w:val="decimal"/>
      <w:lvlText w:val="%1."/>
      <w:lvlJc w:val="left"/>
      <w:pPr>
        <w:ind w:left="720" w:hanging="360"/>
      </w:pPr>
      <w:rPr>
        <w:rFonts w:eastAsia="Calibri" w:hint="default"/>
        <w:sz w:val="23"/>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447C1B67"/>
    <w:multiLevelType w:val="hybridMultilevel"/>
    <w:tmpl w:val="F6189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A3470EE"/>
    <w:multiLevelType w:val="hybridMultilevel"/>
    <w:tmpl w:val="422E3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A3A4D12"/>
    <w:multiLevelType w:val="hybridMultilevel"/>
    <w:tmpl w:val="02909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F86369"/>
    <w:multiLevelType w:val="hybridMultilevel"/>
    <w:tmpl w:val="1F2C3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A46792C"/>
    <w:multiLevelType w:val="hybridMultilevel"/>
    <w:tmpl w:val="BF2EC3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6C84D5C"/>
    <w:multiLevelType w:val="hybridMultilevel"/>
    <w:tmpl w:val="CCD21F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F956E73"/>
    <w:multiLevelType w:val="hybridMultilevel"/>
    <w:tmpl w:val="183E5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1B33134"/>
    <w:multiLevelType w:val="hybridMultilevel"/>
    <w:tmpl w:val="958247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2FE422A"/>
    <w:multiLevelType w:val="hybridMultilevel"/>
    <w:tmpl w:val="0608D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7268E2"/>
    <w:multiLevelType w:val="hybridMultilevel"/>
    <w:tmpl w:val="5CAA553C"/>
    <w:lvl w:ilvl="0" w:tplc="8B4A2B22">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BA54C36"/>
    <w:multiLevelType w:val="hybridMultilevel"/>
    <w:tmpl w:val="5DECBFE0"/>
    <w:lvl w:ilvl="0" w:tplc="9EE8CDC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CD015CF"/>
    <w:multiLevelType w:val="multilevel"/>
    <w:tmpl w:val="A6AEFE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7E3578F2"/>
    <w:multiLevelType w:val="multilevel"/>
    <w:tmpl w:val="8012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890363">
    <w:abstractNumId w:val="4"/>
  </w:num>
  <w:num w:numId="2" w16cid:durableId="2077429279">
    <w:abstractNumId w:val="8"/>
  </w:num>
  <w:num w:numId="3" w16cid:durableId="635338077">
    <w:abstractNumId w:val="5"/>
  </w:num>
  <w:num w:numId="4" w16cid:durableId="1760247307">
    <w:abstractNumId w:val="14"/>
  </w:num>
  <w:num w:numId="5" w16cid:durableId="1115716838">
    <w:abstractNumId w:val="22"/>
  </w:num>
  <w:num w:numId="6" w16cid:durableId="1265528053">
    <w:abstractNumId w:val="20"/>
  </w:num>
  <w:num w:numId="7" w16cid:durableId="440421359">
    <w:abstractNumId w:val="15"/>
  </w:num>
  <w:num w:numId="8" w16cid:durableId="1679891344">
    <w:abstractNumId w:val="1"/>
  </w:num>
  <w:num w:numId="9" w16cid:durableId="920257906">
    <w:abstractNumId w:val="0"/>
  </w:num>
  <w:num w:numId="10" w16cid:durableId="2040931166">
    <w:abstractNumId w:val="6"/>
  </w:num>
  <w:num w:numId="11" w16cid:durableId="70589599">
    <w:abstractNumId w:val="19"/>
  </w:num>
  <w:num w:numId="12" w16cid:durableId="1798792942">
    <w:abstractNumId w:val="2"/>
  </w:num>
  <w:num w:numId="13" w16cid:durableId="1383406373">
    <w:abstractNumId w:val="23"/>
  </w:num>
  <w:num w:numId="14" w16cid:durableId="455098253">
    <w:abstractNumId w:val="3"/>
  </w:num>
  <w:num w:numId="15" w16cid:durableId="160312814">
    <w:abstractNumId w:val="11"/>
  </w:num>
  <w:num w:numId="16" w16cid:durableId="1785035143">
    <w:abstractNumId w:val="18"/>
  </w:num>
  <w:num w:numId="17" w16cid:durableId="98960582">
    <w:abstractNumId w:val="13"/>
  </w:num>
  <w:num w:numId="18" w16cid:durableId="1051003565">
    <w:abstractNumId w:val="10"/>
  </w:num>
  <w:num w:numId="19" w16cid:durableId="362023869">
    <w:abstractNumId w:val="9"/>
  </w:num>
  <w:num w:numId="20" w16cid:durableId="505706510">
    <w:abstractNumId w:val="21"/>
  </w:num>
  <w:num w:numId="21" w16cid:durableId="538471625">
    <w:abstractNumId w:val="7"/>
  </w:num>
  <w:num w:numId="22" w16cid:durableId="380520235">
    <w:abstractNumId w:val="17"/>
  </w:num>
  <w:num w:numId="23" w16cid:durableId="1600790608">
    <w:abstractNumId w:val="12"/>
  </w:num>
  <w:num w:numId="24" w16cid:durableId="11292003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28"/>
    <w:rsid w:val="0001472F"/>
    <w:rsid w:val="00132B5D"/>
    <w:rsid w:val="00170B87"/>
    <w:rsid w:val="00173599"/>
    <w:rsid w:val="001A7542"/>
    <w:rsid w:val="001D3D7B"/>
    <w:rsid w:val="001E75ED"/>
    <w:rsid w:val="002624B5"/>
    <w:rsid w:val="002F2104"/>
    <w:rsid w:val="00344C2C"/>
    <w:rsid w:val="003741AE"/>
    <w:rsid w:val="003C0726"/>
    <w:rsid w:val="003E0499"/>
    <w:rsid w:val="00427306"/>
    <w:rsid w:val="004A5328"/>
    <w:rsid w:val="004A5564"/>
    <w:rsid w:val="004A7185"/>
    <w:rsid w:val="00505F34"/>
    <w:rsid w:val="00516D92"/>
    <w:rsid w:val="00541C95"/>
    <w:rsid w:val="00695214"/>
    <w:rsid w:val="007D288D"/>
    <w:rsid w:val="007F4F64"/>
    <w:rsid w:val="00867DCA"/>
    <w:rsid w:val="0094452D"/>
    <w:rsid w:val="00976B4B"/>
    <w:rsid w:val="00983BCA"/>
    <w:rsid w:val="00986FDE"/>
    <w:rsid w:val="00995C01"/>
    <w:rsid w:val="00A13850"/>
    <w:rsid w:val="00A41865"/>
    <w:rsid w:val="00AD406A"/>
    <w:rsid w:val="00B04F2E"/>
    <w:rsid w:val="00B12E25"/>
    <w:rsid w:val="00B3694C"/>
    <w:rsid w:val="00D82EE0"/>
    <w:rsid w:val="00E97EE3"/>
    <w:rsid w:val="00FF7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A4BB5"/>
  <w15:chartTrackingRefBased/>
  <w15:docId w15:val="{0B2D0F85-BE9F-45FA-923F-57B9299B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214"/>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53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5328"/>
    <w:rPr>
      <w:rFonts w:ascii="Calibri" w:eastAsia="Calibri" w:hAnsi="Calibri" w:cs="Calibri"/>
      <w:color w:val="000000"/>
      <w:lang w:eastAsia="es-CO"/>
    </w:rPr>
  </w:style>
  <w:style w:type="paragraph" w:styleId="Piedepgina">
    <w:name w:val="footer"/>
    <w:basedOn w:val="Normal"/>
    <w:link w:val="PiedepginaCar"/>
    <w:uiPriority w:val="99"/>
    <w:unhideWhenUsed/>
    <w:rsid w:val="004A5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5328"/>
    <w:rPr>
      <w:rFonts w:ascii="Calibri" w:eastAsia="Calibri" w:hAnsi="Calibri" w:cs="Calibri"/>
      <w:color w:val="000000"/>
      <w:lang w:eastAsia="es-CO"/>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34"/>
    <w:qFormat/>
    <w:rsid w:val="00976B4B"/>
    <w:pPr>
      <w:ind w:left="720"/>
      <w:contextualSpacing/>
    </w:pPr>
  </w:style>
  <w:style w:type="table" w:styleId="Tablaconcuadrcula">
    <w:name w:val="Table Grid"/>
    <w:basedOn w:val="Tablanormal"/>
    <w:uiPriority w:val="39"/>
    <w:rsid w:val="00976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uiPriority w:val="99"/>
    <w:qFormat/>
    <w:rsid w:val="0001472F"/>
    <w:pPr>
      <w:spacing w:after="0" w:line="240" w:lineRule="auto"/>
    </w:pPr>
    <w:rPr>
      <w:rFonts w:ascii="Calibri" w:eastAsia="Calibri" w:hAnsi="Calibri" w:cs="Times New Roman"/>
      <w:kern w:val="0"/>
      <w14:ligatures w14:val="none"/>
    </w:rPr>
  </w:style>
  <w:style w:type="character" w:customStyle="1" w:styleId="SinespaciadoCar">
    <w:name w:val="Sin espaciado Car"/>
    <w:aliases w:val="Encabezado CCE Car"/>
    <w:link w:val="Sinespaciado"/>
    <w:uiPriority w:val="99"/>
    <w:locked/>
    <w:rsid w:val="0001472F"/>
    <w:rPr>
      <w:rFonts w:ascii="Calibri" w:eastAsia="Calibri" w:hAnsi="Calibri" w:cs="Times New Roman"/>
      <w:kern w:val="0"/>
      <w14:ligatures w14:val="none"/>
    </w:rPr>
  </w:style>
  <w:style w:type="paragraph" w:customStyle="1" w:styleId="Default">
    <w:name w:val="Default"/>
    <w:rsid w:val="0001472F"/>
    <w:pPr>
      <w:autoSpaceDE w:val="0"/>
      <w:autoSpaceDN w:val="0"/>
      <w:adjustRightInd w:val="0"/>
      <w:spacing w:after="0" w:line="240" w:lineRule="auto"/>
    </w:pPr>
    <w:rPr>
      <w:rFonts w:ascii="Arial" w:hAnsi="Arial" w:cs="Arial"/>
      <w:color w:val="000000"/>
      <w:kern w:val="0"/>
      <w:sz w:val="24"/>
      <w:szCs w:val="24"/>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uiPriority w:val="34"/>
    <w:qFormat/>
    <w:rsid w:val="004A5564"/>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734981">
      <w:bodyDiv w:val="1"/>
      <w:marLeft w:val="0"/>
      <w:marRight w:val="0"/>
      <w:marTop w:val="0"/>
      <w:marBottom w:val="0"/>
      <w:divBdr>
        <w:top w:val="none" w:sz="0" w:space="0" w:color="auto"/>
        <w:left w:val="none" w:sz="0" w:space="0" w:color="auto"/>
        <w:bottom w:val="none" w:sz="0" w:space="0" w:color="auto"/>
        <w:right w:val="none" w:sz="0" w:space="0" w:color="auto"/>
      </w:divBdr>
    </w:div>
    <w:div w:id="548030105">
      <w:bodyDiv w:val="1"/>
      <w:marLeft w:val="0"/>
      <w:marRight w:val="0"/>
      <w:marTop w:val="0"/>
      <w:marBottom w:val="0"/>
      <w:divBdr>
        <w:top w:val="none" w:sz="0" w:space="0" w:color="auto"/>
        <w:left w:val="none" w:sz="0" w:space="0" w:color="auto"/>
        <w:bottom w:val="none" w:sz="0" w:space="0" w:color="auto"/>
        <w:right w:val="none" w:sz="0" w:space="0" w:color="auto"/>
      </w:divBdr>
    </w:div>
    <w:div w:id="1178886589">
      <w:bodyDiv w:val="1"/>
      <w:marLeft w:val="0"/>
      <w:marRight w:val="0"/>
      <w:marTop w:val="0"/>
      <w:marBottom w:val="0"/>
      <w:divBdr>
        <w:top w:val="none" w:sz="0" w:space="0" w:color="auto"/>
        <w:left w:val="none" w:sz="0" w:space="0" w:color="auto"/>
        <w:bottom w:val="none" w:sz="0" w:space="0" w:color="auto"/>
        <w:right w:val="none" w:sz="0" w:space="0" w:color="auto"/>
      </w:divBdr>
    </w:div>
    <w:div w:id="1489861246">
      <w:bodyDiv w:val="1"/>
      <w:marLeft w:val="0"/>
      <w:marRight w:val="0"/>
      <w:marTop w:val="0"/>
      <w:marBottom w:val="0"/>
      <w:divBdr>
        <w:top w:val="none" w:sz="0" w:space="0" w:color="auto"/>
        <w:left w:val="none" w:sz="0" w:space="0" w:color="auto"/>
        <w:bottom w:val="none" w:sz="0" w:space="0" w:color="auto"/>
        <w:right w:val="none" w:sz="0" w:space="0" w:color="auto"/>
      </w:divBdr>
    </w:div>
    <w:div w:id="1606838206">
      <w:bodyDiv w:val="1"/>
      <w:marLeft w:val="0"/>
      <w:marRight w:val="0"/>
      <w:marTop w:val="0"/>
      <w:marBottom w:val="0"/>
      <w:divBdr>
        <w:top w:val="none" w:sz="0" w:space="0" w:color="auto"/>
        <w:left w:val="none" w:sz="0" w:space="0" w:color="auto"/>
        <w:bottom w:val="none" w:sz="0" w:space="0" w:color="auto"/>
        <w:right w:val="none" w:sz="0" w:space="0" w:color="auto"/>
      </w:divBdr>
    </w:div>
    <w:div w:id="181648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13</Pages>
  <Words>4715</Words>
  <Characters>25938</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8</cp:revision>
  <dcterms:created xsi:type="dcterms:W3CDTF">2024-01-17T14:44:00Z</dcterms:created>
  <dcterms:modified xsi:type="dcterms:W3CDTF">2025-07-29T20:35:00Z</dcterms:modified>
</cp:coreProperties>
</file>