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E6B2BD" w14:textId="77777777" w:rsidR="00F00673" w:rsidRPr="006C56FB" w:rsidRDefault="00F00673" w:rsidP="00F00673">
      <w:pPr>
        <w:autoSpaceDE/>
        <w:autoSpaceDN/>
        <w:jc w:val="both"/>
        <w:rPr>
          <w:b/>
        </w:rPr>
      </w:pPr>
      <w:r w:rsidRPr="006C56FB">
        <w:rPr>
          <w:b/>
        </w:rPr>
        <w:t>CAUSALES DE RECHAZO Y DECLARATORIA DESIERTA DEL PROCESO</w:t>
      </w:r>
    </w:p>
    <w:p w14:paraId="3963E4A9" w14:textId="77777777" w:rsidR="00F00673" w:rsidRPr="006C56FB" w:rsidRDefault="00F00673" w:rsidP="00F00673">
      <w:pPr>
        <w:jc w:val="both"/>
        <w:rPr>
          <w:b/>
        </w:rPr>
      </w:pPr>
    </w:p>
    <w:p w14:paraId="484805BB" w14:textId="77777777" w:rsidR="00F00673" w:rsidRPr="006C56FB" w:rsidRDefault="00F00673" w:rsidP="00F00673">
      <w:pPr>
        <w:pStyle w:val="Prrafodelista"/>
        <w:numPr>
          <w:ilvl w:val="0"/>
          <w:numId w:val="3"/>
        </w:numPr>
        <w:adjustRightInd w:val="0"/>
        <w:jc w:val="both"/>
      </w:pPr>
      <w:r w:rsidRPr="004B364E">
        <w:rPr>
          <w:b/>
        </w:rPr>
        <w:t>CAUSALES PARA EL RECHAZO DE LAS PROPUESTAS</w:t>
      </w:r>
    </w:p>
    <w:p w14:paraId="0E10A4B6" w14:textId="77777777" w:rsidR="00F00673" w:rsidRPr="006C56FB" w:rsidRDefault="00F00673" w:rsidP="00F00673">
      <w:pPr>
        <w:adjustRightInd w:val="0"/>
        <w:jc w:val="both"/>
      </w:pPr>
    </w:p>
    <w:p w14:paraId="2F8BA26D" w14:textId="767AA94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que un proponente ha interferido, influenciado, u obtenida correspondencia interna, proyectos de concepto de evaluación o de respuesta a observaciones, no enviados oficialmente a los proponentes.</w:t>
      </w:r>
    </w:p>
    <w:p w14:paraId="1AE2EDF1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0ECEEED3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confabulación entre los proponentes que altere de cualquier manera la aplicación del principio de selección objetiva.</w:t>
      </w:r>
    </w:p>
    <w:p w14:paraId="33ACD7F0" w14:textId="77777777" w:rsidR="00F00673" w:rsidRPr="006C56FB" w:rsidRDefault="00F00673" w:rsidP="00F00673">
      <w:pPr>
        <w:pStyle w:val="Prrafodelista"/>
        <w:ind w:left="284" w:hanging="284"/>
      </w:pPr>
    </w:p>
    <w:p w14:paraId="08E4F060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proponente o alguno de sus integrantes se encuentre incurso en las causales de inhabilidades o incompatibilidad fijadas por la Constitución y la Ley.</w:t>
      </w:r>
    </w:p>
    <w:p w14:paraId="51E652B7" w14:textId="77777777" w:rsidR="00F00673" w:rsidRPr="006C56FB" w:rsidRDefault="00F00673" w:rsidP="00F00673">
      <w:pPr>
        <w:pStyle w:val="Prrafodelista"/>
        <w:ind w:left="284" w:hanging="284"/>
      </w:pPr>
    </w:p>
    <w:p w14:paraId="0C000708" w14:textId="63754EDA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en la propuesta se encuentre información o documentos que no correspondan a la realidad que le permita cumplir un requisito mínimo.</w:t>
      </w:r>
    </w:p>
    <w:p w14:paraId="781A7B7F" w14:textId="77777777" w:rsidR="00F00673" w:rsidRPr="006C56FB" w:rsidRDefault="00F00673" w:rsidP="00F00673">
      <w:pPr>
        <w:adjustRightInd w:val="0"/>
        <w:ind w:left="284" w:hanging="284"/>
        <w:jc w:val="both"/>
      </w:pPr>
    </w:p>
    <w:p w14:paraId="2B009CD1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Objeto Social de la firma, incluido en el Certificado de Existencia y Representación Legal no faculte a la sociedad para desarrollar la actividad materia de la futura contratación.</w:t>
      </w:r>
    </w:p>
    <w:p w14:paraId="518CC422" w14:textId="77777777" w:rsidR="00F00673" w:rsidRPr="006C56FB" w:rsidRDefault="00F00673" w:rsidP="00F00673">
      <w:pPr>
        <w:pStyle w:val="Prrafodelista"/>
        <w:ind w:left="284" w:hanging="284"/>
      </w:pPr>
    </w:p>
    <w:p w14:paraId="204D2DC3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oferente sea persona jurídica y se encuentre incurso en alguna de las causales de disolución o liquidación proferidas por Autoridad Competente.</w:t>
      </w:r>
    </w:p>
    <w:p w14:paraId="4BE14A69" w14:textId="77777777" w:rsidR="00F00673" w:rsidRPr="006C56FB" w:rsidRDefault="00F00673" w:rsidP="00F00673">
      <w:pPr>
        <w:adjustRightInd w:val="0"/>
        <w:ind w:left="284" w:hanging="284"/>
        <w:jc w:val="both"/>
      </w:pPr>
    </w:p>
    <w:p w14:paraId="1CF07D4E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presente más de una oferta (PARA EL MISMO ITEM O GRUPO) por un mismo oferente o se ostente la calidad de representante legal o socio de más de una persona jurídica participante en el presente proceso de selección.</w:t>
      </w:r>
    </w:p>
    <w:p w14:paraId="5103E709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1DC32BF9" w14:textId="74CE240C" w:rsidR="00F00673" w:rsidRPr="00C43F6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al realizar el análisis de l</w:t>
      </w:r>
      <w:r>
        <w:rPr>
          <w:color w:val="0D0D0D" w:themeColor="text1" w:themeTint="F2"/>
        </w:rPr>
        <w:t>o</w:t>
      </w:r>
      <w:r w:rsidRPr="00C43F6C">
        <w:rPr>
          <w:color w:val="0D0D0D" w:themeColor="text1" w:themeTint="F2"/>
        </w:rPr>
        <w:t xml:space="preserve">s precios </w:t>
      </w:r>
      <w:r>
        <w:rPr>
          <w:color w:val="0D0D0D" w:themeColor="text1" w:themeTint="F2"/>
        </w:rPr>
        <w:t xml:space="preserve">y/o tarifas </w:t>
      </w:r>
      <w:r w:rsidRPr="00C43F6C">
        <w:rPr>
          <w:color w:val="0D0D0D" w:themeColor="text1" w:themeTint="F2"/>
        </w:rPr>
        <w:t>techo y los precios</w:t>
      </w:r>
      <w:r>
        <w:rPr>
          <w:color w:val="0D0D0D" w:themeColor="text1" w:themeTint="F2"/>
        </w:rPr>
        <w:t xml:space="preserve"> y/o tarifas </w:t>
      </w:r>
      <w:r w:rsidRPr="00C43F6C">
        <w:rPr>
          <w:color w:val="0D0D0D" w:themeColor="text1" w:themeTint="F2"/>
        </w:rPr>
        <w:t>ofertadas, se obtenga un precio</w:t>
      </w:r>
      <w:r>
        <w:rPr>
          <w:color w:val="0D0D0D" w:themeColor="text1" w:themeTint="F2"/>
        </w:rPr>
        <w:t xml:space="preserve"> y/o tarifa artificialmente bajo. (conforme al descuento realizado). </w:t>
      </w:r>
    </w:p>
    <w:p w14:paraId="637AB1EB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750862A1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la oferta no cumpla con las especificaciones técnicas mínimas exigidas.</w:t>
      </w:r>
    </w:p>
    <w:p w14:paraId="5DBCA7A8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2978CAE6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</w:t>
      </w:r>
      <w:r>
        <w:t xml:space="preserve">no se oferte la totalidad de los servicios mínimos requeridos por esta entidad. </w:t>
      </w:r>
    </w:p>
    <w:p w14:paraId="1A0C9E7E" w14:textId="77777777" w:rsidR="00F00673" w:rsidRPr="006C56FB" w:rsidRDefault="00F00673" w:rsidP="00F00673">
      <w:pPr>
        <w:pStyle w:val="Prrafodelista"/>
        <w:ind w:left="284" w:hanging="284"/>
      </w:pPr>
    </w:p>
    <w:p w14:paraId="7128FF71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el valor de la oferta económica supere el valor </w:t>
      </w:r>
      <w:r>
        <w:t xml:space="preserve">y/o tarifa techo </w:t>
      </w:r>
      <w:r w:rsidRPr="006C56FB">
        <w:t xml:space="preserve">del </w:t>
      </w:r>
      <w:r>
        <w:t xml:space="preserve">precio y/o tarifa techo establecido por esta entidad. </w:t>
      </w:r>
    </w:p>
    <w:p w14:paraId="4CDC90AE" w14:textId="77777777" w:rsidR="00F00673" w:rsidRPr="006C56FB" w:rsidRDefault="00F00673" w:rsidP="00F00673">
      <w:pPr>
        <w:pStyle w:val="Prrafodelista"/>
        <w:ind w:left="284" w:hanging="284"/>
      </w:pPr>
    </w:p>
    <w:p w14:paraId="44A73C27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La NO presentación de los documentos antes de la fecha establecida en </w:t>
      </w:r>
      <w:r>
        <w:t>la</w:t>
      </w:r>
      <w:r w:rsidRPr="006C56FB">
        <w:t xml:space="preserve"> </w:t>
      </w:r>
      <w:r w:rsidRPr="006C56FB">
        <w:rPr>
          <w:b/>
        </w:rPr>
        <w:t>CRONOLOGÍA DEL PROCESO – PUBLICACIÓN PARA OBSERVACIONES Y PRESENTACIÓN DE DOCUMENTOS HABILITANTES</w:t>
      </w:r>
      <w:r w:rsidRPr="006C56FB">
        <w:t>,</w:t>
      </w:r>
      <w:r w:rsidRPr="006C56FB">
        <w:rPr>
          <w:b/>
        </w:rPr>
        <w:t xml:space="preserve"> </w:t>
      </w:r>
      <w:r w:rsidRPr="006C56FB">
        <w:t xml:space="preserve">del Pliego de Condiciones. </w:t>
      </w:r>
    </w:p>
    <w:p w14:paraId="5EBB6EF2" w14:textId="77777777" w:rsidR="00F00673" w:rsidRDefault="00F00673" w:rsidP="00F00673">
      <w:pPr>
        <w:pStyle w:val="Prrafodelista"/>
      </w:pPr>
    </w:p>
    <w:p w14:paraId="579C1E64" w14:textId="77777777" w:rsidR="00F00673" w:rsidRPr="00CC5A1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C5A1C">
        <w:rPr>
          <w:color w:val="0D0D0D" w:themeColor="text1" w:themeTint="F2"/>
        </w:rPr>
        <w:t>Cuando la oferta se presente en forma extemporánea o en un lugar distinto al señalado en el Pliego de Condiciones conforme al cronograma y condiciones del proceso debidamente publicado en el SECOP II.</w:t>
      </w:r>
    </w:p>
    <w:p w14:paraId="1B46D26C" w14:textId="77777777" w:rsidR="00F00673" w:rsidRPr="00CC5A1C" w:rsidRDefault="00F00673" w:rsidP="00F00673">
      <w:pPr>
        <w:pStyle w:val="Prrafodelista"/>
        <w:rPr>
          <w:color w:val="0D0D0D" w:themeColor="text1" w:themeTint="F2"/>
        </w:rPr>
      </w:pPr>
    </w:p>
    <w:p w14:paraId="070348E3" w14:textId="77777777" w:rsidR="00F00673" w:rsidRPr="00CC5A1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C5A1C">
        <w:rPr>
          <w:color w:val="0D0D0D" w:themeColor="text1" w:themeTint="F2"/>
        </w:rPr>
        <w:t xml:space="preserve">La no presentación de la oferta económica, o cuando no se diligencie la información como se solicita en el cuestionario de la plataforma SECOP II según sección 4 “OFERTA ECONOMICA”. </w:t>
      </w:r>
    </w:p>
    <w:p w14:paraId="240FE32A" w14:textId="77777777" w:rsidR="00F00673" w:rsidRPr="004D5FC5" w:rsidRDefault="00F00673" w:rsidP="00F00673">
      <w:pPr>
        <w:pStyle w:val="Prrafodelista"/>
        <w:rPr>
          <w:color w:val="0D0D0D" w:themeColor="text1" w:themeTint="F2"/>
        </w:rPr>
      </w:pPr>
    </w:p>
    <w:p w14:paraId="108A8CAA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4D5FC5">
        <w:rPr>
          <w:color w:val="0D0D0D" w:themeColor="text1" w:themeTint="F2"/>
        </w:rPr>
        <w:t xml:space="preserve">En el evento en que la Policía Metropolitana de Ibagué </w:t>
      </w:r>
      <w:r>
        <w:rPr>
          <w:color w:val="0D0D0D" w:themeColor="text1" w:themeTint="F2"/>
        </w:rPr>
        <w:t>–</w:t>
      </w:r>
      <w:r w:rsidRPr="004D5FC5">
        <w:rPr>
          <w:color w:val="0D0D0D" w:themeColor="text1" w:themeTint="F2"/>
        </w:rPr>
        <w:t xml:space="preserve"> </w:t>
      </w:r>
      <w:r>
        <w:rPr>
          <w:color w:val="0D0D0D" w:themeColor="text1" w:themeTint="F2"/>
        </w:rPr>
        <w:t xml:space="preserve">UPRES </w:t>
      </w:r>
      <w:r w:rsidRPr="004D5FC5">
        <w:rPr>
          <w:color w:val="0D0D0D" w:themeColor="text1" w:themeTint="F2"/>
        </w:rPr>
        <w:t>Tolima haya solicitado al oferente con posterioridad a la presentación de la oferta, aclaraciones o</w:t>
      </w:r>
      <w:r w:rsidRPr="00C43F6C">
        <w:rPr>
          <w:color w:val="0D0D0D" w:themeColor="text1" w:themeTint="F2"/>
        </w:rPr>
        <w:t xml:space="preserve"> explicaciones relacionadas con información de la misma y éste no </w:t>
      </w:r>
      <w:proofErr w:type="spellStart"/>
      <w:r w:rsidRPr="00C43F6C">
        <w:rPr>
          <w:color w:val="0D0D0D" w:themeColor="text1" w:themeTint="F2"/>
        </w:rPr>
        <w:t>de</w:t>
      </w:r>
      <w:proofErr w:type="spellEnd"/>
      <w:r w:rsidRPr="00C43F6C">
        <w:rPr>
          <w:color w:val="0D0D0D" w:themeColor="text1" w:themeTint="F2"/>
        </w:rPr>
        <w:t xml:space="preserve"> respuesta dentro del término establecido para ello en el escrito de solicitud, o dentro del plazo señalado en el Cronograma del proceso.</w:t>
      </w:r>
    </w:p>
    <w:p w14:paraId="2E431765" w14:textId="77777777" w:rsidR="00F00673" w:rsidRPr="00A95C2D" w:rsidRDefault="00F00673" w:rsidP="00F00673">
      <w:pPr>
        <w:pStyle w:val="Prrafodelista"/>
        <w:rPr>
          <w:color w:val="0D0D0D" w:themeColor="text1" w:themeTint="F2"/>
        </w:rPr>
      </w:pPr>
    </w:p>
    <w:p w14:paraId="5EE55C06" w14:textId="77777777" w:rsidR="00F00673" w:rsidRPr="00C43F6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dentro de la propuesta, en la oferta económica se observen errores aritméticos que puedan in</w:t>
      </w:r>
      <w:r>
        <w:rPr>
          <w:color w:val="0D0D0D" w:themeColor="text1" w:themeTint="F2"/>
        </w:rPr>
        <w:t>duc</w:t>
      </w:r>
      <w:r w:rsidRPr="00C43F6C">
        <w:rPr>
          <w:color w:val="0D0D0D" w:themeColor="text1" w:themeTint="F2"/>
        </w:rPr>
        <w:t xml:space="preserve">ir </w:t>
      </w:r>
      <w:r>
        <w:rPr>
          <w:color w:val="0D0D0D" w:themeColor="text1" w:themeTint="F2"/>
        </w:rPr>
        <w:t xml:space="preserve">en </w:t>
      </w:r>
      <w:r w:rsidRPr="00C43F6C">
        <w:rPr>
          <w:color w:val="0D0D0D" w:themeColor="text1" w:themeTint="F2"/>
        </w:rPr>
        <w:t>error al comité evaluador.</w:t>
      </w:r>
    </w:p>
    <w:p w14:paraId="20084652" w14:textId="77777777" w:rsidR="00F00673" w:rsidRPr="00C43F6C" w:rsidRDefault="00F00673" w:rsidP="00F00673">
      <w:pPr>
        <w:pStyle w:val="Prrafodelista"/>
        <w:rPr>
          <w:color w:val="0D0D0D" w:themeColor="text1" w:themeTint="F2"/>
        </w:rPr>
      </w:pPr>
    </w:p>
    <w:p w14:paraId="787E8017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568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lastRenderedPageBreak/>
        <w:t>Cuando no se oferte la totalidad de los ítems d</w:t>
      </w:r>
      <w:r>
        <w:rPr>
          <w:color w:val="0D0D0D" w:themeColor="text1" w:themeTint="F2"/>
        </w:rPr>
        <w:t xml:space="preserve">escritos en la oferta económica. </w:t>
      </w:r>
    </w:p>
    <w:p w14:paraId="2804FD6D" w14:textId="77777777" w:rsidR="00F00673" w:rsidRPr="00914EE8" w:rsidRDefault="00F00673" w:rsidP="00F00673">
      <w:pPr>
        <w:pStyle w:val="Prrafodelista"/>
        <w:rPr>
          <w:color w:val="0D0D0D" w:themeColor="text1" w:themeTint="F2"/>
        </w:rPr>
      </w:pPr>
    </w:p>
    <w:p w14:paraId="627AF6DE" w14:textId="77777777" w:rsidR="00F00673" w:rsidRPr="00876D9B" w:rsidRDefault="00F00673" w:rsidP="00F00673">
      <w:pPr>
        <w:pStyle w:val="Prrafodelista"/>
        <w:numPr>
          <w:ilvl w:val="0"/>
          <w:numId w:val="2"/>
        </w:numPr>
        <w:jc w:val="both"/>
        <w:rPr>
          <w:color w:val="0D0D0D" w:themeColor="text1" w:themeTint="F2"/>
        </w:rPr>
      </w:pPr>
      <w:r w:rsidRPr="00876D9B">
        <w:rPr>
          <w:color w:val="0D0D0D" w:themeColor="text1" w:themeTint="F2"/>
        </w:rPr>
        <w:t xml:space="preserve">Cuando al verificar el Registro Nacional de Medidas Correctivas de la Policía Nacional, se evidencie que el representante legal o sus integrantes en caso de consorcios o uniones temporales, se encuentren con multas. En cumplimiento al </w:t>
      </w:r>
      <w:r w:rsidRPr="00876D9B">
        <w:rPr>
          <w:b/>
          <w:color w:val="0D0D0D" w:themeColor="text1" w:themeTint="F2"/>
        </w:rPr>
        <w:t>artículo 183</w:t>
      </w:r>
      <w:r w:rsidRPr="00876D9B">
        <w:rPr>
          <w:color w:val="0D0D0D" w:themeColor="text1" w:themeTint="F2"/>
        </w:rPr>
        <w:t xml:space="preserve"> del Código Nacional de Policía (ley 1801 de 2016). </w:t>
      </w:r>
    </w:p>
    <w:p w14:paraId="225D8C4D" w14:textId="77777777" w:rsidR="00F00673" w:rsidRPr="00C43F6C" w:rsidRDefault="00F00673" w:rsidP="00F00673">
      <w:pPr>
        <w:pStyle w:val="Prrafodelista"/>
        <w:adjustRightInd w:val="0"/>
        <w:ind w:left="568"/>
        <w:jc w:val="both"/>
        <w:rPr>
          <w:color w:val="0D0D0D" w:themeColor="text1" w:themeTint="F2"/>
        </w:rPr>
      </w:pPr>
    </w:p>
    <w:p w14:paraId="79DC1DCB" w14:textId="77777777" w:rsidR="00F00673" w:rsidRPr="00110907" w:rsidRDefault="00F00673" w:rsidP="00F00673">
      <w:pPr>
        <w:pStyle w:val="Prrafodelista"/>
        <w:numPr>
          <w:ilvl w:val="0"/>
          <w:numId w:val="3"/>
        </w:numPr>
        <w:adjustRightInd w:val="0"/>
        <w:rPr>
          <w:b/>
          <w:bCs/>
          <w:color w:val="0D0D0D" w:themeColor="text1" w:themeTint="F2"/>
        </w:rPr>
      </w:pPr>
      <w:r w:rsidRPr="00110907">
        <w:rPr>
          <w:b/>
          <w:bCs/>
          <w:color w:val="0D0D0D" w:themeColor="text1" w:themeTint="F2"/>
        </w:rPr>
        <w:t>CAUSALES PARA DECLARAR DESIERTO EL PROCESO</w:t>
      </w:r>
    </w:p>
    <w:p w14:paraId="0C6FDAF4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3A2F6CD3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La policía metropolitana de Ibagué</w:t>
      </w:r>
      <w:r>
        <w:rPr>
          <w:color w:val="0D0D0D" w:themeColor="text1" w:themeTint="F2"/>
        </w:rPr>
        <w:t xml:space="preserve"> </w:t>
      </w:r>
      <w:r w:rsidRPr="00C43F6C">
        <w:rPr>
          <w:color w:val="0D0D0D" w:themeColor="text1" w:themeTint="F2"/>
        </w:rPr>
        <w:t xml:space="preserve">- </w:t>
      </w:r>
      <w:r>
        <w:rPr>
          <w:color w:val="0D0D0D" w:themeColor="text1" w:themeTint="F2"/>
        </w:rPr>
        <w:t xml:space="preserve">UPRES </w:t>
      </w:r>
      <w:r w:rsidRPr="00C43F6C">
        <w:rPr>
          <w:color w:val="0D0D0D" w:themeColor="text1" w:themeTint="F2"/>
        </w:rPr>
        <w:t>Tolima, declarará desierto el presente proceso al vencimiento del plazo previsto para adjudicar, cuando entre las propuestas presentadas no se logre adjudicar a ninguna el contrato ofrecido, ya sea porque las propuestas no cumplan con las condiciones para ser adjudicatarias, porque no se presenten propuestas, o por cualquier otra causa que impida la selección objetiva.</w:t>
      </w:r>
    </w:p>
    <w:p w14:paraId="486EBE9B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5B9325FC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Si de la consulta y análisis de precios o condiciones del mercado se desprende que no existen razones que justifiquen la diferencia de precios, entre los precios de referencia y los presentados por los oferentes en el presente proceso, la entidad podrá descalificarlos o declarar desierto el proceso, caso en el cual deberá darse inicio a uno nuevo.</w:t>
      </w:r>
    </w:p>
    <w:p w14:paraId="3725210B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26717D70" w14:textId="77777777" w:rsidR="00F00673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La declaratoria de desierta del proceso se hará mediante acto motivado, el cual se notificará a todos los proponentes. Contra este acto administrativo procede el recurso de reposición, en las condiciones establecidas en los artículos 51 y siguientes del Código Contencioso Administrativo.</w:t>
      </w:r>
    </w:p>
    <w:p w14:paraId="6AE5EE61" w14:textId="77777777" w:rsidR="00F00673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11F6DE07" w14:textId="77777777" w:rsidR="00F00673" w:rsidRPr="00110907" w:rsidRDefault="00F00673" w:rsidP="00F00673">
      <w:pPr>
        <w:pStyle w:val="Prrafodelista"/>
        <w:numPr>
          <w:ilvl w:val="0"/>
          <w:numId w:val="3"/>
        </w:numPr>
        <w:adjustRightInd w:val="0"/>
        <w:jc w:val="both"/>
        <w:rPr>
          <w:b/>
        </w:rPr>
      </w:pPr>
      <w:r w:rsidRPr="00110907">
        <w:rPr>
          <w:b/>
        </w:rPr>
        <w:t xml:space="preserve">CRITERIOS DE DESEMPATE </w:t>
      </w:r>
    </w:p>
    <w:p w14:paraId="46B05D7A" w14:textId="77777777" w:rsidR="00F00673" w:rsidRDefault="00F00673" w:rsidP="00F00673">
      <w:pPr>
        <w:pStyle w:val="Prrafodelista"/>
        <w:adjustRightInd w:val="0"/>
        <w:jc w:val="both"/>
        <w:rPr>
          <w:b/>
        </w:rPr>
      </w:pPr>
    </w:p>
    <w:p w14:paraId="76FEEE3A" w14:textId="77777777" w:rsidR="00F00673" w:rsidRPr="00F95824" w:rsidRDefault="00F00673" w:rsidP="00F00673">
      <w:pPr>
        <w:adjustRightInd w:val="0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 xml:space="preserve">Los establecidos en el artículo 35 de la ley 2069 del 31 de diciembre de 2020. </w:t>
      </w:r>
    </w:p>
    <w:p w14:paraId="2D063044" w14:textId="77777777" w:rsidR="00F00673" w:rsidRDefault="00F00673" w:rsidP="00F00673">
      <w:pPr>
        <w:pStyle w:val="Prrafodelista"/>
        <w:adjustRightInd w:val="0"/>
        <w:ind w:left="284"/>
        <w:jc w:val="both"/>
      </w:pPr>
    </w:p>
    <w:p w14:paraId="14EF72E0" w14:textId="77777777" w:rsidR="004D41DF" w:rsidRPr="00F00673" w:rsidRDefault="004D41DF" w:rsidP="00F00673"/>
    <w:sectPr w:rsidR="004D41DF" w:rsidRPr="00F006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EB066F"/>
    <w:multiLevelType w:val="hybridMultilevel"/>
    <w:tmpl w:val="A79A2CD6"/>
    <w:lvl w:ilvl="0" w:tplc="0A0017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531DB"/>
    <w:multiLevelType w:val="hybridMultilevel"/>
    <w:tmpl w:val="4E0467BE"/>
    <w:lvl w:ilvl="0" w:tplc="D2F20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7612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A3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E3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24A1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49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FCD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90B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E64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276971"/>
    <w:multiLevelType w:val="hybridMultilevel"/>
    <w:tmpl w:val="D58A9CD0"/>
    <w:lvl w:ilvl="0" w:tplc="240A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201944">
    <w:abstractNumId w:val="1"/>
  </w:num>
  <w:num w:numId="2" w16cid:durableId="2141729928">
    <w:abstractNumId w:val="2"/>
  </w:num>
  <w:num w:numId="3" w16cid:durableId="113109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33F"/>
    <w:rsid w:val="00002FB5"/>
    <w:rsid w:val="0006633F"/>
    <w:rsid w:val="00090DDF"/>
    <w:rsid w:val="000A6B4B"/>
    <w:rsid w:val="001B092B"/>
    <w:rsid w:val="002225CF"/>
    <w:rsid w:val="00236174"/>
    <w:rsid w:val="00266B02"/>
    <w:rsid w:val="003050E0"/>
    <w:rsid w:val="00315A3F"/>
    <w:rsid w:val="0033664F"/>
    <w:rsid w:val="003526E8"/>
    <w:rsid w:val="00386CAC"/>
    <w:rsid w:val="00412E4D"/>
    <w:rsid w:val="00432993"/>
    <w:rsid w:val="00485C1D"/>
    <w:rsid w:val="004B01AD"/>
    <w:rsid w:val="004B364E"/>
    <w:rsid w:val="004C314D"/>
    <w:rsid w:val="004D41DF"/>
    <w:rsid w:val="005A6E95"/>
    <w:rsid w:val="005E5CEA"/>
    <w:rsid w:val="005F0457"/>
    <w:rsid w:val="0063250D"/>
    <w:rsid w:val="006E01C0"/>
    <w:rsid w:val="006F4692"/>
    <w:rsid w:val="007127DE"/>
    <w:rsid w:val="007429D7"/>
    <w:rsid w:val="00746F0F"/>
    <w:rsid w:val="007610AB"/>
    <w:rsid w:val="007A28E8"/>
    <w:rsid w:val="007D2157"/>
    <w:rsid w:val="007F1547"/>
    <w:rsid w:val="008E4742"/>
    <w:rsid w:val="00926E6B"/>
    <w:rsid w:val="00943A70"/>
    <w:rsid w:val="009B5443"/>
    <w:rsid w:val="00AA5196"/>
    <w:rsid w:val="00AB0D20"/>
    <w:rsid w:val="00B1237B"/>
    <w:rsid w:val="00B43CFB"/>
    <w:rsid w:val="00B46D45"/>
    <w:rsid w:val="00B566BD"/>
    <w:rsid w:val="00C2635E"/>
    <w:rsid w:val="00C945AE"/>
    <w:rsid w:val="00C95228"/>
    <w:rsid w:val="00CC5A1C"/>
    <w:rsid w:val="00D4091F"/>
    <w:rsid w:val="00D76B3C"/>
    <w:rsid w:val="00D77321"/>
    <w:rsid w:val="00E36F75"/>
    <w:rsid w:val="00E74CE6"/>
    <w:rsid w:val="00E94D33"/>
    <w:rsid w:val="00E9654D"/>
    <w:rsid w:val="00EA4AA6"/>
    <w:rsid w:val="00F00673"/>
    <w:rsid w:val="00F63904"/>
    <w:rsid w:val="00F657AB"/>
    <w:rsid w:val="00F8397D"/>
    <w:rsid w:val="00FD06AD"/>
    <w:rsid w:val="00FD44B3"/>
    <w:rsid w:val="00FD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918C97"/>
  <w15:chartTrackingRefBased/>
  <w15:docId w15:val="{26D0A2C1-2C6A-49D3-8E3A-E6C13208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3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6633F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06633F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06633F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693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DETOL UPRES-MLA</cp:lastModifiedBy>
  <cp:revision>75</cp:revision>
  <dcterms:created xsi:type="dcterms:W3CDTF">2018-02-18T14:21:00Z</dcterms:created>
  <dcterms:modified xsi:type="dcterms:W3CDTF">2024-05-14T20:10:00Z</dcterms:modified>
</cp:coreProperties>
</file>