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63BD3C85" w14:textId="77777777" w:rsidR="000E47FD" w:rsidRPr="0090542B" w:rsidRDefault="000E47FD" w:rsidP="000E47FD">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Para el Proceso Contractual, en atención a lo dis</w:t>
      </w:r>
      <w:r>
        <w:rPr>
          <w:rFonts w:ascii="Arial" w:hAnsi="Arial" w:cs="Arial"/>
          <w:color w:val="000000" w:themeColor="text1"/>
          <w:sz w:val="20"/>
          <w:szCs w:val="20"/>
          <w:lang w:val="es-ES" w:eastAsia="es-CO"/>
        </w:rPr>
        <w:t>pu</w:t>
      </w:r>
      <w:r w:rsidRPr="1D2C459F">
        <w:rPr>
          <w:rFonts w:ascii="Arial" w:hAnsi="Arial" w:cs="Arial"/>
          <w:color w:val="000000" w:themeColor="text1"/>
          <w:sz w:val="20"/>
          <w:szCs w:val="20"/>
          <w:lang w:val="es-ES" w:eastAsia="es-CO"/>
        </w:rPr>
        <w:t xml:space="preserve">esto en la Ley 1150 de 2007 y </w:t>
      </w:r>
      <w:r>
        <w:rPr>
          <w:rFonts w:ascii="Arial" w:hAnsi="Arial" w:cs="Arial"/>
          <w:color w:val="000000" w:themeColor="text1"/>
          <w:sz w:val="20"/>
          <w:szCs w:val="20"/>
          <w:lang w:val="es-ES" w:eastAsia="es-CO"/>
        </w:rPr>
        <w:t xml:space="preserve">en </w:t>
      </w:r>
      <w:r w:rsidRPr="1D2C459F">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6DC7932E" w14:textId="77777777" w:rsidR="000E47FD" w:rsidRPr="0090542B" w:rsidRDefault="000E47FD" w:rsidP="000E47FD">
      <w:pPr>
        <w:rPr>
          <w:rFonts w:ascii="Arial" w:hAnsi="Arial" w:cs="Arial"/>
          <w:color w:val="000000" w:themeColor="text1"/>
          <w:sz w:val="20"/>
          <w:szCs w:val="20"/>
          <w:lang w:val="es-ES_tradnl" w:eastAsia="es-CO"/>
        </w:rPr>
      </w:pPr>
    </w:p>
    <w:p w14:paraId="1C6635E3" w14:textId="77777777" w:rsidR="000E47FD" w:rsidRPr="0090542B" w:rsidRDefault="000E47FD" w:rsidP="000E47FD">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Corresponderá al contratista seleccionado la asunción del riesgo previsible propio de este tipo de contratación </w:t>
      </w:r>
      <w:r>
        <w:rPr>
          <w:rFonts w:ascii="Arial" w:hAnsi="Arial" w:cs="Arial"/>
          <w:color w:val="000000" w:themeColor="text1"/>
          <w:sz w:val="20"/>
          <w:szCs w:val="20"/>
          <w:lang w:val="es-ES" w:eastAsia="es-CO"/>
        </w:rPr>
        <w:t>asumiendo</w:t>
      </w:r>
      <w:r w:rsidRPr="1D2C459F">
        <w:rPr>
          <w:rFonts w:ascii="Arial" w:hAnsi="Arial" w:cs="Arial"/>
          <w:color w:val="000000" w:themeColor="text1"/>
          <w:sz w:val="20"/>
          <w:szCs w:val="20"/>
          <w:lang w:val="es-ES" w:eastAsia="es-CO"/>
        </w:rPr>
        <w:t xml:space="preserve"> su costo, siempre que el mismo no se encuentre expresamente </w:t>
      </w:r>
      <w:r>
        <w:rPr>
          <w:rFonts w:ascii="Arial" w:hAnsi="Arial" w:cs="Arial"/>
          <w:color w:val="000000" w:themeColor="text1"/>
          <w:sz w:val="20"/>
          <w:szCs w:val="20"/>
          <w:lang w:val="es-ES" w:eastAsia="es-CO"/>
        </w:rPr>
        <w:t>a cargo de</w:t>
      </w:r>
      <w:r w:rsidRPr="1D2C459F">
        <w:rPr>
          <w:rFonts w:ascii="Arial" w:hAnsi="Arial" w:cs="Arial"/>
          <w:color w:val="000000" w:themeColor="text1"/>
          <w:sz w:val="20"/>
          <w:szCs w:val="20"/>
          <w:lang w:val="es-ES" w:eastAsia="es-CO"/>
        </w:rPr>
        <w:t xml:space="preserve"> la Entidad Estatal en el </w:t>
      </w:r>
      <w:r>
        <w:rPr>
          <w:rFonts w:ascii="Arial" w:hAnsi="Arial" w:cs="Arial"/>
          <w:color w:val="000000" w:themeColor="text1"/>
          <w:sz w:val="20"/>
          <w:szCs w:val="20"/>
          <w:lang w:val="es-ES" w:eastAsia="es-CO"/>
        </w:rPr>
        <w:t>c</w:t>
      </w:r>
      <w:r w:rsidRPr="1D2C459F">
        <w:rPr>
          <w:rFonts w:ascii="Arial" w:hAnsi="Arial" w:cs="Arial"/>
          <w:color w:val="000000" w:themeColor="text1"/>
          <w:sz w:val="20"/>
          <w:szCs w:val="20"/>
          <w:lang w:val="es-ES" w:eastAsia="es-CO"/>
        </w:rPr>
        <w:t xml:space="preserve">ontrato. </w:t>
      </w:r>
    </w:p>
    <w:p w14:paraId="182E07C7" w14:textId="77777777" w:rsidR="000E47FD" w:rsidRPr="0090542B" w:rsidRDefault="000E47FD" w:rsidP="000E47FD">
      <w:pPr>
        <w:rPr>
          <w:rFonts w:ascii="Arial" w:hAnsi="Arial" w:cs="Arial"/>
          <w:color w:val="000000" w:themeColor="text1"/>
          <w:sz w:val="20"/>
          <w:szCs w:val="20"/>
          <w:lang w:val="es-ES_tradnl" w:eastAsia="es-CO"/>
        </w:rPr>
      </w:pPr>
    </w:p>
    <w:p w14:paraId="38ED2D9E" w14:textId="77777777" w:rsidR="000E47FD" w:rsidRPr="0090542B" w:rsidRDefault="000E47FD" w:rsidP="000E47FD">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Pr>
          <w:rFonts w:ascii="Arial" w:hAnsi="Arial" w:cs="Arial"/>
          <w:color w:val="000000" w:themeColor="text1"/>
          <w:sz w:val="20"/>
          <w:szCs w:val="20"/>
          <w:lang w:val="es-ES" w:eastAsia="es-CO"/>
        </w:rPr>
        <w:t xml:space="preserve">de </w:t>
      </w:r>
      <w:r w:rsidRPr="1D2C459F">
        <w:rPr>
          <w:rFonts w:ascii="Arial" w:hAnsi="Arial" w:cs="Arial"/>
          <w:color w:val="000000" w:themeColor="text1"/>
          <w:sz w:val="20"/>
          <w:szCs w:val="20"/>
          <w:lang w:val="es-ES" w:eastAsia="es-CO"/>
        </w:rPr>
        <w:t>Contra</w:t>
      </w:r>
      <w:r>
        <w:rPr>
          <w:rFonts w:ascii="Arial" w:hAnsi="Arial" w:cs="Arial"/>
          <w:color w:val="000000" w:themeColor="text1"/>
          <w:sz w:val="20"/>
          <w:szCs w:val="20"/>
          <w:lang w:val="es-ES" w:eastAsia="es-CO"/>
        </w:rPr>
        <w:t>tación</w:t>
      </w:r>
      <w:r w:rsidRPr="1D2C459F">
        <w:rPr>
          <w:rFonts w:ascii="Arial" w:hAnsi="Arial" w:cs="Arial"/>
          <w:color w:val="000000" w:themeColor="text1"/>
          <w:sz w:val="20"/>
          <w:szCs w:val="20"/>
          <w:lang w:val="es-ES" w:eastAsia="es-CO"/>
        </w:rPr>
        <w:t>.</w:t>
      </w:r>
    </w:p>
    <w:p w14:paraId="7DFBD572" w14:textId="77777777" w:rsidR="000E47FD" w:rsidRDefault="000E47FD" w:rsidP="000E47FD">
      <w:pPr>
        <w:rPr>
          <w:rFonts w:ascii="Arial" w:hAnsi="Arial" w:cs="Arial"/>
          <w:color w:val="000000" w:themeColor="text1"/>
          <w:sz w:val="20"/>
          <w:szCs w:val="20"/>
          <w:lang w:val="es-ES" w:eastAsia="es-CO"/>
        </w:rPr>
      </w:pPr>
    </w:p>
    <w:p w14:paraId="41386875" w14:textId="77777777" w:rsidR="000E47FD" w:rsidRDefault="000E47FD" w:rsidP="000E47FD">
      <w:pPr>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w:t>
      </w:r>
      <w:r w:rsidRPr="1D2C459F">
        <w:rPr>
          <w:rFonts w:ascii="Arial" w:eastAsia="Arial" w:hAnsi="Arial" w:cs="Arial"/>
          <w:color w:val="000000" w:themeColor="text1"/>
          <w:sz w:val="20"/>
          <w:szCs w:val="20"/>
          <w:lang w:val="es-ES"/>
        </w:rPr>
        <w:t xml:space="preserve"> tipificación, estimación y asignación de los Riesgos que puedan afectar el Proceso de Contratación o la ejecución del </w:t>
      </w:r>
      <w:r>
        <w:rPr>
          <w:rFonts w:ascii="Arial" w:eastAsia="Arial" w:hAnsi="Arial" w:cs="Arial"/>
          <w:color w:val="000000" w:themeColor="text1"/>
          <w:sz w:val="20"/>
          <w:szCs w:val="20"/>
          <w:lang w:val="es-ES"/>
        </w:rPr>
        <w:t>C</w:t>
      </w:r>
      <w:r w:rsidRPr="1D2C459F">
        <w:rPr>
          <w:rFonts w:ascii="Arial" w:eastAsia="Arial" w:hAnsi="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66EAB15E" w14:textId="77777777" w:rsidR="00BF12C1" w:rsidRPr="000E47FD" w:rsidRDefault="00BF12C1" w:rsidP="00BF12C1">
      <w:pPr>
        <w:rPr>
          <w:rFonts w:ascii="Arial" w:hAnsi="Arial" w:cs="Arial"/>
          <w:color w:val="000000" w:themeColor="text1"/>
          <w:sz w:val="20"/>
          <w:szCs w:val="20"/>
          <w:lang w:val="es-ES" w:eastAsia="es-CO"/>
        </w:rPr>
      </w:pPr>
    </w:p>
    <w:p w14:paraId="54A35198" w14:textId="77777777" w:rsidR="00BF12C1" w:rsidRPr="00E20BE5" w:rsidRDefault="00BF12C1" w:rsidP="00BF12C1">
      <w:pPr>
        <w:spacing w:after="100" w:afterAutospacing="1"/>
        <w:rPr>
          <w:rFonts w:ascii="Arial" w:eastAsia="SimSun" w:hAnsi="Arial" w:cs="Arial"/>
          <w:color w:val="262626" w:themeColor="text1" w:themeTint="D9"/>
          <w:kern w:val="3"/>
          <w:sz w:val="20"/>
          <w:szCs w:val="20"/>
          <w:lang w:eastAsia="zh-CN" w:bidi="hi-IN"/>
        </w:rPr>
      </w:pPr>
      <w:r w:rsidRPr="00E20BE5">
        <w:rPr>
          <w:rFonts w:ascii="Arial" w:eastAsia="SimSun" w:hAnsi="Arial" w:cs="Arial"/>
          <w:b/>
          <w:color w:val="262626" w:themeColor="text1" w:themeTint="D9"/>
          <w:kern w:val="3"/>
          <w:sz w:val="20"/>
          <w:szCs w:val="20"/>
          <w:u w:val="single"/>
          <w:lang w:eastAsia="zh-CN" w:bidi="hi-IN"/>
        </w:rPr>
        <w:t>Matriz de Riesgos</w:t>
      </w:r>
    </w:p>
    <w:p w14:paraId="187E0405" w14:textId="77777777" w:rsidR="00BF12C1" w:rsidRDefault="00BF12C1" w:rsidP="00BF12C1">
      <w:pPr>
        <w:spacing w:after="100" w:afterAutospacing="1"/>
        <w:rPr>
          <w:rFonts w:ascii="Arial" w:eastAsia="SimSun" w:hAnsi="Arial" w:cs="Arial"/>
          <w:kern w:val="3"/>
          <w:sz w:val="20"/>
          <w:szCs w:val="20"/>
          <w:lang w:eastAsia="zh-CN" w:bidi="hi-IN"/>
        </w:rPr>
      </w:pPr>
    </w:p>
    <w:tbl>
      <w:tblPr>
        <w:tblStyle w:val="Tablaconcuadrcula"/>
        <w:tblW w:w="0" w:type="auto"/>
        <w:tblLayout w:type="fixed"/>
        <w:tblLook w:val="04A0" w:firstRow="1" w:lastRow="0" w:firstColumn="1" w:lastColumn="0" w:noHBand="0" w:noVBand="1"/>
      </w:tblPr>
      <w:tblGrid>
        <w:gridCol w:w="421"/>
        <w:gridCol w:w="421"/>
        <w:gridCol w:w="422"/>
        <w:gridCol w:w="858"/>
        <w:gridCol w:w="598"/>
        <w:gridCol w:w="1435"/>
        <w:gridCol w:w="448"/>
        <w:gridCol w:w="414"/>
        <w:gridCol w:w="415"/>
        <w:gridCol w:w="414"/>
        <w:gridCol w:w="1008"/>
        <w:gridCol w:w="1339"/>
        <w:gridCol w:w="543"/>
        <w:gridCol w:w="411"/>
        <w:gridCol w:w="411"/>
        <w:gridCol w:w="411"/>
        <w:gridCol w:w="412"/>
        <w:gridCol w:w="411"/>
        <w:gridCol w:w="448"/>
        <w:gridCol w:w="456"/>
        <w:gridCol w:w="445"/>
        <w:gridCol w:w="600"/>
      </w:tblGrid>
      <w:tr w:rsidR="00BF12C1" w:rsidRPr="004D7C35" w14:paraId="4A785B28" w14:textId="77777777" w:rsidTr="00BF12C1">
        <w:trPr>
          <w:cantSplit/>
          <w:trHeight w:val="1212"/>
        </w:trPr>
        <w:tc>
          <w:tcPr>
            <w:tcW w:w="421" w:type="dxa"/>
            <w:vMerge w:val="restart"/>
            <w:shd w:val="clear" w:color="auto" w:fill="4D4D4D"/>
            <w:textDirection w:val="btLr"/>
          </w:tcPr>
          <w:p w14:paraId="356CF874"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421" w:type="dxa"/>
            <w:vMerge w:val="restart"/>
            <w:shd w:val="clear" w:color="auto" w:fill="4D4D4D"/>
            <w:textDirection w:val="btLr"/>
          </w:tcPr>
          <w:p w14:paraId="30843C4E"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422" w:type="dxa"/>
            <w:vMerge w:val="restart"/>
            <w:shd w:val="clear" w:color="auto" w:fill="4D4D4D"/>
            <w:textDirection w:val="btLr"/>
          </w:tcPr>
          <w:p w14:paraId="5C0A3EB9"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858" w:type="dxa"/>
            <w:vMerge w:val="restart"/>
            <w:shd w:val="clear" w:color="auto" w:fill="4D4D4D"/>
            <w:textDirection w:val="btLr"/>
          </w:tcPr>
          <w:p w14:paraId="1015168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598" w:type="dxa"/>
            <w:vMerge w:val="restart"/>
            <w:shd w:val="clear" w:color="auto" w:fill="4D4D4D"/>
            <w:textDirection w:val="btLr"/>
          </w:tcPr>
          <w:p w14:paraId="140CF76E"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1435" w:type="dxa"/>
            <w:vMerge w:val="restart"/>
            <w:shd w:val="clear" w:color="auto" w:fill="4D4D4D"/>
            <w:textDirection w:val="btLr"/>
          </w:tcPr>
          <w:p w14:paraId="507D030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66E971F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24C4FAF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val="restart"/>
            <w:shd w:val="clear" w:color="auto" w:fill="4D4D4D"/>
            <w:textDirection w:val="btLr"/>
          </w:tcPr>
          <w:p w14:paraId="33DC124C"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414" w:type="dxa"/>
            <w:vMerge w:val="restart"/>
            <w:shd w:val="clear" w:color="auto" w:fill="4D4D4D"/>
            <w:textDirection w:val="btLr"/>
          </w:tcPr>
          <w:p w14:paraId="1CB6B52B"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415" w:type="dxa"/>
            <w:vMerge w:val="restart"/>
            <w:shd w:val="clear" w:color="auto" w:fill="4D4D4D"/>
            <w:textDirection w:val="btLr"/>
          </w:tcPr>
          <w:p w14:paraId="2850F802"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414" w:type="dxa"/>
            <w:vMerge w:val="restart"/>
            <w:shd w:val="clear" w:color="auto" w:fill="4D4D4D"/>
            <w:textDirection w:val="btLr"/>
          </w:tcPr>
          <w:p w14:paraId="45471FD8"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1008" w:type="dxa"/>
            <w:vMerge w:val="restart"/>
            <w:shd w:val="clear" w:color="auto" w:fill="4D4D4D"/>
            <w:textDirection w:val="btLr"/>
          </w:tcPr>
          <w:p w14:paraId="549D875F"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1339" w:type="dxa"/>
            <w:vMerge w:val="restart"/>
            <w:shd w:val="clear" w:color="auto" w:fill="BFBFBF" w:themeFill="background1" w:themeFillShade="BF"/>
            <w:textDirection w:val="btLr"/>
          </w:tcPr>
          <w:p w14:paraId="3A5F228D"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¿A quién se le asigna?</w:t>
            </w:r>
          </w:p>
        </w:tc>
        <w:tc>
          <w:tcPr>
            <w:tcW w:w="543" w:type="dxa"/>
            <w:vMerge w:val="restart"/>
            <w:shd w:val="clear" w:color="auto" w:fill="BFBFBF" w:themeFill="background1" w:themeFillShade="BF"/>
            <w:textDirection w:val="btLr"/>
          </w:tcPr>
          <w:p w14:paraId="6EBD494C"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Tratamiento/Controles a ser implementados</w:t>
            </w:r>
          </w:p>
        </w:tc>
        <w:tc>
          <w:tcPr>
            <w:tcW w:w="1645" w:type="dxa"/>
            <w:gridSpan w:val="4"/>
            <w:shd w:val="clear" w:color="auto" w:fill="BFBFBF" w:themeFill="background1" w:themeFillShade="BF"/>
          </w:tcPr>
          <w:p w14:paraId="6EB1CCC9"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360A35AE"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40BA1506"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Impacto después del tratamiento</w:t>
            </w:r>
          </w:p>
        </w:tc>
        <w:tc>
          <w:tcPr>
            <w:tcW w:w="411" w:type="dxa"/>
            <w:vMerge w:val="restart"/>
            <w:shd w:val="clear" w:color="auto" w:fill="BFBFBF" w:themeFill="background1" w:themeFillShade="BF"/>
            <w:textDirection w:val="btLr"/>
          </w:tcPr>
          <w:p w14:paraId="3DC56597"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¿Afecta la ejecución del contrato?</w:t>
            </w:r>
          </w:p>
        </w:tc>
        <w:tc>
          <w:tcPr>
            <w:tcW w:w="448" w:type="dxa"/>
            <w:vMerge w:val="restart"/>
            <w:shd w:val="clear" w:color="auto" w:fill="BFBFBF" w:themeFill="background1" w:themeFillShade="BF"/>
            <w:textDirection w:val="btLr"/>
          </w:tcPr>
          <w:p w14:paraId="58D72699"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9771F1">
              <w:rPr>
                <w:rFonts w:ascii="Arial" w:eastAsia="SimSun" w:hAnsi="Arial" w:cs="Arial"/>
                <w:b/>
                <w:color w:val="404040" w:themeColor="text1" w:themeTint="BF"/>
                <w:kern w:val="3"/>
                <w:sz w:val="14"/>
                <w:szCs w:val="14"/>
                <w:lang w:eastAsia="zh-CN" w:bidi="hi-IN"/>
              </w:rPr>
              <w:t>Persona responsable por implementar el tratamiento</w:t>
            </w:r>
          </w:p>
        </w:tc>
        <w:tc>
          <w:tcPr>
            <w:tcW w:w="456" w:type="dxa"/>
            <w:vMerge w:val="restart"/>
            <w:shd w:val="clear" w:color="auto" w:fill="BFBFBF" w:themeFill="background1" w:themeFillShade="BF"/>
            <w:textDirection w:val="btLr"/>
          </w:tcPr>
          <w:p w14:paraId="50F0A62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9771F1">
              <w:rPr>
                <w:rFonts w:ascii="Arial" w:eastAsia="SimSun" w:hAnsi="Arial" w:cs="Arial"/>
                <w:b/>
                <w:color w:val="404040" w:themeColor="text1" w:themeTint="BF"/>
                <w:kern w:val="3"/>
                <w:sz w:val="14"/>
                <w:szCs w:val="14"/>
                <w:lang w:eastAsia="zh-CN" w:bidi="hi-IN"/>
              </w:rPr>
              <w:t>Fecha estimada en que se completa el tratamiento</w:t>
            </w:r>
          </w:p>
        </w:tc>
        <w:tc>
          <w:tcPr>
            <w:tcW w:w="1045" w:type="dxa"/>
            <w:gridSpan w:val="2"/>
            <w:shd w:val="clear" w:color="auto" w:fill="BFBFBF" w:themeFill="background1" w:themeFillShade="BF"/>
          </w:tcPr>
          <w:p w14:paraId="3B222511"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27F4D84A"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771A63EC"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Monitoreo y revisión</w:t>
            </w:r>
          </w:p>
        </w:tc>
      </w:tr>
      <w:tr w:rsidR="00BF12C1" w:rsidRPr="004D7C35" w14:paraId="7495FB94" w14:textId="77777777" w:rsidTr="00BF12C1">
        <w:trPr>
          <w:cantSplit/>
          <w:trHeight w:val="2063"/>
        </w:trPr>
        <w:tc>
          <w:tcPr>
            <w:tcW w:w="421" w:type="dxa"/>
            <w:vMerge/>
            <w:shd w:val="clear" w:color="auto" w:fill="4D4D4D"/>
            <w:textDirection w:val="btLr"/>
          </w:tcPr>
          <w:p w14:paraId="064DE247"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1" w:type="dxa"/>
            <w:vMerge/>
            <w:shd w:val="clear" w:color="auto" w:fill="4D4D4D"/>
            <w:textDirection w:val="btLr"/>
          </w:tcPr>
          <w:p w14:paraId="74EE81FA"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2" w:type="dxa"/>
            <w:vMerge/>
            <w:shd w:val="clear" w:color="auto" w:fill="4D4D4D"/>
            <w:textDirection w:val="btLr"/>
          </w:tcPr>
          <w:p w14:paraId="7CFD38E5"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858" w:type="dxa"/>
            <w:vMerge/>
            <w:shd w:val="clear" w:color="auto" w:fill="4D4D4D"/>
            <w:textDirection w:val="btLr"/>
          </w:tcPr>
          <w:p w14:paraId="197CAABF"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598" w:type="dxa"/>
            <w:vMerge/>
            <w:shd w:val="clear" w:color="auto" w:fill="4D4D4D"/>
            <w:textDirection w:val="btLr"/>
          </w:tcPr>
          <w:p w14:paraId="5EAF171C"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435" w:type="dxa"/>
            <w:vMerge/>
            <w:shd w:val="clear" w:color="auto" w:fill="4D4D4D"/>
            <w:textDirection w:val="btLr"/>
          </w:tcPr>
          <w:p w14:paraId="7E16701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shd w:val="clear" w:color="auto" w:fill="4D4D4D"/>
            <w:textDirection w:val="btLr"/>
          </w:tcPr>
          <w:p w14:paraId="3DD6801D"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68FDB21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5" w:type="dxa"/>
            <w:vMerge/>
            <w:shd w:val="clear" w:color="auto" w:fill="4D4D4D"/>
            <w:textDirection w:val="btLr"/>
          </w:tcPr>
          <w:p w14:paraId="67A55F1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4E3CD2B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008" w:type="dxa"/>
            <w:vMerge/>
            <w:shd w:val="clear" w:color="auto" w:fill="4D4D4D"/>
            <w:textDirection w:val="btLr"/>
          </w:tcPr>
          <w:p w14:paraId="0E6B76AB"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339" w:type="dxa"/>
            <w:vMerge/>
            <w:shd w:val="clear" w:color="auto" w:fill="BFBFBF" w:themeFill="background1" w:themeFillShade="BF"/>
            <w:textDirection w:val="btLr"/>
          </w:tcPr>
          <w:p w14:paraId="4BB43199"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543" w:type="dxa"/>
            <w:vMerge/>
            <w:shd w:val="clear" w:color="auto" w:fill="BFBFBF" w:themeFill="background1" w:themeFillShade="BF"/>
            <w:textDirection w:val="btLr"/>
          </w:tcPr>
          <w:p w14:paraId="5ADF8C4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11" w:type="dxa"/>
            <w:shd w:val="clear" w:color="auto" w:fill="BFBFBF" w:themeFill="background1" w:themeFillShade="BF"/>
            <w:textDirection w:val="btLr"/>
          </w:tcPr>
          <w:p w14:paraId="4D14730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Probabilidad</w:t>
            </w:r>
          </w:p>
        </w:tc>
        <w:tc>
          <w:tcPr>
            <w:tcW w:w="411" w:type="dxa"/>
            <w:shd w:val="clear" w:color="auto" w:fill="BFBFBF" w:themeFill="background1" w:themeFillShade="BF"/>
            <w:textDirection w:val="btLr"/>
          </w:tcPr>
          <w:p w14:paraId="248CBB97"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Impacto</w:t>
            </w:r>
          </w:p>
        </w:tc>
        <w:tc>
          <w:tcPr>
            <w:tcW w:w="411" w:type="dxa"/>
            <w:shd w:val="clear" w:color="auto" w:fill="BFBFBF" w:themeFill="background1" w:themeFillShade="BF"/>
            <w:textDirection w:val="btLr"/>
          </w:tcPr>
          <w:p w14:paraId="46055B9C"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Valoración del Riesgo</w:t>
            </w:r>
          </w:p>
        </w:tc>
        <w:tc>
          <w:tcPr>
            <w:tcW w:w="412" w:type="dxa"/>
            <w:shd w:val="clear" w:color="auto" w:fill="BFBFBF" w:themeFill="background1" w:themeFillShade="BF"/>
            <w:textDirection w:val="btLr"/>
          </w:tcPr>
          <w:p w14:paraId="56983BA6"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Categoría</w:t>
            </w:r>
          </w:p>
        </w:tc>
        <w:tc>
          <w:tcPr>
            <w:tcW w:w="411" w:type="dxa"/>
            <w:vMerge/>
            <w:shd w:val="clear" w:color="auto" w:fill="BFBFBF" w:themeFill="background1" w:themeFillShade="BF"/>
            <w:textDirection w:val="btLr"/>
          </w:tcPr>
          <w:p w14:paraId="29353030"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8" w:type="dxa"/>
            <w:vMerge/>
            <w:shd w:val="clear" w:color="auto" w:fill="BFBFBF" w:themeFill="background1" w:themeFillShade="BF"/>
            <w:textDirection w:val="btLr"/>
          </w:tcPr>
          <w:p w14:paraId="788675F4"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56" w:type="dxa"/>
            <w:vMerge/>
            <w:shd w:val="clear" w:color="auto" w:fill="BFBFBF" w:themeFill="background1" w:themeFillShade="BF"/>
            <w:textDirection w:val="btLr"/>
          </w:tcPr>
          <w:p w14:paraId="59680DA5"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5" w:type="dxa"/>
            <w:shd w:val="clear" w:color="auto" w:fill="BFBFBF" w:themeFill="background1" w:themeFillShade="BF"/>
            <w:textDirection w:val="btLr"/>
          </w:tcPr>
          <w:p w14:paraId="07E06476" w14:textId="77777777" w:rsidR="00BF12C1" w:rsidRPr="007115DA"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7115DA">
              <w:rPr>
                <w:rFonts w:ascii="Arial" w:eastAsia="SimSun" w:hAnsi="Arial" w:cs="Arial"/>
                <w:b/>
                <w:color w:val="404040" w:themeColor="text1" w:themeTint="BF"/>
                <w:kern w:val="3"/>
                <w:sz w:val="14"/>
                <w:szCs w:val="14"/>
                <w:lang w:eastAsia="zh-CN" w:bidi="hi-IN"/>
              </w:rPr>
              <w:t>¿Cómo se realiza el monitoreo?</w:t>
            </w:r>
          </w:p>
        </w:tc>
        <w:tc>
          <w:tcPr>
            <w:tcW w:w="600" w:type="dxa"/>
            <w:shd w:val="clear" w:color="auto" w:fill="BFBFBF" w:themeFill="background1" w:themeFillShade="BF"/>
            <w:textDirection w:val="btLr"/>
          </w:tcPr>
          <w:p w14:paraId="467ABD76"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Periodicidad</w:t>
            </w:r>
          </w:p>
          <w:p w14:paraId="6DC3335A"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¿Cuándo?</w:t>
            </w:r>
          </w:p>
        </w:tc>
      </w:tr>
      <w:tr w:rsidR="00BF12C1" w:rsidRPr="004D7C35" w14:paraId="2602EA7B" w14:textId="77777777" w:rsidTr="00BF12C1">
        <w:trPr>
          <w:cantSplit/>
          <w:trHeight w:val="1134"/>
        </w:trPr>
        <w:tc>
          <w:tcPr>
            <w:tcW w:w="421" w:type="dxa"/>
            <w:shd w:val="clear" w:color="auto" w:fill="auto"/>
          </w:tcPr>
          <w:p w14:paraId="38E14E9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1</w:t>
            </w:r>
          </w:p>
        </w:tc>
        <w:tc>
          <w:tcPr>
            <w:tcW w:w="421" w:type="dxa"/>
            <w:shd w:val="clear" w:color="auto" w:fill="auto"/>
          </w:tcPr>
          <w:p w14:paraId="369080A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G</w:t>
            </w:r>
          </w:p>
        </w:tc>
        <w:tc>
          <w:tcPr>
            <w:tcW w:w="422" w:type="dxa"/>
            <w:shd w:val="clear" w:color="auto" w:fill="auto"/>
          </w:tcPr>
          <w:p w14:paraId="60A5187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38A80F67"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 - CONTRACTUAL</w:t>
            </w:r>
          </w:p>
        </w:tc>
        <w:tc>
          <w:tcPr>
            <w:tcW w:w="598" w:type="dxa"/>
            <w:shd w:val="clear" w:color="auto" w:fill="auto"/>
            <w:textDirection w:val="btLr"/>
          </w:tcPr>
          <w:p w14:paraId="2263C686"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Riesgo regulatorio</w:t>
            </w:r>
          </w:p>
        </w:tc>
        <w:tc>
          <w:tcPr>
            <w:tcW w:w="1435" w:type="dxa"/>
            <w:shd w:val="clear" w:color="auto" w:fill="auto"/>
          </w:tcPr>
          <w:p w14:paraId="68C3CFE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Riesgo ocasionado por cambios en la normatividad técnica durante la ejecución del proyecto.</w:t>
            </w:r>
          </w:p>
        </w:tc>
        <w:tc>
          <w:tcPr>
            <w:tcW w:w="448" w:type="dxa"/>
            <w:shd w:val="clear" w:color="auto" w:fill="auto"/>
          </w:tcPr>
          <w:p w14:paraId="3B0CC1B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737064A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39D2D02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6787844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54EADFD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519A874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3044D43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8EDE0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2E8C9C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790935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071E4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C4F1F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SI</w:t>
            </w:r>
          </w:p>
        </w:tc>
        <w:tc>
          <w:tcPr>
            <w:tcW w:w="448" w:type="dxa"/>
            <w:shd w:val="clear" w:color="auto" w:fill="auto"/>
          </w:tcPr>
          <w:p w14:paraId="427B5BE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181F01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0E51C5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307C277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DF0A2B3" w14:textId="77777777" w:rsidTr="00BF12C1">
        <w:trPr>
          <w:cantSplit/>
          <w:trHeight w:val="1134"/>
        </w:trPr>
        <w:tc>
          <w:tcPr>
            <w:tcW w:w="421" w:type="dxa"/>
            <w:shd w:val="clear" w:color="auto" w:fill="auto"/>
          </w:tcPr>
          <w:p w14:paraId="58EA39E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lastRenderedPageBreak/>
              <w:t>2</w:t>
            </w:r>
          </w:p>
        </w:tc>
        <w:tc>
          <w:tcPr>
            <w:tcW w:w="421" w:type="dxa"/>
            <w:shd w:val="clear" w:color="auto" w:fill="auto"/>
          </w:tcPr>
          <w:p w14:paraId="2CBBA51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G</w:t>
            </w:r>
          </w:p>
        </w:tc>
        <w:tc>
          <w:tcPr>
            <w:tcW w:w="422" w:type="dxa"/>
            <w:shd w:val="clear" w:color="auto" w:fill="auto"/>
          </w:tcPr>
          <w:p w14:paraId="35B82A5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53DD33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5FDC4C2D"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operacional</w:t>
            </w:r>
          </w:p>
        </w:tc>
        <w:tc>
          <w:tcPr>
            <w:tcW w:w="1435" w:type="dxa"/>
            <w:shd w:val="clear" w:color="auto" w:fill="auto"/>
          </w:tcPr>
          <w:p w14:paraId="216355E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del contrato ocasionado a causa de la coordinación Interinstitucional. Cuando el INVIAS y/o CONTRATISTA dependen de decisiones de otras entidades oficiales. Se refiere a los mayores costos asumidos por el CONTRATISTA debido a demoras ocasionadas por otras entidades públicas. Riesgo que asume el INVIAS, excepto para los permisos ambientales a cargo del CONTRATISTA.</w:t>
            </w:r>
          </w:p>
        </w:tc>
        <w:tc>
          <w:tcPr>
            <w:tcW w:w="448" w:type="dxa"/>
            <w:shd w:val="clear" w:color="auto" w:fill="auto"/>
          </w:tcPr>
          <w:p w14:paraId="7AE36CE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01D6195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15" w:type="dxa"/>
            <w:shd w:val="clear" w:color="auto" w:fill="auto"/>
          </w:tcPr>
          <w:p w14:paraId="0D97BBD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14" w:type="dxa"/>
            <w:shd w:val="clear" w:color="auto" w:fill="auto"/>
          </w:tcPr>
          <w:p w14:paraId="110EADC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1008" w:type="dxa"/>
            <w:shd w:val="clear" w:color="auto" w:fill="auto"/>
          </w:tcPr>
          <w:p w14:paraId="7B2EA23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4712AE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32CE109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66058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9362E6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E9DF0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C278BA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4250E8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CAA7BB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4358603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306FDDD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E9D91D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3C25B124" w14:textId="77777777" w:rsidTr="00BF12C1">
        <w:trPr>
          <w:cantSplit/>
          <w:trHeight w:val="1134"/>
        </w:trPr>
        <w:tc>
          <w:tcPr>
            <w:tcW w:w="421" w:type="dxa"/>
            <w:shd w:val="clear" w:color="auto" w:fill="auto"/>
          </w:tcPr>
          <w:p w14:paraId="639E6C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21" w:type="dxa"/>
            <w:shd w:val="clear" w:color="auto" w:fill="auto"/>
          </w:tcPr>
          <w:p w14:paraId="4FAF321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E</w:t>
            </w:r>
          </w:p>
        </w:tc>
        <w:tc>
          <w:tcPr>
            <w:tcW w:w="422" w:type="dxa"/>
            <w:shd w:val="clear" w:color="auto" w:fill="auto"/>
          </w:tcPr>
          <w:p w14:paraId="0F21E9E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2316662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w:t>
            </w:r>
          </w:p>
        </w:tc>
        <w:tc>
          <w:tcPr>
            <w:tcW w:w="598" w:type="dxa"/>
            <w:shd w:val="clear" w:color="auto" w:fill="auto"/>
            <w:textDirection w:val="btLr"/>
          </w:tcPr>
          <w:p w14:paraId="2D59EB51"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General</w:t>
            </w:r>
          </w:p>
        </w:tc>
        <w:tc>
          <w:tcPr>
            <w:tcW w:w="1435" w:type="dxa"/>
            <w:shd w:val="clear" w:color="auto" w:fill="auto"/>
          </w:tcPr>
          <w:p w14:paraId="6DA553A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 xml:space="preserve">Errores involuntarios que hayan quedado en los pliegos de </w:t>
            </w:r>
            <w:proofErr w:type="gramStart"/>
            <w:r w:rsidRPr="00B35131">
              <w:rPr>
                <w:rFonts w:ascii="Arial" w:eastAsia="SimSun" w:hAnsi="Arial" w:cs="Arial"/>
                <w:kern w:val="3"/>
                <w:sz w:val="16"/>
                <w:szCs w:val="20"/>
                <w:lang w:eastAsia="zh-CN" w:bidi="hi-IN"/>
              </w:rPr>
              <w:t>condiciones ,</w:t>
            </w:r>
            <w:proofErr w:type="gramEnd"/>
            <w:r w:rsidRPr="00B35131">
              <w:rPr>
                <w:rFonts w:ascii="Arial" w:eastAsia="SimSun" w:hAnsi="Arial" w:cs="Arial"/>
                <w:kern w:val="3"/>
                <w:sz w:val="16"/>
                <w:szCs w:val="20"/>
                <w:lang w:eastAsia="zh-CN" w:bidi="hi-IN"/>
              </w:rPr>
              <w:t xml:space="preserve"> unidades, especificaciones, descripción del proyecto, anexos técnicos, estudios previos, operaciones aritméticas, etc. Riesgo que asume el CONTRATISTA y el INVIAS</w:t>
            </w:r>
          </w:p>
        </w:tc>
        <w:tc>
          <w:tcPr>
            <w:tcW w:w="448" w:type="dxa"/>
            <w:shd w:val="clear" w:color="auto" w:fill="auto"/>
          </w:tcPr>
          <w:p w14:paraId="7A86DD3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2E2A0E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6B44018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2AFC888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1008" w:type="dxa"/>
            <w:shd w:val="clear" w:color="auto" w:fill="auto"/>
          </w:tcPr>
          <w:p w14:paraId="350EFBF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1AE4E07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 50% CONTRATISTA 50%</w:t>
            </w:r>
          </w:p>
        </w:tc>
        <w:tc>
          <w:tcPr>
            <w:tcW w:w="543" w:type="dxa"/>
            <w:shd w:val="clear" w:color="auto" w:fill="auto"/>
          </w:tcPr>
          <w:p w14:paraId="5982FAE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0DF93E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C3A030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892CB8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0297E06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78987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12173B7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050DCB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930DAF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24DC25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5A596AAC" w14:textId="77777777" w:rsidTr="00BF12C1">
        <w:trPr>
          <w:cantSplit/>
          <w:trHeight w:val="1134"/>
        </w:trPr>
        <w:tc>
          <w:tcPr>
            <w:tcW w:w="421" w:type="dxa"/>
            <w:shd w:val="clear" w:color="auto" w:fill="auto"/>
          </w:tcPr>
          <w:p w14:paraId="0D097FA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4</w:t>
            </w:r>
          </w:p>
        </w:tc>
        <w:tc>
          <w:tcPr>
            <w:tcW w:w="421" w:type="dxa"/>
            <w:shd w:val="clear" w:color="auto" w:fill="auto"/>
          </w:tcPr>
          <w:p w14:paraId="40721D4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74D9115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467A2DF0"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58411E0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GENERAL</w:t>
            </w:r>
          </w:p>
        </w:tc>
        <w:tc>
          <w:tcPr>
            <w:tcW w:w="1435" w:type="dxa"/>
            <w:shd w:val="clear" w:color="auto" w:fill="auto"/>
          </w:tcPr>
          <w:p w14:paraId="552A34E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Riesgo presentado por accidentalidad y/o muerte de personal del CONTRATISTA desde la adjudicación y/o durante la ejecución del contrato, por causas externas al proyecto o por ausencia o falta o deficiencia del SISTEMA DE SEGURIDAD INDUSTRIAL de la obra. Riesgo que asume el CONTRATISTA.</w:t>
            </w:r>
          </w:p>
        </w:tc>
        <w:tc>
          <w:tcPr>
            <w:tcW w:w="448" w:type="dxa"/>
            <w:shd w:val="clear" w:color="auto" w:fill="auto"/>
          </w:tcPr>
          <w:p w14:paraId="4F3C88D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605B654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2D49D46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046530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3900BA3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6BF4B54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25DB7B2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011361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F556B9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B0D92A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02BF710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560C0B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BCCE5E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E9D723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934148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E0469B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5EF90188" w14:textId="77777777" w:rsidTr="00BF12C1">
        <w:trPr>
          <w:cantSplit/>
          <w:trHeight w:val="1134"/>
        </w:trPr>
        <w:tc>
          <w:tcPr>
            <w:tcW w:w="421" w:type="dxa"/>
            <w:shd w:val="clear" w:color="auto" w:fill="auto"/>
          </w:tcPr>
          <w:p w14:paraId="335E41B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21" w:type="dxa"/>
            <w:shd w:val="clear" w:color="auto" w:fill="auto"/>
          </w:tcPr>
          <w:p w14:paraId="420C05A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624117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625042D"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w:t>
            </w:r>
          </w:p>
        </w:tc>
        <w:tc>
          <w:tcPr>
            <w:tcW w:w="598" w:type="dxa"/>
            <w:shd w:val="clear" w:color="auto" w:fill="auto"/>
            <w:textDirection w:val="btLr"/>
          </w:tcPr>
          <w:p w14:paraId="051E391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GENERAL</w:t>
            </w:r>
          </w:p>
        </w:tc>
        <w:tc>
          <w:tcPr>
            <w:tcW w:w="1435" w:type="dxa"/>
            <w:shd w:val="clear" w:color="auto" w:fill="auto"/>
          </w:tcPr>
          <w:p w14:paraId="738031C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Errores cometidos por el  CONTRATISTA en la elaboración de las propuestas (Sobre 1 y Sobre 2) y/o en los documentos  elaborados por el   CONTRATISTA durante la ejecución del contrato. Riesgo que asume el CONTRATISTA.</w:t>
            </w:r>
          </w:p>
        </w:tc>
        <w:tc>
          <w:tcPr>
            <w:tcW w:w="448" w:type="dxa"/>
            <w:shd w:val="clear" w:color="auto" w:fill="auto"/>
          </w:tcPr>
          <w:p w14:paraId="180312D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48F575E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0BB9E01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74D58CE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3F8BFBA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7842C95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35327F2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D4584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F09CFB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6737CD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278A507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03E2D8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C64E8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63B8ED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5E3E04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72205F6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307DC94F" w14:textId="77777777" w:rsidTr="00BF12C1">
        <w:trPr>
          <w:cantSplit/>
          <w:trHeight w:val="1134"/>
        </w:trPr>
        <w:tc>
          <w:tcPr>
            <w:tcW w:w="421" w:type="dxa"/>
            <w:shd w:val="clear" w:color="auto" w:fill="auto"/>
          </w:tcPr>
          <w:p w14:paraId="11BC95D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6</w:t>
            </w:r>
          </w:p>
        </w:tc>
        <w:tc>
          <w:tcPr>
            <w:tcW w:w="421" w:type="dxa"/>
            <w:shd w:val="clear" w:color="auto" w:fill="auto"/>
          </w:tcPr>
          <w:p w14:paraId="0ACD7EB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08825CD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0C306658"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37D3075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Riesgo operacional</w:t>
            </w:r>
          </w:p>
        </w:tc>
        <w:tc>
          <w:tcPr>
            <w:tcW w:w="1435" w:type="dxa"/>
            <w:shd w:val="clear" w:color="auto" w:fill="auto"/>
          </w:tcPr>
          <w:p w14:paraId="35CCCE5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Demora en la legalización del contrato por parte del CONTRATISTA. Riesgo que asume el contratista</w:t>
            </w:r>
          </w:p>
        </w:tc>
        <w:tc>
          <w:tcPr>
            <w:tcW w:w="448" w:type="dxa"/>
            <w:shd w:val="clear" w:color="auto" w:fill="auto"/>
          </w:tcPr>
          <w:p w14:paraId="0D1411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55EE7E0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3965F28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171584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2F7E697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1FA1674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0E04EA1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D95242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D990E6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3C9CF8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02BF0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0BDB76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2931C2F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5120BD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05D568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7CE4D7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A0D5E85" w14:textId="77777777" w:rsidTr="00BF12C1">
        <w:trPr>
          <w:cantSplit/>
          <w:trHeight w:val="1134"/>
        </w:trPr>
        <w:tc>
          <w:tcPr>
            <w:tcW w:w="421" w:type="dxa"/>
            <w:shd w:val="clear" w:color="auto" w:fill="auto"/>
          </w:tcPr>
          <w:p w14:paraId="64A0ACB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7</w:t>
            </w:r>
          </w:p>
        </w:tc>
        <w:tc>
          <w:tcPr>
            <w:tcW w:w="421" w:type="dxa"/>
            <w:shd w:val="clear" w:color="auto" w:fill="auto"/>
          </w:tcPr>
          <w:p w14:paraId="030E101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4D8B292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EB59F5E"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48AFDBD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7961EB">
              <w:rPr>
                <w:rFonts w:ascii="Arial" w:eastAsia="SimSun" w:hAnsi="Arial" w:cs="Arial"/>
                <w:kern w:val="3"/>
                <w:sz w:val="16"/>
                <w:szCs w:val="20"/>
                <w:lang w:eastAsia="zh-CN" w:bidi="hi-IN"/>
              </w:rPr>
              <w:t>Riesgo social o político</w:t>
            </w:r>
          </w:p>
        </w:tc>
        <w:tc>
          <w:tcPr>
            <w:tcW w:w="1435" w:type="dxa"/>
            <w:shd w:val="clear" w:color="auto" w:fill="auto"/>
          </w:tcPr>
          <w:p w14:paraId="1D90FF1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7961EB">
              <w:rPr>
                <w:rFonts w:ascii="Arial" w:eastAsia="SimSun" w:hAnsi="Arial" w:cs="Arial"/>
                <w:kern w:val="3"/>
                <w:sz w:val="16"/>
                <w:szCs w:val="20"/>
                <w:lang w:eastAsia="zh-CN" w:bidi="hi-IN"/>
              </w:rPr>
              <w:t>Paros y/o problemas de Orden Público que se puedan presentar por transportadores de carga y/o pasajeros. Riesgo que asume el INVIAS y el CONTRATISTA</w:t>
            </w:r>
          </w:p>
        </w:tc>
        <w:tc>
          <w:tcPr>
            <w:tcW w:w="448" w:type="dxa"/>
            <w:shd w:val="clear" w:color="auto" w:fill="auto"/>
          </w:tcPr>
          <w:p w14:paraId="5E974CE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6D6F210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5B53BA5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3620E53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2707272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RIESGO MEDIO </w:t>
            </w:r>
          </w:p>
        </w:tc>
        <w:tc>
          <w:tcPr>
            <w:tcW w:w="1339" w:type="dxa"/>
            <w:shd w:val="clear" w:color="auto" w:fill="auto"/>
          </w:tcPr>
          <w:p w14:paraId="5875124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 25% CONTRATISTA 75%</w:t>
            </w:r>
          </w:p>
        </w:tc>
        <w:tc>
          <w:tcPr>
            <w:tcW w:w="543" w:type="dxa"/>
            <w:shd w:val="clear" w:color="auto" w:fill="auto"/>
          </w:tcPr>
          <w:p w14:paraId="1E4A055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8BC415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92257F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59506D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133CF0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B9A1B7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21D12A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06169E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428CF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CBDD7D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41CE407" w14:textId="77777777" w:rsidTr="00BF12C1">
        <w:trPr>
          <w:cantSplit/>
          <w:trHeight w:val="1134"/>
        </w:trPr>
        <w:tc>
          <w:tcPr>
            <w:tcW w:w="421" w:type="dxa"/>
            <w:shd w:val="clear" w:color="auto" w:fill="auto"/>
          </w:tcPr>
          <w:p w14:paraId="3DEFD5E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421" w:type="dxa"/>
            <w:shd w:val="clear" w:color="auto" w:fill="auto"/>
          </w:tcPr>
          <w:p w14:paraId="34ECF01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00C40DB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C4EA0AF"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6F7741C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Riesgo operacional</w:t>
            </w:r>
          </w:p>
        </w:tc>
        <w:tc>
          <w:tcPr>
            <w:tcW w:w="1435" w:type="dxa"/>
            <w:shd w:val="clear" w:color="auto" w:fill="auto"/>
          </w:tcPr>
          <w:p w14:paraId="4D242DF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Problemas presentados entre asociados de Microempresas, socios y/o consorciados y/o integrantes de uniones temporales y/o familiares de las empresas y/o firmas que conforman la FIRMA CONTRATISTA y que contratan con INVIAS. Riesgo que asume el CONTRATISTA.</w:t>
            </w:r>
          </w:p>
        </w:tc>
        <w:tc>
          <w:tcPr>
            <w:tcW w:w="448" w:type="dxa"/>
            <w:shd w:val="clear" w:color="auto" w:fill="auto"/>
          </w:tcPr>
          <w:p w14:paraId="0004242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9EB308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0EB16E6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47E5586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447E6D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412FECF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66A24C0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B4B2D8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E1FCDA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52209B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5DC71B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503ACE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590E27C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0F19377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5729E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93F7FF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B28840E" w14:textId="77777777" w:rsidTr="00BF12C1">
        <w:trPr>
          <w:cantSplit/>
          <w:trHeight w:val="1134"/>
        </w:trPr>
        <w:tc>
          <w:tcPr>
            <w:tcW w:w="421" w:type="dxa"/>
            <w:shd w:val="clear" w:color="auto" w:fill="auto"/>
          </w:tcPr>
          <w:p w14:paraId="636483F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9</w:t>
            </w:r>
          </w:p>
        </w:tc>
        <w:tc>
          <w:tcPr>
            <w:tcW w:w="421" w:type="dxa"/>
            <w:shd w:val="clear" w:color="auto" w:fill="auto"/>
          </w:tcPr>
          <w:p w14:paraId="2228312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7AF2F1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551BFC4E"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2DAB20F7"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Riesgo financiero</w:t>
            </w:r>
          </w:p>
        </w:tc>
        <w:tc>
          <w:tcPr>
            <w:tcW w:w="1435" w:type="dxa"/>
            <w:shd w:val="clear" w:color="auto" w:fill="auto"/>
          </w:tcPr>
          <w:p w14:paraId="191C7B6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Demora en la radicación (en la ventanilla de radicación de cuentas de la Subdirección Financiera) oportuna por parte del  CONTRATISTA de las actas (correctamente diligenciadas y firmadas) y/o cuentas. Riesgo que asume el CONTRATISTA</w:t>
            </w:r>
          </w:p>
        </w:tc>
        <w:tc>
          <w:tcPr>
            <w:tcW w:w="448" w:type="dxa"/>
            <w:shd w:val="clear" w:color="auto" w:fill="auto"/>
          </w:tcPr>
          <w:p w14:paraId="74B6BF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1DBEFA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0D86A99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02242B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4099D8E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6922270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5E4008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9975D6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EE727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4E77AC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F5E7F8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74F70A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DA288B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6F64D07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99D5CB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74FA8E0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DBE33FA" w14:textId="77777777" w:rsidTr="00BF12C1">
        <w:trPr>
          <w:cantSplit/>
          <w:trHeight w:val="1134"/>
        </w:trPr>
        <w:tc>
          <w:tcPr>
            <w:tcW w:w="421" w:type="dxa"/>
            <w:shd w:val="clear" w:color="auto" w:fill="auto"/>
          </w:tcPr>
          <w:p w14:paraId="6C5EE65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10</w:t>
            </w:r>
          </w:p>
        </w:tc>
        <w:tc>
          <w:tcPr>
            <w:tcW w:w="421" w:type="dxa"/>
            <w:shd w:val="clear" w:color="auto" w:fill="auto"/>
          </w:tcPr>
          <w:p w14:paraId="0FB6E4C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767486F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F6B245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C5E4A2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Riesgo general</w:t>
            </w:r>
          </w:p>
        </w:tc>
        <w:tc>
          <w:tcPr>
            <w:tcW w:w="1435" w:type="dxa"/>
            <w:shd w:val="clear" w:color="auto" w:fill="auto"/>
          </w:tcPr>
          <w:p w14:paraId="4850136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Errores cometidos por el CONTRATISTA en la elaboración de las actas y/o cuentas que ocasionan demoras en su radicación. Riesgo que asume el CONTRATISTA</w:t>
            </w:r>
          </w:p>
        </w:tc>
        <w:tc>
          <w:tcPr>
            <w:tcW w:w="448" w:type="dxa"/>
            <w:shd w:val="clear" w:color="auto" w:fill="auto"/>
          </w:tcPr>
          <w:p w14:paraId="4304869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1FAD4A7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560DB23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667B71D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28CA972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7F1665E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1951010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3A036F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46A678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1122A7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70F3E63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7D343F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5EE323E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4AE6736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5E6C9C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1D7C57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267A63C7" w14:textId="77777777" w:rsidTr="00BF12C1">
        <w:trPr>
          <w:cantSplit/>
          <w:trHeight w:val="1134"/>
        </w:trPr>
        <w:tc>
          <w:tcPr>
            <w:tcW w:w="421" w:type="dxa"/>
            <w:shd w:val="clear" w:color="auto" w:fill="auto"/>
          </w:tcPr>
          <w:p w14:paraId="14DCD2F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11</w:t>
            </w:r>
          </w:p>
        </w:tc>
        <w:tc>
          <w:tcPr>
            <w:tcW w:w="421" w:type="dxa"/>
            <w:shd w:val="clear" w:color="auto" w:fill="auto"/>
          </w:tcPr>
          <w:p w14:paraId="76953F3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56A70EC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1EDB9A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7F76C8A"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Riesgo general</w:t>
            </w:r>
          </w:p>
        </w:tc>
        <w:tc>
          <w:tcPr>
            <w:tcW w:w="1435" w:type="dxa"/>
            <w:shd w:val="clear" w:color="auto" w:fill="auto"/>
          </w:tcPr>
          <w:p w14:paraId="6A0BF18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 xml:space="preserve">Accidentalidad presentada por la deficiente señalización preventiva ubicada en sitios críticos y en las zonas  donde </w:t>
            </w:r>
            <w:proofErr w:type="spellStart"/>
            <w:r w:rsidRPr="00DE2AF0">
              <w:rPr>
                <w:rFonts w:ascii="Arial" w:eastAsia="SimSun" w:hAnsi="Arial" w:cs="Arial"/>
                <w:kern w:val="3"/>
                <w:sz w:val="16"/>
                <w:szCs w:val="20"/>
                <w:lang w:eastAsia="zh-CN" w:bidi="hi-IN"/>
              </w:rPr>
              <w:t>este</w:t>
            </w:r>
            <w:proofErr w:type="spellEnd"/>
            <w:r w:rsidRPr="00DE2AF0">
              <w:rPr>
                <w:rFonts w:ascii="Arial" w:eastAsia="SimSun" w:hAnsi="Arial" w:cs="Arial"/>
                <w:kern w:val="3"/>
                <w:sz w:val="16"/>
                <w:szCs w:val="20"/>
                <w:lang w:eastAsia="zh-CN" w:bidi="hi-IN"/>
              </w:rPr>
              <w:t xml:space="preserve"> realizando los trabajos EL CONTRATISTA, equipos de comunicación y demás señalización necesaria, seguridad industrial, y elementos de protección personal, entre otras,  por parte del CONTRATISTA DE OBRA. Riesgo que asume el CONTRATISTA</w:t>
            </w:r>
          </w:p>
        </w:tc>
        <w:tc>
          <w:tcPr>
            <w:tcW w:w="448" w:type="dxa"/>
            <w:shd w:val="clear" w:color="auto" w:fill="auto"/>
          </w:tcPr>
          <w:p w14:paraId="673DAA9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43C59DC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0F427CA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04B44C8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13E8FD0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6C3F1C6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4C30893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D0D8E1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C1143F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D69A11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2854DB7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A738F3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1E48F80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061263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A0348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B08AA4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65262269" w14:textId="77777777" w:rsidTr="00BF12C1">
        <w:trPr>
          <w:cantSplit/>
          <w:trHeight w:val="1134"/>
        </w:trPr>
        <w:tc>
          <w:tcPr>
            <w:tcW w:w="421" w:type="dxa"/>
            <w:shd w:val="clear" w:color="auto" w:fill="auto"/>
          </w:tcPr>
          <w:p w14:paraId="4052A34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12</w:t>
            </w:r>
          </w:p>
        </w:tc>
        <w:tc>
          <w:tcPr>
            <w:tcW w:w="421" w:type="dxa"/>
            <w:shd w:val="clear" w:color="auto" w:fill="auto"/>
          </w:tcPr>
          <w:p w14:paraId="3D4EE0C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1611905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3ADB9BA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15EFDA3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62772">
              <w:rPr>
                <w:rFonts w:ascii="Arial" w:eastAsia="SimSun" w:hAnsi="Arial" w:cs="Arial"/>
                <w:kern w:val="3"/>
                <w:sz w:val="16"/>
                <w:szCs w:val="20"/>
                <w:lang w:eastAsia="zh-CN" w:bidi="hi-IN"/>
              </w:rPr>
              <w:t>Riesgo General</w:t>
            </w:r>
          </w:p>
        </w:tc>
        <w:tc>
          <w:tcPr>
            <w:tcW w:w="1435" w:type="dxa"/>
            <w:shd w:val="clear" w:color="auto" w:fill="auto"/>
          </w:tcPr>
          <w:p w14:paraId="2D92794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62772">
              <w:rPr>
                <w:rFonts w:ascii="Arial" w:eastAsia="SimSun" w:hAnsi="Arial" w:cs="Arial"/>
                <w:kern w:val="3"/>
                <w:sz w:val="16"/>
                <w:szCs w:val="20"/>
                <w:lang w:eastAsia="zh-CN" w:bidi="hi-IN"/>
              </w:rPr>
              <w:t xml:space="preserve">Terminación </w:t>
            </w:r>
            <w:proofErr w:type="spellStart"/>
            <w:r w:rsidRPr="00D62772">
              <w:rPr>
                <w:rFonts w:ascii="Arial" w:eastAsia="SimSun" w:hAnsi="Arial" w:cs="Arial"/>
                <w:kern w:val="3"/>
                <w:sz w:val="16"/>
                <w:szCs w:val="20"/>
                <w:lang w:eastAsia="zh-CN" w:bidi="hi-IN"/>
              </w:rPr>
              <w:t>ó</w:t>
            </w:r>
            <w:proofErr w:type="spellEnd"/>
            <w:r w:rsidRPr="00D62772">
              <w:rPr>
                <w:rFonts w:ascii="Arial" w:eastAsia="SimSun" w:hAnsi="Arial" w:cs="Arial"/>
                <w:kern w:val="3"/>
                <w:sz w:val="16"/>
                <w:szCs w:val="20"/>
                <w:lang w:eastAsia="zh-CN" w:bidi="hi-IN"/>
              </w:rPr>
              <w:t xml:space="preserve"> modificación del contrato para el mantenimiento, por entrada en vigor de un contrato de concesión </w:t>
            </w:r>
            <w:proofErr w:type="spellStart"/>
            <w:r w:rsidRPr="00D62772">
              <w:rPr>
                <w:rFonts w:ascii="Arial" w:eastAsia="SimSun" w:hAnsi="Arial" w:cs="Arial"/>
                <w:kern w:val="3"/>
                <w:sz w:val="16"/>
                <w:szCs w:val="20"/>
                <w:lang w:eastAsia="zh-CN" w:bidi="hi-IN"/>
              </w:rPr>
              <w:t>ó</w:t>
            </w:r>
            <w:proofErr w:type="spellEnd"/>
            <w:r w:rsidRPr="00D62772">
              <w:rPr>
                <w:rFonts w:ascii="Arial" w:eastAsia="SimSun" w:hAnsi="Arial" w:cs="Arial"/>
                <w:kern w:val="3"/>
                <w:sz w:val="16"/>
                <w:szCs w:val="20"/>
                <w:lang w:eastAsia="zh-CN" w:bidi="hi-IN"/>
              </w:rPr>
              <w:t xml:space="preserve"> de mantenimiento integral y/o la transferencia o entrega  de la vía a otra Entidad. Riesgo que asume el CONTRATISTA</w:t>
            </w:r>
          </w:p>
        </w:tc>
        <w:tc>
          <w:tcPr>
            <w:tcW w:w="448" w:type="dxa"/>
            <w:shd w:val="clear" w:color="auto" w:fill="auto"/>
          </w:tcPr>
          <w:p w14:paraId="674416D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A2E670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2133D86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5D01C5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1008" w:type="dxa"/>
            <w:shd w:val="clear" w:color="auto" w:fill="auto"/>
          </w:tcPr>
          <w:p w14:paraId="27F82BC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76B4EFE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16642CA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C113A3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F3110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6E0B9C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64382F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703699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8F67A0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32B3626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26D24AA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6C85D41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1A5A2BFB" w14:textId="77777777" w:rsidTr="00BF12C1">
        <w:trPr>
          <w:cantSplit/>
          <w:trHeight w:val="1134"/>
        </w:trPr>
        <w:tc>
          <w:tcPr>
            <w:tcW w:w="421" w:type="dxa"/>
            <w:shd w:val="clear" w:color="auto" w:fill="auto"/>
          </w:tcPr>
          <w:p w14:paraId="03030ED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13</w:t>
            </w:r>
          </w:p>
        </w:tc>
        <w:tc>
          <w:tcPr>
            <w:tcW w:w="421" w:type="dxa"/>
            <w:shd w:val="clear" w:color="auto" w:fill="auto"/>
          </w:tcPr>
          <w:p w14:paraId="275DB2F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50A670B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1C3DF611"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1015B3C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financiero</w:t>
            </w:r>
          </w:p>
        </w:tc>
        <w:tc>
          <w:tcPr>
            <w:tcW w:w="1435" w:type="dxa"/>
            <w:shd w:val="clear" w:color="auto" w:fill="auto"/>
          </w:tcPr>
          <w:p w14:paraId="2B9DDB3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 xml:space="preserve">Insolvencia del </w:t>
            </w:r>
            <w:proofErr w:type="gramStart"/>
            <w:r w:rsidRPr="00DB6072">
              <w:rPr>
                <w:rFonts w:ascii="Arial" w:eastAsia="SimSun" w:hAnsi="Arial" w:cs="Arial"/>
                <w:kern w:val="3"/>
                <w:sz w:val="16"/>
                <w:szCs w:val="20"/>
                <w:lang w:eastAsia="zh-CN" w:bidi="hi-IN"/>
              </w:rPr>
              <w:t>CONTRATISTA .</w:t>
            </w:r>
            <w:proofErr w:type="gramEnd"/>
            <w:r w:rsidRPr="00DB6072">
              <w:rPr>
                <w:rFonts w:ascii="Arial" w:eastAsia="SimSun" w:hAnsi="Arial" w:cs="Arial"/>
                <w:kern w:val="3"/>
                <w:sz w:val="16"/>
                <w:szCs w:val="20"/>
                <w:lang w:eastAsia="zh-CN" w:bidi="hi-IN"/>
              </w:rPr>
              <w:t xml:space="preserve"> Riesgo que asume el CONTRATISTA</w:t>
            </w:r>
          </w:p>
        </w:tc>
        <w:tc>
          <w:tcPr>
            <w:tcW w:w="448" w:type="dxa"/>
            <w:shd w:val="clear" w:color="auto" w:fill="auto"/>
          </w:tcPr>
          <w:p w14:paraId="61EEA5B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1B5933A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482062E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1D7EA60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6</w:t>
            </w:r>
          </w:p>
        </w:tc>
        <w:tc>
          <w:tcPr>
            <w:tcW w:w="1008" w:type="dxa"/>
            <w:shd w:val="clear" w:color="auto" w:fill="auto"/>
          </w:tcPr>
          <w:p w14:paraId="1EB38B1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68ECE96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63C3A0C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2FD177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27A0A2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EE4061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CCA28E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28FCE2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1E49CC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A5EC2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05B7B2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1090B41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2ED2A8CC" w14:textId="77777777" w:rsidTr="00BF12C1">
        <w:trPr>
          <w:cantSplit/>
          <w:trHeight w:val="1134"/>
        </w:trPr>
        <w:tc>
          <w:tcPr>
            <w:tcW w:w="421" w:type="dxa"/>
            <w:shd w:val="clear" w:color="auto" w:fill="auto"/>
          </w:tcPr>
          <w:p w14:paraId="1055EA3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14</w:t>
            </w:r>
          </w:p>
        </w:tc>
        <w:tc>
          <w:tcPr>
            <w:tcW w:w="421" w:type="dxa"/>
            <w:shd w:val="clear" w:color="auto" w:fill="auto"/>
          </w:tcPr>
          <w:p w14:paraId="4B06218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45404B8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4E9F131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47AC8CB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de la naturaleza</w:t>
            </w:r>
          </w:p>
        </w:tc>
        <w:tc>
          <w:tcPr>
            <w:tcW w:w="1435" w:type="dxa"/>
            <w:shd w:val="clear" w:color="auto" w:fill="auto"/>
          </w:tcPr>
          <w:p w14:paraId="419FDC4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Terremotos, huracanes, tornados, volcanes, inundaciones marinas, inundaciones fluviales, deslizamientos exorbitantes, tsunamis, vientos exorbitantes, incendios no provocados y/o demás fuerzas de la naturaleza. Riesgo que asume el INVIAS</w:t>
            </w:r>
          </w:p>
        </w:tc>
        <w:tc>
          <w:tcPr>
            <w:tcW w:w="448" w:type="dxa"/>
            <w:shd w:val="clear" w:color="auto" w:fill="auto"/>
          </w:tcPr>
          <w:p w14:paraId="2CD2F47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3F9ADE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0C908E7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20B6637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1013A0B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5C0901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608FD7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942803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73D3AA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30125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E10A4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F89D6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05FD077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5714DD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68A7BC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19BAD03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7C0B461" w14:textId="77777777" w:rsidTr="00BF12C1">
        <w:trPr>
          <w:cantSplit/>
          <w:trHeight w:val="1134"/>
        </w:trPr>
        <w:tc>
          <w:tcPr>
            <w:tcW w:w="421" w:type="dxa"/>
            <w:shd w:val="clear" w:color="auto" w:fill="auto"/>
          </w:tcPr>
          <w:p w14:paraId="62A2534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15</w:t>
            </w:r>
          </w:p>
        </w:tc>
        <w:tc>
          <w:tcPr>
            <w:tcW w:w="421" w:type="dxa"/>
            <w:shd w:val="clear" w:color="auto" w:fill="auto"/>
          </w:tcPr>
          <w:p w14:paraId="0861BB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285CA5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053FBEF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98CF03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General</w:t>
            </w:r>
          </w:p>
        </w:tc>
        <w:tc>
          <w:tcPr>
            <w:tcW w:w="1435" w:type="dxa"/>
            <w:shd w:val="clear" w:color="auto" w:fill="auto"/>
          </w:tcPr>
          <w:p w14:paraId="2EE7CDC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Accidentes del transportador que lleve insumos y/o elementos y/o materiales y/o personal del CONTRATISTA. Riesgo que asume el CONTRATISTA</w:t>
            </w:r>
          </w:p>
        </w:tc>
        <w:tc>
          <w:tcPr>
            <w:tcW w:w="448" w:type="dxa"/>
            <w:shd w:val="clear" w:color="auto" w:fill="auto"/>
          </w:tcPr>
          <w:p w14:paraId="0DCD87C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0DEEA9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22DB2C2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4D3A9B7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5C6A9A9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00B875F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3F92043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FB834A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8C9CAD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0771C2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647EF42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569780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A2E61A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06658C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169B5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F6C45D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bl>
    <w:p w14:paraId="46D4D490" w14:textId="77777777" w:rsidR="00BF12C1" w:rsidRPr="00815604" w:rsidRDefault="00BF12C1" w:rsidP="00BF12C1">
      <w:pPr>
        <w:spacing w:after="100" w:afterAutospacing="1"/>
        <w:jc w:val="center"/>
        <w:rPr>
          <w:rFonts w:ascii="Arial" w:eastAsia="SimSun" w:hAnsi="Arial" w:cs="Arial"/>
          <w:kern w:val="3"/>
          <w:sz w:val="20"/>
          <w:szCs w:val="20"/>
          <w:lang w:eastAsia="zh-CN" w:bidi="hi-IN"/>
        </w:rPr>
      </w:pPr>
    </w:p>
    <w:p w14:paraId="6DEB84A8" w14:textId="77777777" w:rsidR="00BF12C1" w:rsidRDefault="00BF12C1" w:rsidP="00BF12C1">
      <w:pPr>
        <w:spacing w:after="100" w:afterAutospacing="1"/>
        <w:rPr>
          <w:rFonts w:ascii="Arial" w:eastAsia="SimSun" w:hAnsi="Arial" w:cs="Arial"/>
          <w:kern w:val="3"/>
          <w:sz w:val="20"/>
          <w:szCs w:val="20"/>
          <w:lang w:eastAsia="zh-CN" w:bidi="hi-IN"/>
        </w:rPr>
      </w:pPr>
    </w:p>
    <w:p w14:paraId="7F4D13E5" w14:textId="77777777" w:rsidR="00BF12C1" w:rsidRDefault="00BF12C1" w:rsidP="00BF12C1">
      <w:pPr>
        <w:spacing w:after="100" w:afterAutospacing="1"/>
        <w:rPr>
          <w:rFonts w:ascii="Arial" w:eastAsia="SimSun" w:hAnsi="Arial" w:cs="Arial"/>
          <w:kern w:val="3"/>
          <w:sz w:val="20"/>
          <w:szCs w:val="20"/>
          <w:lang w:eastAsia="zh-CN" w:bidi="hi-IN"/>
        </w:rPr>
      </w:pPr>
    </w:p>
    <w:p w14:paraId="4B012390" w14:textId="77777777" w:rsidR="00BF12C1" w:rsidRDefault="00BF12C1" w:rsidP="00BF12C1">
      <w:pPr>
        <w:spacing w:after="100" w:afterAutospacing="1"/>
        <w:rPr>
          <w:rFonts w:ascii="Arial" w:eastAsia="SimSun" w:hAnsi="Arial" w:cs="Arial"/>
          <w:kern w:val="3"/>
          <w:sz w:val="20"/>
          <w:szCs w:val="20"/>
          <w:lang w:eastAsia="zh-CN" w:bidi="hi-IN"/>
        </w:rPr>
      </w:pPr>
      <w:r w:rsidRPr="005E1E27">
        <w:rPr>
          <w:noProof/>
          <w:lang w:eastAsia="es-CO"/>
        </w:rPr>
        <w:drawing>
          <wp:inline distT="0" distB="0" distL="0" distR="0" wp14:anchorId="53609BF7" wp14:editId="4B019CF6">
            <wp:extent cx="11450320" cy="219853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99577" cy="2207991"/>
                    </a:xfrm>
                    <a:prstGeom prst="rect">
                      <a:avLst/>
                    </a:prstGeom>
                    <a:noFill/>
                    <a:ln>
                      <a:noFill/>
                    </a:ln>
                  </pic:spPr>
                </pic:pic>
              </a:graphicData>
            </a:graphic>
          </wp:inline>
        </w:drawing>
      </w:r>
    </w:p>
    <w:p w14:paraId="05BE3065" w14:textId="77777777" w:rsidR="00BF12C1" w:rsidRDefault="00BF12C1" w:rsidP="00BF12C1">
      <w:pPr>
        <w:spacing w:after="100" w:afterAutospacing="1"/>
        <w:rPr>
          <w:rFonts w:ascii="Arial" w:eastAsia="SimSun" w:hAnsi="Arial" w:cs="Arial"/>
          <w:kern w:val="3"/>
          <w:sz w:val="20"/>
          <w:szCs w:val="20"/>
          <w:lang w:eastAsia="zh-CN" w:bidi="hi-IN"/>
        </w:rPr>
      </w:pPr>
    </w:p>
    <w:p w14:paraId="6C534770" w14:textId="77777777" w:rsidR="00BF12C1" w:rsidRDefault="00BF12C1" w:rsidP="00BF12C1">
      <w:pPr>
        <w:spacing w:after="100" w:afterAutospacing="1"/>
        <w:rPr>
          <w:rFonts w:ascii="Arial" w:eastAsia="SimSun" w:hAnsi="Arial" w:cs="Arial"/>
          <w:kern w:val="3"/>
          <w:sz w:val="20"/>
          <w:szCs w:val="20"/>
          <w:lang w:eastAsia="zh-CN" w:bidi="hi-IN"/>
        </w:rPr>
      </w:pPr>
    </w:p>
    <w:p w14:paraId="51E88F18" w14:textId="77777777" w:rsidR="00BF12C1" w:rsidRDefault="00BF12C1" w:rsidP="00BF12C1">
      <w:pPr>
        <w:spacing w:after="100" w:afterAutospacing="1"/>
        <w:rPr>
          <w:rFonts w:ascii="Arial" w:eastAsia="SimSun" w:hAnsi="Arial" w:cs="Arial"/>
          <w:kern w:val="3"/>
          <w:sz w:val="20"/>
          <w:szCs w:val="20"/>
          <w:lang w:eastAsia="zh-CN" w:bidi="hi-IN"/>
        </w:rPr>
      </w:pPr>
    </w:p>
    <w:p w14:paraId="61C66BDA" w14:textId="77777777" w:rsidR="00BF12C1" w:rsidRDefault="00BF12C1" w:rsidP="00BF12C1">
      <w:pPr>
        <w:spacing w:after="100" w:afterAutospacing="1"/>
        <w:rPr>
          <w:rFonts w:ascii="Arial" w:eastAsia="SimSun" w:hAnsi="Arial" w:cs="Arial"/>
          <w:kern w:val="3"/>
          <w:sz w:val="20"/>
          <w:szCs w:val="20"/>
          <w:lang w:eastAsia="zh-CN" w:bidi="hi-IN"/>
        </w:rPr>
        <w:sectPr w:rsidR="00BF12C1" w:rsidSect="008D12E1">
          <w:pgSz w:w="15840" w:h="12240" w:orient="landscape" w:code="1"/>
          <w:pgMar w:top="1304" w:right="1134" w:bottom="1134" w:left="1134" w:header="720" w:footer="720" w:gutter="0"/>
          <w:cols w:space="720"/>
          <w:noEndnote/>
          <w:docGrid w:linePitch="299"/>
        </w:sectPr>
      </w:pPr>
    </w:p>
    <w:p w14:paraId="142465C3" w14:textId="77777777" w:rsidR="00BF12C1" w:rsidRPr="00DD4300" w:rsidRDefault="00BF12C1" w:rsidP="00BF12C1">
      <w:pPr>
        <w:rPr>
          <w:rFonts w:ascii="Arial" w:eastAsia="SimSun" w:hAnsi="Arial" w:cs="Arial"/>
          <w:kern w:val="3"/>
          <w:sz w:val="20"/>
          <w:szCs w:val="20"/>
          <w:lang w:eastAsia="zh-CN" w:bidi="hi-IN"/>
        </w:rPr>
      </w:pPr>
    </w:p>
    <w:p w14:paraId="168C9C57" w14:textId="77777777" w:rsidR="00D70D7B" w:rsidRPr="00FF5BE9" w:rsidRDefault="00D70D7B" w:rsidP="00BF12C1">
      <w:pPr>
        <w:rPr>
          <w:rFonts w:ascii="Arial" w:eastAsia="SimSun" w:hAnsi="Arial" w:cs="Arial"/>
          <w:b/>
          <w:kern w:val="3"/>
          <w:sz w:val="20"/>
          <w:szCs w:val="20"/>
          <w:lang w:eastAsia="zh-CN" w:bidi="hi-IN"/>
        </w:rPr>
      </w:pPr>
    </w:p>
    <w:sectPr w:rsidR="00D70D7B" w:rsidRPr="00FF5BE9" w:rsidSect="00363013">
      <w:headerReference w:type="default" r:id="rId12"/>
      <w:footerReference w:type="default" r:id="rId13"/>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666A1" w14:textId="77777777" w:rsidR="00FF586C" w:rsidRDefault="00FF586C" w:rsidP="00091875">
      <w:pPr>
        <w:spacing w:line="240" w:lineRule="auto"/>
      </w:pPr>
      <w:r>
        <w:separator/>
      </w:r>
    </w:p>
  </w:endnote>
  <w:endnote w:type="continuationSeparator" w:id="0">
    <w:p w14:paraId="67A21E78" w14:textId="77777777" w:rsidR="00FF586C" w:rsidRDefault="00FF586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1CB9C" w14:textId="77777777" w:rsidR="00DF3659" w:rsidRDefault="00DF3659" w:rsidP="00DF3659">
    <w:pPr>
      <w:pStyle w:val="Piedepgina"/>
    </w:pPr>
    <w:r>
      <w:rPr>
        <w:noProof/>
        <w:sz w:val="20"/>
        <w:lang w:eastAsia="es-CO"/>
      </w:rPr>
      <w:drawing>
        <wp:anchor distT="0" distB="0" distL="114300" distR="114300" simplePos="0" relativeHeight="251660288" behindDoc="1" locked="0" layoutInCell="1" allowOverlap="1" wp14:anchorId="5D39A668" wp14:editId="07B1D17B">
          <wp:simplePos x="0" y="0"/>
          <wp:positionH relativeFrom="column">
            <wp:posOffset>4053605</wp:posOffset>
          </wp:positionH>
          <wp:positionV relativeFrom="paragraph">
            <wp:posOffset>87630</wp:posOffset>
          </wp:positionV>
          <wp:extent cx="1437640" cy="761365"/>
          <wp:effectExtent l="0" t="0" r="0" b="635"/>
          <wp:wrapTight wrapText="bothSides">
            <wp:wrapPolygon edited="0">
              <wp:start x="0" y="0"/>
              <wp:lineTo x="0" y="21078"/>
              <wp:lineTo x="21180" y="21078"/>
              <wp:lineTo x="21180" y="0"/>
              <wp:lineTo x="0" y="0"/>
            </wp:wrapPolygon>
          </wp:wrapTight>
          <wp:docPr id="18" name="Imagen 18"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ecna.png"/>
                  <pic:cNvPicPr/>
                </pic:nvPicPr>
                <pic:blipFill>
                  <a:blip r:embed="rId1">
                    <a:extLst>
                      <a:ext uri="{28A0092B-C50C-407E-A947-70E740481C1C}">
                        <a14:useLocalDpi xmlns:a14="http://schemas.microsoft.com/office/drawing/2010/main" val="0"/>
                      </a:ext>
                    </a:extLst>
                  </a:blip>
                  <a:stretch>
                    <a:fillRect/>
                  </a:stretch>
                </pic:blipFill>
                <pic:spPr>
                  <a:xfrm>
                    <a:off x="0" y="0"/>
                    <a:ext cx="1437640" cy="761365"/>
                  </a:xfrm>
                  <a:prstGeom prst="rect">
                    <a:avLst/>
                  </a:prstGeom>
                </pic:spPr>
              </pic:pic>
            </a:graphicData>
          </a:graphic>
          <wp14:sizeRelH relativeFrom="page">
            <wp14:pctWidth>0</wp14:pctWidth>
          </wp14:sizeRelH>
          <wp14:sizeRelV relativeFrom="page">
            <wp14:pctHeight>0</wp14:pctHeight>
          </wp14:sizeRelV>
        </wp:anchor>
      </w:drawing>
    </w:r>
    <w:r>
      <w:rPr>
        <w:b/>
        <w:bCs/>
        <w:noProof/>
        <w:sz w:val="20"/>
        <w:lang w:eastAsia="es-CO"/>
      </w:rPr>
      <w:drawing>
        <wp:anchor distT="0" distB="0" distL="114300" distR="114300" simplePos="0" relativeHeight="251659264" behindDoc="0" locked="0" layoutInCell="1" allowOverlap="1" wp14:anchorId="4BBE0C29" wp14:editId="54E56EBD">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D14EF"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Instituto Nacional de Vías</w:t>
    </w:r>
  </w:p>
  <w:p w14:paraId="2EA8F901"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 xml:space="preserve">Carrera 25 G No. 73 B – 90 </w:t>
    </w:r>
  </w:p>
  <w:p w14:paraId="23656F96" w14:textId="77777777" w:rsidR="00DF3659" w:rsidRPr="001B5AE5" w:rsidRDefault="00DF3659" w:rsidP="00DF3659">
    <w:pPr>
      <w:pStyle w:val="Piedepgina"/>
      <w:tabs>
        <w:tab w:val="left" w:pos="709"/>
      </w:tabs>
      <w:ind w:left="567"/>
      <w:rPr>
        <w:rFonts w:ascii="Arial" w:hAnsi="Arial" w:cs="Arial"/>
        <w:sz w:val="16"/>
        <w:szCs w:val="16"/>
        <w:lang w:val="en-US"/>
      </w:rPr>
    </w:pPr>
    <w:r w:rsidRPr="001B5AE5">
      <w:rPr>
        <w:rFonts w:ascii="Arial" w:hAnsi="Arial" w:cs="Arial"/>
        <w:sz w:val="16"/>
        <w:szCs w:val="16"/>
        <w:lang w:val="en-US"/>
      </w:rPr>
      <w:t xml:space="preserve">CE. Central Point. </w:t>
    </w:r>
  </w:p>
  <w:p w14:paraId="05768744" w14:textId="77777777" w:rsidR="00DF3659" w:rsidRPr="001B5AE5" w:rsidRDefault="00DF3659" w:rsidP="00DF3659">
    <w:pPr>
      <w:pStyle w:val="Piedepgina"/>
      <w:tabs>
        <w:tab w:val="left" w:pos="709"/>
      </w:tabs>
      <w:ind w:left="567"/>
      <w:rPr>
        <w:rFonts w:ascii="Arial" w:hAnsi="Arial" w:cs="Arial"/>
        <w:sz w:val="16"/>
        <w:szCs w:val="16"/>
        <w:lang w:val="fr-FR"/>
      </w:rPr>
    </w:pPr>
    <w:r w:rsidRPr="001B5AE5">
      <w:rPr>
        <w:rFonts w:ascii="Arial" w:hAnsi="Arial" w:cs="Arial"/>
        <w:sz w:val="16"/>
        <w:szCs w:val="16"/>
        <w:lang w:val="fr-FR"/>
      </w:rPr>
      <w:t>PBX: 3770600</w:t>
    </w:r>
  </w:p>
  <w:p w14:paraId="2F2FF0E7" w14:textId="77777777" w:rsidR="00DF3659" w:rsidRPr="001B5AE5" w:rsidRDefault="007F1AC3" w:rsidP="00DF3659">
    <w:pPr>
      <w:pStyle w:val="Piedepgina"/>
      <w:tabs>
        <w:tab w:val="left" w:pos="709"/>
      </w:tabs>
      <w:ind w:left="567"/>
      <w:rPr>
        <w:rFonts w:ascii="Arial" w:hAnsi="Arial" w:cs="Arial"/>
        <w:sz w:val="16"/>
        <w:szCs w:val="16"/>
        <w:lang w:val="fr-FR"/>
      </w:rPr>
    </w:pPr>
    <w:hyperlink r:id="rId3" w:history="1">
      <w:r w:rsidR="00DF3659" w:rsidRPr="001B5AE5">
        <w:rPr>
          <w:rStyle w:val="Hipervnculo"/>
          <w:rFonts w:ascii="Arial" w:hAnsi="Arial" w:cs="Arial"/>
          <w:b/>
          <w:bCs/>
          <w:sz w:val="16"/>
          <w:szCs w:val="16"/>
          <w:lang w:val="fr-FR"/>
        </w:rPr>
        <w:t>http://www.invias.gov.co</w:t>
      </w:r>
    </w:hyperlink>
    <w:r w:rsidR="00DF3659" w:rsidRPr="001B5AE5">
      <w:rPr>
        <w:rFonts w:ascii="Arial" w:hAnsi="Arial" w:cs="Arial"/>
        <w:b/>
        <w:bCs/>
        <w:sz w:val="16"/>
        <w:szCs w:val="16"/>
        <w:lang w:val="fr-FR"/>
      </w:rPr>
      <w:t xml:space="preserve">                        </w:t>
    </w:r>
  </w:p>
  <w:p w14:paraId="21ED77E0" w14:textId="7640C0E6" w:rsidR="00091875" w:rsidRPr="00DF3659" w:rsidRDefault="00091875" w:rsidP="001E33E1">
    <w:pPr>
      <w:pStyle w:val="Piedepgina"/>
      <w:jc w:val="right"/>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5F89D" w14:textId="77777777" w:rsidR="00FF586C" w:rsidRDefault="00FF586C" w:rsidP="00091875">
      <w:pPr>
        <w:spacing w:line="240" w:lineRule="auto"/>
      </w:pPr>
      <w:r>
        <w:separator/>
      </w:r>
    </w:p>
  </w:footnote>
  <w:footnote w:type="continuationSeparator" w:id="0">
    <w:p w14:paraId="4B953316" w14:textId="77777777" w:rsidR="00FF586C" w:rsidRDefault="00FF586C"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1E0D8" w14:textId="77777777" w:rsidR="00DF3659" w:rsidRPr="00714060" w:rsidRDefault="00DF3659" w:rsidP="00DF3659">
    <w:pPr>
      <w:pStyle w:val="Textoindependiente"/>
      <w:tabs>
        <w:tab w:val="left" w:pos="9072"/>
      </w:tabs>
      <w:ind w:left="284" w:right="338"/>
      <w:jc w:val="center"/>
      <w:rPr>
        <w:rFonts w:ascii="Arial" w:hAnsi="Arial" w:cs="Arial"/>
        <w:sz w:val="22"/>
        <w:szCs w:val="22"/>
      </w:rPr>
    </w:pPr>
    <w:r w:rsidRPr="001B5AE5">
      <w:rPr>
        <w:rStyle w:val="Portada"/>
        <w:rFonts w:ascii="Arial" w:hAnsi="Arial" w:cs="Arial"/>
        <w:noProof/>
        <w:sz w:val="20"/>
        <w:szCs w:val="20"/>
        <w:lang w:val="es-CO" w:eastAsia="es-CO" w:bidi="ar-SA"/>
      </w:rPr>
      <w:drawing>
        <wp:anchor distT="0" distB="0" distL="114300" distR="114300" simplePos="0" relativeHeight="251663360" behindDoc="0" locked="0" layoutInCell="1" allowOverlap="1" wp14:anchorId="06D1F3A5" wp14:editId="3F7CB5FE">
          <wp:simplePos x="0" y="0"/>
          <wp:positionH relativeFrom="column">
            <wp:posOffset>4587684</wp:posOffset>
          </wp:positionH>
          <wp:positionV relativeFrom="page">
            <wp:posOffset>398527</wp:posOffset>
          </wp:positionV>
          <wp:extent cx="2341245" cy="457200"/>
          <wp:effectExtent l="0" t="0" r="1905" b="0"/>
          <wp:wrapSquare wrapText="bothSides"/>
          <wp:docPr id="15" name="Imagen 15" descr="Imagen que contiene dibujo&#10;&#10;Descripción generada automáticamente">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r w:rsidRPr="001B5AE5">
      <w:rPr>
        <w:rStyle w:val="Portada"/>
        <w:rFonts w:ascii="Arial" w:hAnsi="Arial" w:cs="Arial"/>
        <w:noProof/>
        <w:sz w:val="20"/>
        <w:szCs w:val="20"/>
        <w:lang w:val="es-CO" w:eastAsia="es-CO" w:bidi="ar-SA"/>
      </w:rPr>
      <w:drawing>
        <wp:anchor distT="0" distB="0" distL="114300" distR="114300" simplePos="0" relativeHeight="251662336" behindDoc="0" locked="0" layoutInCell="1" allowOverlap="1" wp14:anchorId="2E5E9BD4" wp14:editId="7E8CE396">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2">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2DB83ED" w14:textId="77777777" w:rsidR="00DF3659" w:rsidRPr="001B5AE5" w:rsidRDefault="00DF3659" w:rsidP="00DF3659">
    <w:pPr>
      <w:tabs>
        <w:tab w:val="left" w:pos="9072"/>
      </w:tabs>
      <w:ind w:left="284" w:right="338"/>
      <w:jc w:val="left"/>
      <w:rPr>
        <w:rStyle w:val="Portada"/>
        <w:rFonts w:ascii="Arial" w:hAnsi="Arial" w:cs="Arial"/>
        <w:sz w:val="20"/>
        <w:szCs w:val="20"/>
      </w:rPr>
    </w:pPr>
  </w:p>
  <w:p w14:paraId="4A61038C" w14:textId="77777777" w:rsidR="00DF3659" w:rsidRDefault="00DF3659" w:rsidP="00DF3659">
    <w:pPr>
      <w:pStyle w:val="Encabezado"/>
    </w:pPr>
  </w:p>
  <w:p w14:paraId="2A0CDEE0" w14:textId="3A65701C"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64111310">
    <w:abstractNumId w:val="6"/>
  </w:num>
  <w:num w:numId="2" w16cid:durableId="1148740968">
    <w:abstractNumId w:val="6"/>
  </w:num>
  <w:num w:numId="3" w16cid:durableId="1844010456">
    <w:abstractNumId w:val="6"/>
  </w:num>
  <w:num w:numId="4" w16cid:durableId="1681855054">
    <w:abstractNumId w:val="6"/>
  </w:num>
  <w:num w:numId="5" w16cid:durableId="688066907">
    <w:abstractNumId w:val="6"/>
  </w:num>
  <w:num w:numId="6" w16cid:durableId="647788262">
    <w:abstractNumId w:val="6"/>
  </w:num>
  <w:num w:numId="7" w16cid:durableId="1880821230">
    <w:abstractNumId w:val="6"/>
  </w:num>
  <w:num w:numId="8" w16cid:durableId="1863662276">
    <w:abstractNumId w:val="6"/>
  </w:num>
  <w:num w:numId="9" w16cid:durableId="1692218659">
    <w:abstractNumId w:val="6"/>
  </w:num>
  <w:num w:numId="10" w16cid:durableId="93132387">
    <w:abstractNumId w:val="3"/>
  </w:num>
  <w:num w:numId="11" w16cid:durableId="1088843999">
    <w:abstractNumId w:val="1"/>
  </w:num>
  <w:num w:numId="12" w16cid:durableId="1541628371">
    <w:abstractNumId w:val="21"/>
  </w:num>
  <w:num w:numId="13" w16cid:durableId="622879855">
    <w:abstractNumId w:val="29"/>
  </w:num>
  <w:num w:numId="14" w16cid:durableId="2117556095">
    <w:abstractNumId w:val="14"/>
  </w:num>
  <w:num w:numId="15" w16cid:durableId="1330673818">
    <w:abstractNumId w:val="16"/>
  </w:num>
  <w:num w:numId="16" w16cid:durableId="1944419258">
    <w:abstractNumId w:val="0"/>
  </w:num>
  <w:num w:numId="17" w16cid:durableId="1503931246">
    <w:abstractNumId w:val="2"/>
  </w:num>
  <w:num w:numId="18" w16cid:durableId="1835759887">
    <w:abstractNumId w:val="9"/>
  </w:num>
  <w:num w:numId="19" w16cid:durableId="548224289">
    <w:abstractNumId w:val="4"/>
  </w:num>
  <w:num w:numId="20" w16cid:durableId="1661882031">
    <w:abstractNumId w:val="18"/>
  </w:num>
  <w:num w:numId="21" w16cid:durableId="2006544151">
    <w:abstractNumId w:val="7"/>
  </w:num>
  <w:num w:numId="22" w16cid:durableId="1749302842">
    <w:abstractNumId w:val="27"/>
  </w:num>
  <w:num w:numId="23" w16cid:durableId="1904561175">
    <w:abstractNumId w:val="11"/>
  </w:num>
  <w:num w:numId="24" w16cid:durableId="331682163">
    <w:abstractNumId w:val="12"/>
  </w:num>
  <w:num w:numId="25" w16cid:durableId="1886141262">
    <w:abstractNumId w:val="5"/>
  </w:num>
  <w:num w:numId="26" w16cid:durableId="1708216982">
    <w:abstractNumId w:val="17"/>
  </w:num>
  <w:num w:numId="27" w16cid:durableId="1114984476">
    <w:abstractNumId w:val="15"/>
  </w:num>
  <w:num w:numId="28" w16cid:durableId="11498280">
    <w:abstractNumId w:val="10"/>
  </w:num>
  <w:num w:numId="29" w16cid:durableId="478033661">
    <w:abstractNumId w:val="25"/>
  </w:num>
  <w:num w:numId="30" w16cid:durableId="2005088346">
    <w:abstractNumId w:val="26"/>
  </w:num>
  <w:num w:numId="31" w16cid:durableId="1478763479">
    <w:abstractNumId w:val="24"/>
  </w:num>
  <w:num w:numId="32" w16cid:durableId="1076127873">
    <w:abstractNumId w:val="13"/>
  </w:num>
  <w:num w:numId="33" w16cid:durableId="919096415">
    <w:abstractNumId w:val="23"/>
  </w:num>
  <w:num w:numId="34" w16cid:durableId="1511413646">
    <w:abstractNumId w:val="8"/>
  </w:num>
  <w:num w:numId="35" w16cid:durableId="1414620655">
    <w:abstractNumId w:val="22"/>
  </w:num>
  <w:num w:numId="36" w16cid:durableId="1678386426">
    <w:abstractNumId w:val="28"/>
  </w:num>
  <w:num w:numId="37" w16cid:durableId="724715854">
    <w:abstractNumId w:val="20"/>
  </w:num>
  <w:num w:numId="38" w16cid:durableId="16100481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91875"/>
    <w:rsid w:val="000A2F3B"/>
    <w:rsid w:val="000C2AAE"/>
    <w:rsid w:val="000D26C5"/>
    <w:rsid w:val="000E47FD"/>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539BA"/>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49F"/>
    <w:rsid w:val="0076567A"/>
    <w:rsid w:val="0077727E"/>
    <w:rsid w:val="00784DE2"/>
    <w:rsid w:val="007B33E6"/>
    <w:rsid w:val="007C32ED"/>
    <w:rsid w:val="007C5B18"/>
    <w:rsid w:val="007C702A"/>
    <w:rsid w:val="007F1AC3"/>
    <w:rsid w:val="00805ECB"/>
    <w:rsid w:val="00815604"/>
    <w:rsid w:val="00833DA9"/>
    <w:rsid w:val="00833F3B"/>
    <w:rsid w:val="008537E3"/>
    <w:rsid w:val="0085653A"/>
    <w:rsid w:val="0085672F"/>
    <w:rsid w:val="00874392"/>
    <w:rsid w:val="00885039"/>
    <w:rsid w:val="0090542B"/>
    <w:rsid w:val="009160EA"/>
    <w:rsid w:val="009179E6"/>
    <w:rsid w:val="009321E7"/>
    <w:rsid w:val="0098628A"/>
    <w:rsid w:val="009E77AD"/>
    <w:rsid w:val="00A1437D"/>
    <w:rsid w:val="00A802EF"/>
    <w:rsid w:val="00A865C2"/>
    <w:rsid w:val="00A9107A"/>
    <w:rsid w:val="00AB5F8B"/>
    <w:rsid w:val="00AC57F3"/>
    <w:rsid w:val="00AE2ECB"/>
    <w:rsid w:val="00AE6C4B"/>
    <w:rsid w:val="00B10944"/>
    <w:rsid w:val="00B26E25"/>
    <w:rsid w:val="00B76DAD"/>
    <w:rsid w:val="00B773A4"/>
    <w:rsid w:val="00B81B1F"/>
    <w:rsid w:val="00B83621"/>
    <w:rsid w:val="00B92158"/>
    <w:rsid w:val="00B94790"/>
    <w:rsid w:val="00BA3870"/>
    <w:rsid w:val="00BF12C1"/>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3659"/>
    <w:rsid w:val="00DF421A"/>
    <w:rsid w:val="00E56873"/>
    <w:rsid w:val="00F6022F"/>
    <w:rsid w:val="00F63350"/>
    <w:rsid w:val="00F77C04"/>
    <w:rsid w:val="00F8011E"/>
    <w:rsid w:val="00FF586C"/>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DF3659"/>
    <w:pPr>
      <w:widowControl w:val="0"/>
      <w:autoSpaceDE w:val="0"/>
      <w:autoSpaceDN w:val="0"/>
      <w:spacing w:line="240" w:lineRule="auto"/>
      <w:contextualSpacing w:val="0"/>
      <w:jc w:val="left"/>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DF3659"/>
    <w:rPr>
      <w:rFonts w:ascii="Arial Narrow" w:eastAsia="Arial Narrow" w:hAnsi="Arial Narrow" w:cs="Arial Narrow"/>
      <w:sz w:val="24"/>
      <w:szCs w:val="24"/>
      <w:lang w:val="es-ES" w:eastAsia="es-ES" w:bidi="es-ES"/>
    </w:rPr>
  </w:style>
  <w:style w:type="character" w:customStyle="1" w:styleId="Portada">
    <w:name w:val="Portada"/>
    <w:qFormat/>
    <w:rsid w:val="00DF3659"/>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nvias.gov.co" TargetMode="External"/><Relationship Id="rId2" Type="http://schemas.openxmlformats.org/officeDocument/2006/relationships/image" Target="media/image5.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4589272-8C4C-48D7-A531-3B3FF8A51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932</Words>
  <Characters>5126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Wilfrido de Jesus Ruiz Barrios</cp:lastModifiedBy>
  <cp:revision>2</cp:revision>
  <cp:lastPrinted>2020-04-30T17:44:00Z</cp:lastPrinted>
  <dcterms:created xsi:type="dcterms:W3CDTF">2025-08-19T14:01:00Z</dcterms:created>
  <dcterms:modified xsi:type="dcterms:W3CDTF">2025-08-19T14:01:00Z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