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7CE31" w14:textId="77777777" w:rsidR="00280D4D" w:rsidRPr="00501618" w:rsidRDefault="00280D4D" w:rsidP="00280D4D">
      <w:pPr>
        <w:autoSpaceDE w:val="0"/>
        <w:autoSpaceDN w:val="0"/>
        <w:adjustRightInd w:val="0"/>
        <w:jc w:val="both"/>
        <w:rPr>
          <w:rFonts w:ascii="Arial" w:eastAsia="Calibri" w:hAnsi="Arial" w:cs="Arial"/>
          <w:b/>
          <w:sz w:val="22"/>
          <w:szCs w:val="22"/>
          <w:lang w:val="es-MX"/>
        </w:rPr>
      </w:pPr>
    </w:p>
    <w:p w14:paraId="123E113C" w14:textId="77777777" w:rsidR="00280D4D" w:rsidRPr="00280D4D" w:rsidRDefault="00280D4D" w:rsidP="00280D4D">
      <w:pPr>
        <w:pStyle w:val="Ttulo"/>
        <w:jc w:val="center"/>
        <w:rPr>
          <w:rFonts w:ascii="Arial" w:hAnsi="Arial" w:cs="Arial"/>
          <w:sz w:val="24"/>
          <w:szCs w:val="24"/>
        </w:rPr>
      </w:pPr>
      <w:r w:rsidRPr="00280D4D">
        <w:rPr>
          <w:rFonts w:ascii="Arial" w:hAnsi="Arial" w:cs="Arial"/>
          <w:sz w:val="24"/>
          <w:szCs w:val="24"/>
        </w:rPr>
        <w:t xml:space="preserve">ANEXO </w:t>
      </w:r>
      <w:proofErr w:type="spellStart"/>
      <w:r w:rsidRPr="00280D4D">
        <w:rPr>
          <w:rFonts w:ascii="Arial" w:hAnsi="Arial" w:cs="Arial"/>
          <w:sz w:val="24"/>
          <w:szCs w:val="24"/>
        </w:rPr>
        <w:t>Nº</w:t>
      </w:r>
      <w:proofErr w:type="spellEnd"/>
      <w:r w:rsidRPr="00280D4D">
        <w:rPr>
          <w:rFonts w:ascii="Arial" w:hAnsi="Arial" w:cs="Arial"/>
          <w:sz w:val="24"/>
          <w:szCs w:val="24"/>
        </w:rPr>
        <w:t xml:space="preserve"> 5</w:t>
      </w:r>
    </w:p>
    <w:p w14:paraId="7227DFB2" w14:textId="77777777" w:rsidR="00280D4D" w:rsidRPr="00501618" w:rsidRDefault="00280D4D" w:rsidP="00280D4D">
      <w:pPr>
        <w:autoSpaceDE w:val="0"/>
        <w:autoSpaceDN w:val="0"/>
        <w:adjustRightInd w:val="0"/>
        <w:jc w:val="center"/>
        <w:rPr>
          <w:rFonts w:ascii="Arial" w:eastAsia="Calibri" w:hAnsi="Arial" w:cs="Arial"/>
          <w:b/>
          <w:sz w:val="22"/>
          <w:szCs w:val="22"/>
          <w:lang w:val="es-MX"/>
        </w:rPr>
      </w:pPr>
      <w:r w:rsidRPr="00501618">
        <w:rPr>
          <w:rFonts w:ascii="Arial" w:eastAsia="Calibri" w:hAnsi="Arial" w:cs="Arial"/>
          <w:b/>
          <w:sz w:val="22"/>
          <w:szCs w:val="22"/>
          <w:lang w:val="es-MX"/>
        </w:rPr>
        <w:t>MATRIZ DE RIESGOS</w:t>
      </w:r>
    </w:p>
    <w:p w14:paraId="53F4C08F" w14:textId="77777777" w:rsidR="00280D4D" w:rsidRDefault="00280D4D" w:rsidP="00280D4D">
      <w:pPr>
        <w:autoSpaceDE w:val="0"/>
        <w:autoSpaceDN w:val="0"/>
        <w:adjustRightInd w:val="0"/>
        <w:jc w:val="both"/>
        <w:rPr>
          <w:rFonts w:ascii="Arial" w:eastAsia="Calibri" w:hAnsi="Arial" w:cs="Arial"/>
          <w:b/>
          <w:sz w:val="22"/>
          <w:szCs w:val="22"/>
        </w:rPr>
      </w:pPr>
    </w:p>
    <w:p w14:paraId="2DEFB145" w14:textId="77777777" w:rsidR="008D3A9F" w:rsidRDefault="008D3A9F" w:rsidP="00280D4D">
      <w:pPr>
        <w:autoSpaceDE w:val="0"/>
        <w:autoSpaceDN w:val="0"/>
        <w:adjustRightInd w:val="0"/>
        <w:jc w:val="both"/>
        <w:rPr>
          <w:rFonts w:ascii="Arial" w:eastAsia="Calibri"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
        <w:gridCol w:w="333"/>
        <w:gridCol w:w="332"/>
        <w:gridCol w:w="332"/>
        <w:gridCol w:w="332"/>
        <w:gridCol w:w="935"/>
        <w:gridCol w:w="550"/>
        <w:gridCol w:w="332"/>
        <w:gridCol w:w="332"/>
        <w:gridCol w:w="332"/>
        <w:gridCol w:w="332"/>
        <w:gridCol w:w="332"/>
        <w:gridCol w:w="788"/>
        <w:gridCol w:w="332"/>
        <w:gridCol w:w="353"/>
        <w:gridCol w:w="332"/>
        <w:gridCol w:w="332"/>
        <w:gridCol w:w="332"/>
        <w:gridCol w:w="446"/>
        <w:gridCol w:w="400"/>
        <w:gridCol w:w="400"/>
        <w:gridCol w:w="602"/>
        <w:gridCol w:w="385"/>
      </w:tblGrid>
      <w:tr w:rsidR="007E0DF7" w:rsidRPr="00A54348" w14:paraId="2839E8D1" w14:textId="77777777" w:rsidTr="00B56480">
        <w:trPr>
          <w:trHeight w:val="980"/>
          <w:jc w:val="center"/>
        </w:trPr>
        <w:tc>
          <w:tcPr>
            <w:tcW w:w="336" w:type="dxa"/>
            <w:vMerge w:val="restart"/>
            <w:shd w:val="clear" w:color="auto" w:fill="BFBFBF" w:themeFill="background1" w:themeFillShade="BF"/>
            <w:textDirection w:val="btLr"/>
            <w:vAlign w:val="center"/>
          </w:tcPr>
          <w:p w14:paraId="7D58B81A" w14:textId="77777777" w:rsidR="007E0DF7" w:rsidRPr="00A54348" w:rsidRDefault="007E0DF7" w:rsidP="00B56480">
            <w:pPr>
              <w:ind w:left="113" w:right="113"/>
              <w:jc w:val="center"/>
              <w:rPr>
                <w:rFonts w:ascii="Century Gothic" w:hAnsi="Century Gothic" w:cs="Arial"/>
                <w:b/>
                <w:bCs/>
                <w:color w:val="000000"/>
                <w:sz w:val="14"/>
                <w:szCs w:val="14"/>
                <w:lang w:val="es-CO"/>
              </w:rPr>
            </w:pPr>
            <w:proofErr w:type="spellStart"/>
            <w:r w:rsidRPr="00A54348">
              <w:rPr>
                <w:rFonts w:ascii="Century Gothic" w:hAnsi="Century Gothic" w:cs="Arial"/>
                <w:b/>
                <w:bCs/>
                <w:color w:val="000000"/>
                <w:sz w:val="14"/>
                <w:szCs w:val="14"/>
                <w:lang w:val="es-CO"/>
              </w:rPr>
              <w:t>N°</w:t>
            </w:r>
            <w:proofErr w:type="spellEnd"/>
          </w:p>
        </w:tc>
        <w:tc>
          <w:tcPr>
            <w:tcW w:w="335" w:type="dxa"/>
            <w:vMerge w:val="restart"/>
            <w:shd w:val="clear" w:color="auto" w:fill="BFBFBF" w:themeFill="background1" w:themeFillShade="BF"/>
            <w:textDirection w:val="btLr"/>
            <w:vAlign w:val="center"/>
          </w:tcPr>
          <w:p w14:paraId="4F9BB9AD"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Clase</w:t>
            </w:r>
          </w:p>
        </w:tc>
        <w:tc>
          <w:tcPr>
            <w:tcW w:w="335" w:type="dxa"/>
            <w:vMerge w:val="restart"/>
            <w:shd w:val="clear" w:color="auto" w:fill="BFBFBF" w:themeFill="background1" w:themeFillShade="BF"/>
            <w:textDirection w:val="btLr"/>
            <w:vAlign w:val="center"/>
          </w:tcPr>
          <w:p w14:paraId="242F01FC"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Fuente</w:t>
            </w:r>
          </w:p>
        </w:tc>
        <w:tc>
          <w:tcPr>
            <w:tcW w:w="335" w:type="dxa"/>
            <w:vMerge w:val="restart"/>
            <w:shd w:val="clear" w:color="auto" w:fill="BFBFBF" w:themeFill="background1" w:themeFillShade="BF"/>
            <w:textDirection w:val="btLr"/>
            <w:vAlign w:val="center"/>
          </w:tcPr>
          <w:p w14:paraId="3A6BD5BF"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Etapa</w:t>
            </w:r>
          </w:p>
        </w:tc>
        <w:tc>
          <w:tcPr>
            <w:tcW w:w="335" w:type="dxa"/>
            <w:vMerge w:val="restart"/>
            <w:shd w:val="clear" w:color="auto" w:fill="BFBFBF" w:themeFill="background1" w:themeFillShade="BF"/>
            <w:textDirection w:val="btLr"/>
            <w:vAlign w:val="center"/>
          </w:tcPr>
          <w:p w14:paraId="55F3D8E0"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Tipo</w:t>
            </w:r>
          </w:p>
        </w:tc>
        <w:tc>
          <w:tcPr>
            <w:tcW w:w="1127" w:type="dxa"/>
            <w:vMerge w:val="restart"/>
            <w:shd w:val="clear" w:color="auto" w:fill="BFBFBF" w:themeFill="background1" w:themeFillShade="BF"/>
            <w:textDirection w:val="btLr"/>
            <w:vAlign w:val="center"/>
          </w:tcPr>
          <w:p w14:paraId="06D3F713"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Descripción (Qué puede pasar y, cómo puede ocurrir)</w:t>
            </w:r>
          </w:p>
        </w:tc>
        <w:tc>
          <w:tcPr>
            <w:tcW w:w="622" w:type="dxa"/>
            <w:vMerge w:val="restart"/>
            <w:shd w:val="clear" w:color="auto" w:fill="BFBFBF" w:themeFill="background1" w:themeFillShade="BF"/>
            <w:textDirection w:val="btLr"/>
            <w:vAlign w:val="center"/>
          </w:tcPr>
          <w:p w14:paraId="0CBA4462"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Consecuencia de la ocurrencia del evento</w:t>
            </w:r>
          </w:p>
        </w:tc>
        <w:tc>
          <w:tcPr>
            <w:tcW w:w="335" w:type="dxa"/>
            <w:vMerge w:val="restart"/>
            <w:shd w:val="clear" w:color="auto" w:fill="BFBFBF" w:themeFill="background1" w:themeFillShade="BF"/>
            <w:textDirection w:val="btLr"/>
            <w:vAlign w:val="center"/>
          </w:tcPr>
          <w:p w14:paraId="60DE2B15"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Probabilidad</w:t>
            </w:r>
          </w:p>
        </w:tc>
        <w:tc>
          <w:tcPr>
            <w:tcW w:w="335" w:type="dxa"/>
            <w:vMerge w:val="restart"/>
            <w:shd w:val="clear" w:color="auto" w:fill="BFBFBF" w:themeFill="background1" w:themeFillShade="BF"/>
            <w:textDirection w:val="btLr"/>
            <w:vAlign w:val="center"/>
          </w:tcPr>
          <w:p w14:paraId="4627A968"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Impacto</w:t>
            </w:r>
          </w:p>
        </w:tc>
        <w:tc>
          <w:tcPr>
            <w:tcW w:w="335" w:type="dxa"/>
            <w:vMerge w:val="restart"/>
            <w:shd w:val="clear" w:color="auto" w:fill="BFBFBF" w:themeFill="background1" w:themeFillShade="BF"/>
            <w:textDirection w:val="btLr"/>
            <w:vAlign w:val="center"/>
          </w:tcPr>
          <w:p w14:paraId="7A9AE061"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Valoración del riesgo</w:t>
            </w:r>
          </w:p>
        </w:tc>
        <w:tc>
          <w:tcPr>
            <w:tcW w:w="335" w:type="dxa"/>
            <w:vMerge w:val="restart"/>
            <w:shd w:val="clear" w:color="auto" w:fill="BFBFBF" w:themeFill="background1" w:themeFillShade="BF"/>
            <w:textDirection w:val="btLr"/>
            <w:vAlign w:val="center"/>
          </w:tcPr>
          <w:p w14:paraId="229EF522"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Categoría</w:t>
            </w:r>
          </w:p>
        </w:tc>
        <w:tc>
          <w:tcPr>
            <w:tcW w:w="335" w:type="dxa"/>
            <w:vMerge w:val="restart"/>
            <w:shd w:val="clear" w:color="auto" w:fill="BFBFBF" w:themeFill="background1" w:themeFillShade="BF"/>
            <w:textDirection w:val="btLr"/>
            <w:vAlign w:val="center"/>
          </w:tcPr>
          <w:p w14:paraId="472ED19F"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¿A quién se le asigna?</w:t>
            </w:r>
          </w:p>
        </w:tc>
        <w:tc>
          <w:tcPr>
            <w:tcW w:w="934" w:type="dxa"/>
            <w:vMerge w:val="restart"/>
            <w:shd w:val="clear" w:color="auto" w:fill="BFBFBF" w:themeFill="background1" w:themeFillShade="BF"/>
            <w:textDirection w:val="btLr"/>
            <w:vAlign w:val="center"/>
          </w:tcPr>
          <w:p w14:paraId="6A2CAA69"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Tratamiento/Controles a ser implementados</w:t>
            </w:r>
          </w:p>
        </w:tc>
        <w:tc>
          <w:tcPr>
            <w:tcW w:w="1368" w:type="dxa"/>
            <w:gridSpan w:val="4"/>
            <w:shd w:val="clear" w:color="auto" w:fill="BFBFBF" w:themeFill="background1" w:themeFillShade="BF"/>
            <w:textDirection w:val="btLr"/>
            <w:vAlign w:val="center"/>
          </w:tcPr>
          <w:p w14:paraId="4E925C54"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Impacto después del tratamiento</w:t>
            </w:r>
          </w:p>
        </w:tc>
        <w:tc>
          <w:tcPr>
            <w:tcW w:w="335" w:type="dxa"/>
            <w:vMerge w:val="restart"/>
            <w:shd w:val="clear" w:color="auto" w:fill="BFBFBF" w:themeFill="background1" w:themeFillShade="BF"/>
            <w:textDirection w:val="btLr"/>
            <w:vAlign w:val="center"/>
          </w:tcPr>
          <w:p w14:paraId="5FECE8B7"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¿Afecta la ejecución del contrato?</w:t>
            </w:r>
          </w:p>
        </w:tc>
        <w:tc>
          <w:tcPr>
            <w:tcW w:w="485" w:type="dxa"/>
            <w:vMerge w:val="restart"/>
            <w:shd w:val="clear" w:color="auto" w:fill="BFBFBF" w:themeFill="background1" w:themeFillShade="BF"/>
            <w:textDirection w:val="btLr"/>
            <w:vAlign w:val="center"/>
          </w:tcPr>
          <w:p w14:paraId="1EA8AB65"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Persona responsable por implementar el tratamiento</w:t>
            </w:r>
          </w:p>
        </w:tc>
        <w:tc>
          <w:tcPr>
            <w:tcW w:w="424" w:type="dxa"/>
            <w:vMerge w:val="restart"/>
            <w:shd w:val="clear" w:color="auto" w:fill="BFBFBF" w:themeFill="background1" w:themeFillShade="BF"/>
            <w:textDirection w:val="btLr"/>
            <w:vAlign w:val="center"/>
          </w:tcPr>
          <w:p w14:paraId="47C3FF48"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Fecha estimada en que se inicia el tratamiento</w:t>
            </w:r>
          </w:p>
        </w:tc>
        <w:tc>
          <w:tcPr>
            <w:tcW w:w="424" w:type="dxa"/>
            <w:vMerge w:val="restart"/>
            <w:shd w:val="clear" w:color="auto" w:fill="BFBFBF" w:themeFill="background1" w:themeFillShade="BF"/>
            <w:textDirection w:val="btLr"/>
            <w:vAlign w:val="center"/>
          </w:tcPr>
          <w:p w14:paraId="452552D5"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Fecha estimada en que se completa el tratamiento</w:t>
            </w:r>
          </w:p>
        </w:tc>
        <w:tc>
          <w:tcPr>
            <w:tcW w:w="1095" w:type="dxa"/>
            <w:gridSpan w:val="2"/>
            <w:shd w:val="clear" w:color="auto" w:fill="BFBFBF" w:themeFill="background1" w:themeFillShade="BF"/>
            <w:textDirection w:val="btLr"/>
            <w:vAlign w:val="center"/>
          </w:tcPr>
          <w:p w14:paraId="43E7A1E0"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Monitoreo y revisión</w:t>
            </w:r>
          </w:p>
        </w:tc>
      </w:tr>
      <w:tr w:rsidR="007E0DF7" w:rsidRPr="00A54348" w14:paraId="451552B7" w14:textId="77777777" w:rsidTr="00B56480">
        <w:trPr>
          <w:trHeight w:val="1550"/>
          <w:jc w:val="center"/>
        </w:trPr>
        <w:tc>
          <w:tcPr>
            <w:tcW w:w="336" w:type="dxa"/>
            <w:vMerge/>
            <w:shd w:val="clear" w:color="auto" w:fill="BFBFBF" w:themeFill="background1" w:themeFillShade="BF"/>
            <w:textDirection w:val="btLr"/>
            <w:vAlign w:val="center"/>
          </w:tcPr>
          <w:p w14:paraId="50A5569E"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71F8CA2E"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70713E4B"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436FBF8D"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31146B40"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1127" w:type="dxa"/>
            <w:vMerge/>
            <w:shd w:val="clear" w:color="auto" w:fill="BFBFBF" w:themeFill="background1" w:themeFillShade="BF"/>
            <w:textDirection w:val="btLr"/>
            <w:vAlign w:val="center"/>
          </w:tcPr>
          <w:p w14:paraId="776346B8"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622" w:type="dxa"/>
            <w:vMerge/>
            <w:shd w:val="clear" w:color="auto" w:fill="BFBFBF" w:themeFill="background1" w:themeFillShade="BF"/>
            <w:textDirection w:val="btLr"/>
            <w:vAlign w:val="center"/>
          </w:tcPr>
          <w:p w14:paraId="369D0432"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40B6B5AD"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3C647A93"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75BF333D"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431DA332"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vMerge/>
            <w:shd w:val="clear" w:color="auto" w:fill="BFBFBF" w:themeFill="background1" w:themeFillShade="BF"/>
            <w:textDirection w:val="btLr"/>
            <w:vAlign w:val="center"/>
          </w:tcPr>
          <w:p w14:paraId="630A8EB4"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934" w:type="dxa"/>
            <w:vMerge/>
            <w:shd w:val="clear" w:color="auto" w:fill="BFBFBF" w:themeFill="background1" w:themeFillShade="BF"/>
            <w:textDirection w:val="btLr"/>
            <w:vAlign w:val="center"/>
          </w:tcPr>
          <w:p w14:paraId="27116B8E"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335" w:type="dxa"/>
            <w:shd w:val="clear" w:color="auto" w:fill="BFBFBF" w:themeFill="background1" w:themeFillShade="BF"/>
            <w:textDirection w:val="btLr"/>
            <w:vAlign w:val="center"/>
          </w:tcPr>
          <w:p w14:paraId="6257EA18"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Probabilidad</w:t>
            </w:r>
          </w:p>
        </w:tc>
        <w:tc>
          <w:tcPr>
            <w:tcW w:w="363" w:type="dxa"/>
            <w:shd w:val="clear" w:color="auto" w:fill="BFBFBF" w:themeFill="background1" w:themeFillShade="BF"/>
            <w:textDirection w:val="btLr"/>
            <w:vAlign w:val="center"/>
          </w:tcPr>
          <w:p w14:paraId="61BC8DCF"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Impacto</w:t>
            </w:r>
          </w:p>
        </w:tc>
        <w:tc>
          <w:tcPr>
            <w:tcW w:w="335" w:type="dxa"/>
            <w:shd w:val="clear" w:color="auto" w:fill="BFBFBF" w:themeFill="background1" w:themeFillShade="BF"/>
            <w:textDirection w:val="btLr"/>
            <w:vAlign w:val="center"/>
          </w:tcPr>
          <w:p w14:paraId="1999180A"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Valoración del riesgo</w:t>
            </w:r>
          </w:p>
        </w:tc>
        <w:tc>
          <w:tcPr>
            <w:tcW w:w="335" w:type="dxa"/>
            <w:shd w:val="clear" w:color="auto" w:fill="BFBFBF" w:themeFill="background1" w:themeFillShade="BF"/>
            <w:textDirection w:val="btLr"/>
            <w:vAlign w:val="center"/>
          </w:tcPr>
          <w:p w14:paraId="213C094F"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Categoría</w:t>
            </w:r>
          </w:p>
        </w:tc>
        <w:tc>
          <w:tcPr>
            <w:tcW w:w="335" w:type="dxa"/>
            <w:vMerge/>
            <w:shd w:val="clear" w:color="auto" w:fill="BFBFBF" w:themeFill="background1" w:themeFillShade="BF"/>
            <w:textDirection w:val="btLr"/>
            <w:vAlign w:val="center"/>
          </w:tcPr>
          <w:p w14:paraId="173DCEBA"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485" w:type="dxa"/>
            <w:vMerge/>
            <w:shd w:val="clear" w:color="auto" w:fill="BFBFBF" w:themeFill="background1" w:themeFillShade="BF"/>
            <w:textDirection w:val="btLr"/>
            <w:vAlign w:val="center"/>
          </w:tcPr>
          <w:p w14:paraId="393083CC"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424" w:type="dxa"/>
            <w:vMerge/>
            <w:shd w:val="clear" w:color="auto" w:fill="BFBFBF" w:themeFill="background1" w:themeFillShade="BF"/>
            <w:textDirection w:val="btLr"/>
            <w:vAlign w:val="center"/>
          </w:tcPr>
          <w:p w14:paraId="153CF4DD"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424" w:type="dxa"/>
            <w:vMerge/>
            <w:shd w:val="clear" w:color="auto" w:fill="BFBFBF" w:themeFill="background1" w:themeFillShade="BF"/>
            <w:textDirection w:val="btLr"/>
            <w:vAlign w:val="center"/>
          </w:tcPr>
          <w:p w14:paraId="5E8A8E43" w14:textId="77777777" w:rsidR="007E0DF7" w:rsidRPr="00A54348" w:rsidRDefault="007E0DF7" w:rsidP="00B56480">
            <w:pPr>
              <w:ind w:left="113" w:right="113"/>
              <w:jc w:val="center"/>
              <w:rPr>
                <w:rFonts w:ascii="Century Gothic" w:hAnsi="Century Gothic" w:cs="Arial"/>
                <w:b/>
                <w:bCs/>
                <w:color w:val="000000"/>
                <w:sz w:val="14"/>
                <w:szCs w:val="14"/>
                <w:lang w:val="es-CO"/>
              </w:rPr>
            </w:pPr>
          </w:p>
        </w:tc>
        <w:tc>
          <w:tcPr>
            <w:tcW w:w="690" w:type="dxa"/>
            <w:shd w:val="clear" w:color="auto" w:fill="BFBFBF" w:themeFill="background1" w:themeFillShade="BF"/>
            <w:textDirection w:val="btLr"/>
            <w:vAlign w:val="center"/>
          </w:tcPr>
          <w:p w14:paraId="0480813A"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¿Cómo se realiza el monitoreo?</w:t>
            </w:r>
          </w:p>
        </w:tc>
        <w:tc>
          <w:tcPr>
            <w:tcW w:w="405" w:type="dxa"/>
            <w:shd w:val="clear" w:color="auto" w:fill="BFBFBF" w:themeFill="background1" w:themeFillShade="BF"/>
            <w:textDirection w:val="btLr"/>
            <w:vAlign w:val="center"/>
          </w:tcPr>
          <w:p w14:paraId="50EA3C3A" w14:textId="77777777" w:rsidR="007E0DF7" w:rsidRPr="00A54348" w:rsidRDefault="007E0DF7" w:rsidP="00B56480">
            <w:pPr>
              <w:ind w:left="113" w:right="113"/>
              <w:jc w:val="center"/>
              <w:rPr>
                <w:rFonts w:ascii="Century Gothic" w:hAnsi="Century Gothic" w:cs="Arial"/>
                <w:b/>
                <w:bCs/>
                <w:color w:val="000000"/>
                <w:sz w:val="14"/>
                <w:szCs w:val="14"/>
                <w:lang w:val="es-CO"/>
              </w:rPr>
            </w:pPr>
            <w:r w:rsidRPr="00A54348">
              <w:rPr>
                <w:rFonts w:ascii="Century Gothic" w:hAnsi="Century Gothic" w:cs="Arial"/>
                <w:b/>
                <w:bCs/>
                <w:color w:val="000000"/>
                <w:sz w:val="14"/>
                <w:szCs w:val="14"/>
                <w:lang w:val="es-CO"/>
              </w:rPr>
              <w:t>Periodicidad ¿Cuándo?</w:t>
            </w:r>
          </w:p>
        </w:tc>
      </w:tr>
      <w:tr w:rsidR="007E0DF7" w:rsidRPr="00A54348" w14:paraId="480D0B89" w14:textId="77777777" w:rsidTr="00B56480">
        <w:trPr>
          <w:cantSplit/>
          <w:trHeight w:val="4092"/>
          <w:jc w:val="center"/>
        </w:trPr>
        <w:tc>
          <w:tcPr>
            <w:tcW w:w="336" w:type="dxa"/>
            <w:textDirection w:val="btLr"/>
            <w:vAlign w:val="center"/>
          </w:tcPr>
          <w:p w14:paraId="5E13018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1A2FA4F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General</w:t>
            </w:r>
          </w:p>
        </w:tc>
        <w:tc>
          <w:tcPr>
            <w:tcW w:w="335" w:type="dxa"/>
            <w:textDirection w:val="btLr"/>
            <w:vAlign w:val="center"/>
          </w:tcPr>
          <w:p w14:paraId="30D76AC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5328E54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Precontractual</w:t>
            </w:r>
          </w:p>
        </w:tc>
        <w:tc>
          <w:tcPr>
            <w:tcW w:w="335" w:type="dxa"/>
            <w:textDirection w:val="btLr"/>
            <w:vAlign w:val="center"/>
          </w:tcPr>
          <w:p w14:paraId="62EFE3F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2808CC5A" w14:textId="77777777" w:rsidR="007E0DF7" w:rsidRPr="00A54348" w:rsidRDefault="007E0DF7" w:rsidP="00B56480">
            <w:pPr>
              <w:ind w:left="113" w:right="113"/>
              <w:jc w:val="both"/>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Falta de capacidad de la Entidad Estatal para promover y adelantar la selección del contratista, incluyendo el riesgo de seleccionar aquellos que no cumplan con la totalidad de los requisitos habilitantes o se encuentren incursos en alguna inhabilidad</w:t>
            </w:r>
          </w:p>
        </w:tc>
        <w:tc>
          <w:tcPr>
            <w:tcW w:w="622" w:type="dxa"/>
            <w:textDirection w:val="btLr"/>
            <w:vAlign w:val="center"/>
          </w:tcPr>
          <w:p w14:paraId="749461D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Obstruye la ejecución del contrato de manera intrascendente.</w:t>
            </w:r>
          </w:p>
        </w:tc>
        <w:tc>
          <w:tcPr>
            <w:tcW w:w="335" w:type="dxa"/>
            <w:textDirection w:val="btLr"/>
            <w:vAlign w:val="center"/>
          </w:tcPr>
          <w:p w14:paraId="7B79C04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08D261E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0A02830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1D689E0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51830BC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Municipio</w:t>
            </w:r>
          </w:p>
        </w:tc>
        <w:tc>
          <w:tcPr>
            <w:tcW w:w="934" w:type="dxa"/>
            <w:textDirection w:val="btLr"/>
            <w:vAlign w:val="center"/>
          </w:tcPr>
          <w:p w14:paraId="2B684CC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Revisión documentos en el proceso precontractual</w:t>
            </w:r>
          </w:p>
        </w:tc>
        <w:tc>
          <w:tcPr>
            <w:tcW w:w="335" w:type="dxa"/>
            <w:textDirection w:val="btLr"/>
            <w:vAlign w:val="center"/>
          </w:tcPr>
          <w:p w14:paraId="5B55521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733A3AB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1BEBE8A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shd w:val="clear" w:color="auto" w:fill="92D050"/>
            <w:textDirection w:val="btLr"/>
            <w:vAlign w:val="center"/>
          </w:tcPr>
          <w:p w14:paraId="44485A7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26C2F88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20C5D59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Municipio</w:t>
            </w:r>
          </w:p>
        </w:tc>
        <w:tc>
          <w:tcPr>
            <w:tcW w:w="424" w:type="dxa"/>
            <w:textDirection w:val="btLr"/>
            <w:vAlign w:val="center"/>
          </w:tcPr>
          <w:p w14:paraId="60A1088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de Planeación</w:t>
            </w:r>
          </w:p>
        </w:tc>
        <w:tc>
          <w:tcPr>
            <w:tcW w:w="424" w:type="dxa"/>
            <w:textDirection w:val="btLr"/>
            <w:vAlign w:val="center"/>
          </w:tcPr>
          <w:p w14:paraId="1CD1261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precontractual</w:t>
            </w:r>
          </w:p>
        </w:tc>
        <w:tc>
          <w:tcPr>
            <w:tcW w:w="690" w:type="dxa"/>
            <w:textDirection w:val="btLr"/>
            <w:vAlign w:val="center"/>
          </w:tcPr>
          <w:p w14:paraId="1EAF34A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Arial" w:hAnsi="Arial" w:cs="Arial"/>
                <w:sz w:val="14"/>
                <w:szCs w:val="14"/>
                <w:lang w:val="es-CO" w:eastAsia="es-CO"/>
              </w:rPr>
              <w:t>Revisión de documentos del proponente calificado</w:t>
            </w:r>
          </w:p>
        </w:tc>
        <w:tc>
          <w:tcPr>
            <w:tcW w:w="405" w:type="dxa"/>
            <w:textDirection w:val="btLr"/>
            <w:vAlign w:val="center"/>
          </w:tcPr>
          <w:p w14:paraId="4283742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Arial" w:hAnsi="Arial" w:cs="Arial"/>
                <w:sz w:val="14"/>
                <w:szCs w:val="14"/>
                <w:lang w:val="es-CO" w:eastAsia="es-CO"/>
              </w:rPr>
              <w:t>Desde la estructuración del proceso precontractual</w:t>
            </w:r>
          </w:p>
        </w:tc>
      </w:tr>
      <w:tr w:rsidR="007E0DF7" w:rsidRPr="00A54348" w14:paraId="1CEDF9F6" w14:textId="77777777" w:rsidTr="00B56480">
        <w:trPr>
          <w:cantSplit/>
          <w:trHeight w:val="2944"/>
          <w:jc w:val="center"/>
        </w:trPr>
        <w:tc>
          <w:tcPr>
            <w:tcW w:w="336" w:type="dxa"/>
            <w:textDirection w:val="btLr"/>
            <w:vAlign w:val="center"/>
          </w:tcPr>
          <w:p w14:paraId="3780662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53DBC8C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31B22F4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1BCC2DA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Precontractual</w:t>
            </w:r>
          </w:p>
        </w:tc>
        <w:tc>
          <w:tcPr>
            <w:tcW w:w="335" w:type="dxa"/>
            <w:textDirection w:val="btLr"/>
            <w:vAlign w:val="center"/>
          </w:tcPr>
          <w:p w14:paraId="0300335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Regulatorio</w:t>
            </w:r>
          </w:p>
        </w:tc>
        <w:tc>
          <w:tcPr>
            <w:tcW w:w="1127" w:type="dxa"/>
            <w:textDirection w:val="btLr"/>
            <w:vAlign w:val="center"/>
          </w:tcPr>
          <w:p w14:paraId="39BF4C8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Riesgo de colusión</w:t>
            </w:r>
          </w:p>
        </w:tc>
        <w:tc>
          <w:tcPr>
            <w:tcW w:w="622" w:type="dxa"/>
            <w:textDirection w:val="btLr"/>
            <w:vAlign w:val="center"/>
          </w:tcPr>
          <w:p w14:paraId="7AE6C2E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Inadecuada selección del contratista</w:t>
            </w:r>
          </w:p>
        </w:tc>
        <w:tc>
          <w:tcPr>
            <w:tcW w:w="335" w:type="dxa"/>
            <w:textDirection w:val="btLr"/>
            <w:vAlign w:val="center"/>
          </w:tcPr>
          <w:p w14:paraId="01D0518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2FD40BF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74DB185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1441686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2C4FAE4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Municipio </w:t>
            </w:r>
          </w:p>
        </w:tc>
        <w:tc>
          <w:tcPr>
            <w:tcW w:w="934" w:type="dxa"/>
            <w:textDirection w:val="btLr"/>
            <w:vAlign w:val="center"/>
          </w:tcPr>
          <w:p w14:paraId="07DED39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Establecer parámetros adecuados de verificación de documentos</w:t>
            </w:r>
          </w:p>
        </w:tc>
        <w:tc>
          <w:tcPr>
            <w:tcW w:w="335" w:type="dxa"/>
            <w:textDirection w:val="btLr"/>
            <w:vAlign w:val="center"/>
          </w:tcPr>
          <w:p w14:paraId="0A67CE8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4B6ACAE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5AF648F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shd w:val="clear" w:color="auto" w:fill="92D050"/>
            <w:textDirection w:val="btLr"/>
            <w:vAlign w:val="center"/>
          </w:tcPr>
          <w:p w14:paraId="355B330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06C09B7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2617C4A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Municipio</w:t>
            </w:r>
          </w:p>
        </w:tc>
        <w:tc>
          <w:tcPr>
            <w:tcW w:w="424" w:type="dxa"/>
            <w:textDirection w:val="btLr"/>
            <w:vAlign w:val="center"/>
          </w:tcPr>
          <w:p w14:paraId="78DFC72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3BE9165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finalización del Contrato</w:t>
            </w:r>
          </w:p>
        </w:tc>
        <w:tc>
          <w:tcPr>
            <w:tcW w:w="690" w:type="dxa"/>
            <w:textDirection w:val="btLr"/>
            <w:vAlign w:val="center"/>
          </w:tcPr>
          <w:p w14:paraId="780BC1E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Revisión de documentos del proponente calificado</w:t>
            </w:r>
          </w:p>
        </w:tc>
        <w:tc>
          <w:tcPr>
            <w:tcW w:w="405" w:type="dxa"/>
            <w:textDirection w:val="btLr"/>
            <w:vAlign w:val="center"/>
          </w:tcPr>
          <w:p w14:paraId="761BA09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estructuración del proceso precontractual</w:t>
            </w:r>
          </w:p>
        </w:tc>
      </w:tr>
      <w:tr w:rsidR="007E0DF7" w:rsidRPr="00A54348" w14:paraId="78D11A4E" w14:textId="77777777" w:rsidTr="00B56480">
        <w:trPr>
          <w:cantSplit/>
          <w:trHeight w:val="3412"/>
          <w:jc w:val="center"/>
        </w:trPr>
        <w:tc>
          <w:tcPr>
            <w:tcW w:w="336" w:type="dxa"/>
            <w:textDirection w:val="btLr"/>
            <w:vAlign w:val="center"/>
          </w:tcPr>
          <w:p w14:paraId="709B122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08136BE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General</w:t>
            </w:r>
          </w:p>
        </w:tc>
        <w:tc>
          <w:tcPr>
            <w:tcW w:w="335" w:type="dxa"/>
            <w:textDirection w:val="btLr"/>
            <w:vAlign w:val="center"/>
          </w:tcPr>
          <w:p w14:paraId="6C2071A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33B639D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70D4C87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Regulatorio</w:t>
            </w:r>
          </w:p>
        </w:tc>
        <w:tc>
          <w:tcPr>
            <w:tcW w:w="1127" w:type="dxa"/>
            <w:textDirection w:val="btLr"/>
            <w:vAlign w:val="center"/>
          </w:tcPr>
          <w:p w14:paraId="2E1C3AC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Cambios en la normatividad técnica durante la ejecución del proyecto.</w:t>
            </w:r>
          </w:p>
        </w:tc>
        <w:tc>
          <w:tcPr>
            <w:tcW w:w="622" w:type="dxa"/>
            <w:textDirection w:val="btLr"/>
            <w:vAlign w:val="center"/>
          </w:tcPr>
          <w:p w14:paraId="0C07B65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Retrasos en la ejecución del contrato que pueden manifestarse en la necesidad de suspensiones o prorrogas, con posibles incrementos en los costos del mismo generando perdidas para el Municipio y el Contratista</w:t>
            </w:r>
          </w:p>
        </w:tc>
        <w:tc>
          <w:tcPr>
            <w:tcW w:w="335" w:type="dxa"/>
            <w:textDirection w:val="btLr"/>
            <w:vAlign w:val="center"/>
          </w:tcPr>
          <w:p w14:paraId="1EEAFD7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80AEAF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15E3ED2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640EB81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23B8C43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024C298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Revisión adecuada de los documentos de selección del contratista</w:t>
            </w:r>
          </w:p>
        </w:tc>
        <w:tc>
          <w:tcPr>
            <w:tcW w:w="335" w:type="dxa"/>
            <w:textDirection w:val="btLr"/>
            <w:vAlign w:val="center"/>
          </w:tcPr>
          <w:p w14:paraId="3EE1043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63" w:type="dxa"/>
            <w:textDirection w:val="btLr"/>
            <w:vAlign w:val="center"/>
          </w:tcPr>
          <w:p w14:paraId="596AACD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6C7560D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shd w:val="clear" w:color="auto" w:fill="92D050"/>
            <w:textDirection w:val="btLr"/>
            <w:vAlign w:val="center"/>
          </w:tcPr>
          <w:p w14:paraId="6E10DC7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17E5A7B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605F775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4971FB0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34B72A4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71DCF81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Revisión de documentos</w:t>
            </w:r>
          </w:p>
        </w:tc>
        <w:tc>
          <w:tcPr>
            <w:tcW w:w="405" w:type="dxa"/>
            <w:textDirection w:val="btLr"/>
            <w:vAlign w:val="center"/>
          </w:tcPr>
          <w:p w14:paraId="4526B3E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estructuración del proceso precontractual</w:t>
            </w:r>
          </w:p>
        </w:tc>
      </w:tr>
      <w:tr w:rsidR="007E0DF7" w:rsidRPr="00A54348" w14:paraId="47F29E3D" w14:textId="77777777" w:rsidTr="00B56480">
        <w:trPr>
          <w:cantSplit/>
          <w:trHeight w:val="2417"/>
          <w:jc w:val="center"/>
        </w:trPr>
        <w:tc>
          <w:tcPr>
            <w:tcW w:w="336" w:type="dxa"/>
            <w:textDirection w:val="btLr"/>
            <w:vAlign w:val="center"/>
          </w:tcPr>
          <w:p w14:paraId="08EB1DA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lastRenderedPageBreak/>
              <w:t>4</w:t>
            </w:r>
          </w:p>
        </w:tc>
        <w:tc>
          <w:tcPr>
            <w:tcW w:w="335" w:type="dxa"/>
            <w:textDirection w:val="btLr"/>
            <w:vAlign w:val="center"/>
          </w:tcPr>
          <w:p w14:paraId="3EDE025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General</w:t>
            </w:r>
          </w:p>
        </w:tc>
        <w:tc>
          <w:tcPr>
            <w:tcW w:w="335" w:type="dxa"/>
            <w:textDirection w:val="btLr"/>
            <w:vAlign w:val="center"/>
          </w:tcPr>
          <w:p w14:paraId="660D6A1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Externo</w:t>
            </w:r>
          </w:p>
        </w:tc>
        <w:tc>
          <w:tcPr>
            <w:tcW w:w="335" w:type="dxa"/>
            <w:textDirection w:val="btLr"/>
            <w:vAlign w:val="center"/>
          </w:tcPr>
          <w:p w14:paraId="2BAB2EE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6132F8C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7B7EF89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Fallas en procedimientos realizados por el consultor</w:t>
            </w:r>
          </w:p>
        </w:tc>
        <w:tc>
          <w:tcPr>
            <w:tcW w:w="622" w:type="dxa"/>
            <w:textDirection w:val="btLr"/>
            <w:vAlign w:val="center"/>
          </w:tcPr>
          <w:p w14:paraId="5113437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Repetición de Muestras, o realización de estudios o análisis adicionales</w:t>
            </w:r>
          </w:p>
        </w:tc>
        <w:tc>
          <w:tcPr>
            <w:tcW w:w="335" w:type="dxa"/>
            <w:textDirection w:val="btLr"/>
            <w:vAlign w:val="center"/>
          </w:tcPr>
          <w:p w14:paraId="6B11312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0D98ADF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3555D6A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3919D3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2EC5BE3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731EBE9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Realizar la revisión de los informes de laboratorio y de las muestras tomadas en cada proceso del estudio técnico</w:t>
            </w:r>
          </w:p>
        </w:tc>
        <w:tc>
          <w:tcPr>
            <w:tcW w:w="335" w:type="dxa"/>
            <w:textDirection w:val="btLr"/>
            <w:vAlign w:val="center"/>
          </w:tcPr>
          <w:p w14:paraId="7D82575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0C5D45C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714B8EE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7AB728E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5FA9549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7E1E74D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7174B24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Contractual</w:t>
            </w:r>
          </w:p>
        </w:tc>
        <w:tc>
          <w:tcPr>
            <w:tcW w:w="424" w:type="dxa"/>
            <w:textDirection w:val="btLr"/>
            <w:vAlign w:val="center"/>
          </w:tcPr>
          <w:p w14:paraId="24E8D9F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Hasta finalizar la etapa </w:t>
            </w:r>
            <w:proofErr w:type="spellStart"/>
            <w:r w:rsidRPr="00A54348">
              <w:rPr>
                <w:rFonts w:ascii="Century Gothic" w:hAnsi="Century Gothic" w:cs="Arial"/>
                <w:color w:val="000000"/>
                <w:sz w:val="14"/>
                <w:szCs w:val="14"/>
                <w:lang w:val="es-CO"/>
              </w:rPr>
              <w:t>Poscontractual</w:t>
            </w:r>
            <w:proofErr w:type="spellEnd"/>
          </w:p>
        </w:tc>
        <w:tc>
          <w:tcPr>
            <w:tcW w:w="690" w:type="dxa"/>
            <w:textDirection w:val="btLr"/>
            <w:vAlign w:val="center"/>
          </w:tcPr>
          <w:p w14:paraId="13FE8FC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avances de productos del consultor resultados del laboratorio, de acuerdo a los ensayos realizados por el contratista</w:t>
            </w:r>
          </w:p>
        </w:tc>
        <w:tc>
          <w:tcPr>
            <w:tcW w:w="405" w:type="dxa"/>
            <w:textDirection w:val="btLr"/>
            <w:vAlign w:val="center"/>
          </w:tcPr>
          <w:p w14:paraId="27DF98B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En su respectivo proceso de ejecución.</w:t>
            </w:r>
          </w:p>
        </w:tc>
      </w:tr>
      <w:tr w:rsidR="007E0DF7" w:rsidRPr="00A54348" w14:paraId="7D4B5B00" w14:textId="77777777" w:rsidTr="00B56480">
        <w:trPr>
          <w:cantSplit/>
          <w:trHeight w:val="3242"/>
          <w:jc w:val="center"/>
        </w:trPr>
        <w:tc>
          <w:tcPr>
            <w:tcW w:w="336" w:type="dxa"/>
            <w:textDirection w:val="btLr"/>
            <w:vAlign w:val="center"/>
          </w:tcPr>
          <w:p w14:paraId="41AD6A5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textDirection w:val="btLr"/>
            <w:vAlign w:val="center"/>
          </w:tcPr>
          <w:p w14:paraId="34D67AA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232D399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1906D0D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Etapa </w:t>
            </w:r>
            <w:proofErr w:type="spellStart"/>
            <w:r w:rsidRPr="00A54348">
              <w:rPr>
                <w:rFonts w:ascii="Century Gothic" w:hAnsi="Century Gothic" w:cs="Arial"/>
                <w:color w:val="000000"/>
                <w:sz w:val="14"/>
                <w:szCs w:val="14"/>
                <w:lang w:val="es-CO"/>
              </w:rPr>
              <w:t>Poscontractual</w:t>
            </w:r>
            <w:proofErr w:type="spellEnd"/>
          </w:p>
        </w:tc>
        <w:tc>
          <w:tcPr>
            <w:tcW w:w="335" w:type="dxa"/>
            <w:textDirection w:val="btLr"/>
            <w:vAlign w:val="center"/>
          </w:tcPr>
          <w:p w14:paraId="3586751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0245C00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Pago a terceros</w:t>
            </w:r>
          </w:p>
        </w:tc>
        <w:tc>
          <w:tcPr>
            <w:tcW w:w="622" w:type="dxa"/>
            <w:textDirection w:val="btLr"/>
            <w:vAlign w:val="center"/>
          </w:tcPr>
          <w:p w14:paraId="48E59960" w14:textId="77777777" w:rsidR="007E0DF7" w:rsidRPr="00A54348" w:rsidRDefault="007E0DF7" w:rsidP="00B56480">
            <w:pPr>
              <w:ind w:left="113" w:right="113"/>
              <w:jc w:val="both"/>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Efecto económico desfavorable, causado por la parálisis de la Prestación de los Servicios causados por la falta de pago a terceros (proveedores, subcontratos, etc.) y/o derivados de cualquier reclamación</w:t>
            </w:r>
          </w:p>
        </w:tc>
        <w:tc>
          <w:tcPr>
            <w:tcW w:w="335" w:type="dxa"/>
            <w:textDirection w:val="btLr"/>
            <w:vAlign w:val="center"/>
          </w:tcPr>
          <w:p w14:paraId="2B39CBE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634F0C3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6A95856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052AD8C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57CBB59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3D01630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tiene el equipo y herramienta para subsanar esta situación</w:t>
            </w:r>
          </w:p>
        </w:tc>
        <w:tc>
          <w:tcPr>
            <w:tcW w:w="335" w:type="dxa"/>
            <w:textDirection w:val="btLr"/>
            <w:vAlign w:val="center"/>
          </w:tcPr>
          <w:p w14:paraId="793FE35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230199D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0F776BC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736D89C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4C4A854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61E70E3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78193AA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Contractual</w:t>
            </w:r>
          </w:p>
        </w:tc>
        <w:tc>
          <w:tcPr>
            <w:tcW w:w="424" w:type="dxa"/>
            <w:textDirection w:val="btLr"/>
            <w:vAlign w:val="center"/>
          </w:tcPr>
          <w:p w14:paraId="7AEB2CD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la finalización de la etapa contractual</w:t>
            </w:r>
          </w:p>
        </w:tc>
        <w:tc>
          <w:tcPr>
            <w:tcW w:w="690" w:type="dxa"/>
            <w:textDirection w:val="btLr"/>
            <w:vAlign w:val="center"/>
          </w:tcPr>
          <w:p w14:paraId="2B244C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las obligaciones del contrato</w:t>
            </w:r>
          </w:p>
        </w:tc>
        <w:tc>
          <w:tcPr>
            <w:tcW w:w="405" w:type="dxa"/>
            <w:textDirection w:val="btLr"/>
            <w:vAlign w:val="center"/>
          </w:tcPr>
          <w:p w14:paraId="2A89A35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En la entrega de los bienes</w:t>
            </w:r>
          </w:p>
        </w:tc>
      </w:tr>
      <w:tr w:rsidR="007E0DF7" w:rsidRPr="00A54348" w14:paraId="1A090704" w14:textId="77777777" w:rsidTr="00B56480">
        <w:trPr>
          <w:cantSplit/>
          <w:trHeight w:val="2417"/>
          <w:jc w:val="center"/>
        </w:trPr>
        <w:tc>
          <w:tcPr>
            <w:tcW w:w="336" w:type="dxa"/>
            <w:textDirection w:val="btLr"/>
            <w:vAlign w:val="center"/>
          </w:tcPr>
          <w:p w14:paraId="4EEF038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6</w:t>
            </w:r>
          </w:p>
        </w:tc>
        <w:tc>
          <w:tcPr>
            <w:tcW w:w="335" w:type="dxa"/>
            <w:textDirection w:val="btLr"/>
            <w:vAlign w:val="center"/>
          </w:tcPr>
          <w:p w14:paraId="4266A3D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76A739A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085AB1E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1A66B6D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718229F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Recurso humano</w:t>
            </w:r>
          </w:p>
        </w:tc>
        <w:tc>
          <w:tcPr>
            <w:tcW w:w="622" w:type="dxa"/>
            <w:textDirection w:val="btLr"/>
            <w:vAlign w:val="center"/>
          </w:tcPr>
          <w:p w14:paraId="2991590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Escasez de la oferta de profesionales que puedan desarrollar las actividades del proyecto</w:t>
            </w:r>
          </w:p>
        </w:tc>
        <w:tc>
          <w:tcPr>
            <w:tcW w:w="335" w:type="dxa"/>
            <w:textDirection w:val="btLr"/>
            <w:vAlign w:val="center"/>
          </w:tcPr>
          <w:p w14:paraId="4811291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55628FD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4134997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FFFF00"/>
            <w:textDirection w:val="btLr"/>
            <w:vAlign w:val="center"/>
          </w:tcPr>
          <w:p w14:paraId="19F1830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613CF1A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7A10218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tiene el equipo y herramienta para subsanar esta situación</w:t>
            </w:r>
          </w:p>
        </w:tc>
        <w:tc>
          <w:tcPr>
            <w:tcW w:w="335" w:type="dxa"/>
            <w:textDirection w:val="btLr"/>
            <w:vAlign w:val="center"/>
          </w:tcPr>
          <w:p w14:paraId="57E44F2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6CBC794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1585A64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shd w:val="clear" w:color="auto" w:fill="92D050"/>
            <w:textDirection w:val="btLr"/>
            <w:vAlign w:val="center"/>
          </w:tcPr>
          <w:p w14:paraId="4348096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3D9E26B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7740E47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0F89B83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424" w:type="dxa"/>
            <w:textDirection w:val="btLr"/>
            <w:vAlign w:val="center"/>
          </w:tcPr>
          <w:p w14:paraId="316C1F8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Hasta finalizar la etapa </w:t>
            </w:r>
            <w:proofErr w:type="spellStart"/>
            <w:r w:rsidRPr="00A54348">
              <w:rPr>
                <w:rFonts w:ascii="Century Gothic" w:hAnsi="Century Gothic" w:cs="Arial"/>
                <w:color w:val="000000"/>
                <w:sz w:val="14"/>
                <w:szCs w:val="14"/>
                <w:lang w:val="es-CO"/>
              </w:rPr>
              <w:t>poscontractual</w:t>
            </w:r>
            <w:proofErr w:type="spellEnd"/>
          </w:p>
        </w:tc>
        <w:tc>
          <w:tcPr>
            <w:tcW w:w="690" w:type="dxa"/>
            <w:textDirection w:val="btLr"/>
            <w:vAlign w:val="center"/>
          </w:tcPr>
          <w:p w14:paraId="1C02047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generar este riesgo</w:t>
            </w:r>
          </w:p>
        </w:tc>
        <w:tc>
          <w:tcPr>
            <w:tcW w:w="405" w:type="dxa"/>
            <w:textDirection w:val="btLr"/>
            <w:vAlign w:val="center"/>
          </w:tcPr>
          <w:p w14:paraId="1472FAB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Mensual</w:t>
            </w:r>
          </w:p>
        </w:tc>
      </w:tr>
      <w:tr w:rsidR="007E0DF7" w:rsidRPr="00A54348" w14:paraId="0026CA6D" w14:textId="77777777" w:rsidTr="00B56480">
        <w:trPr>
          <w:cantSplit/>
          <w:trHeight w:val="2417"/>
          <w:jc w:val="center"/>
        </w:trPr>
        <w:tc>
          <w:tcPr>
            <w:tcW w:w="336" w:type="dxa"/>
            <w:textDirection w:val="btLr"/>
            <w:vAlign w:val="center"/>
          </w:tcPr>
          <w:p w14:paraId="675ED15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7</w:t>
            </w:r>
          </w:p>
        </w:tc>
        <w:tc>
          <w:tcPr>
            <w:tcW w:w="335" w:type="dxa"/>
            <w:textDirection w:val="btLr"/>
            <w:vAlign w:val="center"/>
          </w:tcPr>
          <w:p w14:paraId="3B91A28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General</w:t>
            </w:r>
          </w:p>
        </w:tc>
        <w:tc>
          <w:tcPr>
            <w:tcW w:w="335" w:type="dxa"/>
            <w:textDirection w:val="btLr"/>
            <w:vAlign w:val="center"/>
          </w:tcPr>
          <w:p w14:paraId="5D14665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Externo</w:t>
            </w:r>
          </w:p>
        </w:tc>
        <w:tc>
          <w:tcPr>
            <w:tcW w:w="335" w:type="dxa"/>
            <w:textDirection w:val="btLr"/>
            <w:vAlign w:val="center"/>
          </w:tcPr>
          <w:p w14:paraId="72A7D16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2B19518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Económico</w:t>
            </w:r>
          </w:p>
        </w:tc>
        <w:tc>
          <w:tcPr>
            <w:tcW w:w="1127" w:type="dxa"/>
            <w:textDirection w:val="btLr"/>
            <w:vAlign w:val="center"/>
          </w:tcPr>
          <w:p w14:paraId="0559A4A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Que el valor designado para la ejecución del contrato limite su ejecución total</w:t>
            </w:r>
          </w:p>
        </w:tc>
        <w:tc>
          <w:tcPr>
            <w:tcW w:w="622" w:type="dxa"/>
            <w:textDirection w:val="btLr"/>
            <w:vAlign w:val="center"/>
          </w:tcPr>
          <w:p w14:paraId="5B0E50C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Insatisfacción en la ejecución del contrato</w:t>
            </w:r>
          </w:p>
        </w:tc>
        <w:tc>
          <w:tcPr>
            <w:tcW w:w="335" w:type="dxa"/>
            <w:textDirection w:val="btLr"/>
            <w:vAlign w:val="center"/>
          </w:tcPr>
          <w:p w14:paraId="4F3D4E9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7DFCB31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626FA16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6F906FE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13217ED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070C694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Revisión de determinantes técnicas, legales y de requerimientos a proponentes al elaborar la oferta económica</w:t>
            </w:r>
          </w:p>
        </w:tc>
        <w:tc>
          <w:tcPr>
            <w:tcW w:w="335" w:type="dxa"/>
            <w:textDirection w:val="btLr"/>
            <w:vAlign w:val="center"/>
          </w:tcPr>
          <w:p w14:paraId="0230B5B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21B737C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35" w:type="dxa"/>
            <w:textDirection w:val="btLr"/>
            <w:vAlign w:val="center"/>
          </w:tcPr>
          <w:p w14:paraId="0CE34CB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shd w:val="clear" w:color="auto" w:fill="92D050"/>
            <w:textDirection w:val="btLr"/>
            <w:vAlign w:val="center"/>
          </w:tcPr>
          <w:p w14:paraId="0702282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78CA16D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7BDAE6F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17DB2F5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de Planeación</w:t>
            </w:r>
          </w:p>
        </w:tc>
        <w:tc>
          <w:tcPr>
            <w:tcW w:w="424" w:type="dxa"/>
            <w:textDirection w:val="btLr"/>
            <w:vAlign w:val="center"/>
          </w:tcPr>
          <w:p w14:paraId="4EB379C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690" w:type="dxa"/>
            <w:textDirection w:val="btLr"/>
            <w:vAlign w:val="center"/>
          </w:tcPr>
          <w:p w14:paraId="56531C4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implementación mecanismos de planeación y administración</w:t>
            </w:r>
          </w:p>
        </w:tc>
        <w:tc>
          <w:tcPr>
            <w:tcW w:w="405" w:type="dxa"/>
            <w:textDirection w:val="btLr"/>
            <w:vAlign w:val="center"/>
          </w:tcPr>
          <w:p w14:paraId="4D70EC5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724F2F43" w14:textId="77777777" w:rsidTr="00B56480">
        <w:trPr>
          <w:cantSplit/>
          <w:trHeight w:val="2417"/>
          <w:jc w:val="center"/>
        </w:trPr>
        <w:tc>
          <w:tcPr>
            <w:tcW w:w="336" w:type="dxa"/>
            <w:textDirection w:val="btLr"/>
            <w:vAlign w:val="center"/>
          </w:tcPr>
          <w:p w14:paraId="6B3079C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8</w:t>
            </w:r>
          </w:p>
        </w:tc>
        <w:tc>
          <w:tcPr>
            <w:tcW w:w="335" w:type="dxa"/>
            <w:textDirection w:val="btLr"/>
            <w:vAlign w:val="center"/>
          </w:tcPr>
          <w:p w14:paraId="3DBBF03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General</w:t>
            </w:r>
          </w:p>
        </w:tc>
        <w:tc>
          <w:tcPr>
            <w:tcW w:w="335" w:type="dxa"/>
            <w:textDirection w:val="btLr"/>
            <w:vAlign w:val="center"/>
          </w:tcPr>
          <w:p w14:paraId="6DFBC6B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Externo</w:t>
            </w:r>
          </w:p>
        </w:tc>
        <w:tc>
          <w:tcPr>
            <w:tcW w:w="335" w:type="dxa"/>
            <w:textDirection w:val="btLr"/>
            <w:vAlign w:val="center"/>
          </w:tcPr>
          <w:p w14:paraId="6F0479E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19C4AD8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29426A4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Inflación</w:t>
            </w:r>
          </w:p>
        </w:tc>
        <w:tc>
          <w:tcPr>
            <w:tcW w:w="622" w:type="dxa"/>
            <w:textDirection w:val="btLr"/>
            <w:vAlign w:val="center"/>
          </w:tcPr>
          <w:p w14:paraId="73F3721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Aumento de costos de materiales, transportes y mano de la consultoría</w:t>
            </w:r>
          </w:p>
        </w:tc>
        <w:tc>
          <w:tcPr>
            <w:tcW w:w="335" w:type="dxa"/>
            <w:textDirection w:val="btLr"/>
            <w:vAlign w:val="center"/>
          </w:tcPr>
          <w:p w14:paraId="5D6CCFD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26D81A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2E14DA9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711369D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10CF33E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780792D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las condiciones del contrato, estudios previos y pliego de condiciones</w:t>
            </w:r>
          </w:p>
        </w:tc>
        <w:tc>
          <w:tcPr>
            <w:tcW w:w="335" w:type="dxa"/>
            <w:textDirection w:val="btLr"/>
            <w:vAlign w:val="center"/>
          </w:tcPr>
          <w:p w14:paraId="55982A9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49A7254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2C4E95C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5DD58DF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64B556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1BB669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3FEC372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424" w:type="dxa"/>
            <w:textDirection w:val="btLr"/>
            <w:vAlign w:val="center"/>
          </w:tcPr>
          <w:p w14:paraId="640DED4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05538EA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Planear ejecución del contrato</w:t>
            </w:r>
          </w:p>
        </w:tc>
        <w:tc>
          <w:tcPr>
            <w:tcW w:w="405" w:type="dxa"/>
            <w:textDirection w:val="btLr"/>
            <w:vAlign w:val="center"/>
          </w:tcPr>
          <w:p w14:paraId="7194BE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Mensual</w:t>
            </w:r>
          </w:p>
        </w:tc>
      </w:tr>
      <w:tr w:rsidR="007E0DF7" w:rsidRPr="00A54348" w14:paraId="501160F2" w14:textId="77777777" w:rsidTr="00B56480">
        <w:trPr>
          <w:cantSplit/>
          <w:trHeight w:val="2417"/>
          <w:jc w:val="center"/>
        </w:trPr>
        <w:tc>
          <w:tcPr>
            <w:tcW w:w="336" w:type="dxa"/>
            <w:textDirection w:val="btLr"/>
            <w:vAlign w:val="center"/>
          </w:tcPr>
          <w:p w14:paraId="62D5029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lastRenderedPageBreak/>
              <w:t>9</w:t>
            </w:r>
          </w:p>
        </w:tc>
        <w:tc>
          <w:tcPr>
            <w:tcW w:w="335" w:type="dxa"/>
            <w:textDirection w:val="btLr"/>
            <w:vAlign w:val="center"/>
          </w:tcPr>
          <w:p w14:paraId="20D05DC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74AB553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6BF2083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3F31CD9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74AA03A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Fallas administrativas del Contratista</w:t>
            </w:r>
          </w:p>
        </w:tc>
        <w:tc>
          <w:tcPr>
            <w:tcW w:w="622" w:type="dxa"/>
            <w:textDirection w:val="btLr"/>
            <w:vAlign w:val="center"/>
          </w:tcPr>
          <w:p w14:paraId="395C2FE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Sabotaje de empleados o personal del contratista</w:t>
            </w:r>
          </w:p>
        </w:tc>
        <w:tc>
          <w:tcPr>
            <w:tcW w:w="335" w:type="dxa"/>
            <w:textDirection w:val="btLr"/>
            <w:vAlign w:val="center"/>
          </w:tcPr>
          <w:p w14:paraId="20A5CCB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13AC4E1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textDirection w:val="btLr"/>
            <w:vAlign w:val="center"/>
          </w:tcPr>
          <w:p w14:paraId="543DBE7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7</w:t>
            </w:r>
          </w:p>
        </w:tc>
        <w:tc>
          <w:tcPr>
            <w:tcW w:w="335" w:type="dxa"/>
            <w:shd w:val="clear" w:color="auto" w:fill="F1A983" w:themeFill="accent2" w:themeFillTint="99"/>
            <w:textDirection w:val="btLr"/>
            <w:vAlign w:val="center"/>
          </w:tcPr>
          <w:p w14:paraId="5FC0FF2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Alto</w:t>
            </w:r>
          </w:p>
        </w:tc>
        <w:tc>
          <w:tcPr>
            <w:tcW w:w="335" w:type="dxa"/>
            <w:textDirection w:val="btLr"/>
            <w:vAlign w:val="center"/>
          </w:tcPr>
          <w:p w14:paraId="0A0A255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424617D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de la consultoría tiene el equipo y herramienta para subsanar esta situación</w:t>
            </w:r>
          </w:p>
        </w:tc>
        <w:tc>
          <w:tcPr>
            <w:tcW w:w="335" w:type="dxa"/>
            <w:textDirection w:val="btLr"/>
            <w:vAlign w:val="center"/>
          </w:tcPr>
          <w:p w14:paraId="160EAD7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63" w:type="dxa"/>
            <w:textDirection w:val="btLr"/>
            <w:vAlign w:val="center"/>
          </w:tcPr>
          <w:p w14:paraId="4C22685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5F09492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0247AFC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132EA2D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7F299AC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7A2477A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640EF8B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Hasta finalizar la etapa contractual </w:t>
            </w:r>
          </w:p>
        </w:tc>
        <w:tc>
          <w:tcPr>
            <w:tcW w:w="690" w:type="dxa"/>
            <w:textDirection w:val="btLr"/>
            <w:vAlign w:val="center"/>
          </w:tcPr>
          <w:p w14:paraId="2D6957F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3D61128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40D2B673" w14:textId="77777777" w:rsidTr="00B56480">
        <w:trPr>
          <w:cantSplit/>
          <w:trHeight w:val="4659"/>
          <w:jc w:val="center"/>
        </w:trPr>
        <w:tc>
          <w:tcPr>
            <w:tcW w:w="336" w:type="dxa"/>
            <w:textDirection w:val="btLr"/>
            <w:vAlign w:val="center"/>
          </w:tcPr>
          <w:p w14:paraId="45C106D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10</w:t>
            </w:r>
          </w:p>
        </w:tc>
        <w:tc>
          <w:tcPr>
            <w:tcW w:w="335" w:type="dxa"/>
            <w:textDirection w:val="btLr"/>
            <w:vAlign w:val="center"/>
          </w:tcPr>
          <w:p w14:paraId="192F772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4CFA532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3A55E0E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0BA1EBE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5DE43C5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Nuevas imposiciones tributarias o variaciones de orden financiera</w:t>
            </w:r>
          </w:p>
        </w:tc>
        <w:tc>
          <w:tcPr>
            <w:tcW w:w="622" w:type="dxa"/>
            <w:textDirection w:val="btLr"/>
            <w:vAlign w:val="center"/>
          </w:tcPr>
          <w:p w14:paraId="17EC72C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Los efectos económicos derivados de la expedición de nuevas normas, al igual que la imposición de nuevos impuestos locales o nacionales posteriores al cierre del presente proceso, así como la aplicación de la ley de Intervención, variación de las tasas de interés</w:t>
            </w:r>
          </w:p>
        </w:tc>
        <w:tc>
          <w:tcPr>
            <w:tcW w:w="335" w:type="dxa"/>
            <w:textDirection w:val="btLr"/>
            <w:vAlign w:val="center"/>
          </w:tcPr>
          <w:p w14:paraId="64FC48E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3D86D05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textDirection w:val="btLr"/>
            <w:vAlign w:val="center"/>
          </w:tcPr>
          <w:p w14:paraId="77F3797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7</w:t>
            </w:r>
          </w:p>
        </w:tc>
        <w:tc>
          <w:tcPr>
            <w:tcW w:w="335" w:type="dxa"/>
            <w:shd w:val="clear" w:color="auto" w:fill="F1A983" w:themeFill="accent2" w:themeFillTint="99"/>
            <w:textDirection w:val="btLr"/>
            <w:vAlign w:val="center"/>
          </w:tcPr>
          <w:p w14:paraId="5286A3B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Alto</w:t>
            </w:r>
          </w:p>
        </w:tc>
        <w:tc>
          <w:tcPr>
            <w:tcW w:w="335" w:type="dxa"/>
            <w:textDirection w:val="btLr"/>
            <w:vAlign w:val="center"/>
          </w:tcPr>
          <w:p w14:paraId="124472C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66F45CC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de la consultoría tiene el equipo y herramienta para subsanar esta situación</w:t>
            </w:r>
          </w:p>
        </w:tc>
        <w:tc>
          <w:tcPr>
            <w:tcW w:w="335" w:type="dxa"/>
            <w:textDirection w:val="btLr"/>
            <w:vAlign w:val="center"/>
          </w:tcPr>
          <w:p w14:paraId="47988E1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63" w:type="dxa"/>
            <w:textDirection w:val="btLr"/>
            <w:vAlign w:val="center"/>
          </w:tcPr>
          <w:p w14:paraId="428F167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065DA97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523B636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4B61DF4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Si</w:t>
            </w:r>
          </w:p>
        </w:tc>
        <w:tc>
          <w:tcPr>
            <w:tcW w:w="485" w:type="dxa"/>
            <w:textDirection w:val="btLr"/>
            <w:vAlign w:val="center"/>
          </w:tcPr>
          <w:p w14:paraId="04BEA33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208876A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2E3DDB2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Hasta finalizar la etapa contractual </w:t>
            </w:r>
          </w:p>
        </w:tc>
        <w:tc>
          <w:tcPr>
            <w:tcW w:w="690" w:type="dxa"/>
            <w:textDirection w:val="btLr"/>
            <w:vAlign w:val="center"/>
          </w:tcPr>
          <w:p w14:paraId="160D879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generar este riesgo</w:t>
            </w:r>
          </w:p>
        </w:tc>
        <w:tc>
          <w:tcPr>
            <w:tcW w:w="405" w:type="dxa"/>
            <w:textDirection w:val="btLr"/>
            <w:vAlign w:val="center"/>
          </w:tcPr>
          <w:p w14:paraId="2017819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3B4ED05D" w14:textId="77777777" w:rsidTr="00B56480">
        <w:trPr>
          <w:cantSplit/>
          <w:trHeight w:val="3109"/>
          <w:jc w:val="center"/>
        </w:trPr>
        <w:tc>
          <w:tcPr>
            <w:tcW w:w="336" w:type="dxa"/>
            <w:textDirection w:val="btLr"/>
            <w:vAlign w:val="center"/>
          </w:tcPr>
          <w:p w14:paraId="6EAE2FA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11</w:t>
            </w:r>
          </w:p>
        </w:tc>
        <w:tc>
          <w:tcPr>
            <w:tcW w:w="335" w:type="dxa"/>
            <w:textDirection w:val="btLr"/>
            <w:vAlign w:val="center"/>
          </w:tcPr>
          <w:p w14:paraId="2B66ACE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1D04CDC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5C57F2C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350AD80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7C0E3C7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Incumplimiento en obligaciones de prestaciones sociales</w:t>
            </w:r>
          </w:p>
        </w:tc>
        <w:tc>
          <w:tcPr>
            <w:tcW w:w="622" w:type="dxa"/>
            <w:textDirection w:val="btLr"/>
            <w:vAlign w:val="center"/>
          </w:tcPr>
          <w:p w14:paraId="493181D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Efecto económico desfavorable, causado por la parálisis de la Prestación de los Servicios propuestos por la falta de los pagos correspondientes a Salud, Pensión y Salarios de sus trabajadores.</w:t>
            </w:r>
          </w:p>
        </w:tc>
        <w:tc>
          <w:tcPr>
            <w:tcW w:w="335" w:type="dxa"/>
            <w:textDirection w:val="btLr"/>
            <w:vAlign w:val="center"/>
          </w:tcPr>
          <w:p w14:paraId="0B4FA16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textDirection w:val="btLr"/>
            <w:vAlign w:val="center"/>
          </w:tcPr>
          <w:p w14:paraId="08F0978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textDirection w:val="btLr"/>
            <w:vAlign w:val="center"/>
          </w:tcPr>
          <w:p w14:paraId="10F21A7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8</w:t>
            </w:r>
          </w:p>
        </w:tc>
        <w:tc>
          <w:tcPr>
            <w:tcW w:w="335" w:type="dxa"/>
            <w:shd w:val="clear" w:color="auto" w:fill="F1A983" w:themeFill="accent2" w:themeFillTint="99"/>
            <w:textDirection w:val="btLr"/>
            <w:vAlign w:val="center"/>
          </w:tcPr>
          <w:p w14:paraId="32ED395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Alto</w:t>
            </w:r>
          </w:p>
        </w:tc>
        <w:tc>
          <w:tcPr>
            <w:tcW w:w="335" w:type="dxa"/>
            <w:textDirection w:val="btLr"/>
            <w:vAlign w:val="center"/>
          </w:tcPr>
          <w:p w14:paraId="51BCB13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4EE76E2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de la consultoría tiene el equipo y herramienta para subsanar esta situación</w:t>
            </w:r>
          </w:p>
        </w:tc>
        <w:tc>
          <w:tcPr>
            <w:tcW w:w="335" w:type="dxa"/>
            <w:textDirection w:val="btLr"/>
            <w:vAlign w:val="center"/>
          </w:tcPr>
          <w:p w14:paraId="1F7AEDC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63" w:type="dxa"/>
            <w:textDirection w:val="btLr"/>
            <w:vAlign w:val="center"/>
          </w:tcPr>
          <w:p w14:paraId="4A01741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34CF6D0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1497454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0A492EB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No</w:t>
            </w:r>
          </w:p>
        </w:tc>
        <w:tc>
          <w:tcPr>
            <w:tcW w:w="485" w:type="dxa"/>
            <w:textDirection w:val="btLr"/>
            <w:vAlign w:val="center"/>
          </w:tcPr>
          <w:p w14:paraId="3492541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6CAFB00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2B00913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4FD016A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7D0170B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78932D68" w14:textId="77777777" w:rsidTr="00B56480">
        <w:trPr>
          <w:cantSplit/>
          <w:trHeight w:val="2417"/>
          <w:jc w:val="center"/>
        </w:trPr>
        <w:tc>
          <w:tcPr>
            <w:tcW w:w="336" w:type="dxa"/>
            <w:textDirection w:val="btLr"/>
            <w:vAlign w:val="center"/>
          </w:tcPr>
          <w:p w14:paraId="599C413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12</w:t>
            </w:r>
          </w:p>
        </w:tc>
        <w:tc>
          <w:tcPr>
            <w:tcW w:w="335" w:type="dxa"/>
            <w:textDirection w:val="btLr"/>
            <w:vAlign w:val="center"/>
          </w:tcPr>
          <w:p w14:paraId="5A7E0AF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Específico</w:t>
            </w:r>
          </w:p>
        </w:tc>
        <w:tc>
          <w:tcPr>
            <w:tcW w:w="335" w:type="dxa"/>
            <w:textDirection w:val="btLr"/>
            <w:vAlign w:val="center"/>
          </w:tcPr>
          <w:p w14:paraId="3077332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67F1D99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4436980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7D733AA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Fallas administrativas del Contratista</w:t>
            </w:r>
          </w:p>
        </w:tc>
        <w:tc>
          <w:tcPr>
            <w:tcW w:w="622" w:type="dxa"/>
            <w:textDirection w:val="btLr"/>
            <w:vAlign w:val="center"/>
          </w:tcPr>
          <w:p w14:paraId="489D168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Sabotaje de empleados o personal del contratista</w:t>
            </w:r>
          </w:p>
        </w:tc>
        <w:tc>
          <w:tcPr>
            <w:tcW w:w="335" w:type="dxa"/>
            <w:textDirection w:val="btLr"/>
            <w:vAlign w:val="center"/>
          </w:tcPr>
          <w:p w14:paraId="4D75B2A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37545FD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4</w:t>
            </w:r>
          </w:p>
        </w:tc>
        <w:tc>
          <w:tcPr>
            <w:tcW w:w="335" w:type="dxa"/>
            <w:textDirection w:val="btLr"/>
            <w:vAlign w:val="center"/>
          </w:tcPr>
          <w:p w14:paraId="3AED1EB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7</w:t>
            </w:r>
          </w:p>
        </w:tc>
        <w:tc>
          <w:tcPr>
            <w:tcW w:w="335" w:type="dxa"/>
            <w:shd w:val="clear" w:color="auto" w:fill="F1A983" w:themeFill="accent2" w:themeFillTint="99"/>
            <w:textDirection w:val="btLr"/>
            <w:vAlign w:val="center"/>
          </w:tcPr>
          <w:p w14:paraId="35BFE5A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Alto</w:t>
            </w:r>
          </w:p>
        </w:tc>
        <w:tc>
          <w:tcPr>
            <w:tcW w:w="335" w:type="dxa"/>
            <w:textDirection w:val="btLr"/>
            <w:vAlign w:val="center"/>
          </w:tcPr>
          <w:p w14:paraId="1DDA716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934" w:type="dxa"/>
            <w:textDirection w:val="btLr"/>
            <w:vAlign w:val="center"/>
          </w:tcPr>
          <w:p w14:paraId="603DD45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El contratista de la consultoría tiene el equipo y herramienta para subsanar esta situación</w:t>
            </w:r>
          </w:p>
        </w:tc>
        <w:tc>
          <w:tcPr>
            <w:tcW w:w="335" w:type="dxa"/>
            <w:textDirection w:val="btLr"/>
            <w:vAlign w:val="center"/>
          </w:tcPr>
          <w:p w14:paraId="3F08B9F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63" w:type="dxa"/>
            <w:textDirection w:val="btLr"/>
            <w:vAlign w:val="center"/>
          </w:tcPr>
          <w:p w14:paraId="4CD426A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01DCC02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0CC42A9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5CA323A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No</w:t>
            </w:r>
          </w:p>
        </w:tc>
        <w:tc>
          <w:tcPr>
            <w:tcW w:w="485" w:type="dxa"/>
            <w:textDirection w:val="btLr"/>
            <w:vAlign w:val="center"/>
          </w:tcPr>
          <w:p w14:paraId="799B6FA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w:t>
            </w:r>
          </w:p>
        </w:tc>
        <w:tc>
          <w:tcPr>
            <w:tcW w:w="424" w:type="dxa"/>
            <w:textDirection w:val="btLr"/>
            <w:vAlign w:val="center"/>
          </w:tcPr>
          <w:p w14:paraId="5B1690B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Desde la etapa Precontractual</w:t>
            </w:r>
          </w:p>
        </w:tc>
        <w:tc>
          <w:tcPr>
            <w:tcW w:w="424" w:type="dxa"/>
            <w:textDirection w:val="btLr"/>
            <w:vAlign w:val="center"/>
          </w:tcPr>
          <w:p w14:paraId="0BB98D1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6865E34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27CCD85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26B72F89" w14:textId="77777777" w:rsidTr="00B56480">
        <w:trPr>
          <w:cantSplit/>
          <w:trHeight w:val="2417"/>
          <w:jc w:val="center"/>
        </w:trPr>
        <w:tc>
          <w:tcPr>
            <w:tcW w:w="336" w:type="dxa"/>
            <w:textDirection w:val="btLr"/>
            <w:vAlign w:val="center"/>
          </w:tcPr>
          <w:p w14:paraId="4141DF6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lastRenderedPageBreak/>
              <w:t>13</w:t>
            </w:r>
          </w:p>
        </w:tc>
        <w:tc>
          <w:tcPr>
            <w:tcW w:w="335" w:type="dxa"/>
            <w:textDirection w:val="btLr"/>
            <w:vAlign w:val="center"/>
          </w:tcPr>
          <w:p w14:paraId="1724263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Especifico</w:t>
            </w:r>
          </w:p>
        </w:tc>
        <w:tc>
          <w:tcPr>
            <w:tcW w:w="335" w:type="dxa"/>
            <w:textDirection w:val="btLr"/>
            <w:vAlign w:val="center"/>
          </w:tcPr>
          <w:p w14:paraId="60DA135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2925063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0C6D21E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51B9BF2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Cambio de proyecto a diseñar, debido al análisis técnicos, administrativos, financieros y legales realizados por parte del consultor e interventor. </w:t>
            </w:r>
          </w:p>
        </w:tc>
        <w:tc>
          <w:tcPr>
            <w:tcW w:w="622" w:type="dxa"/>
            <w:textDirection w:val="btLr"/>
            <w:vAlign w:val="center"/>
          </w:tcPr>
          <w:p w14:paraId="5DE641A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Impacta en el alcance, plazo y recursos establecidos. </w:t>
            </w:r>
          </w:p>
        </w:tc>
        <w:tc>
          <w:tcPr>
            <w:tcW w:w="335" w:type="dxa"/>
            <w:textDirection w:val="btLr"/>
            <w:vAlign w:val="center"/>
          </w:tcPr>
          <w:p w14:paraId="6570CC3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357A7E2"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44D068A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0A4AFF6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7A3498C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 y entidad</w:t>
            </w:r>
          </w:p>
        </w:tc>
        <w:tc>
          <w:tcPr>
            <w:tcW w:w="934" w:type="dxa"/>
            <w:textDirection w:val="btLr"/>
            <w:vAlign w:val="center"/>
          </w:tcPr>
          <w:p w14:paraId="4ED641B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Análisis técnico, administrativo, financiero y legal para la incorporación de un nuevo proyecto a ser diseñado. </w:t>
            </w:r>
          </w:p>
        </w:tc>
        <w:tc>
          <w:tcPr>
            <w:tcW w:w="335" w:type="dxa"/>
            <w:textDirection w:val="btLr"/>
            <w:vAlign w:val="center"/>
          </w:tcPr>
          <w:p w14:paraId="0CA3FC8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0A1A6703"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1EE8D8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27B8005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58F18EA0"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Si</w:t>
            </w:r>
          </w:p>
        </w:tc>
        <w:tc>
          <w:tcPr>
            <w:tcW w:w="485" w:type="dxa"/>
            <w:textDirection w:val="btLr"/>
            <w:vAlign w:val="center"/>
          </w:tcPr>
          <w:p w14:paraId="45F9707C"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Contrista y entidad</w:t>
            </w:r>
          </w:p>
        </w:tc>
        <w:tc>
          <w:tcPr>
            <w:tcW w:w="424" w:type="dxa"/>
            <w:textDirection w:val="btLr"/>
            <w:vAlign w:val="center"/>
          </w:tcPr>
          <w:p w14:paraId="0D5D0F28"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Desde la etapa Contractual</w:t>
            </w:r>
          </w:p>
        </w:tc>
        <w:tc>
          <w:tcPr>
            <w:tcW w:w="424" w:type="dxa"/>
            <w:textDirection w:val="btLr"/>
            <w:vAlign w:val="center"/>
          </w:tcPr>
          <w:p w14:paraId="461B174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1859871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3D9F637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61DE20C6" w14:textId="77777777" w:rsidTr="00B56480">
        <w:trPr>
          <w:cantSplit/>
          <w:trHeight w:val="2417"/>
          <w:jc w:val="center"/>
        </w:trPr>
        <w:tc>
          <w:tcPr>
            <w:tcW w:w="336" w:type="dxa"/>
            <w:textDirection w:val="btLr"/>
            <w:vAlign w:val="center"/>
          </w:tcPr>
          <w:p w14:paraId="5CA75ECE"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14</w:t>
            </w:r>
          </w:p>
        </w:tc>
        <w:tc>
          <w:tcPr>
            <w:tcW w:w="335" w:type="dxa"/>
            <w:textDirection w:val="btLr"/>
            <w:vAlign w:val="center"/>
          </w:tcPr>
          <w:p w14:paraId="1BECDBF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Especifico</w:t>
            </w:r>
          </w:p>
        </w:tc>
        <w:tc>
          <w:tcPr>
            <w:tcW w:w="335" w:type="dxa"/>
            <w:textDirection w:val="btLr"/>
            <w:vAlign w:val="center"/>
          </w:tcPr>
          <w:p w14:paraId="68BFE92C"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256137A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1DA075AF"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2FCF6BA7"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M</w:t>
            </w:r>
            <w:r w:rsidRPr="0076383A">
              <w:rPr>
                <w:rFonts w:ascii="Century Gothic" w:hAnsi="Century Gothic" w:cs="Arial"/>
                <w:color w:val="000000"/>
                <w:sz w:val="14"/>
                <w:szCs w:val="14"/>
                <w:lang w:val="es-CO"/>
              </w:rPr>
              <w:t>ayores cantidades de áreas finalmente diseñadas, de acuerdo con la resolución de la licencia de construcción aprobada por la curaduría urbana</w:t>
            </w:r>
            <w:r>
              <w:rPr>
                <w:rFonts w:ascii="Century Gothic" w:hAnsi="Century Gothic" w:cs="Arial"/>
                <w:color w:val="000000"/>
                <w:sz w:val="14"/>
                <w:szCs w:val="14"/>
                <w:lang w:val="es-CO"/>
              </w:rPr>
              <w:t>.</w:t>
            </w:r>
          </w:p>
        </w:tc>
        <w:tc>
          <w:tcPr>
            <w:tcW w:w="622" w:type="dxa"/>
            <w:textDirection w:val="btLr"/>
            <w:vAlign w:val="center"/>
          </w:tcPr>
          <w:p w14:paraId="4361BE8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Impacta en el alcance, plazo y recursos establecidos. </w:t>
            </w:r>
          </w:p>
        </w:tc>
        <w:tc>
          <w:tcPr>
            <w:tcW w:w="335" w:type="dxa"/>
            <w:textDirection w:val="btLr"/>
            <w:vAlign w:val="center"/>
          </w:tcPr>
          <w:p w14:paraId="17D7519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A61835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49F97681"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0244060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06A8529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 y entidad</w:t>
            </w:r>
          </w:p>
        </w:tc>
        <w:tc>
          <w:tcPr>
            <w:tcW w:w="934" w:type="dxa"/>
            <w:textDirection w:val="btLr"/>
            <w:vAlign w:val="center"/>
          </w:tcPr>
          <w:p w14:paraId="027499F0"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 xml:space="preserve">Realizar el análisis técnico, financiero y legal para determinar la necesidad de adicionar recursos si es necesario. </w:t>
            </w:r>
          </w:p>
        </w:tc>
        <w:tc>
          <w:tcPr>
            <w:tcW w:w="335" w:type="dxa"/>
            <w:textDirection w:val="btLr"/>
            <w:vAlign w:val="center"/>
          </w:tcPr>
          <w:p w14:paraId="4E42501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6106562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4B22EB2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15A5309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7D459B0B"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Si</w:t>
            </w:r>
          </w:p>
        </w:tc>
        <w:tc>
          <w:tcPr>
            <w:tcW w:w="485" w:type="dxa"/>
            <w:textDirection w:val="btLr"/>
            <w:vAlign w:val="center"/>
          </w:tcPr>
          <w:p w14:paraId="7259E9CE"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Contrista y entidad</w:t>
            </w:r>
          </w:p>
        </w:tc>
        <w:tc>
          <w:tcPr>
            <w:tcW w:w="424" w:type="dxa"/>
            <w:textDirection w:val="btLr"/>
            <w:vAlign w:val="center"/>
          </w:tcPr>
          <w:p w14:paraId="7E6B8AEE"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Desde la etapa Contractual</w:t>
            </w:r>
          </w:p>
        </w:tc>
        <w:tc>
          <w:tcPr>
            <w:tcW w:w="424" w:type="dxa"/>
            <w:textDirection w:val="btLr"/>
            <w:vAlign w:val="center"/>
          </w:tcPr>
          <w:p w14:paraId="7EBDB97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4F81889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3762BC4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r w:rsidR="007E0DF7" w:rsidRPr="00A54348" w14:paraId="20521BDA" w14:textId="77777777" w:rsidTr="00B56480">
        <w:trPr>
          <w:cantSplit/>
          <w:trHeight w:val="2417"/>
          <w:jc w:val="center"/>
        </w:trPr>
        <w:tc>
          <w:tcPr>
            <w:tcW w:w="336" w:type="dxa"/>
            <w:textDirection w:val="btLr"/>
            <w:vAlign w:val="center"/>
          </w:tcPr>
          <w:p w14:paraId="219C271F"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15</w:t>
            </w:r>
          </w:p>
        </w:tc>
        <w:tc>
          <w:tcPr>
            <w:tcW w:w="335" w:type="dxa"/>
            <w:textDirection w:val="btLr"/>
            <w:vAlign w:val="center"/>
          </w:tcPr>
          <w:p w14:paraId="7E9585E8"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Especifico</w:t>
            </w:r>
          </w:p>
        </w:tc>
        <w:tc>
          <w:tcPr>
            <w:tcW w:w="335" w:type="dxa"/>
            <w:textDirection w:val="btLr"/>
            <w:vAlign w:val="center"/>
          </w:tcPr>
          <w:p w14:paraId="493F1795"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Interno</w:t>
            </w:r>
          </w:p>
        </w:tc>
        <w:tc>
          <w:tcPr>
            <w:tcW w:w="335" w:type="dxa"/>
            <w:textDirection w:val="btLr"/>
            <w:vAlign w:val="center"/>
          </w:tcPr>
          <w:p w14:paraId="1478842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Etapa Contractual</w:t>
            </w:r>
          </w:p>
        </w:tc>
        <w:tc>
          <w:tcPr>
            <w:tcW w:w="335" w:type="dxa"/>
            <w:textDirection w:val="btLr"/>
            <w:vAlign w:val="center"/>
          </w:tcPr>
          <w:p w14:paraId="6E736C0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Operacional</w:t>
            </w:r>
          </w:p>
        </w:tc>
        <w:tc>
          <w:tcPr>
            <w:tcW w:w="1127" w:type="dxa"/>
            <w:textDirection w:val="btLr"/>
            <w:vAlign w:val="center"/>
          </w:tcPr>
          <w:p w14:paraId="5D04B697"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Menores</w:t>
            </w:r>
            <w:r w:rsidRPr="0076383A">
              <w:rPr>
                <w:rFonts w:ascii="Century Gothic" w:hAnsi="Century Gothic" w:cs="Arial"/>
                <w:color w:val="000000"/>
                <w:sz w:val="14"/>
                <w:szCs w:val="14"/>
                <w:lang w:val="es-CO"/>
              </w:rPr>
              <w:t xml:space="preserve"> cantidades de áreas finalmente diseñadas, de acuerdo con la resolución de la licencia de construcción aprobada por la curaduría urbana</w:t>
            </w:r>
            <w:r>
              <w:rPr>
                <w:rFonts w:ascii="Century Gothic" w:hAnsi="Century Gothic" w:cs="Arial"/>
                <w:color w:val="000000"/>
                <w:sz w:val="14"/>
                <w:szCs w:val="14"/>
                <w:lang w:val="es-CO"/>
              </w:rPr>
              <w:t>.</w:t>
            </w:r>
          </w:p>
        </w:tc>
        <w:tc>
          <w:tcPr>
            <w:tcW w:w="622" w:type="dxa"/>
            <w:textDirection w:val="btLr"/>
            <w:vAlign w:val="center"/>
          </w:tcPr>
          <w:p w14:paraId="18DD9B8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 xml:space="preserve">Impacta en el alcance, plazo y recursos establecidos. </w:t>
            </w:r>
          </w:p>
        </w:tc>
        <w:tc>
          <w:tcPr>
            <w:tcW w:w="335" w:type="dxa"/>
            <w:textDirection w:val="btLr"/>
            <w:vAlign w:val="center"/>
          </w:tcPr>
          <w:p w14:paraId="08A4F16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3ACE927A"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textDirection w:val="btLr"/>
            <w:vAlign w:val="center"/>
          </w:tcPr>
          <w:p w14:paraId="21D62EC9"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5</w:t>
            </w:r>
          </w:p>
        </w:tc>
        <w:tc>
          <w:tcPr>
            <w:tcW w:w="335" w:type="dxa"/>
            <w:shd w:val="clear" w:color="auto" w:fill="FFFF00"/>
            <w:textDirection w:val="btLr"/>
            <w:vAlign w:val="center"/>
          </w:tcPr>
          <w:p w14:paraId="30CD8E0B"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Medio</w:t>
            </w:r>
          </w:p>
        </w:tc>
        <w:tc>
          <w:tcPr>
            <w:tcW w:w="335" w:type="dxa"/>
            <w:textDirection w:val="btLr"/>
            <w:vAlign w:val="center"/>
          </w:tcPr>
          <w:p w14:paraId="58CEF83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Contratista y entidad</w:t>
            </w:r>
          </w:p>
        </w:tc>
        <w:tc>
          <w:tcPr>
            <w:tcW w:w="934" w:type="dxa"/>
            <w:textDirection w:val="btLr"/>
            <w:vAlign w:val="center"/>
          </w:tcPr>
          <w:p w14:paraId="17161780" w14:textId="77777777" w:rsidR="007E0DF7" w:rsidRPr="00A54348"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 xml:space="preserve">Realizar el análisis técnico, financiero y legal para determinar la necesidad de adicionar un nuevo proyecto a diseñar.  </w:t>
            </w:r>
          </w:p>
        </w:tc>
        <w:tc>
          <w:tcPr>
            <w:tcW w:w="335" w:type="dxa"/>
            <w:textDirection w:val="btLr"/>
            <w:vAlign w:val="center"/>
          </w:tcPr>
          <w:p w14:paraId="45904D1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1</w:t>
            </w:r>
          </w:p>
        </w:tc>
        <w:tc>
          <w:tcPr>
            <w:tcW w:w="363" w:type="dxa"/>
            <w:textDirection w:val="btLr"/>
            <w:vAlign w:val="center"/>
          </w:tcPr>
          <w:p w14:paraId="4BEA18B0"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2</w:t>
            </w:r>
          </w:p>
        </w:tc>
        <w:tc>
          <w:tcPr>
            <w:tcW w:w="335" w:type="dxa"/>
            <w:textDirection w:val="btLr"/>
            <w:vAlign w:val="center"/>
          </w:tcPr>
          <w:p w14:paraId="6EC1EDA7"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3</w:t>
            </w:r>
          </w:p>
        </w:tc>
        <w:tc>
          <w:tcPr>
            <w:tcW w:w="335" w:type="dxa"/>
            <w:shd w:val="clear" w:color="auto" w:fill="92D050"/>
            <w:textDirection w:val="btLr"/>
            <w:vAlign w:val="center"/>
          </w:tcPr>
          <w:p w14:paraId="20C71814"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Bajo</w:t>
            </w:r>
          </w:p>
        </w:tc>
        <w:tc>
          <w:tcPr>
            <w:tcW w:w="335" w:type="dxa"/>
            <w:textDirection w:val="btLr"/>
            <w:vAlign w:val="center"/>
          </w:tcPr>
          <w:p w14:paraId="10F38D36"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Si</w:t>
            </w:r>
          </w:p>
        </w:tc>
        <w:tc>
          <w:tcPr>
            <w:tcW w:w="485" w:type="dxa"/>
            <w:textDirection w:val="btLr"/>
            <w:vAlign w:val="center"/>
          </w:tcPr>
          <w:p w14:paraId="6A7D1134"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Contrista y entidad</w:t>
            </w:r>
          </w:p>
        </w:tc>
        <w:tc>
          <w:tcPr>
            <w:tcW w:w="424" w:type="dxa"/>
            <w:textDirection w:val="btLr"/>
            <w:vAlign w:val="center"/>
          </w:tcPr>
          <w:p w14:paraId="5B09E7C2" w14:textId="77777777" w:rsidR="007E0DF7" w:rsidRDefault="007E0DF7" w:rsidP="00B56480">
            <w:pPr>
              <w:ind w:left="113" w:right="113"/>
              <w:jc w:val="center"/>
              <w:rPr>
                <w:rFonts w:ascii="Century Gothic" w:hAnsi="Century Gothic" w:cs="Arial"/>
                <w:color w:val="000000"/>
                <w:sz w:val="14"/>
                <w:szCs w:val="14"/>
                <w:lang w:val="es-CO"/>
              </w:rPr>
            </w:pPr>
            <w:r>
              <w:rPr>
                <w:rFonts w:ascii="Century Gothic" w:hAnsi="Century Gothic" w:cs="Arial"/>
                <w:color w:val="000000"/>
                <w:sz w:val="14"/>
                <w:szCs w:val="14"/>
                <w:lang w:val="es-CO"/>
              </w:rPr>
              <w:t>Desde la etapa Contractual</w:t>
            </w:r>
          </w:p>
        </w:tc>
        <w:tc>
          <w:tcPr>
            <w:tcW w:w="424" w:type="dxa"/>
            <w:textDirection w:val="btLr"/>
            <w:vAlign w:val="center"/>
          </w:tcPr>
          <w:p w14:paraId="260CDE96"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Hasta finalizar la etapa Contractual</w:t>
            </w:r>
          </w:p>
        </w:tc>
        <w:tc>
          <w:tcPr>
            <w:tcW w:w="690" w:type="dxa"/>
            <w:textDirection w:val="btLr"/>
            <w:vAlign w:val="center"/>
          </w:tcPr>
          <w:p w14:paraId="56C3E38D"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seguimiento a causas que pueden ocasionarlo</w:t>
            </w:r>
          </w:p>
        </w:tc>
        <w:tc>
          <w:tcPr>
            <w:tcW w:w="405" w:type="dxa"/>
            <w:textDirection w:val="btLr"/>
            <w:vAlign w:val="center"/>
          </w:tcPr>
          <w:p w14:paraId="33FD87DE" w14:textId="77777777" w:rsidR="007E0DF7" w:rsidRPr="00A54348" w:rsidRDefault="007E0DF7" w:rsidP="00B56480">
            <w:pPr>
              <w:ind w:left="113" w:right="113"/>
              <w:jc w:val="center"/>
              <w:rPr>
                <w:rFonts w:ascii="Century Gothic" w:hAnsi="Century Gothic" w:cs="Arial"/>
                <w:color w:val="000000"/>
                <w:sz w:val="14"/>
                <w:szCs w:val="14"/>
                <w:lang w:val="es-CO"/>
              </w:rPr>
            </w:pPr>
            <w:r w:rsidRPr="00A54348">
              <w:rPr>
                <w:rFonts w:ascii="Century Gothic" w:hAnsi="Century Gothic" w:cs="Arial"/>
                <w:color w:val="000000"/>
                <w:sz w:val="14"/>
                <w:szCs w:val="14"/>
                <w:lang w:val="es-CO"/>
              </w:rPr>
              <w:t>Semanal</w:t>
            </w:r>
          </w:p>
        </w:tc>
      </w:tr>
    </w:tbl>
    <w:p w14:paraId="6F8C053D" w14:textId="77777777" w:rsidR="00280D4D" w:rsidRDefault="00280D4D" w:rsidP="00280D4D">
      <w:pPr>
        <w:autoSpaceDE w:val="0"/>
        <w:autoSpaceDN w:val="0"/>
        <w:adjustRightInd w:val="0"/>
        <w:jc w:val="both"/>
        <w:rPr>
          <w:rFonts w:ascii="Arial" w:eastAsia="Calibri" w:hAnsi="Arial" w:cs="Arial"/>
          <w:b/>
          <w:sz w:val="22"/>
          <w:szCs w:val="22"/>
        </w:rPr>
      </w:pPr>
    </w:p>
    <w:p w14:paraId="69B1E673" w14:textId="77777777" w:rsidR="00280D4D" w:rsidRDefault="00280D4D" w:rsidP="00280D4D">
      <w:pPr>
        <w:autoSpaceDE w:val="0"/>
        <w:autoSpaceDN w:val="0"/>
        <w:adjustRightInd w:val="0"/>
        <w:jc w:val="both"/>
        <w:rPr>
          <w:rFonts w:ascii="Arial" w:eastAsia="Calibri" w:hAnsi="Arial" w:cs="Arial"/>
          <w:b/>
          <w:sz w:val="22"/>
          <w:szCs w:val="22"/>
        </w:rPr>
      </w:pPr>
    </w:p>
    <w:p w14:paraId="68E2BC31" w14:textId="77777777" w:rsidR="00280D4D" w:rsidRDefault="00280D4D" w:rsidP="00280D4D">
      <w:pPr>
        <w:autoSpaceDE w:val="0"/>
        <w:autoSpaceDN w:val="0"/>
        <w:adjustRightInd w:val="0"/>
        <w:jc w:val="both"/>
        <w:rPr>
          <w:rFonts w:ascii="Arial" w:eastAsia="Calibri" w:hAnsi="Arial" w:cs="Arial"/>
          <w:b/>
          <w:sz w:val="22"/>
          <w:szCs w:val="22"/>
        </w:rPr>
      </w:pPr>
    </w:p>
    <w:p w14:paraId="5D5A8BA6" w14:textId="77777777" w:rsidR="00280D4D" w:rsidRDefault="00280D4D" w:rsidP="00280D4D">
      <w:pPr>
        <w:autoSpaceDE w:val="0"/>
        <w:autoSpaceDN w:val="0"/>
        <w:adjustRightInd w:val="0"/>
        <w:jc w:val="both"/>
        <w:rPr>
          <w:rFonts w:ascii="Arial" w:eastAsia="Calibri" w:hAnsi="Arial" w:cs="Arial"/>
          <w:b/>
          <w:sz w:val="22"/>
          <w:szCs w:val="22"/>
        </w:rPr>
      </w:pPr>
    </w:p>
    <w:p w14:paraId="75AC5610" w14:textId="77777777" w:rsidR="00280D4D" w:rsidRDefault="00280D4D" w:rsidP="00280D4D">
      <w:pPr>
        <w:autoSpaceDE w:val="0"/>
        <w:autoSpaceDN w:val="0"/>
        <w:adjustRightInd w:val="0"/>
        <w:jc w:val="both"/>
        <w:rPr>
          <w:rFonts w:ascii="Arial" w:eastAsia="Calibri" w:hAnsi="Arial" w:cs="Arial"/>
          <w:b/>
          <w:sz w:val="22"/>
          <w:szCs w:val="22"/>
        </w:rPr>
      </w:pPr>
    </w:p>
    <w:p w14:paraId="6F6EA031" w14:textId="77777777" w:rsidR="00280D4D" w:rsidRDefault="00280D4D" w:rsidP="00280D4D">
      <w:pPr>
        <w:autoSpaceDE w:val="0"/>
        <w:autoSpaceDN w:val="0"/>
        <w:adjustRightInd w:val="0"/>
        <w:jc w:val="both"/>
        <w:rPr>
          <w:rFonts w:ascii="Arial" w:eastAsia="Calibri" w:hAnsi="Arial" w:cs="Arial"/>
          <w:b/>
          <w:sz w:val="22"/>
          <w:szCs w:val="22"/>
        </w:rPr>
      </w:pPr>
    </w:p>
    <w:p w14:paraId="020465BA" w14:textId="77777777" w:rsidR="00280D4D" w:rsidRDefault="00280D4D" w:rsidP="00280D4D">
      <w:pPr>
        <w:autoSpaceDE w:val="0"/>
        <w:autoSpaceDN w:val="0"/>
        <w:adjustRightInd w:val="0"/>
        <w:jc w:val="both"/>
        <w:rPr>
          <w:rFonts w:ascii="Arial" w:eastAsia="Calibri" w:hAnsi="Arial" w:cs="Arial"/>
          <w:b/>
          <w:sz w:val="22"/>
          <w:szCs w:val="22"/>
        </w:rPr>
      </w:pPr>
    </w:p>
    <w:p w14:paraId="7DBF2FAA" w14:textId="77777777" w:rsidR="00280D4D" w:rsidRDefault="00280D4D" w:rsidP="00280D4D">
      <w:pPr>
        <w:autoSpaceDE w:val="0"/>
        <w:autoSpaceDN w:val="0"/>
        <w:adjustRightInd w:val="0"/>
        <w:jc w:val="both"/>
        <w:rPr>
          <w:rFonts w:ascii="Arial" w:eastAsia="Calibri" w:hAnsi="Arial" w:cs="Arial"/>
          <w:b/>
          <w:sz w:val="22"/>
          <w:szCs w:val="22"/>
        </w:rPr>
      </w:pPr>
    </w:p>
    <w:p w14:paraId="2A947536" w14:textId="77777777" w:rsidR="00280D4D" w:rsidRPr="00501618" w:rsidRDefault="00280D4D" w:rsidP="00280D4D">
      <w:pPr>
        <w:autoSpaceDE w:val="0"/>
        <w:autoSpaceDN w:val="0"/>
        <w:adjustRightInd w:val="0"/>
        <w:jc w:val="both"/>
        <w:rPr>
          <w:rFonts w:ascii="Arial" w:eastAsia="Calibri" w:hAnsi="Arial" w:cs="Arial"/>
          <w:b/>
          <w:sz w:val="22"/>
          <w:szCs w:val="22"/>
        </w:rPr>
      </w:pPr>
    </w:p>
    <w:p w14:paraId="1C616B1E" w14:textId="77777777" w:rsidR="00280D4D" w:rsidRPr="00501618" w:rsidRDefault="00280D4D" w:rsidP="00280D4D">
      <w:pPr>
        <w:autoSpaceDE w:val="0"/>
        <w:autoSpaceDN w:val="0"/>
        <w:adjustRightInd w:val="0"/>
        <w:jc w:val="both"/>
        <w:rPr>
          <w:rFonts w:ascii="Arial" w:eastAsia="Calibri" w:hAnsi="Arial" w:cs="Arial"/>
          <w:b/>
          <w:sz w:val="22"/>
          <w:szCs w:val="22"/>
          <w:lang w:val="es-MX"/>
        </w:rPr>
      </w:pPr>
    </w:p>
    <w:sectPr w:rsidR="00280D4D" w:rsidRPr="00501618" w:rsidSect="00280D4D">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B8890" w14:textId="77777777" w:rsidR="00620D1D" w:rsidRDefault="00620D1D">
      <w:r>
        <w:separator/>
      </w:r>
    </w:p>
  </w:endnote>
  <w:endnote w:type="continuationSeparator" w:id="0">
    <w:p w14:paraId="673F15E1" w14:textId="77777777" w:rsidR="00620D1D" w:rsidRDefault="00620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0149" w14:textId="77777777" w:rsidR="003A1558" w:rsidRDefault="003A1558" w:rsidP="007A796D">
    <w:pPr>
      <w:pStyle w:val="Piedepgina"/>
      <w:jc w:val="both"/>
      <w:rPr>
        <w:rFonts w:ascii="Arial" w:hAnsi="Arial" w:cs="Arial"/>
        <w:sz w:val="20"/>
        <w:lang w:val="es-ES_tradnl"/>
      </w:rPr>
    </w:pPr>
  </w:p>
  <w:p w14:paraId="6DBF2615" w14:textId="77777777" w:rsidR="003A1558"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2FAC069" wp14:editId="18B47D79">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892C1A3" w14:textId="77777777" w:rsidR="003A1558"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11B59B7" w14:textId="77777777" w:rsidR="003A1558"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14D909B" w14:textId="77777777" w:rsidR="003A1558" w:rsidRPr="00EF58AC" w:rsidRDefault="003A1558"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FAC069"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4892C1A3" w14:textId="77777777" w:rsidR="003A1558"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11B59B7" w14:textId="77777777" w:rsidR="003A1558"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14D909B" w14:textId="77777777" w:rsidR="003A1558" w:rsidRPr="00EF58AC" w:rsidRDefault="003A1558" w:rsidP="007A796D">
                    <w:pPr>
                      <w:spacing w:line="276" w:lineRule="auto"/>
                      <w:rPr>
                        <w:rFonts w:ascii="Arial" w:hAnsi="Arial" w:cs="Arial"/>
                        <w:sz w:val="20"/>
                        <w:szCs w:val="20"/>
                      </w:rPr>
                    </w:pPr>
                  </w:p>
                </w:txbxContent>
              </v:textbox>
            </v:shape>
          </w:pict>
        </mc:Fallback>
      </mc:AlternateContent>
    </w:r>
  </w:p>
  <w:p w14:paraId="5924E84B" w14:textId="77777777" w:rsidR="003A1558" w:rsidRPr="00CB7A97" w:rsidRDefault="003A1558" w:rsidP="007A796D">
    <w:pPr>
      <w:pStyle w:val="Piedepgina"/>
      <w:jc w:val="both"/>
      <w:rPr>
        <w:rFonts w:ascii="Arial" w:hAnsi="Arial" w:cs="Arial"/>
        <w:sz w:val="20"/>
        <w:lang w:val="es-ES_tradnl"/>
      </w:rPr>
    </w:pPr>
  </w:p>
  <w:p w14:paraId="77F0580A" w14:textId="77777777" w:rsidR="003A1558" w:rsidRDefault="003A1558" w:rsidP="007A796D">
    <w:pPr>
      <w:pStyle w:val="Piedepgina"/>
      <w:rPr>
        <w:rFonts w:ascii="Arial" w:hAnsi="Arial" w:cs="Arial"/>
        <w:sz w:val="20"/>
        <w:lang w:val="es-ES_tradnl"/>
      </w:rPr>
    </w:pPr>
  </w:p>
  <w:p w14:paraId="5A6E6CD2" w14:textId="77777777" w:rsidR="003A1558" w:rsidRPr="008E325D" w:rsidRDefault="003A1558" w:rsidP="007A796D">
    <w:pPr>
      <w:pStyle w:val="Piedepgina"/>
    </w:pPr>
  </w:p>
  <w:p w14:paraId="5951916C" w14:textId="77777777" w:rsidR="003A1558" w:rsidRPr="007A796D" w:rsidRDefault="003A1558"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DD739" w14:textId="77777777" w:rsidR="00620D1D" w:rsidRDefault="00620D1D">
      <w:r>
        <w:separator/>
      </w:r>
    </w:p>
  </w:footnote>
  <w:footnote w:type="continuationSeparator" w:id="0">
    <w:p w14:paraId="4B99245A" w14:textId="77777777" w:rsidR="00620D1D" w:rsidRDefault="00620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7E3E4" w14:textId="77777777" w:rsidR="003A1558" w:rsidRPr="00963195" w:rsidRDefault="003A1558" w:rsidP="007A796D">
    <w:pPr>
      <w:pStyle w:val="Encabezado"/>
      <w:framePr w:wrap="around" w:vAnchor="text" w:hAnchor="page" w:x="10095" w:y="232"/>
      <w:rPr>
        <w:rStyle w:val="Nmerodepgina"/>
        <w:sz w:val="18"/>
        <w:szCs w:val="18"/>
      </w:rPr>
    </w:pPr>
  </w:p>
  <w:p w14:paraId="12FE8736" w14:textId="77777777" w:rsidR="003A1558" w:rsidRDefault="003A1558" w:rsidP="008C32E9">
    <w:pPr>
      <w:pStyle w:val="Encabezado"/>
      <w:jc w:val="both"/>
      <w:rPr>
        <w:rFonts w:ascii="Arial" w:hAnsi="Arial" w:cs="Arial"/>
        <w:sz w:val="20"/>
      </w:rPr>
    </w:pPr>
  </w:p>
  <w:p w14:paraId="4995CCE0" w14:textId="77777777" w:rsidR="003A1558" w:rsidRPr="00B409B5" w:rsidRDefault="003A1558"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F2E877B"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1984D" w14:textId="77777777" w:rsidR="003A1558"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084B4F9" wp14:editId="0E1F932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C7D2A" w14:textId="77777777" w:rsidR="003A1558" w:rsidRPr="008D2E57" w:rsidRDefault="003A1558" w:rsidP="00954659">
          <w:pPr>
            <w:tabs>
              <w:tab w:val="center" w:pos="4419"/>
              <w:tab w:val="right" w:pos="8838"/>
            </w:tabs>
            <w:jc w:val="center"/>
            <w:rPr>
              <w:rFonts w:ascii="Arial" w:hAnsi="Arial" w:cs="Arial"/>
              <w:sz w:val="18"/>
              <w:szCs w:val="18"/>
            </w:rPr>
          </w:pPr>
        </w:p>
        <w:p w14:paraId="557AA121" w14:textId="77777777" w:rsidR="003A1558"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445FB" w14:textId="77777777" w:rsidR="003A1558"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D839A" w14:textId="77777777" w:rsidR="003A1558"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6B36519B"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06008" w14:textId="77777777" w:rsidR="003A1558" w:rsidRDefault="003A155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117C1" w14:textId="77777777" w:rsidR="003A1558" w:rsidRDefault="003A155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3922E7" w14:textId="77777777" w:rsidR="003A1558"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CBEF4" w14:textId="77777777" w:rsidR="003A1558"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B4B635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5A5A4" w14:textId="77777777" w:rsidR="003A1558" w:rsidRDefault="003A1558"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7B585" w14:textId="77777777" w:rsidR="003A1558" w:rsidRDefault="00000000" w:rsidP="00165D34">
          <w:pPr>
            <w:tabs>
              <w:tab w:val="center" w:pos="4419"/>
              <w:tab w:val="right" w:pos="8838"/>
            </w:tabs>
            <w:jc w:val="center"/>
            <w:rPr>
              <w:rFonts w:ascii="Arial" w:hAnsi="Arial" w:cs="Arial"/>
              <w:sz w:val="18"/>
              <w:szCs w:val="18"/>
            </w:rPr>
          </w:pPr>
          <w:r>
            <w:rPr>
              <w:rFonts w:ascii="Arial" w:hAnsi="Arial" w:cs="Arial"/>
              <w:sz w:val="18"/>
              <w:szCs w:val="18"/>
            </w:rPr>
            <w:t>PLIEGOS DE</w:t>
          </w:r>
          <w:r w:rsidR="00165D34">
            <w:rPr>
              <w:rFonts w:ascii="Arial" w:hAnsi="Arial" w:cs="Arial"/>
              <w:sz w:val="18"/>
              <w:szCs w:val="18"/>
            </w:rPr>
            <w:t xml:space="preserve"> CONDICIONES</w:t>
          </w:r>
        </w:p>
        <w:p w14:paraId="20B33235" w14:textId="5F0DBE52" w:rsidR="00165D34" w:rsidRPr="00165D34" w:rsidRDefault="00165D34" w:rsidP="00165D34">
          <w:pPr>
            <w:tabs>
              <w:tab w:val="center" w:pos="4419"/>
              <w:tab w:val="right" w:pos="8838"/>
            </w:tabs>
            <w:jc w:val="center"/>
            <w:rPr>
              <w:rFonts w:ascii="Arial" w:hAnsi="Arial" w:cs="Arial"/>
              <w:sz w:val="18"/>
              <w:szCs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9D7E0" w14:textId="77777777" w:rsidR="003A1558"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B5DD4" w14:textId="77777777" w:rsidR="003A1558"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C52405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F95FE" w14:textId="77777777" w:rsidR="003A1558" w:rsidRDefault="003A1558"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9F563" w14:textId="77777777" w:rsidR="003A1558" w:rsidRDefault="003A1558"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78EB6" w14:textId="77777777" w:rsidR="003A1558"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ABB5A" w14:textId="77777777" w:rsidR="003A1558"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A7C135D" w14:textId="77777777" w:rsidR="003A1558"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C5DA2DF" wp14:editId="5F3E4570">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3F51905" w14:textId="77777777" w:rsidR="003A1558" w:rsidRPr="00047A0F" w:rsidRDefault="003A1558"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DA2DF"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23F51905" w14:textId="77777777" w:rsidR="003A1558" w:rsidRPr="00047A0F" w:rsidRDefault="003A1558"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4D"/>
    <w:rsid w:val="000E50F3"/>
    <w:rsid w:val="001465D5"/>
    <w:rsid w:val="00165D34"/>
    <w:rsid w:val="00280D4D"/>
    <w:rsid w:val="003238C7"/>
    <w:rsid w:val="00360334"/>
    <w:rsid w:val="003A1558"/>
    <w:rsid w:val="003C1061"/>
    <w:rsid w:val="003F002D"/>
    <w:rsid w:val="00620D1D"/>
    <w:rsid w:val="007250D6"/>
    <w:rsid w:val="007E0DF7"/>
    <w:rsid w:val="007E7B9C"/>
    <w:rsid w:val="00837FF3"/>
    <w:rsid w:val="008D3A9F"/>
    <w:rsid w:val="00987E7B"/>
    <w:rsid w:val="00A41366"/>
    <w:rsid w:val="00AE22DA"/>
    <w:rsid w:val="00BD024B"/>
    <w:rsid w:val="00CA7ABE"/>
    <w:rsid w:val="00DF4842"/>
    <w:rsid w:val="00E34895"/>
    <w:rsid w:val="00E63CB2"/>
    <w:rsid w:val="00E8301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A25E"/>
  <w15:chartTrackingRefBased/>
  <w15:docId w15:val="{3BF5CB95-825B-4DBC-8C36-059F4CB4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D4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280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80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80D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280D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80D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80D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80D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80D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80D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0D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80D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80D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280D4D"/>
    <w:rPr>
      <w:rFonts w:eastAsiaTheme="majorEastAsia" w:cstheme="majorBidi"/>
      <w:i/>
      <w:iCs/>
      <w:color w:val="0F4761" w:themeColor="accent1" w:themeShade="BF"/>
    </w:rPr>
  </w:style>
  <w:style w:type="character" w:customStyle="1" w:styleId="Ttulo5Car">
    <w:name w:val="Título 5 Car"/>
    <w:basedOn w:val="Fuentedeprrafopredeter"/>
    <w:link w:val="Ttulo5"/>
    <w:rsid w:val="00280D4D"/>
    <w:rPr>
      <w:rFonts w:eastAsiaTheme="majorEastAsia" w:cstheme="majorBidi"/>
      <w:color w:val="0F4761" w:themeColor="accent1" w:themeShade="BF"/>
    </w:rPr>
  </w:style>
  <w:style w:type="character" w:customStyle="1" w:styleId="Ttulo6Car">
    <w:name w:val="Título 6 Car"/>
    <w:basedOn w:val="Fuentedeprrafopredeter"/>
    <w:link w:val="Ttulo6"/>
    <w:rsid w:val="00280D4D"/>
    <w:rPr>
      <w:rFonts w:eastAsiaTheme="majorEastAsia" w:cstheme="majorBidi"/>
      <w:i/>
      <w:iCs/>
      <w:color w:val="595959" w:themeColor="text1" w:themeTint="A6"/>
    </w:rPr>
  </w:style>
  <w:style w:type="character" w:customStyle="1" w:styleId="Ttulo7Car">
    <w:name w:val="Título 7 Car"/>
    <w:basedOn w:val="Fuentedeprrafopredeter"/>
    <w:link w:val="Ttulo7"/>
    <w:rsid w:val="00280D4D"/>
    <w:rPr>
      <w:rFonts w:eastAsiaTheme="majorEastAsia" w:cstheme="majorBidi"/>
      <w:color w:val="595959" w:themeColor="text1" w:themeTint="A6"/>
    </w:rPr>
  </w:style>
  <w:style w:type="character" w:customStyle="1" w:styleId="Ttulo8Car">
    <w:name w:val="Título 8 Car"/>
    <w:basedOn w:val="Fuentedeprrafopredeter"/>
    <w:link w:val="Ttulo8"/>
    <w:rsid w:val="00280D4D"/>
    <w:rPr>
      <w:rFonts w:eastAsiaTheme="majorEastAsia" w:cstheme="majorBidi"/>
      <w:i/>
      <w:iCs/>
      <w:color w:val="272727" w:themeColor="text1" w:themeTint="D8"/>
    </w:rPr>
  </w:style>
  <w:style w:type="character" w:customStyle="1" w:styleId="Ttulo9Car">
    <w:name w:val="Título 9 Car"/>
    <w:basedOn w:val="Fuentedeprrafopredeter"/>
    <w:link w:val="Ttulo9"/>
    <w:rsid w:val="00280D4D"/>
    <w:rPr>
      <w:rFonts w:eastAsiaTheme="majorEastAsia" w:cstheme="majorBidi"/>
      <w:color w:val="272727" w:themeColor="text1" w:themeTint="D8"/>
    </w:rPr>
  </w:style>
  <w:style w:type="paragraph" w:styleId="Ttulo">
    <w:name w:val="Title"/>
    <w:basedOn w:val="Normal"/>
    <w:next w:val="Normal"/>
    <w:link w:val="TtuloCar"/>
    <w:qFormat/>
    <w:rsid w:val="00280D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8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8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8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0D4D"/>
    <w:pPr>
      <w:spacing w:before="160"/>
      <w:jc w:val="center"/>
    </w:pPr>
    <w:rPr>
      <w:i/>
      <w:iCs/>
      <w:color w:val="404040" w:themeColor="text1" w:themeTint="BF"/>
    </w:rPr>
  </w:style>
  <w:style w:type="character" w:customStyle="1" w:styleId="CitaCar">
    <w:name w:val="Cita Car"/>
    <w:basedOn w:val="Fuentedeprrafopredeter"/>
    <w:link w:val="Cita"/>
    <w:uiPriority w:val="29"/>
    <w:rsid w:val="00280D4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280D4D"/>
    <w:pPr>
      <w:ind w:left="720"/>
      <w:contextualSpacing/>
    </w:pPr>
  </w:style>
  <w:style w:type="character" w:styleId="nfasisintenso">
    <w:name w:val="Intense Emphasis"/>
    <w:basedOn w:val="Fuentedeprrafopredeter"/>
    <w:uiPriority w:val="21"/>
    <w:qFormat/>
    <w:rsid w:val="00280D4D"/>
    <w:rPr>
      <w:i/>
      <w:iCs/>
      <w:color w:val="0F4761" w:themeColor="accent1" w:themeShade="BF"/>
    </w:rPr>
  </w:style>
  <w:style w:type="paragraph" w:styleId="Citadestacada">
    <w:name w:val="Intense Quote"/>
    <w:basedOn w:val="Normal"/>
    <w:next w:val="Normal"/>
    <w:link w:val="CitadestacadaCar"/>
    <w:uiPriority w:val="30"/>
    <w:qFormat/>
    <w:rsid w:val="00280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0D4D"/>
    <w:rPr>
      <w:i/>
      <w:iCs/>
      <w:color w:val="0F4761" w:themeColor="accent1" w:themeShade="BF"/>
    </w:rPr>
  </w:style>
  <w:style w:type="character" w:styleId="Referenciaintensa">
    <w:name w:val="Intense Reference"/>
    <w:basedOn w:val="Fuentedeprrafopredeter"/>
    <w:uiPriority w:val="32"/>
    <w:qFormat/>
    <w:rsid w:val="00280D4D"/>
    <w:rPr>
      <w:b/>
      <w:bCs/>
      <w:smallCaps/>
      <w:color w:val="0F4761" w:themeColor="accent1" w:themeShade="BF"/>
      <w:spacing w:val="5"/>
    </w:rPr>
  </w:style>
  <w:style w:type="paragraph" w:styleId="Encabezado">
    <w:name w:val="header"/>
    <w:basedOn w:val="Normal"/>
    <w:link w:val="EncabezadoCar"/>
    <w:unhideWhenUsed/>
    <w:rsid w:val="00280D4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80D4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80D4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80D4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280D4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280D4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80D4D"/>
    <w:pPr>
      <w:spacing w:after="120"/>
    </w:pPr>
  </w:style>
  <w:style w:type="character" w:customStyle="1" w:styleId="TextoindependienteCar">
    <w:name w:val="Texto independiente Car"/>
    <w:basedOn w:val="Fuentedeprrafopredeter"/>
    <w:link w:val="Textoindependiente"/>
    <w:uiPriority w:val="99"/>
    <w:rsid w:val="00280D4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280D4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280D4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80D4D"/>
    <w:pPr>
      <w:spacing w:before="100" w:beforeAutospacing="1" w:after="100" w:afterAutospacing="1"/>
    </w:pPr>
  </w:style>
  <w:style w:type="character" w:styleId="Hipervnculo">
    <w:name w:val="Hyperlink"/>
    <w:uiPriority w:val="99"/>
    <w:rsid w:val="00280D4D"/>
    <w:rPr>
      <w:color w:val="0000FF"/>
      <w:u w:val="single"/>
    </w:rPr>
  </w:style>
  <w:style w:type="character" w:styleId="Nmerodepgina">
    <w:name w:val="page number"/>
    <w:rsid w:val="00280D4D"/>
  </w:style>
  <w:style w:type="numbering" w:customStyle="1" w:styleId="Sinlista1">
    <w:name w:val="Sin lista1"/>
    <w:next w:val="Sinlista"/>
    <w:uiPriority w:val="99"/>
    <w:semiHidden/>
    <w:unhideWhenUsed/>
    <w:rsid w:val="00280D4D"/>
  </w:style>
  <w:style w:type="table" w:customStyle="1" w:styleId="Tablaconcuadrcula1">
    <w:name w:val="Tabla con cuadrícula1"/>
    <w:basedOn w:val="Tablanormal"/>
    <w:next w:val="Tablaconcuadrcula"/>
    <w:rsid w:val="00280D4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280D4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280D4D"/>
    <w:pPr>
      <w:spacing w:after="120" w:line="480" w:lineRule="auto"/>
    </w:pPr>
  </w:style>
  <w:style w:type="character" w:customStyle="1" w:styleId="Textoindependiente2Car">
    <w:name w:val="Texto independiente 2 Car"/>
    <w:basedOn w:val="Fuentedeprrafopredeter"/>
    <w:link w:val="Textoindependiente2"/>
    <w:rsid w:val="00280D4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280D4D"/>
    <w:pPr>
      <w:spacing w:after="120"/>
      <w:ind w:left="283"/>
      <w:contextualSpacing/>
    </w:pPr>
  </w:style>
  <w:style w:type="paragraph" w:customStyle="1" w:styleId="BodyText21">
    <w:name w:val="Body Text 21"/>
    <w:basedOn w:val="Normal"/>
    <w:rsid w:val="00280D4D"/>
    <w:pPr>
      <w:jc w:val="both"/>
    </w:pPr>
    <w:rPr>
      <w:rFonts w:ascii="Arial" w:hAnsi="Arial"/>
      <w:sz w:val="22"/>
      <w:szCs w:val="20"/>
      <w:lang w:val="es-CO"/>
    </w:rPr>
  </w:style>
  <w:style w:type="paragraph" w:customStyle="1" w:styleId="default1">
    <w:name w:val="default1"/>
    <w:basedOn w:val="Normal"/>
    <w:rsid w:val="00280D4D"/>
    <w:rPr>
      <w:lang w:val="es-CO" w:eastAsia="es-CO"/>
    </w:rPr>
  </w:style>
  <w:style w:type="paragraph" w:customStyle="1" w:styleId="Textoindependiente22">
    <w:name w:val="Texto independiente 22"/>
    <w:basedOn w:val="Normal"/>
    <w:rsid w:val="00280D4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280D4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280D4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280D4D"/>
    <w:rPr>
      <w:rFonts w:ascii="Calibri" w:eastAsia="Calibri" w:hAnsi="Calibri" w:cs="Times New Roman"/>
      <w:kern w:val="0"/>
      <w:sz w:val="22"/>
      <w:szCs w:val="22"/>
      <w:lang w:val="es-MX" w:eastAsia="es-ES"/>
      <w14:ligatures w14:val="none"/>
    </w:rPr>
  </w:style>
  <w:style w:type="paragraph" w:customStyle="1" w:styleId="Car">
    <w:name w:val="Car"/>
    <w:basedOn w:val="Normal"/>
    <w:rsid w:val="00280D4D"/>
    <w:pPr>
      <w:spacing w:after="160" w:line="240" w:lineRule="exact"/>
    </w:pPr>
    <w:rPr>
      <w:rFonts w:ascii="Verdana" w:hAnsi="Verdana"/>
      <w:noProof/>
      <w:sz w:val="20"/>
      <w:szCs w:val="20"/>
      <w:lang w:eastAsia="en-US"/>
    </w:rPr>
  </w:style>
  <w:style w:type="paragraph" w:customStyle="1" w:styleId="Predeterminado">
    <w:name w:val="Predeterminado"/>
    <w:rsid w:val="00280D4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280D4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280D4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280D4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280D4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280D4D"/>
    <w:rPr>
      <w:color w:val="800080"/>
      <w:u w:val="single"/>
    </w:rPr>
  </w:style>
  <w:style w:type="paragraph" w:customStyle="1" w:styleId="font0">
    <w:name w:val="font0"/>
    <w:basedOn w:val="Normal"/>
    <w:rsid w:val="00280D4D"/>
    <w:pPr>
      <w:spacing w:before="100" w:beforeAutospacing="1" w:after="100" w:afterAutospacing="1"/>
    </w:pPr>
    <w:rPr>
      <w:rFonts w:ascii="Arial" w:hAnsi="Arial" w:cs="Arial"/>
      <w:sz w:val="20"/>
      <w:szCs w:val="20"/>
    </w:rPr>
  </w:style>
  <w:style w:type="paragraph" w:customStyle="1" w:styleId="font5">
    <w:name w:val="font5"/>
    <w:basedOn w:val="Normal"/>
    <w:rsid w:val="00280D4D"/>
    <w:pPr>
      <w:spacing w:before="100" w:beforeAutospacing="1" w:after="100" w:afterAutospacing="1"/>
    </w:pPr>
    <w:rPr>
      <w:rFonts w:ascii="Arial" w:hAnsi="Arial" w:cs="Arial"/>
      <w:b/>
      <w:bCs/>
      <w:sz w:val="20"/>
      <w:szCs w:val="20"/>
    </w:rPr>
  </w:style>
  <w:style w:type="paragraph" w:customStyle="1" w:styleId="font6">
    <w:name w:val="font6"/>
    <w:basedOn w:val="Normal"/>
    <w:rsid w:val="00280D4D"/>
    <w:pPr>
      <w:spacing w:before="100" w:beforeAutospacing="1" w:after="100" w:afterAutospacing="1"/>
    </w:pPr>
    <w:rPr>
      <w:rFonts w:ascii="Arial" w:hAnsi="Arial" w:cs="Arial"/>
      <w:sz w:val="20"/>
      <w:szCs w:val="20"/>
    </w:rPr>
  </w:style>
  <w:style w:type="paragraph" w:customStyle="1" w:styleId="xl63">
    <w:name w:val="xl6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280D4D"/>
    <w:pPr>
      <w:spacing w:before="100" w:beforeAutospacing="1" w:after="100" w:afterAutospacing="1"/>
      <w:jc w:val="both"/>
    </w:pPr>
  </w:style>
  <w:style w:type="paragraph" w:customStyle="1" w:styleId="xl69">
    <w:name w:val="xl6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280D4D"/>
    <w:pPr>
      <w:spacing w:before="100" w:beforeAutospacing="1" w:after="100" w:afterAutospacing="1"/>
    </w:pPr>
    <w:rPr>
      <w:rFonts w:ascii="Arial" w:hAnsi="Arial" w:cs="Arial"/>
      <w:sz w:val="16"/>
      <w:szCs w:val="16"/>
    </w:rPr>
  </w:style>
  <w:style w:type="paragraph" w:customStyle="1" w:styleId="xl87">
    <w:name w:val="xl8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280D4D"/>
    <w:pPr>
      <w:spacing w:before="100" w:beforeAutospacing="1" w:after="100" w:afterAutospacing="1"/>
      <w:jc w:val="center"/>
    </w:pPr>
    <w:rPr>
      <w:rFonts w:ascii="Arial" w:hAnsi="Arial" w:cs="Arial"/>
      <w:sz w:val="16"/>
      <w:szCs w:val="16"/>
    </w:rPr>
  </w:style>
  <w:style w:type="paragraph" w:customStyle="1" w:styleId="xl90">
    <w:name w:val="xl9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280D4D"/>
    <w:pPr>
      <w:spacing w:before="100" w:beforeAutospacing="1" w:after="100" w:afterAutospacing="1"/>
    </w:pPr>
    <w:rPr>
      <w:rFonts w:ascii="Arial" w:hAnsi="Arial" w:cs="Arial"/>
      <w:sz w:val="16"/>
      <w:szCs w:val="16"/>
    </w:rPr>
  </w:style>
  <w:style w:type="paragraph" w:customStyle="1" w:styleId="xl93">
    <w:name w:val="xl9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280D4D"/>
    <w:pPr>
      <w:spacing w:before="100" w:beforeAutospacing="1" w:after="100" w:afterAutospacing="1"/>
      <w:jc w:val="right"/>
    </w:pPr>
    <w:rPr>
      <w:rFonts w:ascii="Arial" w:hAnsi="Arial" w:cs="Arial"/>
      <w:sz w:val="18"/>
      <w:szCs w:val="18"/>
    </w:rPr>
  </w:style>
  <w:style w:type="paragraph" w:customStyle="1" w:styleId="xl99">
    <w:name w:val="xl9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280D4D"/>
    <w:pPr>
      <w:spacing w:before="100" w:beforeAutospacing="1" w:after="100" w:afterAutospacing="1"/>
      <w:jc w:val="right"/>
    </w:pPr>
    <w:rPr>
      <w:rFonts w:ascii="Arial" w:hAnsi="Arial" w:cs="Arial"/>
      <w:sz w:val="16"/>
      <w:szCs w:val="16"/>
    </w:rPr>
  </w:style>
  <w:style w:type="paragraph" w:customStyle="1" w:styleId="xl107">
    <w:name w:val="xl10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280D4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280D4D"/>
    <w:pPr>
      <w:spacing w:before="100" w:beforeAutospacing="1" w:after="100" w:afterAutospacing="1"/>
      <w:textAlignment w:val="center"/>
    </w:pPr>
  </w:style>
  <w:style w:type="paragraph" w:customStyle="1" w:styleId="xl142">
    <w:name w:val="xl142"/>
    <w:basedOn w:val="Normal"/>
    <w:rsid w:val="00280D4D"/>
    <w:pPr>
      <w:spacing w:before="100" w:beforeAutospacing="1" w:after="100" w:afterAutospacing="1"/>
      <w:jc w:val="both"/>
      <w:textAlignment w:val="center"/>
    </w:pPr>
  </w:style>
  <w:style w:type="paragraph" w:customStyle="1" w:styleId="xl143">
    <w:name w:val="xl14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280D4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280D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280D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280D4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280D4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280D4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280D4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280D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280D4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280D4D"/>
    <w:rPr>
      <w:rFonts w:ascii="Courier New" w:hAnsi="Courier New"/>
      <w:sz w:val="20"/>
      <w:szCs w:val="20"/>
    </w:rPr>
  </w:style>
  <w:style w:type="character" w:customStyle="1" w:styleId="TextosinformatoCar">
    <w:name w:val="Texto sin formato Car"/>
    <w:basedOn w:val="Fuentedeprrafopredeter"/>
    <w:link w:val="Textosinformato"/>
    <w:rsid w:val="00280D4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280D4D"/>
    <w:rPr>
      <w:sz w:val="16"/>
      <w:szCs w:val="16"/>
    </w:rPr>
  </w:style>
  <w:style w:type="paragraph" w:styleId="Textocomentario">
    <w:name w:val="annotation text"/>
    <w:basedOn w:val="Normal"/>
    <w:link w:val="TextocomentarioCar"/>
    <w:uiPriority w:val="99"/>
    <w:unhideWhenUsed/>
    <w:rsid w:val="00280D4D"/>
    <w:rPr>
      <w:sz w:val="20"/>
      <w:szCs w:val="20"/>
    </w:rPr>
  </w:style>
  <w:style w:type="character" w:customStyle="1" w:styleId="TextocomentarioCar">
    <w:name w:val="Texto comentario Car"/>
    <w:basedOn w:val="Fuentedeprrafopredeter"/>
    <w:link w:val="Textocomentario"/>
    <w:uiPriority w:val="99"/>
    <w:rsid w:val="00280D4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280D4D"/>
    <w:rPr>
      <w:b/>
      <w:bCs/>
    </w:rPr>
  </w:style>
  <w:style w:type="character" w:customStyle="1" w:styleId="AsuntodelcomentarioCar">
    <w:name w:val="Asunto del comentario Car"/>
    <w:basedOn w:val="TextocomentarioCar"/>
    <w:link w:val="Asuntodelcomentario"/>
    <w:uiPriority w:val="99"/>
    <w:rsid w:val="00280D4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280D4D"/>
    <w:rPr>
      <w:b/>
      <w:bCs/>
    </w:rPr>
  </w:style>
  <w:style w:type="table" w:customStyle="1" w:styleId="Sombreadoclaro1">
    <w:name w:val="Sombreado claro1"/>
    <w:basedOn w:val="Tablanormal"/>
    <w:uiPriority w:val="60"/>
    <w:rsid w:val="00280D4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280D4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280D4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280D4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280D4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280D4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280D4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280D4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280D4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280D4D"/>
  </w:style>
  <w:style w:type="table" w:customStyle="1" w:styleId="Tablaconcuadrcula2">
    <w:name w:val="Tabla con cuadrícula2"/>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80D4D"/>
  </w:style>
  <w:style w:type="paragraph" w:customStyle="1" w:styleId="Enelcentro">
    <w:name w:val="En el centro"/>
    <w:basedOn w:val="Normal"/>
    <w:next w:val="Normal"/>
    <w:rsid w:val="00280D4D"/>
    <w:pPr>
      <w:ind w:left="567" w:right="567"/>
      <w:jc w:val="center"/>
    </w:pPr>
    <w:rPr>
      <w:rFonts w:ascii="Verdana" w:hAnsi="Verdana"/>
      <w:sz w:val="20"/>
      <w:szCs w:val="20"/>
    </w:rPr>
  </w:style>
  <w:style w:type="paragraph" w:customStyle="1" w:styleId="subtitulos">
    <w:name w:val="subtitulos"/>
    <w:basedOn w:val="Normal"/>
    <w:rsid w:val="00280D4D"/>
    <w:pPr>
      <w:spacing w:before="100" w:beforeAutospacing="1" w:after="100" w:afterAutospacing="1"/>
    </w:pPr>
    <w:rPr>
      <w:lang w:val="es-CO" w:eastAsia="es-CO"/>
    </w:rPr>
  </w:style>
  <w:style w:type="character" w:customStyle="1" w:styleId="apple-converted-space">
    <w:name w:val="apple-converted-space"/>
    <w:basedOn w:val="Fuentedeprrafopredeter"/>
    <w:rsid w:val="00280D4D"/>
  </w:style>
  <w:style w:type="table" w:customStyle="1" w:styleId="Tablaconcuadrcula7">
    <w:name w:val="Tabla con cuadrícula7"/>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280D4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80D4D"/>
  </w:style>
  <w:style w:type="character" w:customStyle="1" w:styleId="BalloonTextChar1">
    <w:name w:val="Balloon Text Char1"/>
    <w:basedOn w:val="Fuentedeprrafopredeter"/>
    <w:uiPriority w:val="99"/>
    <w:semiHidden/>
    <w:rsid w:val="00280D4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280D4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280D4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280D4D"/>
    <w:rPr>
      <w:rFonts w:eastAsia="MS Mincho"/>
      <w:sz w:val="24"/>
      <w:szCs w:val="24"/>
      <w:lang w:val="es-ES" w:eastAsia="es-ES"/>
    </w:rPr>
  </w:style>
  <w:style w:type="character" w:customStyle="1" w:styleId="PrrafodelistaCar1">
    <w:name w:val="Párrafo de lista Car1"/>
    <w:uiPriority w:val="34"/>
    <w:rsid w:val="00280D4D"/>
    <w:rPr>
      <w:rFonts w:ascii="Calibri" w:eastAsia="Calibri" w:hAnsi="Calibri" w:cs="Times New Roman"/>
      <w:lang w:val="es-MX"/>
    </w:rPr>
  </w:style>
  <w:style w:type="character" w:customStyle="1" w:styleId="A9">
    <w:name w:val="A9"/>
    <w:rsid w:val="00280D4D"/>
    <w:rPr>
      <w:color w:val="000000"/>
      <w:sz w:val="19"/>
      <w:szCs w:val="19"/>
    </w:rPr>
  </w:style>
  <w:style w:type="table" w:customStyle="1" w:styleId="Tablaconcuadrcula10">
    <w:name w:val="Tabla con cuadrícula10"/>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280D4D"/>
    <w:rPr>
      <w:rFonts w:eastAsia="Calibri"/>
      <w:color w:val="auto"/>
      <w:lang w:val="es-CO" w:eastAsia="en-US"/>
    </w:rPr>
  </w:style>
  <w:style w:type="character" w:customStyle="1" w:styleId="CommentTextChar1">
    <w:name w:val="Comment Text Char1"/>
    <w:basedOn w:val="Fuentedeprrafopredeter"/>
    <w:uiPriority w:val="99"/>
    <w:semiHidden/>
    <w:rsid w:val="00280D4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280D4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280D4D"/>
  </w:style>
  <w:style w:type="paragraph" w:customStyle="1" w:styleId="CM40">
    <w:name w:val="CM40"/>
    <w:basedOn w:val="Normal"/>
    <w:next w:val="Normal"/>
    <w:uiPriority w:val="99"/>
    <w:rsid w:val="00280D4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280D4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280D4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280D4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280D4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280D4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280D4D"/>
    <w:pPr>
      <w:spacing w:before="100" w:beforeAutospacing="1" w:after="100" w:afterAutospacing="1"/>
    </w:pPr>
  </w:style>
  <w:style w:type="paragraph" w:customStyle="1" w:styleId="ColorfulList-Accent11">
    <w:name w:val="Colorful List - Accent 11"/>
    <w:basedOn w:val="Normal"/>
    <w:uiPriority w:val="34"/>
    <w:qFormat/>
    <w:rsid w:val="00280D4D"/>
    <w:pPr>
      <w:ind w:left="708"/>
    </w:pPr>
    <w:rPr>
      <w:rFonts w:eastAsia="MS Mincho"/>
    </w:rPr>
  </w:style>
  <w:style w:type="paragraph" w:customStyle="1" w:styleId="Sinespaciado1">
    <w:name w:val="Sin espaciado1"/>
    <w:rsid w:val="00280D4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80D4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280D4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280D4D"/>
  </w:style>
  <w:style w:type="paragraph" w:customStyle="1" w:styleId="m-4020245740026096399gmail-default">
    <w:name w:val="m_-4020245740026096399gmail-default"/>
    <w:basedOn w:val="Normal"/>
    <w:rsid w:val="00280D4D"/>
    <w:pPr>
      <w:spacing w:before="100" w:beforeAutospacing="1" w:after="100" w:afterAutospacing="1"/>
    </w:pPr>
  </w:style>
  <w:style w:type="table" w:customStyle="1" w:styleId="Tablaconcuadrcula15">
    <w:name w:val="Tabla con cuadrícula15"/>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80D4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280D4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280D4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280D4D"/>
  </w:style>
  <w:style w:type="character" w:customStyle="1" w:styleId="textonavy1">
    <w:name w:val="texto_navy1"/>
    <w:basedOn w:val="Fuentedeprrafopredeter"/>
    <w:rsid w:val="00280D4D"/>
    <w:rPr>
      <w:color w:val="000080"/>
    </w:rPr>
  </w:style>
  <w:style w:type="character" w:customStyle="1" w:styleId="EncabezadodemensajeCar">
    <w:name w:val="Encabezado de mensaje Car"/>
    <w:basedOn w:val="Fuentedeprrafopredeter"/>
    <w:link w:val="Encabezadodemensaje"/>
    <w:uiPriority w:val="99"/>
    <w:rsid w:val="00280D4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280D4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280D4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280D4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280D4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80D4D"/>
    <w:rPr>
      <w:rFonts w:eastAsia="Calibri"/>
      <w:color w:val="auto"/>
    </w:rPr>
  </w:style>
  <w:style w:type="character" w:styleId="Refdenotaalpie">
    <w:name w:val="footnote reference"/>
    <w:uiPriority w:val="99"/>
    <w:unhideWhenUsed/>
    <w:rsid w:val="00280D4D"/>
    <w:rPr>
      <w:vertAlign w:val="superscript"/>
    </w:rPr>
  </w:style>
  <w:style w:type="character" w:customStyle="1" w:styleId="FontStyle114">
    <w:name w:val="Font Style114"/>
    <w:uiPriority w:val="99"/>
    <w:rsid w:val="00280D4D"/>
    <w:rPr>
      <w:rFonts w:ascii="Arial" w:hAnsi="Arial" w:cs="Arial"/>
      <w:color w:val="000000"/>
      <w:sz w:val="22"/>
      <w:szCs w:val="22"/>
    </w:rPr>
  </w:style>
  <w:style w:type="character" w:customStyle="1" w:styleId="Bodytext">
    <w:name w:val="Body text_"/>
    <w:link w:val="Textoindependiente5"/>
    <w:rsid w:val="00280D4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80D4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280D4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80D4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80D4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80D4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280D4D"/>
    <w:rPr>
      <w:color w:val="605E5C"/>
      <w:shd w:val="clear" w:color="auto" w:fill="E1DFDD"/>
    </w:rPr>
  </w:style>
  <w:style w:type="table" w:customStyle="1" w:styleId="TableGrid">
    <w:name w:val="TableGrid"/>
    <w:rsid w:val="00280D4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280D4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280D4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280D4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280D4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280D4D"/>
    <w:pPr>
      <w:numPr>
        <w:numId w:val="17"/>
      </w:numPr>
    </w:pPr>
  </w:style>
  <w:style w:type="numbering" w:customStyle="1" w:styleId="Listaactual2">
    <w:name w:val="Lista actual2"/>
    <w:uiPriority w:val="99"/>
    <w:rsid w:val="00280D4D"/>
    <w:pPr>
      <w:numPr>
        <w:numId w:val="18"/>
      </w:numPr>
    </w:pPr>
  </w:style>
  <w:style w:type="paragraph" w:customStyle="1" w:styleId="SeccionesTtulo3">
    <w:name w:val="Secciones  (Título 3)"/>
    <w:basedOn w:val="Normal"/>
    <w:rsid w:val="00280D4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280D4D"/>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280D4D"/>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280D4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80D4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280D4D"/>
    <w:rPr>
      <w:color w:val="605E5C"/>
      <w:shd w:val="clear" w:color="auto" w:fill="E1DFDD"/>
    </w:rPr>
  </w:style>
  <w:style w:type="paragraph" w:customStyle="1" w:styleId="InviasNormal">
    <w:name w:val="Invias Normal"/>
    <w:basedOn w:val="Normal"/>
    <w:link w:val="InviasNormalCar"/>
    <w:qFormat/>
    <w:rsid w:val="00280D4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280D4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280D4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280D4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280D4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280D4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280D4D"/>
    <w:pPr>
      <w:numPr>
        <w:numId w:val="23"/>
      </w:numPr>
    </w:pPr>
  </w:style>
  <w:style w:type="numbering" w:customStyle="1" w:styleId="Listaactual4">
    <w:name w:val="Lista actual4"/>
    <w:uiPriority w:val="99"/>
    <w:rsid w:val="00280D4D"/>
    <w:pPr>
      <w:numPr>
        <w:numId w:val="24"/>
      </w:numPr>
    </w:pPr>
  </w:style>
  <w:style w:type="numbering" w:customStyle="1" w:styleId="Listaactual5">
    <w:name w:val="Lista actual5"/>
    <w:uiPriority w:val="99"/>
    <w:rsid w:val="00280D4D"/>
    <w:pPr>
      <w:numPr>
        <w:numId w:val="25"/>
      </w:numPr>
    </w:pPr>
  </w:style>
  <w:style w:type="paragraph" w:styleId="Revisin">
    <w:name w:val="Revision"/>
    <w:hidden/>
    <w:uiPriority w:val="99"/>
    <w:semiHidden/>
    <w:rsid w:val="00280D4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80D4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280D4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280D4D"/>
    <w:pPr>
      <w:spacing w:after="100"/>
    </w:pPr>
  </w:style>
  <w:style w:type="paragraph" w:styleId="TDC2">
    <w:name w:val="toc 2"/>
    <w:basedOn w:val="Normal"/>
    <w:next w:val="Normal"/>
    <w:autoRedefine/>
    <w:uiPriority w:val="39"/>
    <w:unhideWhenUsed/>
    <w:rsid w:val="00280D4D"/>
    <w:pPr>
      <w:spacing w:after="100"/>
      <w:ind w:left="240"/>
    </w:pPr>
  </w:style>
  <w:style w:type="paragraph" w:styleId="TDC3">
    <w:name w:val="toc 3"/>
    <w:basedOn w:val="Normal"/>
    <w:next w:val="Normal"/>
    <w:autoRedefine/>
    <w:uiPriority w:val="39"/>
    <w:unhideWhenUsed/>
    <w:rsid w:val="00280D4D"/>
    <w:pPr>
      <w:spacing w:after="100"/>
      <w:ind w:left="480"/>
    </w:pPr>
  </w:style>
  <w:style w:type="paragraph" w:styleId="TDC4">
    <w:name w:val="toc 4"/>
    <w:basedOn w:val="Normal"/>
    <w:next w:val="Normal"/>
    <w:autoRedefine/>
    <w:uiPriority w:val="39"/>
    <w:unhideWhenUsed/>
    <w:rsid w:val="00280D4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280D4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280D4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280D4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280D4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280D4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1266</Words>
  <Characters>6965</Characters>
  <Application>Microsoft Office Word</Application>
  <DocSecurity>0</DocSecurity>
  <Lines>58</Lines>
  <Paragraphs>16</Paragraphs>
  <ScaleCrop>false</ScaleCrop>
  <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2025-08-22T18:02:00Z</dcterms:created>
  <dcterms:modified xsi:type="dcterms:W3CDTF">2025-08-22T18:02:00Z</dcterms:modified>
</cp:coreProperties>
</file>