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D478C2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</w:pPr>
    </w:p>
    <w:p w14:paraId="6AA8725C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 xml:space="preserve">INVITACION PUBLICA No </w:t>
      </w:r>
      <w:r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IP-DT-GUA-00</w:t>
      </w:r>
      <w:r>
        <w:rPr>
          <w:rFonts w:hint="default" w:eastAsia="Arial Narrow" w:cs="Arial"/>
          <w:b/>
          <w:bCs/>
          <w:color w:val="000000" w:themeColor="text1"/>
          <w:szCs w:val="20"/>
          <w:highlight w:val="lightGray"/>
          <w:lang w:val="en-US" w:eastAsia="es-ES"/>
          <w14:textFill>
            <w14:solidFill>
              <w14:schemeClr w14:val="tx1"/>
            </w14:solidFill>
          </w14:textFill>
        </w:rPr>
        <w:t>3</w:t>
      </w:r>
      <w:bookmarkStart w:id="0" w:name="_GoBack"/>
      <w:bookmarkEnd w:id="0"/>
      <w:r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-2025</w:t>
      </w:r>
      <w:r>
        <w:rPr>
          <w:rFonts w:cs="Arial"/>
          <w:b/>
          <w:color w:val="auto"/>
          <w:szCs w:val="20"/>
          <w:highlight w:val="lightGray"/>
        </w:rPr>
        <w:t xml:space="preserve"> </w:t>
      </w:r>
    </w:p>
    <w:p w14:paraId="5B382D67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cs="Arial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cs="Arial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ANEXO 4</w:t>
      </w:r>
    </w:p>
    <w:p w14:paraId="1532BD8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cs="Arial"/>
          <w:b/>
          <w:color w:val="000000" w:themeColor="text1"/>
          <w:szCs w:val="20"/>
          <w14:textFill>
            <w14:solidFill>
              <w14:schemeClr w14:val="tx1"/>
            </w14:solidFill>
          </w14:textFill>
        </w:rPr>
      </w:pPr>
      <w:r>
        <w:rPr>
          <w:rFonts w:cs="Arial"/>
          <w:b/>
          <w:color w:val="000000" w:themeColor="text1"/>
          <w:szCs w:val="20"/>
          <w14:textFill>
            <w14:solidFill>
              <w14:schemeClr w14:val="tx1"/>
            </w14:solidFill>
          </w14:textFill>
        </w:rPr>
        <w:t>AVISO LIMITACIÓN DEL PROCESO DE CONTRATACIÓN A MIPYME</w:t>
      </w:r>
    </w:p>
    <w:p w14:paraId="3FD53E5C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yellow"/>
          <w:lang w:eastAsia="es-ES"/>
          <w14:textFill>
            <w14:solidFill>
              <w14:schemeClr w14:val="tx1"/>
            </w14:solidFill>
          </w14:textFill>
        </w:rPr>
      </w:pPr>
    </w:p>
    <w:p w14:paraId="78D05B6D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 xml:space="preserve">[La Entidad, en atención a las solicitudes realizadas por los interesados para limitar la convocatoria a Mipyme, incluirá alguna de las dos (2) opciones:] </w:t>
      </w:r>
    </w:p>
    <w:p w14:paraId="08071CFD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 xml:space="preserve">[Si procede la limitación de las convocatorias del Proceso de Contratación a Mipyme] </w:t>
      </w:r>
      <w:r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  <w:t>La Entidad limita la convocatoria de este Proceso de Contratación a las Mipyme colombianas por haberse verificado las condiciones establecidas en los artículos 2.2.1.2.4.2.2. y 2.2.1.2.4.2.4 del Decreto 1082 de 2015 o la norma que lo modifique, complemente o sustituya.</w:t>
      </w:r>
    </w:p>
    <w:p w14:paraId="6C506240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  <w:t xml:space="preserve">En tal sentido, la Entidad verificó que las siguientes Mipyme </w:t>
      </w: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[Indicar el nombre de las dos (2) o más Mipyme que solicitaron limitar el proceso de contratación a Mipyme</w:t>
      </w:r>
      <w:r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  <w:t xml:space="preserve">] cumplieron los requisitos definidos en el artículo 2.2.1.2.4.2.4 del Decreto 1082 de 2015. </w:t>
      </w: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[En todo caso, la Entidad en esta sección determinará si la limitación es territorial, en los términos del artículo 2.2.1.2.4.2.3. del Decreto 1082 de 2015 y las reglas contenidas en la invitación]</w:t>
      </w:r>
    </w:p>
    <w:p w14:paraId="62D6229D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[Si no procede la limitación de las convocatorias del Proceso de Contratación a Mipyme, la Entidad incluirá lo siguiente]</w:t>
      </w:r>
      <w:r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  <w:t xml:space="preserve"> La Entidad no limita el Proceso de Contratación a las Mipyme colombianas, por no haberse cumplido las condiciones establecidas en los artículos 2.2.1.2.4.2.2. y 2.2.1.2.4.2.4 del Decreto 1082 de 2015 o la norma que lo modifique, complemente o sustituya. En consecuencia, podrá participar cualquier interesado.</w:t>
      </w:r>
    </w:p>
    <w:p w14:paraId="7D8A3325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lang w:eastAsia="es-ES"/>
          <w14:textFill>
            <w14:solidFill>
              <w14:schemeClr w14:val="tx1"/>
            </w14:solidFill>
          </w14:textFill>
        </w:rPr>
      </w:pP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 xml:space="preserve">[Para los procesos adelantados en el </w:t>
      </w:r>
      <w:r>
        <w:rPr>
          <w:rFonts w:eastAsia="Arial Narrow" w:cs="Arial"/>
          <w:b/>
          <w:bCs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SECOP II</w:t>
      </w:r>
      <w:r>
        <w:rPr>
          <w:rFonts w:eastAsia="Arial Narrow" w:cs="Arial"/>
          <w:color w:val="000000" w:themeColor="text1"/>
          <w:szCs w:val="20"/>
          <w:highlight w:val="lightGray"/>
          <w:lang w:eastAsia="es-ES"/>
          <w14:textFill>
            <w14:solidFill>
              <w14:schemeClr w14:val="tx1"/>
            </w14:solidFill>
          </w14:textFill>
        </w:rPr>
        <w:t>, la Entidad, en atención a las solicitudes realizadas por los interesados para limitar la convocatoria a Mipyme, incluirá la limitación del Proceso de Contratación a Mipyme en el espacio dispuesto por la plataforma del SECOP II.]</w:t>
      </w:r>
    </w:p>
    <w:p w14:paraId="5C1A07E2"/>
    <w:sectPr>
      <w:headerReference r:id="rId5" w:type="default"/>
      <w:footerReference r:id="rId6" w:type="default"/>
      <w:pgSz w:w="11906" w:h="16838"/>
      <w:pgMar w:top="1440" w:right="1440" w:bottom="144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9"/>
      <w:tblW w:w="0" w:type="auto"/>
      <w:tblInd w:w="0" w:type="dxa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965"/>
      <w:gridCol w:w="1845"/>
      <w:gridCol w:w="857"/>
      <w:gridCol w:w="622"/>
    </w:tblGrid>
    <w:tr w14:paraId="2D6513C4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32" w:hRule="atLeast"/>
      </w:trPr>
      <w:tc>
        <w:tcPr>
          <w:tcW w:w="965" w:type="dxa"/>
        </w:tcPr>
        <w:p w14:paraId="4FFFBCA9">
          <w:pPr>
            <w:pStyle w:val="7"/>
            <w:rPr>
              <w:b/>
              <w:bCs/>
              <w:sz w:val="16"/>
              <w:szCs w:val="18"/>
            </w:rPr>
          </w:pPr>
          <w:r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0F58EAA">
          <w:pPr>
            <w:pStyle w:val="7"/>
            <w:rPr>
              <w:sz w:val="16"/>
              <w:szCs w:val="18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857" w:type="dxa"/>
        </w:tcPr>
        <w:p w14:paraId="076EDF7C">
          <w:pPr>
            <w:pStyle w:val="7"/>
            <w:rPr>
              <w:b/>
              <w:bCs/>
              <w:sz w:val="16"/>
              <w:szCs w:val="18"/>
            </w:rPr>
          </w:pPr>
          <w:r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38055B7">
          <w:pPr>
            <w:pStyle w:val="7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5EE9799D"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12"/>
      <w:tblW w:w="5318" w:type="pct"/>
      <w:jc w:val="center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1178"/>
      <w:gridCol w:w="2538"/>
      <w:gridCol w:w="6114"/>
    </w:tblGrid>
    <w:tr w14:paraId="44F37264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93" w:hRule="atLeast"/>
        <w:jc w:val="center"/>
      </w:trPr>
      <w:tc>
        <w:tcPr>
          <w:tcW w:w="599" w:type="pct"/>
          <w:shd w:val="clear" w:color="auto" w:fill="auto"/>
          <w:vAlign w:val="center"/>
        </w:tcPr>
        <w:p w14:paraId="732AB730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48C28F5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CCE-EICP-IDI-45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6B01F3D0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bCs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14:paraId="5E364846">
      <w:tblPrEx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60" w:hRule="atLeast"/>
        <w:jc w:val="center"/>
      </w:trPr>
      <w:tc>
        <w:tcPr>
          <w:tcW w:w="599" w:type="pct"/>
          <w:shd w:val="clear" w:color="auto" w:fill="auto"/>
          <w:vAlign w:val="center"/>
        </w:tcPr>
        <w:p w14:paraId="4A783BAC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01960B0E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110" w:type="pct"/>
          <w:vMerge w:val="continue"/>
          <w:vAlign w:val="center"/>
        </w:tcPr>
        <w:p w14:paraId="7432DC31">
          <w:pPr>
            <w:spacing w:after="4" w:line="249" w:lineRule="auto"/>
            <w:ind w:left="10" w:hanging="10"/>
            <w:rPr>
              <w:rFonts w:eastAsia="Arial" w:cs="Arial"/>
              <w:sz w:val="18"/>
              <w:szCs w:val="18"/>
              <w:lang w:eastAsia="es-CO"/>
            </w:rPr>
          </w:pPr>
        </w:p>
      </w:tc>
    </w:tr>
  </w:tbl>
  <w:p w14:paraId="39D5BC1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5BBB809"/>
    <w:rsid w:val="000326E1"/>
    <w:rsid w:val="00046051"/>
    <w:rsid w:val="00055698"/>
    <w:rsid w:val="000B1A5D"/>
    <w:rsid w:val="00104373"/>
    <w:rsid w:val="0010503A"/>
    <w:rsid w:val="00342EEB"/>
    <w:rsid w:val="00371FB2"/>
    <w:rsid w:val="00412204"/>
    <w:rsid w:val="00423507"/>
    <w:rsid w:val="004457E1"/>
    <w:rsid w:val="004851DF"/>
    <w:rsid w:val="004A6C97"/>
    <w:rsid w:val="004A726F"/>
    <w:rsid w:val="004B555D"/>
    <w:rsid w:val="005233D8"/>
    <w:rsid w:val="005705D2"/>
    <w:rsid w:val="005C1BC1"/>
    <w:rsid w:val="005D6967"/>
    <w:rsid w:val="00633534"/>
    <w:rsid w:val="00690163"/>
    <w:rsid w:val="0069374B"/>
    <w:rsid w:val="00785849"/>
    <w:rsid w:val="00814E07"/>
    <w:rsid w:val="00833F5D"/>
    <w:rsid w:val="008505F9"/>
    <w:rsid w:val="00851C95"/>
    <w:rsid w:val="00986396"/>
    <w:rsid w:val="00A05934"/>
    <w:rsid w:val="00A96ADF"/>
    <w:rsid w:val="00AD39DD"/>
    <w:rsid w:val="00B16E82"/>
    <w:rsid w:val="00B92C9A"/>
    <w:rsid w:val="00C22712"/>
    <w:rsid w:val="00C50568"/>
    <w:rsid w:val="00C65AD0"/>
    <w:rsid w:val="00CA7620"/>
    <w:rsid w:val="00CD77DC"/>
    <w:rsid w:val="00E228AA"/>
    <w:rsid w:val="00E679A5"/>
    <w:rsid w:val="00EA5958"/>
    <w:rsid w:val="00ED60D6"/>
    <w:rsid w:val="00FD5FDD"/>
    <w:rsid w:val="14035832"/>
    <w:rsid w:val="2E2F68CA"/>
    <w:rsid w:val="45BBB809"/>
    <w:rsid w:val="48850BAF"/>
    <w:rsid w:val="7F345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Arial" w:hAnsi="Arial" w:eastAsiaTheme="minorHAnsi" w:cstheme="minorBidi"/>
      <w:color w:val="3B3838" w:themeColor="background2" w:themeShade="40"/>
      <w:sz w:val="20"/>
      <w:szCs w:val="22"/>
      <w:lang w:val="es-CO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annotation reference"/>
    <w:basedOn w:val="2"/>
    <w:semiHidden/>
    <w:unhideWhenUsed/>
    <w:qFormat/>
    <w:uiPriority w:val="99"/>
    <w:rPr>
      <w:sz w:val="16"/>
      <w:szCs w:val="16"/>
    </w:rPr>
  </w:style>
  <w:style w:type="paragraph" w:styleId="5">
    <w:name w:val="annotation text"/>
    <w:basedOn w:val="1"/>
    <w:link w:val="15"/>
    <w:unhideWhenUsed/>
    <w:qFormat/>
    <w:uiPriority w:val="99"/>
    <w:pPr>
      <w:spacing w:line="240" w:lineRule="auto"/>
    </w:pPr>
    <w:rPr>
      <w:szCs w:val="20"/>
    </w:rPr>
  </w:style>
  <w:style w:type="paragraph" w:styleId="6">
    <w:name w:val="annotation subject"/>
    <w:basedOn w:val="5"/>
    <w:next w:val="5"/>
    <w:link w:val="16"/>
    <w:semiHidden/>
    <w:unhideWhenUsed/>
    <w:qFormat/>
    <w:uiPriority w:val="99"/>
    <w:rPr>
      <w:b/>
      <w:bCs/>
    </w:r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419"/>
        <w:tab w:val="right" w:pos="8838"/>
      </w:tabs>
      <w:spacing w:after="0" w:line="240" w:lineRule="auto"/>
    </w:pPr>
  </w:style>
  <w:style w:type="paragraph" w:styleId="8">
    <w:name w:val="header"/>
    <w:basedOn w:val="1"/>
    <w:link w:val="10"/>
    <w:unhideWhenUsed/>
    <w:qFormat/>
    <w:uiPriority w:val="99"/>
    <w:pPr>
      <w:tabs>
        <w:tab w:val="center" w:pos="4419"/>
        <w:tab w:val="right" w:pos="8838"/>
      </w:tabs>
      <w:spacing w:after="0" w:line="240" w:lineRule="auto"/>
    </w:pPr>
  </w:style>
  <w:style w:type="table" w:styleId="9">
    <w:name w:val="Table Grid"/>
    <w:basedOn w:val="3"/>
    <w:qFormat/>
    <w:uiPriority w:val="59"/>
    <w:pPr>
      <w:spacing w:after="0" w:line="240" w:lineRule="auto"/>
    </w:pPr>
    <w:rPr>
      <w:lang w:val="es-CO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Encabezado Car"/>
    <w:basedOn w:val="2"/>
    <w:link w:val="8"/>
    <w:qFormat/>
    <w:uiPriority w:val="99"/>
    <w:rPr>
      <w:rFonts w:ascii="Arial" w:hAnsi="Arial"/>
      <w:color w:val="3B3838" w:themeColor="background2" w:themeShade="40"/>
      <w:sz w:val="20"/>
      <w:lang w:val="es-CO"/>
    </w:rPr>
  </w:style>
  <w:style w:type="character" w:customStyle="1" w:styleId="11">
    <w:name w:val="Pie de página Car"/>
    <w:basedOn w:val="2"/>
    <w:link w:val="7"/>
    <w:qFormat/>
    <w:uiPriority w:val="99"/>
    <w:rPr>
      <w:rFonts w:ascii="Arial" w:hAnsi="Arial"/>
      <w:color w:val="3B3838" w:themeColor="background2" w:themeShade="40"/>
      <w:sz w:val="20"/>
      <w:lang w:val="es-CO"/>
    </w:rPr>
  </w:style>
  <w:style w:type="table" w:customStyle="1" w:styleId="12">
    <w:name w:val="Cuadrícula de tabla clara1"/>
    <w:basedOn w:val="3"/>
    <w:qFormat/>
    <w:uiPriority w:val="99"/>
    <w:pPr>
      <w:spacing w:after="0" w:line="240" w:lineRule="auto"/>
    </w:pPr>
    <w:rPr>
      <w:rFonts w:ascii="Calibri" w:hAnsi="Calibri" w:eastAsia="Calibri" w:cs="Times New Roman"/>
      <w:lang w:val="es-CO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customStyle="1" w:styleId="13">
    <w:name w:val="Grid Table Light"/>
    <w:basedOn w:val="3"/>
    <w:qFormat/>
    <w:uiPriority w:val="40"/>
    <w:pPr>
      <w:spacing w:after="0" w:line="240" w:lineRule="auto"/>
    </w:pPr>
    <w:tblPr>
      <w:tblBorders>
        <w:top w:val="single" w:color="BEBEBE" w:themeColor="background1" w:themeShade="BF" w:sz="4" w:space="0"/>
        <w:left w:val="single" w:color="BEBEBE" w:themeColor="background1" w:themeShade="BF" w:sz="4" w:space="0"/>
        <w:bottom w:val="single" w:color="BEBEBE" w:themeColor="background1" w:themeShade="BF" w:sz="4" w:space="0"/>
        <w:right w:val="single" w:color="BEBEBE" w:themeColor="background1" w:themeShade="BF" w:sz="4" w:space="0"/>
        <w:insideH w:val="single" w:color="BEBEBE" w:themeColor="background1" w:themeShade="BF" w:sz="4" w:space="0"/>
        <w:insideV w:val="single" w:color="BEBEBE" w:themeColor="background1" w:themeShade="BF" w:sz="4" w:space="0"/>
      </w:tblBorders>
    </w:tblPr>
  </w:style>
  <w:style w:type="paragraph" w:customStyle="1" w:styleId="14">
    <w:name w:val="Revision"/>
    <w:hidden/>
    <w:semiHidden/>
    <w:qFormat/>
    <w:uiPriority w:val="99"/>
    <w:pPr>
      <w:spacing w:after="0" w:line="240" w:lineRule="auto"/>
    </w:pPr>
    <w:rPr>
      <w:rFonts w:ascii="Arial" w:hAnsi="Arial" w:eastAsiaTheme="minorHAnsi" w:cstheme="minorBidi"/>
      <w:color w:val="3B3838" w:themeColor="background2" w:themeShade="40"/>
      <w:sz w:val="20"/>
      <w:szCs w:val="22"/>
      <w:lang w:val="es-CO" w:eastAsia="en-US" w:bidi="ar-SA"/>
    </w:rPr>
  </w:style>
  <w:style w:type="character" w:customStyle="1" w:styleId="15">
    <w:name w:val="Texto comentario Car"/>
    <w:basedOn w:val="2"/>
    <w:link w:val="5"/>
    <w:qFormat/>
    <w:uiPriority w:val="99"/>
    <w:rPr>
      <w:rFonts w:ascii="Arial" w:hAnsi="Arial"/>
      <w:color w:val="3B3838" w:themeColor="background2" w:themeShade="40"/>
      <w:sz w:val="20"/>
      <w:szCs w:val="20"/>
      <w:lang w:val="es-CO"/>
    </w:rPr>
  </w:style>
  <w:style w:type="character" w:customStyle="1" w:styleId="16">
    <w:name w:val="Asunto del comentario Car"/>
    <w:basedOn w:val="15"/>
    <w:link w:val="6"/>
    <w:semiHidden/>
    <w:qFormat/>
    <w:uiPriority w:val="99"/>
    <w:rPr>
      <w:rFonts w:ascii="Arial" w:hAnsi="Arial"/>
      <w:b/>
      <w:bCs/>
      <w:color w:val="3B3838" w:themeColor="background2" w:themeShade="40"/>
      <w:sz w:val="20"/>
      <w:szCs w:val="20"/>
      <w:lang w:val="es-CO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855EB5A-AB23-4820-A564-2374163D0F9F}">
  <ds:schemaRefs/>
</ds:datastoreItem>
</file>

<file path=customXml/itemProps2.xml><?xml version="1.0" encoding="utf-8"?>
<ds:datastoreItem xmlns:ds="http://schemas.openxmlformats.org/officeDocument/2006/customXml" ds:itemID="{1EFD1060-AF85-4229-A85E-72C3FE1ED3AB}">
  <ds:schemaRefs/>
</ds:datastoreItem>
</file>

<file path=customXml/itemProps3.xml><?xml version="1.0" encoding="utf-8"?>
<ds:datastoreItem xmlns:ds="http://schemas.openxmlformats.org/officeDocument/2006/customXml" ds:itemID="{0AECB60C-6335-41A5-AE7C-69F058FC221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274</Words>
  <Characters>1511</Characters>
  <Lines>12</Lines>
  <Paragraphs>3</Paragraphs>
  <TotalTime>0</TotalTime>
  <ScaleCrop>false</ScaleCrop>
  <LinksUpToDate>false</LinksUpToDate>
  <CharactersWithSpaces>1782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2025-08-20T21:53:00Z</dcterms:created>
  <dc:creator>Sara Milena Nuñez Aldana</dc:creator>
  <cp:lastModifiedBy>Geinis Sarays Navarro Lindo</cp:lastModifiedBy>
  <dcterms:modified xsi:type="dcterms:W3CDTF">2025-09-12T15:10:55Z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  <property fmtid="{D5CDD505-2E9C-101B-9397-08002B2CF9AE}" pid="4" name="KSOProductBuildVer">
    <vt:lpwstr>1033-12.2.0.22549</vt:lpwstr>
  </property>
  <property fmtid="{D5CDD505-2E9C-101B-9397-08002B2CF9AE}" pid="5" name="ICV">
    <vt:lpwstr>13365CC24E504B07B2EB2F39BD70604A_12</vt:lpwstr>
  </property>
</Properties>
</file>