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OFERTA.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4- FICHA</w:t>
      </w:r>
      <w:r w:rsidDel="00000000" w:rsidR="00000000" w:rsidRPr="00000000">
        <w:rPr>
          <w:rFonts w:ascii="Arial" w:cs="Arial" w:eastAsia="Arial" w:hAnsi="Arial"/>
          <w:sz w:val="26"/>
          <w:szCs w:val="26"/>
          <w:highlight w:val="white"/>
          <w:rtl w:val="0"/>
        </w:rPr>
        <w:t xml:space="preserve">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color w:val="00000a"/>
          <w:sz w:val="26"/>
          <w:szCs w:val="26"/>
        </w:rPr>
      </w:pPr>
      <w:r w:rsidDel="00000000" w:rsidR="00000000" w:rsidRPr="00000000">
        <w:rPr>
          <w:rFonts w:ascii="Arial" w:cs="Arial" w:eastAsia="Arial" w:hAnsi="Arial"/>
          <w:b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bookmarkStart w:colFirst="0" w:colLast="0" w:name="_heading=h.g56tngyq8mwm" w:id="0"/>
      <w:bookmarkEnd w:id="0"/>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CARTA DE PRESENTACIÓN DE LA PROPUESTA Y 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bookmarkStart w:colFirst="0" w:colLast="0" w:name="_heading=h.fhor0n3tstix" w:id="1"/>
      <w:bookmarkEnd w:id="1"/>
      <w:r w:rsidDel="00000000" w:rsidR="00000000" w:rsidRPr="00000000">
        <w:rPr>
          <w:rFonts w:ascii="Arial" w:cs="Arial" w:eastAsia="Arial" w:hAnsi="Arial"/>
          <w:b w:val="1"/>
          <w:color w:val="000000"/>
          <w:rtl w:val="0"/>
        </w:rPr>
        <w:t xml:space="preserve">MÍNIMA CUANTÍA N° </w:t>
      </w:r>
      <w:r w:rsidDel="00000000" w:rsidR="00000000" w:rsidRPr="00000000">
        <w:rPr>
          <w:rFonts w:ascii="Arial" w:cs="Arial" w:eastAsia="Arial" w:hAnsi="Arial"/>
          <w:b w:val="1"/>
          <w:color w:val="000000"/>
          <w:sz w:val="26"/>
          <w:szCs w:val="26"/>
          <w:highlight w:val="white"/>
          <w:rtl w:val="0"/>
        </w:rPr>
        <w:t xml:space="preserve">4163.001.3</w:t>
      </w:r>
      <w:r w:rsidDel="00000000" w:rsidR="00000000" w:rsidRPr="00000000">
        <w:rPr>
          <w:rFonts w:ascii="Arial" w:cs="Arial" w:eastAsia="Arial" w:hAnsi="Arial"/>
          <w:b w:val="1"/>
          <w:color w:val="000000"/>
          <w:sz w:val="26"/>
          <w:szCs w:val="26"/>
          <w:rtl w:val="0"/>
        </w:rPr>
        <w:t xml:space="preserve">2.1.</w:t>
      </w:r>
      <w:r w:rsidDel="00000000" w:rsidR="00000000" w:rsidRPr="00000000">
        <w:rPr>
          <w:rFonts w:ascii="Arial" w:cs="Arial" w:eastAsia="Arial" w:hAnsi="Arial"/>
          <w:b w:val="1"/>
          <w:sz w:val="26"/>
          <w:szCs w:val="26"/>
          <w:rtl w:val="0"/>
        </w:rPr>
        <w:t xml:space="preserve">601</w:t>
      </w:r>
      <w:r w:rsidDel="00000000" w:rsidR="00000000" w:rsidRPr="00000000">
        <w:rPr>
          <w:rFonts w:ascii="Arial" w:cs="Arial" w:eastAsia="Arial" w:hAnsi="Arial"/>
          <w:b w:val="1"/>
          <w:color w:val="000000"/>
          <w:sz w:val="26"/>
          <w:szCs w:val="26"/>
          <w:rtl w:val="0"/>
        </w:rPr>
        <w:t xml:space="preserve">-2025</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CAM - Torre Alcaldía piso 4</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058"/>
        </w:tabs>
        <w:jc w:val="both"/>
        <w:rPr>
          <w:rFonts w:ascii="Arial" w:cs="Arial" w:eastAsia="Arial" w:hAnsi="Arial"/>
          <w:color w:val="000000"/>
        </w:rPr>
      </w:pPr>
      <w:bookmarkStart w:colFirst="0" w:colLast="0" w:name="_heading=h.gjdgxs" w:id="2"/>
      <w:bookmarkEnd w:id="2"/>
      <w:r w:rsidDel="00000000" w:rsidR="00000000" w:rsidRPr="00000000">
        <w:rPr>
          <w:rFonts w:ascii="Arial" w:cs="Arial" w:eastAsia="Arial" w:hAnsi="Arial"/>
          <w:rtl w:val="0"/>
        </w:rPr>
        <w:t xml:space="preserve">Adquirir e instalar sensor de nivel de río tipo radar para integrarlo al Sistema de Alertas Tempranas Inteligentes y Comunitarias, ampliando la preparación para la respuesta a emergencias en Santiago de Cali, </w:t>
      </w:r>
      <w:r w:rsidDel="00000000" w:rsidR="00000000" w:rsidRPr="00000000">
        <w:rPr>
          <w:rFonts w:ascii="Arial" w:cs="Arial" w:eastAsia="Arial" w:hAnsi="Arial"/>
          <w:color w:val="000000"/>
          <w:rtl w:val="0"/>
        </w:rPr>
        <w:t xml:space="preserve">según ficha EBI - BP260054</w:t>
      </w:r>
      <w:r w:rsidDel="00000000" w:rsidR="00000000" w:rsidRPr="00000000">
        <w:rPr>
          <w:rFonts w:ascii="Arial" w:cs="Arial" w:eastAsia="Arial" w:hAnsi="Arial"/>
          <w:rtl w:val="0"/>
        </w:rPr>
        <w:t xml:space="preserve">82</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2C">
      <w:pP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b w:val="1"/>
          <w:i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i w:val="1"/>
          <w:color w:val="000000"/>
          <w:rtl w:val="0"/>
        </w:rPr>
        <w:t xml:space="preserve"> </w:t>
      </w:r>
      <w:r w:rsidDel="00000000" w:rsidR="00000000" w:rsidRPr="00000000">
        <w:rPr>
          <w:rFonts w:ascii="Arial" w:cs="Arial" w:eastAsia="Arial" w:hAnsi="Arial"/>
          <w:b w:val="1"/>
          <w:i w:val="1"/>
          <w:rtl w:val="0"/>
        </w:rPr>
        <w:t xml:space="preserve">9</w:t>
      </w:r>
      <w:r w:rsidDel="00000000" w:rsidR="00000000" w:rsidRPr="00000000">
        <w:rPr>
          <w:rFonts w:ascii="Arial" w:cs="Arial" w:eastAsia="Arial" w:hAnsi="Arial"/>
          <w:b w:val="1"/>
          <w:i w:val="1"/>
          <w:color w:val="000000"/>
          <w:rtl w:val="0"/>
        </w:rPr>
        <w:t xml:space="preserve">0 días.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N.I.T.______________________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C.C. No: 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w:t>
      </w:r>
      <w:r w:rsidDel="00000000" w:rsidR="00000000" w:rsidRPr="00000000">
        <w:rPr>
          <w:rFonts w:ascii="Arial" w:cs="Arial" w:eastAsia="Arial" w:hAnsi="Arial"/>
          <w:b w:val="1"/>
          <w:sz w:val="22"/>
          <w:szCs w:val="22"/>
          <w:rtl w:val="0"/>
        </w:rPr>
        <w:t xml:space="preserve">ANTICORRUPCIÓN</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5</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A">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color w:val="000000"/>
          <w:rtl w:val="0"/>
        </w:rPr>
        <w:t xml:space="preserve">ANEXO No.3</w:t>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Edificio del C.A.M., Torre Alcaldía, piso 4º.</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Cédula</w:t>
      </w:r>
      <w:r w:rsidDel="00000000" w:rsidR="00000000" w:rsidRPr="00000000">
        <w:rPr>
          <w:rFonts w:ascii="Arial" w:cs="Arial" w:eastAsia="Arial" w:hAnsi="Arial"/>
          <w:b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CARTA DE CERTIFICACIÓN DE PAGO DE SEGURIDAD SOCIAL Y APORTES PARAFISCALES</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DISTRITO DE SANTIAGO DE CALI</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SECRETARIA DE GESTIÓN DEL RIESGO DE EMERGENCIAS Y DESASTRES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00"/>
          <w:sz w:val="28"/>
          <w:szCs w:val="28"/>
          <w:rtl w:val="0"/>
        </w:rPr>
        <w:t xml:space="preserve"> FICHA </w:t>
      </w:r>
      <w:r w:rsidDel="00000000" w:rsidR="00000000" w:rsidRPr="00000000">
        <w:rPr>
          <w:rFonts w:ascii="Arial" w:cs="Arial" w:eastAsia="Arial" w:hAnsi="Arial"/>
          <w:b w:val="1"/>
          <w:sz w:val="28"/>
          <w:szCs w:val="28"/>
          <w:rtl w:val="0"/>
        </w:rPr>
        <w:t xml:space="preserve">TÉCNICA</w:t>
      </w:r>
      <w:r w:rsidDel="00000000" w:rsidR="00000000" w:rsidRPr="00000000">
        <w:rPr>
          <w:rFonts w:ascii="Arial" w:cs="Arial" w:eastAsia="Arial" w:hAnsi="Arial"/>
          <w:b w:val="1"/>
          <w:color w:val="000000"/>
          <w:sz w:val="28"/>
          <w:szCs w:val="28"/>
          <w:rtl w:val="0"/>
        </w:rPr>
        <w:t xml:space="preserve"> </w:t>
      </w:r>
      <w:r w:rsidDel="00000000" w:rsidR="00000000" w:rsidRPr="00000000">
        <w:rPr>
          <w:rFonts w:ascii="Arial" w:cs="Arial" w:eastAsia="Arial" w:hAnsi="Arial"/>
          <w:b w:val="1"/>
          <w:sz w:val="28"/>
          <w:szCs w:val="28"/>
          <w:rtl w:val="0"/>
        </w:rPr>
        <w:t xml:space="preserve">MÍNIMA</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tl w:val="0"/>
        </w:rPr>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cumplir con las especificaciones técnicas mínimas que se describen a continuación</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D">
      <w:pPr>
        <w:jc w:val="both"/>
        <w:rPr>
          <w:rFonts w:ascii="Arial" w:cs="Arial" w:eastAsia="Arial" w:hAnsi="Arial"/>
          <w:highlight w:val="white"/>
        </w:rPr>
      </w:pPr>
      <w:bookmarkStart w:colFirst="0" w:colLast="0" w:name="_heading=h.yvbsbwbqx9f" w:id="3"/>
      <w:bookmarkEnd w:id="3"/>
      <w:r w:rsidDel="00000000" w:rsidR="00000000" w:rsidRPr="00000000">
        <w:rPr>
          <w:rFonts w:ascii="Arial" w:cs="Arial" w:eastAsia="Arial" w:hAnsi="Arial"/>
          <w:rtl w:val="0"/>
        </w:rPr>
        <w:t xml:space="preserve">La Secretaría de Gestión del Riesgo de Emergencias y Desastres debe garantizar </w:t>
      </w:r>
      <w:r w:rsidDel="00000000" w:rsidR="00000000" w:rsidRPr="00000000">
        <w:rPr>
          <w:rFonts w:ascii="Arial" w:cs="Arial" w:eastAsia="Arial" w:hAnsi="Arial"/>
          <w:rtl w:val="0"/>
        </w:rPr>
        <w:t xml:space="preserve">la adquisición, instalación, configuración y puesta en funcionamiento de un </w:t>
      </w:r>
      <w:r w:rsidDel="00000000" w:rsidR="00000000" w:rsidRPr="00000000">
        <w:rPr>
          <w:rFonts w:ascii="Arial" w:cs="Arial" w:eastAsia="Arial" w:hAnsi="Arial"/>
          <w:highlight w:val="white"/>
          <w:rtl w:val="0"/>
        </w:rPr>
        <w:t xml:space="preserve">Sensor de nivel – tipo radar </w:t>
      </w:r>
      <w:r w:rsidDel="00000000" w:rsidR="00000000" w:rsidRPr="00000000">
        <w:rPr>
          <w:rFonts w:ascii="Arial" w:cs="Arial" w:eastAsia="Arial" w:hAnsi="Arial"/>
          <w:rtl w:val="0"/>
        </w:rPr>
        <w:t xml:space="preserve">que </w:t>
      </w:r>
      <w:r w:rsidDel="00000000" w:rsidR="00000000" w:rsidRPr="00000000">
        <w:rPr>
          <w:rFonts w:ascii="Arial" w:cs="Arial" w:eastAsia="Arial" w:hAnsi="Arial"/>
          <w:highlight w:val="white"/>
          <w:rtl w:val="0"/>
        </w:rPr>
        <w:t xml:space="preserve"> cumplan con las siguientes características técnicas:</w:t>
      </w:r>
    </w:p>
    <w:p w:rsidR="00000000" w:rsidDel="00000000" w:rsidP="00000000" w:rsidRDefault="00000000" w:rsidRPr="00000000" w14:paraId="0000009E">
      <w:pPr>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9F">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Sensor de nivel – tipo radar, de alta precisión:</w:t>
      </w:r>
    </w:p>
    <w:p w:rsidR="00000000" w:rsidDel="00000000" w:rsidP="00000000" w:rsidRDefault="00000000" w:rsidRPr="00000000" w14:paraId="000000A0">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Tecnología radar FMCW de banda V no menor de 60 GHz</w:t>
      </w:r>
    </w:p>
    <w:p w:rsidR="00000000" w:rsidDel="00000000" w:rsidP="00000000" w:rsidRDefault="00000000" w:rsidRPr="00000000" w14:paraId="000000A1">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Detección mínima de 08 metros de distancia, </w:t>
      </w:r>
    </w:p>
    <w:p w:rsidR="00000000" w:rsidDel="00000000" w:rsidP="00000000" w:rsidRDefault="00000000" w:rsidRPr="00000000" w14:paraId="000000A2">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Compatible con datalogguer Iris270, </w:t>
      </w:r>
    </w:p>
    <w:p w:rsidR="00000000" w:rsidDel="00000000" w:rsidP="00000000" w:rsidRDefault="00000000" w:rsidRPr="00000000" w14:paraId="000000A3">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Funcionamiento de bajo consumo, </w:t>
      </w:r>
    </w:p>
    <w:p w:rsidR="00000000" w:rsidDel="00000000" w:rsidP="00000000" w:rsidRDefault="00000000" w:rsidRPr="00000000" w14:paraId="000000A4">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Configuración wifi, </w:t>
      </w:r>
    </w:p>
    <w:p w:rsidR="00000000" w:rsidDel="00000000" w:rsidP="00000000" w:rsidRDefault="00000000" w:rsidRPr="00000000" w14:paraId="000000A5">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Precisión de +/- 3 mm, </w:t>
      </w:r>
    </w:p>
    <w:p w:rsidR="00000000" w:rsidDel="00000000" w:rsidP="00000000" w:rsidRDefault="00000000" w:rsidRPr="00000000" w14:paraId="000000A6">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Rango IP68, </w:t>
      </w:r>
    </w:p>
    <w:p w:rsidR="00000000" w:rsidDel="00000000" w:rsidP="00000000" w:rsidRDefault="00000000" w:rsidRPr="00000000" w14:paraId="000000A7">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Interfaces de datos: SDI-12 o Modbus</w:t>
      </w:r>
    </w:p>
    <w:p w:rsidR="00000000" w:rsidDel="00000000" w:rsidP="00000000" w:rsidRDefault="00000000" w:rsidRPr="00000000" w14:paraId="000000A8">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Cable que se pueda requerir.</w:t>
      </w:r>
      <w:r w:rsidDel="00000000" w:rsidR="00000000" w:rsidRPr="00000000">
        <w:rPr>
          <w:rtl w:val="0"/>
        </w:rPr>
      </w:r>
    </w:p>
    <w:p w:rsidR="00000000" w:rsidDel="00000000" w:rsidP="00000000" w:rsidRDefault="00000000" w:rsidRPr="00000000" w14:paraId="000000A9">
      <w:pPr>
        <w:widowControl w:val="0"/>
        <w:tabs>
          <w:tab w:val="left" w:leader="none" w:pos="709"/>
        </w:tabs>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instalación, configuración y puesta en funcionamiento del equipo de monitoreo se realizará puntualmente en Estación de Monitoreo en Pueblo Pance.</w:t>
      </w:r>
      <w:r w:rsidDel="00000000" w:rsidR="00000000" w:rsidRPr="00000000">
        <w:rPr>
          <w:rtl w:val="0"/>
        </w:rPr>
      </w:r>
    </w:p>
    <w:p w:rsidR="00000000" w:rsidDel="00000000" w:rsidP="00000000" w:rsidRDefault="00000000" w:rsidRPr="00000000" w14:paraId="000000AA">
      <w:pPr>
        <w:widowControl w:val="0"/>
        <w:jc w:val="both"/>
        <w:rPr>
          <w:rFonts w:ascii="Arial" w:cs="Arial" w:eastAsia="Arial" w:hAnsi="Arial"/>
        </w:rPr>
      </w:pPr>
      <w:r w:rsidDel="00000000" w:rsidR="00000000" w:rsidRPr="00000000">
        <w:rPr>
          <w:rFonts w:ascii="Arial" w:cs="Arial" w:eastAsia="Arial" w:hAnsi="Arial"/>
          <w:rtl w:val="0"/>
        </w:rPr>
        <w:t xml:space="preserve">La siguiente es la descripción detallada de actividades que se deben ejecutar conforme al objeto contractual planteado:</w:t>
      </w:r>
    </w:p>
    <w:p w:rsidR="00000000" w:rsidDel="00000000" w:rsidP="00000000" w:rsidRDefault="00000000" w:rsidRPr="00000000" w14:paraId="000000AB">
      <w:pPr>
        <w:widowControl w:val="0"/>
        <w:jc w:val="both"/>
        <w:rPr>
          <w:rFonts w:ascii="Arial" w:cs="Arial" w:eastAsia="Arial" w:hAnsi="Arial"/>
        </w:rPr>
      </w:pPr>
      <w:r w:rsidDel="00000000" w:rsidR="00000000" w:rsidRPr="00000000">
        <w:rPr>
          <w:rtl w:val="0"/>
        </w:rPr>
      </w:r>
    </w:p>
    <w:p w:rsidR="00000000" w:rsidDel="00000000" w:rsidP="00000000" w:rsidRDefault="00000000" w:rsidRPr="00000000" w14:paraId="000000AC">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Visita técnica con la Secretaria al lugar de instalación (Estación de Monitoreo en Pueblo Pance)</w:t>
      </w:r>
    </w:p>
    <w:p w:rsidR="00000000" w:rsidDel="00000000" w:rsidP="00000000" w:rsidRDefault="00000000" w:rsidRPr="00000000" w14:paraId="000000AD">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Instalación de equipos.</w:t>
      </w:r>
    </w:p>
    <w:p w:rsidR="00000000" w:rsidDel="00000000" w:rsidP="00000000" w:rsidRDefault="00000000" w:rsidRPr="00000000" w14:paraId="000000AE">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El contratista debe realizar las acciones necesarias para que el sensor de nivel transmita los datos al datalogger Iris y se puedan observar claramente en la estación de monitoreo donde se acoplara el equipo y desde aquí se puedan observar los datos en los programas para ello, caso puntual hydrotel.</w:t>
      </w:r>
    </w:p>
    <w:p w:rsidR="00000000" w:rsidDel="00000000" w:rsidP="00000000" w:rsidRDefault="00000000" w:rsidRPr="00000000" w14:paraId="000000AF">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Pruebas de comunicaciones</w:t>
      </w:r>
    </w:p>
    <w:p w:rsidR="00000000" w:rsidDel="00000000" w:rsidP="00000000" w:rsidRDefault="00000000" w:rsidRPr="00000000" w14:paraId="000000B0">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En caso de requerirse se podrá solicitar la entrega de protocolo de comunicaciones por parte del contratista en un documento.</w:t>
      </w:r>
    </w:p>
    <w:p w:rsidR="00000000" w:rsidDel="00000000" w:rsidP="00000000" w:rsidRDefault="00000000" w:rsidRPr="00000000" w14:paraId="000000B1">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Entrega de un informe que recopile toda la información tanto instalación, ficha técnica de equipo y proceso de comunicación.</w:t>
      </w:r>
    </w:p>
    <w:p w:rsidR="00000000" w:rsidDel="00000000" w:rsidP="00000000" w:rsidRDefault="00000000" w:rsidRPr="00000000" w14:paraId="000000B2">
      <w:pPr>
        <w:widowControl w:val="0"/>
        <w:numPr>
          <w:ilvl w:val="0"/>
          <w:numId w:val="2"/>
        </w:numPr>
        <w:ind w:left="420"/>
        <w:jc w:val="both"/>
        <w:rPr>
          <w:rFonts w:ascii="Arial" w:cs="Arial" w:eastAsia="Arial" w:hAnsi="Arial"/>
        </w:rPr>
      </w:pPr>
      <w:r w:rsidDel="00000000" w:rsidR="00000000" w:rsidRPr="00000000">
        <w:rPr>
          <w:rFonts w:ascii="Arial" w:cs="Arial" w:eastAsia="Arial" w:hAnsi="Arial"/>
          <w:rtl w:val="0"/>
        </w:rPr>
        <w:t xml:space="preserve">Mantenimiento correctivo y preventivo sin costo adicional por un (1) año, cada seis (6) meses con sus respectivos informes.</w:t>
      </w:r>
      <w:r w:rsidDel="00000000" w:rsidR="00000000" w:rsidRPr="00000000">
        <w:rPr>
          <w:rtl w:val="0"/>
        </w:rPr>
      </w:r>
    </w:p>
    <w:p w:rsidR="00000000" w:rsidDel="00000000" w:rsidP="00000000" w:rsidRDefault="00000000" w:rsidRPr="00000000" w14:paraId="000000B3">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B4">
      <w:pPr>
        <w:rPr>
          <w:rFonts w:ascii="Arial" w:cs="Arial" w:eastAsia="Arial" w:hAnsi="Arial"/>
        </w:rPr>
      </w:pPr>
      <w:r w:rsidDel="00000000" w:rsidR="00000000" w:rsidRPr="00000000">
        <w:rPr>
          <w:rtl w:val="0"/>
        </w:rPr>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rPr>
      </w:pPr>
      <w:bookmarkStart w:colFirst="0" w:colLast="0" w:name="_heading=h.3znysh7" w:id="4"/>
      <w:bookmarkEnd w:id="4"/>
      <w:r w:rsidDel="00000000" w:rsidR="00000000" w:rsidRPr="00000000">
        <w:rPr>
          <w:rFonts w:ascii="Arial" w:cs="Arial" w:eastAsia="Arial" w:hAnsi="Arial"/>
          <w:b w:val="1"/>
          <w:color w:val="000000"/>
          <w:rtl w:val="0"/>
        </w:rPr>
        <w:t xml:space="preserve">N.I.T: ______________________</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C.C: ____________________</w:t>
      </w:r>
      <w:r w:rsidDel="00000000" w:rsidR="00000000" w:rsidRPr="00000000">
        <w:rPr>
          <w:rtl w:val="0"/>
        </w:rPr>
      </w:r>
    </w:p>
    <w:p w:rsidR="00000000" w:rsidDel="00000000" w:rsidP="00000000" w:rsidRDefault="00000000" w:rsidRPr="00000000" w14:paraId="000000BA">
      <w:pPr>
        <w:jc w:val="center"/>
        <w:rPr>
          <w:rFonts w:ascii="Arial" w:cs="Arial" w:eastAsia="Arial" w:hAnsi="Arial"/>
          <w:b w:val="1"/>
          <w:color w:val="00000a"/>
        </w:rPr>
      </w:pPr>
      <w:bookmarkStart w:colFirst="0" w:colLast="0" w:name="_heading=h.al8fje3h72qv" w:id="5"/>
      <w:bookmarkEnd w:id="5"/>
      <w:r w:rsidDel="00000000" w:rsidR="00000000" w:rsidRPr="00000000">
        <w:br w:type="page"/>
      </w:r>
      <w:r w:rsidDel="00000000" w:rsidR="00000000" w:rsidRPr="00000000">
        <w:rPr>
          <w:rFonts w:ascii="Arial" w:cs="Arial" w:eastAsia="Arial" w:hAnsi="Arial"/>
          <w:b w:val="1"/>
          <w:color w:val="00000a"/>
          <w:rtl w:val="0"/>
        </w:rPr>
        <w:t xml:space="preserve">ANEXO No. 5</w:t>
      </w:r>
    </w:p>
    <w:p w:rsidR="00000000" w:rsidDel="00000000" w:rsidP="00000000" w:rsidRDefault="00000000" w:rsidRPr="00000000" w14:paraId="000000BB">
      <w:pPr>
        <w:jc w:val="center"/>
        <w:rPr>
          <w:rFonts w:ascii="Arial" w:cs="Arial" w:eastAsia="Arial" w:hAnsi="Arial"/>
          <w:b w:val="1"/>
          <w:color w:val="00000a"/>
        </w:rPr>
      </w:pPr>
      <w:bookmarkStart w:colFirst="0" w:colLast="0" w:name="_heading=h.l8m8xwhhfz98" w:id="6"/>
      <w:bookmarkEnd w:id="6"/>
      <w:r w:rsidDel="00000000" w:rsidR="00000000" w:rsidRPr="00000000">
        <w:rPr>
          <w:rtl w:val="0"/>
        </w:rPr>
      </w:r>
    </w:p>
    <w:p w:rsidR="00000000" w:rsidDel="00000000" w:rsidP="00000000" w:rsidRDefault="00000000" w:rsidRPr="00000000" w14:paraId="000000BC">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CUADRO DE EXPERIENCIA Y CUMPLIMIENTO DEL PROPONENTE </w:t>
      </w:r>
      <w:r w:rsidDel="00000000" w:rsidR="00000000" w:rsidRPr="00000000">
        <w:rPr>
          <w:rtl w:val="0"/>
        </w:rPr>
      </w:r>
    </w:p>
    <w:tbl>
      <w:tblPr>
        <w:tblStyle w:val="Table1"/>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BD">
            <w:pPr>
              <w:widowControl w:val="0"/>
              <w:spacing w:line="276" w:lineRule="auto"/>
              <w:jc w:val="both"/>
              <w:rPr>
                <w:rFonts w:ascii="Arial" w:cs="Arial" w:eastAsia="Arial" w:hAnsi="Arial"/>
                <w:color w:val="00000a"/>
                <w:sz w:val="20"/>
                <w:szCs w:val="20"/>
              </w:rPr>
            </w:pPr>
            <w:r w:rsidDel="00000000" w:rsidR="00000000" w:rsidRPr="00000000">
              <w:rPr>
                <w:rFonts w:ascii="Arial" w:cs="Arial" w:eastAsia="Arial" w:hAnsi="Arial"/>
                <w:color w:val="00000a"/>
                <w:sz w:val="20"/>
                <w:szCs w:val="20"/>
                <w:rtl w:val="0"/>
              </w:rPr>
              <w:t xml:space="preserve">El proponente deberá acreditar la experiencia mediante la presentación de hasta dos (2) certificación de contratos o copia de contrato y acta de liquidación, suscritos con entidades públicas y/o privadas, debidamente terminados y liquidados, cuyo objeto se relacione con el objeto contractual, que sumadas sean por un valor igual o superior al 100% presupuesto oficial asignado para el presente proceso de contratación, expresado en SMMLV.</w:t>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C1">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w:t>
            </w:r>
            <w:r w:rsidDel="00000000" w:rsidR="00000000" w:rsidRPr="00000000">
              <w:rPr>
                <w:rtl w:val="0"/>
              </w:rPr>
            </w:r>
          </w:p>
          <w:p w:rsidR="00000000" w:rsidDel="00000000" w:rsidP="00000000" w:rsidRDefault="00000000" w:rsidRPr="00000000" w14:paraId="000000C2">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C3">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w:t>
            </w:r>
            <w:r w:rsidDel="00000000" w:rsidR="00000000" w:rsidRPr="00000000">
              <w:rPr>
                <w:rtl w:val="0"/>
              </w:rPr>
            </w:r>
          </w:p>
          <w:p w:rsidR="00000000" w:rsidDel="00000000" w:rsidP="00000000" w:rsidRDefault="00000000" w:rsidRPr="00000000" w14:paraId="000000C4">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C5">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C6">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 EN</w:t>
            </w:r>
            <w:r w:rsidDel="00000000" w:rsidR="00000000" w:rsidRPr="00000000">
              <w:rPr>
                <w:rtl w:val="0"/>
              </w:rPr>
            </w:r>
          </w:p>
          <w:p w:rsidR="00000000" w:rsidDel="00000000" w:rsidP="00000000" w:rsidRDefault="00000000" w:rsidRPr="00000000" w14:paraId="000000C7">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C8">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C9">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CA">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0C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C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C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C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C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D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6">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9">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DF">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1">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2">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3">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4">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5">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6">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7">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8">
            <w:pPr>
              <w:widowControl w:val="0"/>
              <w:spacing w:line="276" w:lineRule="auto"/>
              <w:jc w:val="both"/>
              <w:rPr>
                <w:rFonts w:ascii="Arial" w:cs="Arial" w:eastAsia="Arial" w:hAnsi="Arial"/>
                <w:color w:val="00000a"/>
                <w:sz w:val="18"/>
                <w:szCs w:val="18"/>
              </w:rPr>
            </w:pP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9">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0F1">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0F2">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0F3">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0F4">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F5">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F6">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F7">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N.I.T: ______________________</w:t>
      </w:r>
      <w:r w:rsidDel="00000000" w:rsidR="00000000" w:rsidRPr="00000000">
        <w:rPr>
          <w:rtl w:val="0"/>
        </w:rPr>
      </w:r>
    </w:p>
    <w:p w:rsidR="00000000" w:rsidDel="00000000" w:rsidP="00000000" w:rsidRDefault="00000000" w:rsidRPr="00000000" w14:paraId="000000F8">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C.C: ____________________</w:t>
      </w:r>
      <w:r w:rsidDel="00000000" w:rsidR="00000000" w:rsidRPr="00000000">
        <w:rPr>
          <w:rtl w:val="0"/>
        </w:rPr>
      </w:r>
    </w:p>
    <w:p w:rsidR="00000000" w:rsidDel="00000000" w:rsidP="00000000" w:rsidRDefault="00000000" w:rsidRPr="00000000" w14:paraId="000000F9">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0FA">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0FB">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0FC">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0FD">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0FE">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0FF">
      <w:pPr>
        <w:spacing w:line="276" w:lineRule="auto"/>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00">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ANEXO No. 6</w:t>
      </w:r>
      <w:r w:rsidDel="00000000" w:rsidR="00000000" w:rsidRPr="00000000">
        <w:rPr>
          <w:rtl w:val="0"/>
        </w:rPr>
      </w:r>
    </w:p>
    <w:p w:rsidR="00000000" w:rsidDel="00000000" w:rsidP="00000000" w:rsidRDefault="00000000" w:rsidRPr="00000000" w14:paraId="00000101">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02">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03">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04">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05">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06">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07">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08">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09">
      <w:pPr>
        <w:spacing w:line="276" w:lineRule="auto"/>
        <w:jc w:val="both"/>
        <w:rPr>
          <w:rFonts w:ascii="Arial" w:cs="Arial" w:eastAsia="Arial" w:hAnsi="Arial"/>
          <w:color w:val="00000a"/>
        </w:rPr>
      </w:pPr>
      <w:r w:rsidDel="00000000" w:rsidR="00000000" w:rsidRPr="00000000">
        <w:rPr>
          <w:rtl w:val="0"/>
        </w:rPr>
      </w:r>
    </w:p>
    <w:tbl>
      <w:tblPr>
        <w:tblStyle w:val="Table2"/>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0A">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0B">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0C">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0D">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0E">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F">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10">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11">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12">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13">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14">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15">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16">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17">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18">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19">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1A">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1B">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1C">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1D">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1E">
      <w:pPr>
        <w:tabs>
          <w:tab w:val="left" w:leader="none" w:pos="0"/>
        </w:tabs>
        <w:ind w:left="720" w:hanging="720"/>
        <w:jc w:val="both"/>
        <w:rPr>
          <w:rFonts w:ascii="Arial" w:cs="Arial" w:eastAsia="Arial" w:hAnsi="Arial"/>
          <w:color w:val="00000a"/>
        </w:rPr>
      </w:pPr>
      <w:bookmarkStart w:colFirst="0" w:colLast="0" w:name="_heading=h.2et92p0" w:id="7"/>
      <w:bookmarkEnd w:id="7"/>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2025, por quienes intervinieron,</w:t>
      </w:r>
    </w:p>
    <w:p w:rsidR="00000000" w:rsidDel="00000000" w:rsidP="00000000" w:rsidRDefault="00000000" w:rsidRPr="00000000" w14:paraId="0000011F">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0">
      <w:pPr>
        <w:tabs>
          <w:tab w:val="left" w:leader="none" w:pos="0"/>
        </w:tabs>
        <w:jc w:val="both"/>
        <w:rPr>
          <w:rFonts w:ascii="Arial" w:cs="Arial" w:eastAsia="Arial" w:hAnsi="Arial"/>
          <w:color w:val="00000a"/>
        </w:rPr>
      </w:pPr>
      <w:r w:rsidDel="00000000" w:rsidR="00000000" w:rsidRPr="00000000">
        <w:rPr>
          <w:rtl w:val="0"/>
        </w:rPr>
      </w:r>
    </w:p>
    <w:tbl>
      <w:tblPr>
        <w:tblStyle w:val="Table3"/>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21">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2">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23">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24">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5">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w:t>
            </w:r>
            <w:r w:rsidDel="00000000" w:rsidR="00000000" w:rsidRPr="00000000">
              <w:rPr>
                <w:rtl w:val="0"/>
              </w:rPr>
            </w:r>
          </w:p>
          <w:p w:rsidR="00000000" w:rsidDel="00000000" w:rsidP="00000000" w:rsidRDefault="00000000" w:rsidRPr="00000000" w14:paraId="00000126">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Nombre:</w:t>
              <w:br w:type="textWrapping"/>
            </w:r>
            <w:r w:rsidDel="00000000" w:rsidR="00000000" w:rsidRPr="00000000">
              <w:rPr>
                <w:rFonts w:ascii="Arial" w:cs="Arial" w:eastAsia="Arial" w:hAnsi="Arial"/>
                <w:b w:val="1"/>
                <w:smallCaps w:val="1"/>
                <w:color w:val="00000a"/>
                <w:rtl w:val="0"/>
              </w:rPr>
              <w:t xml:space="preserve">CC:</w:t>
            </w:r>
            <w:r w:rsidDel="00000000" w:rsidR="00000000" w:rsidRPr="00000000">
              <w:rPr>
                <w:rFonts w:ascii="Arial" w:cs="Arial" w:eastAsia="Arial" w:hAnsi="Arial"/>
                <w:b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27">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28">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Teléfono:</w:t>
            </w:r>
            <w:r w:rsidDel="00000000" w:rsidR="00000000" w:rsidRPr="00000000">
              <w:rPr>
                <w:rtl w:val="0"/>
              </w:rPr>
            </w:r>
          </w:p>
        </w:tc>
      </w:tr>
    </w:tbl>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rPr>
      </w:pPr>
      <w:r w:rsidDel="00000000" w:rsidR="00000000" w:rsidRPr="00000000">
        <w:rPr>
          <w:rtl w:val="0"/>
        </w:rPr>
      </w:r>
    </w:p>
    <w:sectPr>
      <w:headerReference r:id="rId7"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color w:val="000000"/>
      </w:rPr>
    </w:pPr>
    <w:r w:rsidDel="00000000" w:rsidR="00000000" w:rsidRPr="00000000">
      <w:rPr>
        <w:rtl w:val="0"/>
      </w:rPr>
    </w:r>
  </w:p>
  <w:tbl>
    <w:tblPr>
      <w:tblStyle w:val="Table4"/>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43934</wp:posOffset>
                </wp:positionH>
                <wp:positionV relativeFrom="paragraph">
                  <wp:posOffset>-1784</wp:posOffset>
                </wp:positionV>
                <wp:extent cx="1518840" cy="1167120"/>
                <wp:effectExtent b="0" l="0" r="0" t="0"/>
                <wp:wrapSquare wrapText="bothSides" distB="0" distT="0" distL="114300" distR="114300"/>
                <wp:docPr descr="C:\Users\USUARIO\AppData\Local\Temp\Rar$DIa0.273\LogoGrises_SecGestiónRiesgoEmergenciasDesastres-03.jpg" id="113" name="image1.png"/>
                <a:graphic>
                  <a:graphicData uri="http://schemas.openxmlformats.org/drawingml/2006/picture">
                    <pic:pic>
                      <pic:nvPicPr>
                        <pic:cNvPr descr="C:\Users\USUARIO\AppData\Local\Temp\Rar$DIa0.273\LogoGrises_SecGestiónRiesgoEmergenciasDesastres-03.jpg" id="0" name="image1.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0" w:hanging="42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Ttulo7">
    <w:name w:val="heading 7"/>
    <w:basedOn w:val="Normal"/>
    <w:next w:val="Normal"/>
    <w:link w:val="Ttulo7Car"/>
    <w:uiPriority w:val="9"/>
    <w:semiHidden w:val="1"/>
    <w:unhideWhenUsed w:val="1"/>
    <w:qFormat w:val="1"/>
    <w:rsid w:val="00255CC5"/>
    <w:pPr>
      <w:keepNext w:val="1"/>
      <w:keepLines w:val="1"/>
      <w:spacing w:before="200" w:line="259" w:lineRule="auto"/>
      <w:ind w:left="5040" w:hanging="360"/>
      <w:outlineLvl w:val="6"/>
    </w:pPr>
    <w:rPr>
      <w:rFonts w:asciiTheme="majorHAnsi" w:cstheme="majorBidi" w:eastAsiaTheme="majorEastAsia" w:hAnsiTheme="majorHAnsi"/>
      <w:i w:val="1"/>
      <w:iCs w:val="1"/>
      <w:color w:val="404040" w:themeColor="text1" w:themeTint="0000BF"/>
      <w:sz w:val="20"/>
      <w:szCs w:val="20"/>
      <w:lang w:val="es-MX"/>
    </w:rPr>
  </w:style>
  <w:style w:type="paragraph" w:styleId="Ttulo8">
    <w:name w:val="heading 8"/>
    <w:basedOn w:val="Normal"/>
    <w:next w:val="Normal"/>
    <w:link w:val="Ttulo8Car"/>
    <w:uiPriority w:val="9"/>
    <w:semiHidden w:val="1"/>
    <w:unhideWhenUsed w:val="1"/>
    <w:qFormat w:val="1"/>
    <w:rsid w:val="00255CC5"/>
    <w:pPr>
      <w:keepNext w:val="1"/>
      <w:keepLines w:val="1"/>
      <w:spacing w:before="200" w:line="259" w:lineRule="auto"/>
      <w:ind w:left="5760" w:hanging="360"/>
      <w:outlineLvl w:val="7"/>
    </w:pPr>
    <w:rPr>
      <w:rFonts w:asciiTheme="majorHAnsi" w:cstheme="majorBidi" w:eastAsiaTheme="majorEastAsia" w:hAnsiTheme="majorHAnsi"/>
      <w:color w:val="404040" w:themeColor="text1" w:themeTint="0000BF"/>
      <w:sz w:val="20"/>
      <w:szCs w:val="20"/>
      <w:lang w:val="es-MX"/>
    </w:rPr>
  </w:style>
  <w:style w:type="paragraph" w:styleId="Ttulo9">
    <w:name w:val="heading 9"/>
    <w:basedOn w:val="Normal"/>
    <w:next w:val="Normal"/>
    <w:link w:val="Ttulo9Car"/>
    <w:uiPriority w:val="9"/>
    <w:semiHidden w:val="1"/>
    <w:unhideWhenUsed w:val="1"/>
    <w:qFormat w:val="1"/>
    <w:rsid w:val="00255CC5"/>
    <w:pPr>
      <w:keepNext w:val="1"/>
      <w:keepLines w:val="1"/>
      <w:spacing w:before="200" w:line="259" w:lineRule="auto"/>
      <w:ind w:left="6480" w:hanging="360"/>
      <w:outlineLvl w:val="8"/>
    </w:pPr>
    <w:rPr>
      <w:rFonts w:asciiTheme="majorHAnsi" w:cstheme="majorBidi" w:eastAsiaTheme="majorEastAsia" w:hAnsiTheme="majorHAnsi"/>
      <w:i w:val="1"/>
      <w:iCs w:val="1"/>
      <w:color w:val="404040" w:themeColor="text1" w:themeTint="0000BF"/>
      <w:sz w:val="20"/>
      <w:szCs w:val="20"/>
      <w:lang w:val="es-MX"/>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paragraph" w:styleId="Standard" w:customStyle="1">
    <w:name w:val="Standard"/>
  </w:style>
  <w:style w:type="paragraph" w:styleId="Heading" w:customStyle="1">
    <w:name w:val="Heading"/>
    <w:basedOn w:val="Standard"/>
    <w:next w:val="Textbody"/>
    <w:pPr>
      <w:keepNext w:val="1"/>
      <w:spacing w:after="120" w:before="240"/>
    </w:pPr>
    <w:rPr>
      <w:rFonts w:ascii="Liberation Sans" w:eastAsia="Microsoft YaHei" w:hAnsi="Liberation Sans"/>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val="1"/>
      <w:spacing w:after="120" w:before="120"/>
    </w:pPr>
    <w:rPr>
      <w:i w:val="1"/>
      <w:iCs w:val="1"/>
    </w:rPr>
  </w:style>
  <w:style w:type="paragraph" w:styleId="Index" w:customStyle="1">
    <w:name w:val="Index"/>
    <w:basedOn w:val="Standard"/>
    <w:pPr>
      <w:suppressLineNumbers w:val="1"/>
    </w:pPr>
  </w:style>
  <w:style w:type="paragraph" w:styleId="Default" w:customStyle="1">
    <w:name w:val="Default"/>
    <w:rPr>
      <w:rFonts w:ascii="Arial" w:cs="Arial" w:eastAsia="Times New Roman" w:hAnsi="Arial"/>
      <w:color w:val="000000"/>
    </w:r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Standard"/>
    <w:link w:val="PrrafodelistaCar"/>
    <w:uiPriority w:val="34"/>
    <w:qFormat w:val="1"/>
    <w:pPr>
      <w:ind w:left="720"/>
    </w:pPr>
  </w:style>
  <w:style w:type="paragraph" w:styleId="Encabezado">
    <w:name w:val="header"/>
    <w:basedOn w:val="Standard"/>
    <w:pPr>
      <w:suppressLineNumbers w:val="1"/>
      <w:tabs>
        <w:tab w:val="center" w:pos="4986"/>
        <w:tab w:val="right" w:pos="9972"/>
      </w:tabs>
    </w:pPr>
  </w:style>
  <w:style w:type="paragraph" w:styleId="TableContents" w:customStyle="1">
    <w:name w:val="Table Contents"/>
    <w:basedOn w:val="Standard"/>
    <w:pPr>
      <w:suppressLineNumbers w:val="1"/>
    </w:pPr>
  </w:style>
  <w:style w:type="paragraph" w:styleId="Sinespaciado">
    <w:name w:val="No Spacing"/>
    <w:rPr>
      <w:rFonts w:ascii="Arial" w:cs="F" w:eastAsia="Cambria" w:hAnsi="Arial"/>
      <w:sz w:val="20"/>
      <w:szCs w:val="22"/>
      <w:lang w:eastAsia="en-US" w:val="es-MX"/>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cs="Symbol" w:eastAsia="Arial" w:hAnsi="Arial"/>
      <w:b w:val="1"/>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table" w:styleId="a" w:customStyle="1">
    <w:basedOn w:val="TableNormala"/>
    <w:tblPr>
      <w:tblStyleRowBandSize w:val="1"/>
      <w:tblStyleColBandSize w:val="1"/>
      <w:tblCellMar>
        <w:left w:w="10.0" w:type="dxa"/>
        <w:right w:w="10.0" w:type="dxa"/>
      </w:tblCellMar>
    </w:tblPr>
  </w:style>
  <w:style w:type="table" w:styleId="a0" w:customStyle="1">
    <w:basedOn w:val="TableNormala"/>
    <w:tblPr>
      <w:tblStyleRowBandSize w:val="1"/>
      <w:tblStyleColBandSize w:val="1"/>
      <w:tblCellMar>
        <w:left w:w="15.0" w:type="dxa"/>
        <w:right w:w="40.0" w:type="dxa"/>
      </w:tblCellMar>
    </w:tblPr>
  </w:style>
  <w:style w:type="table" w:styleId="a1" w:customStyle="1">
    <w:basedOn w:val="TableNormala"/>
    <w:tblPr>
      <w:tblStyleRowBandSize w:val="1"/>
      <w:tblStyleColBandSize w:val="1"/>
      <w:tblCellMar>
        <w:left w:w="58.0" w:type="dxa"/>
        <w:right w:w="108.0" w:type="dxa"/>
      </w:tblCellMar>
    </w:tblPr>
  </w:style>
  <w:style w:type="table" w:styleId="a2" w:customStyle="1">
    <w:basedOn w:val="TableNormala"/>
    <w:tblPr>
      <w:tblStyleRowBandSize w:val="1"/>
      <w:tblStyleColBandSize w:val="1"/>
      <w:tblCellMar>
        <w:left w:w="108.0" w:type="dxa"/>
        <w:right w:w="108.0" w:type="dxa"/>
      </w:tblCellMar>
    </w:tblPr>
  </w:style>
  <w:style w:type="table" w:styleId="a3" w:customStyle="1">
    <w:basedOn w:val="TableNormala"/>
    <w:tblPr>
      <w:tblStyleRowBandSize w:val="1"/>
      <w:tblStyleColBandSize w:val="1"/>
      <w:tblCellMar>
        <w:left w:w="10.0" w:type="dxa"/>
        <w:right w:w="10.0" w:type="dxa"/>
      </w:tblCellMar>
    </w:tblPr>
  </w:style>
  <w:style w:type="table" w:styleId="a4" w:customStyle="1">
    <w:basedOn w:val="TableNormala"/>
    <w:tblPr>
      <w:tblStyleRowBandSize w:val="1"/>
      <w:tblStyleColBandSize w:val="1"/>
      <w:tblCellMar>
        <w:top w:w="15.0" w:type="dxa"/>
        <w:left w:w="15.0" w:type="dxa"/>
        <w:bottom w:w="15.0" w:type="dxa"/>
        <w:right w:w="15.0" w:type="dxa"/>
      </w:tblCellMar>
    </w:tblPr>
  </w:style>
  <w:style w:type="table" w:styleId="a5" w:customStyle="1">
    <w:basedOn w:val="TableNormala"/>
    <w:tblPr>
      <w:tblStyleRowBandSize w:val="1"/>
      <w:tblStyleColBandSize w:val="1"/>
      <w:tblCellMar>
        <w:top w:w="15.0" w:type="dxa"/>
        <w:left w:w="15.0" w:type="dxa"/>
        <w:bottom w:w="15.0" w:type="dxa"/>
        <w:right w:w="15.0" w:type="dxa"/>
      </w:tblCellMar>
    </w:tblPr>
  </w:style>
  <w:style w:type="table" w:styleId="a6" w:customStyle="1">
    <w:basedOn w:val="TableNormala"/>
    <w:tblPr>
      <w:tblStyleRowBandSize w:val="1"/>
      <w:tblStyleColBandSize w:val="1"/>
      <w:tblCellMar>
        <w:left w:w="10.0" w:type="dxa"/>
        <w:right w:w="10.0" w:type="dxa"/>
      </w:tblCellMar>
    </w:tblPr>
  </w:style>
  <w:style w:type="table" w:styleId="a7" w:customStyle="1">
    <w:basedOn w:val="TableNormala"/>
    <w:tblPr>
      <w:tblStyleRowBandSize w:val="1"/>
      <w:tblStyleColBandSize w:val="1"/>
      <w:tblCellMar>
        <w:left w:w="10.0" w:type="dxa"/>
        <w:right w:w="10.0" w:type="dxa"/>
      </w:tblCellMar>
    </w:tblPr>
  </w:style>
  <w:style w:type="table" w:styleId="a8" w:customStyle="1">
    <w:basedOn w:val="TableNormala"/>
    <w:tblPr>
      <w:tblStyleRowBandSize w:val="1"/>
      <w:tblStyleColBandSize w:val="1"/>
      <w:tblCellMar>
        <w:left w:w="10.0" w:type="dxa"/>
        <w:right w:w="10.0" w:type="dxa"/>
      </w:tblCellMar>
    </w:tblPr>
  </w:style>
  <w:style w:type="table" w:styleId="a9" w:customStyle="1">
    <w:basedOn w:val="TableNormala"/>
    <w:tblPr>
      <w:tblStyleRowBandSize w:val="1"/>
      <w:tblStyleColBandSize w:val="1"/>
      <w:tblCellMar>
        <w:left w:w="10.0" w:type="dxa"/>
        <w:right w:w="10.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aa" w:customStyle="1">
    <w:basedOn w:val="TableNormal9"/>
    <w:tblPr>
      <w:tblStyleRowBandSize w:val="1"/>
      <w:tblStyleColBandSize w:val="1"/>
      <w:tblCellMar>
        <w:top w:w="15.0" w:type="dxa"/>
        <w:left w:w="10.0" w:type="dxa"/>
        <w:bottom w:w="15.0" w:type="dxa"/>
        <w:right w:w="10.0" w:type="dxa"/>
      </w:tblCellMar>
    </w:tblPr>
  </w:style>
  <w:style w:type="table" w:styleId="ab" w:customStyle="1">
    <w:basedOn w:val="TableNormal9"/>
    <w:tblPr>
      <w:tblStyleRowBandSize w:val="1"/>
      <w:tblStyleColBandSize w:val="1"/>
      <w:tblCellMar>
        <w:top w:w="15.0" w:type="dxa"/>
        <w:left w:w="10.0" w:type="dxa"/>
        <w:bottom w:w="15.0" w:type="dxa"/>
        <w:right w:w="10.0" w:type="dxa"/>
      </w:tblCellMar>
    </w:tblPr>
  </w:style>
  <w:style w:type="table" w:styleId="ac" w:customStyle="1">
    <w:basedOn w:val="TableNormal9"/>
    <w:tblPr>
      <w:tblStyleRowBandSize w:val="1"/>
      <w:tblStyleColBandSize w:val="1"/>
      <w:tblCellMar>
        <w:top w:w="15.0" w:type="dxa"/>
        <w:left w:w="10.0" w:type="dxa"/>
        <w:bottom w:w="15.0" w:type="dxa"/>
        <w:right w:w="10.0" w:type="dxa"/>
      </w:tblCellMar>
    </w:tblPr>
  </w:style>
  <w:style w:type="table" w:styleId="ad" w:customStyle="1">
    <w:basedOn w:val="TableNormal9"/>
    <w:tblPr>
      <w:tblStyleRowBandSize w:val="1"/>
      <w:tblStyleColBandSize w:val="1"/>
      <w:tblCellMar>
        <w:top w:w="15.0" w:type="dxa"/>
        <w:left w:w="10.0" w:type="dxa"/>
        <w:bottom w:w="15.0" w:type="dxa"/>
        <w:right w:w="10.0" w:type="dxa"/>
      </w:tblCellMar>
    </w:tblPr>
  </w:style>
  <w:style w:type="table" w:styleId="ae" w:customStyle="1">
    <w:basedOn w:val="TableNormal9"/>
    <w:tblPr>
      <w:tblStyleRowBandSize w:val="1"/>
      <w:tblStyleColBandSize w:val="1"/>
      <w:tblCellMar>
        <w:top w:w="15.0" w:type="dxa"/>
        <w:left w:w="10.0" w:type="dxa"/>
        <w:bottom w:w="15.0" w:type="dxa"/>
        <w:right w:w="10.0" w:type="dxa"/>
      </w:tblCellMar>
    </w:tblPr>
  </w:style>
  <w:style w:type="table" w:styleId="af" w:customStyle="1">
    <w:basedOn w:val="TableNormal9"/>
    <w:tblPr>
      <w:tblStyleRowBandSize w:val="1"/>
      <w:tblStyleColBandSize w:val="1"/>
      <w:tblCellMar>
        <w:top w:w="15.0" w:type="dxa"/>
        <w:left w:w="10.0" w:type="dxa"/>
        <w:bottom w:w="15.0" w:type="dxa"/>
        <w:right w:w="10.0" w:type="dxa"/>
      </w:tblCellMar>
    </w:tblPr>
  </w:style>
  <w:style w:type="table" w:styleId="af0" w:customStyle="1">
    <w:basedOn w:val="TableNormal8"/>
    <w:tblPr>
      <w:tblStyleRowBandSize w:val="1"/>
      <w:tblStyleColBandSize w:val="1"/>
      <w:tblCellMar>
        <w:left w:w="115.0" w:type="dxa"/>
        <w:right w:w="115.0" w:type="dxa"/>
      </w:tblCellMar>
    </w:tblPr>
  </w:style>
  <w:style w:type="table" w:styleId="af1" w:customStyle="1">
    <w:basedOn w:val="TableNormal8"/>
    <w:tblPr>
      <w:tblStyleRowBandSize w:val="1"/>
      <w:tblStyleColBandSize w:val="1"/>
      <w:tblCellMar>
        <w:left w:w="115.0" w:type="dxa"/>
        <w:right w:w="115.0" w:type="dxa"/>
      </w:tblCellMar>
    </w:tblPr>
  </w:style>
  <w:style w:type="table" w:styleId="af2" w:customStyle="1">
    <w:basedOn w:val="TableNormal8"/>
    <w:tblPr>
      <w:tblStyleRowBandSize w:val="1"/>
      <w:tblStyleColBandSize w:val="1"/>
      <w:tblCellMar>
        <w:left w:w="108.0" w:type="dxa"/>
        <w:right w:w="108.0" w:type="dxa"/>
      </w:tblCellMar>
    </w:tblPr>
  </w:style>
  <w:style w:type="table" w:styleId="af3" w:customStyle="1">
    <w:basedOn w:val="TableNormal8"/>
    <w:tblPr>
      <w:tblStyleRowBandSize w:val="1"/>
      <w:tblStyleColBandSize w:val="1"/>
      <w:tblCellMar>
        <w:left w:w="108.0" w:type="dxa"/>
        <w:right w:w="108.0" w:type="dxa"/>
      </w:tblCellMar>
    </w:tblPr>
  </w:style>
  <w:style w:type="table" w:styleId="af4" w:customStyle="1">
    <w:basedOn w:val="TableNormal8"/>
    <w:tblPr>
      <w:tblStyleRowBandSize w:val="1"/>
      <w:tblStyleColBandSize w:val="1"/>
      <w:tblCellMar>
        <w:left w:w="108.0" w:type="dxa"/>
        <w:right w:w="108.0" w:type="dxa"/>
      </w:tblCellMar>
    </w:tblPr>
  </w:style>
  <w:style w:type="table" w:styleId="af5" w:customStyle="1">
    <w:basedOn w:val="TableNormal8"/>
    <w:tblPr>
      <w:tblStyleRowBandSize w:val="1"/>
      <w:tblStyleColBandSize w:val="1"/>
      <w:tblCellMar>
        <w:top w:w="15.0" w:type="dxa"/>
        <w:left w:w="10.0" w:type="dxa"/>
        <w:bottom w:w="15.0" w:type="dxa"/>
        <w:right w:w="10.0" w:type="dxa"/>
      </w:tblCellMar>
    </w:tblPr>
  </w:style>
  <w:style w:type="table" w:styleId="af6" w:customStyle="1">
    <w:basedOn w:val="TableNormal8"/>
    <w:tblPr>
      <w:tblStyleRowBandSize w:val="1"/>
      <w:tblStyleColBandSize w:val="1"/>
      <w:tblCellMar>
        <w:top w:w="15.0" w:type="dxa"/>
        <w:left w:w="10.0" w:type="dxa"/>
        <w:bottom w:w="15.0" w:type="dxa"/>
        <w:right w:w="10.0" w:type="dxa"/>
      </w:tblCellMar>
    </w:tblPr>
  </w:style>
  <w:style w:type="table" w:styleId="af7" w:customStyle="1">
    <w:basedOn w:val="TableNormal8"/>
    <w:tblPr>
      <w:tblStyleRowBandSize w:val="1"/>
      <w:tblStyleColBandSize w:val="1"/>
      <w:tblCellMar>
        <w:top w:w="15.0" w:type="dxa"/>
        <w:left w:w="10.0" w:type="dxa"/>
        <w:bottom w:w="15.0" w:type="dxa"/>
        <w:right w:w="10.0" w:type="dxa"/>
      </w:tblCellMar>
    </w:tblPr>
  </w:style>
  <w:style w:type="table" w:styleId="af8" w:customStyle="1">
    <w:basedOn w:val="TableNormal8"/>
    <w:tblPr>
      <w:tblStyleRowBandSize w:val="1"/>
      <w:tblStyleColBandSize w:val="1"/>
      <w:tblCellMar>
        <w:top w:w="15.0" w:type="dxa"/>
        <w:left w:w="10.0" w:type="dxa"/>
        <w:bottom w:w="15.0" w:type="dxa"/>
        <w:right w:w="10.0" w:type="dxa"/>
      </w:tblCellMar>
    </w:tblPr>
  </w:style>
  <w:style w:type="table" w:styleId="af9" w:customStyle="1">
    <w:basedOn w:val="TableNormal7"/>
    <w:tblPr>
      <w:tblStyleRowBandSize w:val="1"/>
      <w:tblStyleColBandSize w:val="1"/>
      <w:tblCellMar>
        <w:top w:w="15.0" w:type="dxa"/>
        <w:left w:w="10.0" w:type="dxa"/>
        <w:bottom w:w="15.0" w:type="dxa"/>
        <w:right w:w="10.0" w:type="dxa"/>
      </w:tblCellMar>
    </w:tblPr>
  </w:style>
  <w:style w:type="table" w:styleId="afa" w:customStyle="1">
    <w:basedOn w:val="TableNormal7"/>
    <w:tblPr>
      <w:tblStyleRowBandSize w:val="1"/>
      <w:tblStyleColBandSize w:val="1"/>
      <w:tblCellMar>
        <w:top w:w="15.0" w:type="dxa"/>
        <w:left w:w="10.0" w:type="dxa"/>
        <w:bottom w:w="15.0" w:type="dxa"/>
        <w:right w:w="10.0" w:type="dxa"/>
      </w:tblCellMar>
    </w:tblPr>
  </w:style>
  <w:style w:type="table" w:styleId="afb" w:customStyle="1">
    <w:basedOn w:val="TableNormal7"/>
    <w:tblPr>
      <w:tblStyleRowBandSize w:val="1"/>
      <w:tblStyleColBandSize w:val="1"/>
      <w:tblCellMar>
        <w:top w:w="15.0" w:type="dxa"/>
        <w:left w:w="10.0" w:type="dxa"/>
        <w:bottom w:w="15.0" w:type="dxa"/>
        <w:right w:w="10.0" w:type="dxa"/>
      </w:tblCellMar>
    </w:tblPr>
  </w:style>
  <w:style w:type="table" w:styleId="afc" w:customStyle="1">
    <w:basedOn w:val="TableNormal7"/>
    <w:tblPr>
      <w:tblStyleRowBandSize w:val="1"/>
      <w:tblStyleColBandSize w:val="1"/>
      <w:tblCellMar>
        <w:top w:w="15.0" w:type="dxa"/>
        <w:left w:w="10.0" w:type="dxa"/>
        <w:bottom w:w="15.0" w:type="dxa"/>
        <w:right w:w="10.0" w:type="dxa"/>
      </w:tblCellMar>
    </w:tblPr>
  </w:style>
  <w:style w:type="table" w:styleId="afd" w:customStyle="1">
    <w:basedOn w:val="TableNormal7"/>
    <w:tblPr>
      <w:tblStyleRowBandSize w:val="1"/>
      <w:tblStyleColBandSize w:val="1"/>
      <w:tblCellMar>
        <w:top w:w="15.0" w:type="dxa"/>
        <w:left w:w="10.0" w:type="dxa"/>
        <w:bottom w:w="15.0" w:type="dxa"/>
        <w:right w:w="10.0" w:type="dxa"/>
      </w:tblCellMar>
    </w:tblPr>
  </w:style>
  <w:style w:type="table" w:styleId="afe" w:customStyle="1">
    <w:basedOn w:val="TableNormal6"/>
    <w:tblPr>
      <w:tblStyleRowBandSize w:val="1"/>
      <w:tblStyleColBandSize w:val="1"/>
      <w:tblCellMar>
        <w:left w:w="115.0" w:type="dxa"/>
        <w:right w:w="115.0" w:type="dxa"/>
      </w:tblCellMar>
    </w:tblPr>
  </w:style>
  <w:style w:type="table" w:styleId="aff" w:customStyle="1">
    <w:basedOn w:val="TableNormal6"/>
    <w:tblPr>
      <w:tblStyleRowBandSize w:val="1"/>
      <w:tblStyleColBandSize w:val="1"/>
      <w:tblCellMar>
        <w:left w:w="115.0" w:type="dxa"/>
        <w:right w:w="115.0" w:type="dxa"/>
      </w:tblCellMar>
    </w:tblPr>
  </w:style>
  <w:style w:type="table" w:styleId="aff0" w:customStyle="1">
    <w:basedOn w:val="TableNormal6"/>
    <w:tblPr>
      <w:tblStyleRowBandSize w:val="1"/>
      <w:tblStyleColBandSize w:val="1"/>
      <w:tblCellMar>
        <w:top w:w="15.0" w:type="dxa"/>
        <w:left w:w="10.0" w:type="dxa"/>
        <w:bottom w:w="15.0" w:type="dxa"/>
        <w:right w:w="10.0" w:type="dxa"/>
      </w:tblCellMar>
    </w:tblPr>
  </w:style>
  <w:style w:type="table" w:styleId="aff1" w:customStyle="1">
    <w:basedOn w:val="TableNormal6"/>
    <w:tblPr>
      <w:tblStyleRowBandSize w:val="1"/>
      <w:tblStyleColBandSize w:val="1"/>
      <w:tblCellMar>
        <w:top w:w="15.0" w:type="dxa"/>
        <w:left w:w="10.0" w:type="dxa"/>
        <w:bottom w:w="15.0" w:type="dxa"/>
        <w:right w:w="10.0" w:type="dxa"/>
      </w:tblCellMar>
    </w:tblPr>
  </w:style>
  <w:style w:type="table" w:styleId="aff2" w:customStyle="1">
    <w:basedOn w:val="TableNormal6"/>
    <w:tblPr>
      <w:tblStyleRowBandSize w:val="1"/>
      <w:tblStyleColBandSize w:val="1"/>
      <w:tblCellMar>
        <w:top w:w="15.0" w:type="dxa"/>
        <w:left w:w="10.0" w:type="dxa"/>
        <w:bottom w:w="15.0" w:type="dxa"/>
        <w:right w:w="10.0" w:type="dxa"/>
      </w:tblCellMar>
    </w:tblPr>
  </w:style>
  <w:style w:type="table" w:styleId="aff3" w:customStyle="1">
    <w:basedOn w:val="TableNormal6"/>
    <w:tblPr>
      <w:tblStyleRowBandSize w:val="1"/>
      <w:tblStyleColBandSize w:val="1"/>
      <w:tblCellMar>
        <w:top w:w="15.0" w:type="dxa"/>
        <w:left w:w="10.0" w:type="dxa"/>
        <w:bottom w:w="15.0" w:type="dxa"/>
        <w:right w:w="10.0" w:type="dxa"/>
      </w:tblCellMar>
    </w:tblPr>
  </w:style>
  <w:style w:type="table" w:styleId="aff4" w:customStyle="1">
    <w:basedOn w:val="TableNormal6"/>
    <w:tblPr>
      <w:tblStyleRowBandSize w:val="1"/>
      <w:tblStyleColBandSize w:val="1"/>
      <w:tblCellMar>
        <w:left w:w="115.0" w:type="dxa"/>
        <w:right w:w="115.0" w:type="dxa"/>
      </w:tblCellMar>
    </w:tblPr>
  </w:style>
  <w:style w:type="table" w:styleId="aff5" w:customStyle="1">
    <w:basedOn w:val="TableNormal6"/>
    <w:tblPr>
      <w:tblStyleRowBandSize w:val="1"/>
      <w:tblStyleColBandSize w:val="1"/>
      <w:tblCellMar>
        <w:top w:w="15.0" w:type="dxa"/>
        <w:left w:w="10.0" w:type="dxa"/>
        <w:bottom w:w="15.0" w:type="dxa"/>
        <w:right w:w="10.0" w:type="dxa"/>
      </w:tblCellMar>
    </w:tblPr>
  </w:style>
  <w:style w:type="table" w:styleId="aff6" w:customStyle="1">
    <w:basedOn w:val="TableNormal6"/>
    <w:tblPr>
      <w:tblStyleRowBandSize w:val="1"/>
      <w:tblStyleColBandSize w:val="1"/>
      <w:tblCellMar>
        <w:top w:w="15.0" w:type="dxa"/>
        <w:left w:w="10.0" w:type="dxa"/>
        <w:bottom w:w="15.0" w:type="dxa"/>
        <w:right w:w="10.0" w:type="dxa"/>
      </w:tblCellMar>
    </w:tblPr>
  </w:style>
  <w:style w:type="table" w:styleId="aff7" w:customStyle="1">
    <w:basedOn w:val="TableNormal6"/>
    <w:tblPr>
      <w:tblStyleRowBandSize w:val="1"/>
      <w:tblStyleColBandSize w:val="1"/>
      <w:tblCellMar>
        <w:top w:w="15.0" w:type="dxa"/>
        <w:left w:w="10.0" w:type="dxa"/>
        <w:bottom w:w="15.0" w:type="dxa"/>
        <w:right w:w="10.0" w:type="dxa"/>
      </w:tblCellMar>
    </w:tblPr>
  </w:style>
  <w:style w:type="table" w:styleId="aff8" w:customStyle="1">
    <w:basedOn w:val="TableNormal6"/>
    <w:tblPr>
      <w:tblStyleRowBandSize w:val="1"/>
      <w:tblStyleColBandSize w:val="1"/>
      <w:tblCellMar>
        <w:top w:w="15.0" w:type="dxa"/>
        <w:left w:w="10.0" w:type="dxa"/>
        <w:bottom w:w="15.0" w:type="dxa"/>
        <w:right w:w="10.0" w:type="dxa"/>
      </w:tblCellMar>
    </w:tblPr>
  </w:style>
  <w:style w:type="character" w:styleId="Ttulo7Car" w:customStyle="1">
    <w:name w:val="Título 7 Car"/>
    <w:basedOn w:val="Fuentedeprrafopredeter"/>
    <w:link w:val="Ttulo7"/>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character" w:styleId="Ttulo8Car" w:customStyle="1">
    <w:name w:val="Título 8 Car"/>
    <w:basedOn w:val="Fuentedeprrafopredeter"/>
    <w:link w:val="Ttulo8"/>
    <w:uiPriority w:val="9"/>
    <w:semiHidden w:val="1"/>
    <w:rsid w:val="00255CC5"/>
    <w:rPr>
      <w:rFonts w:asciiTheme="majorHAnsi" w:cstheme="majorBidi" w:eastAsiaTheme="majorEastAsia" w:hAnsiTheme="majorHAnsi"/>
      <w:color w:val="404040" w:themeColor="text1" w:themeTint="0000BF"/>
      <w:sz w:val="20"/>
      <w:szCs w:val="20"/>
      <w:lang w:val="es-MX"/>
    </w:rPr>
  </w:style>
  <w:style w:type="character" w:styleId="Ttulo9Car" w:customStyle="1">
    <w:name w:val="Título 9 Car"/>
    <w:basedOn w:val="Fuentedeprrafopredeter"/>
    <w:link w:val="Ttulo9"/>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table" w:styleId="aff9" w:customStyle="1">
    <w:basedOn w:val="TableNormal4"/>
    <w:tblPr>
      <w:tblStyleRowBandSize w:val="1"/>
      <w:tblStyleColBandSize w:val="1"/>
      <w:tblCellMar>
        <w:top w:w="15.0" w:type="dxa"/>
        <w:left w:w="15.0" w:type="dxa"/>
        <w:bottom w:w="15.0" w:type="dxa"/>
        <w:right w:w="15.0" w:type="dxa"/>
      </w:tblCellMar>
    </w:tblPr>
  </w:style>
  <w:style w:type="table" w:styleId="affa" w:customStyle="1">
    <w:basedOn w:val="TableNormal4"/>
    <w:tblPr>
      <w:tblStyleRowBandSize w:val="1"/>
      <w:tblStyleColBandSize w:val="1"/>
      <w:tblCellMar>
        <w:top w:w="15.0" w:type="dxa"/>
        <w:left w:w="10.0" w:type="dxa"/>
        <w:bottom w:w="15.0" w:type="dxa"/>
        <w:right w:w="10.0" w:type="dxa"/>
      </w:tblCellMar>
    </w:tblPr>
  </w:style>
  <w:style w:type="table" w:styleId="affb" w:customStyle="1">
    <w:basedOn w:val="TableNormal4"/>
    <w:tblPr>
      <w:tblStyleRowBandSize w:val="1"/>
      <w:tblStyleColBandSize w:val="1"/>
      <w:tblCellMar>
        <w:top w:w="15.0" w:type="dxa"/>
        <w:left w:w="10.0" w:type="dxa"/>
        <w:bottom w:w="15.0" w:type="dxa"/>
        <w:right w:w="10.0" w:type="dxa"/>
      </w:tblCellMar>
    </w:tblPr>
  </w:style>
  <w:style w:type="table" w:styleId="affc" w:customStyle="1">
    <w:basedOn w:val="TableNormal4"/>
    <w:tblPr>
      <w:tblStyleRowBandSize w:val="1"/>
      <w:tblStyleColBandSize w:val="1"/>
      <w:tblCellMar>
        <w:top w:w="15.0" w:type="dxa"/>
        <w:left w:w="10.0" w:type="dxa"/>
        <w:bottom w:w="15.0" w:type="dxa"/>
        <w:right w:w="10.0" w:type="dxa"/>
      </w:tblCellMar>
    </w:tblPr>
  </w:style>
  <w:style w:type="table" w:styleId="affd" w:customStyle="1">
    <w:basedOn w:val="TableNormal4"/>
    <w:tblPr>
      <w:tblStyleRowBandSize w:val="1"/>
      <w:tblStyleColBandSize w:val="1"/>
      <w:tblCellMar>
        <w:top w:w="15.0" w:type="dxa"/>
        <w:left w:w="10.0" w:type="dxa"/>
        <w:bottom w:w="15.0" w:type="dxa"/>
        <w:right w:w="10.0" w:type="dxa"/>
      </w:tblCellMar>
    </w:tblPr>
  </w:style>
  <w:style w:type="table" w:styleId="affe" w:customStyle="1">
    <w:basedOn w:val="TableNormal4"/>
    <w:tblPr>
      <w:tblStyleRowBandSize w:val="1"/>
      <w:tblStyleColBandSize w:val="1"/>
      <w:tblCellMar>
        <w:left w:w="70.0" w:type="dxa"/>
        <w:right w:w="70.0" w:type="dxa"/>
      </w:tblCellMar>
    </w:tblPr>
  </w:style>
  <w:style w:type="table" w:styleId="afff" w:customStyle="1">
    <w:basedOn w:val="TableNormal4"/>
    <w:tblPr>
      <w:tblStyleRowBandSize w:val="1"/>
      <w:tblStyleColBandSize w:val="1"/>
      <w:tblCellMar>
        <w:top w:w="100.0" w:type="dxa"/>
        <w:left w:w="100.0" w:type="dxa"/>
        <w:bottom w:w="100.0" w:type="dxa"/>
        <w:right w:w="100.0" w:type="dxa"/>
      </w:tblCellMar>
    </w:tblPr>
  </w:style>
  <w:style w:type="table" w:styleId="afff0" w:customStyle="1">
    <w:basedOn w:val="TableNormal4"/>
    <w:tblPr>
      <w:tblStyleRowBandSize w:val="1"/>
      <w:tblStyleColBandSize w:val="1"/>
      <w:tblCellMar>
        <w:top w:w="15.0" w:type="dxa"/>
        <w:left w:w="10.0" w:type="dxa"/>
        <w:bottom w:w="15.0" w:type="dxa"/>
        <w:right w:w="10.0" w:type="dxa"/>
      </w:tblCellMar>
    </w:tblPr>
  </w:style>
  <w:style w:type="table" w:styleId="afff1" w:customStyle="1">
    <w:basedOn w:val="TableNormal4"/>
    <w:tblPr>
      <w:tblStyleRowBandSize w:val="1"/>
      <w:tblStyleColBandSize w:val="1"/>
      <w:tblCellMar>
        <w:top w:w="15.0" w:type="dxa"/>
        <w:left w:w="10.0" w:type="dxa"/>
        <w:bottom w:w="15.0" w:type="dxa"/>
        <w:right w:w="10.0" w:type="dxa"/>
      </w:tblCellMar>
    </w:tblPr>
  </w:style>
  <w:style w:type="table" w:styleId="afff2" w:customStyle="1">
    <w:basedOn w:val="TableNormal4"/>
    <w:tblPr>
      <w:tblStyleRowBandSize w:val="1"/>
      <w:tblStyleColBandSize w:val="1"/>
      <w:tblCellMar>
        <w:top w:w="15.0" w:type="dxa"/>
        <w:left w:w="10.0" w:type="dxa"/>
        <w:bottom w:w="15.0" w:type="dxa"/>
        <w:right w:w="10.0" w:type="dxa"/>
      </w:tblCellMar>
    </w:tblPr>
  </w:style>
  <w:style w:type="table" w:styleId="afff3" w:customStyle="1">
    <w:basedOn w:val="TableNormal4"/>
    <w:tblPr>
      <w:tblStyleRowBandSize w:val="1"/>
      <w:tblStyleColBandSize w:val="1"/>
      <w:tblCellMar>
        <w:top w:w="15.0" w:type="dxa"/>
        <w:left w:w="10.0" w:type="dxa"/>
        <w:bottom w:w="15.0" w:type="dxa"/>
        <w:right w:w="10.0" w:type="dxa"/>
      </w:tblCellMar>
    </w:tblPr>
  </w:style>
  <w:style w:type="table" w:styleId="afff4" w:customStyle="1">
    <w:basedOn w:val="TableNormal2"/>
    <w:tblPr>
      <w:tblStyleRowBandSize w:val="1"/>
      <w:tblStyleColBandSize w:val="1"/>
    </w:tblPr>
  </w:style>
  <w:style w:type="table" w:styleId="afff5" w:customStyle="1">
    <w:basedOn w:val="TableNormal2"/>
    <w:tblPr>
      <w:tblStyleRowBandSize w:val="1"/>
      <w:tblStyleColBandSize w:val="1"/>
      <w:tblCellMar>
        <w:top w:w="15.0" w:type="dxa"/>
        <w:left w:w="10.0" w:type="dxa"/>
        <w:bottom w:w="15.0" w:type="dxa"/>
        <w:right w:w="10.0" w:type="dxa"/>
      </w:tblCellMar>
    </w:tblPr>
  </w:style>
  <w:style w:type="table" w:styleId="afff6" w:customStyle="1">
    <w:basedOn w:val="TableNormal2"/>
    <w:tblPr>
      <w:tblStyleRowBandSize w:val="1"/>
      <w:tblStyleColBandSize w:val="1"/>
      <w:tblCellMar>
        <w:top w:w="15.0" w:type="dxa"/>
        <w:left w:w="10.0" w:type="dxa"/>
        <w:bottom w:w="15.0" w:type="dxa"/>
        <w:right w:w="10.0" w:type="dxa"/>
      </w:tblCellMar>
    </w:tblPr>
  </w:style>
  <w:style w:type="table" w:styleId="afff7" w:customStyle="1">
    <w:basedOn w:val="TableNormal2"/>
    <w:tblPr>
      <w:tblStyleRowBandSize w:val="1"/>
      <w:tblStyleColBandSize w:val="1"/>
      <w:tblCellMar>
        <w:top w:w="15.0" w:type="dxa"/>
        <w:left w:w="10.0" w:type="dxa"/>
        <w:bottom w:w="15.0" w:type="dxa"/>
        <w:right w:w="10.0" w:type="dxa"/>
      </w:tblCellMar>
    </w:tblPr>
  </w:style>
  <w:style w:type="table" w:styleId="afff8" w:customStyle="1">
    <w:basedOn w:val="TableNormal2"/>
    <w:tblPr>
      <w:tblStyleRowBandSize w:val="1"/>
      <w:tblStyleColBandSize w:val="1"/>
      <w:tblCellMar>
        <w:top w:w="15.0" w:type="dxa"/>
        <w:left w:w="10.0" w:type="dxa"/>
        <w:bottom w:w="15.0" w:type="dxa"/>
        <w:right w:w="10.0" w:type="dxa"/>
      </w:tblCellMar>
    </w:tblPr>
  </w:style>
  <w:style w:type="table" w:styleId="afff9" w:customStyle="1">
    <w:basedOn w:val="TableNormal2"/>
    <w:tblPr>
      <w:tblStyleRowBandSize w:val="1"/>
      <w:tblStyleColBandSize w:val="1"/>
      <w:tblCellMar>
        <w:left w:w="115.0" w:type="dxa"/>
        <w:right w:w="115.0" w:type="dxa"/>
      </w:tblCellMar>
    </w:tblPr>
  </w:style>
  <w:style w:type="table" w:styleId="afffa" w:customStyle="1">
    <w:basedOn w:val="TableNormal2"/>
    <w:tblPr>
      <w:tblStyleRowBandSize w:val="1"/>
      <w:tblStyleColBandSize w:val="1"/>
      <w:tblCellMar>
        <w:top w:w="15.0" w:type="dxa"/>
        <w:left w:w="10.0" w:type="dxa"/>
        <w:bottom w:w="15.0" w:type="dxa"/>
        <w:right w:w="10.0" w:type="dxa"/>
      </w:tblCellMar>
    </w:tblPr>
  </w:style>
  <w:style w:type="table" w:styleId="afffb" w:customStyle="1">
    <w:basedOn w:val="TableNormal2"/>
    <w:tblPr>
      <w:tblStyleRowBandSize w:val="1"/>
      <w:tblStyleColBandSize w:val="1"/>
      <w:tblCellMar>
        <w:top w:w="15.0" w:type="dxa"/>
        <w:left w:w="10.0" w:type="dxa"/>
        <w:bottom w:w="15.0" w:type="dxa"/>
        <w:right w:w="10.0" w:type="dxa"/>
      </w:tblCellMar>
    </w:tblPr>
  </w:style>
  <w:style w:type="table" w:styleId="afffc" w:customStyle="1">
    <w:basedOn w:val="TableNormal2"/>
    <w:tblPr>
      <w:tblStyleRowBandSize w:val="1"/>
      <w:tblStyleColBandSize w:val="1"/>
      <w:tblCellMar>
        <w:top w:w="15.0" w:type="dxa"/>
        <w:left w:w="10.0" w:type="dxa"/>
        <w:bottom w:w="15.0" w:type="dxa"/>
        <w:right w:w="10.0" w:type="dxa"/>
      </w:tblCellMar>
    </w:tblPr>
  </w:style>
  <w:style w:type="table" w:styleId="afffd" w:customStyle="1">
    <w:basedOn w:val="TableNormal2"/>
    <w:tblPr>
      <w:tblStyleRowBandSize w:val="1"/>
      <w:tblStyleColBandSize w:val="1"/>
      <w:tblCellMar>
        <w:top w:w="15.0" w:type="dxa"/>
        <w:left w:w="10.0" w:type="dxa"/>
        <w:bottom w:w="15.0" w:type="dxa"/>
        <w:right w:w="10.0" w:type="dxa"/>
      </w:tblCellMar>
    </w:tblPr>
  </w:style>
  <w:style w:type="character" w:styleId="PrrafodelistaCar" w:customStyle="1">
    <w:name w:val="Párrafo de lista Car"/>
    <w:aliases w:val="Bullets Car,List Car,Fluvial1 Car,Ha Car,Cuadrícula clara - Énfasis 31 Car,Lista vistosa - Énfasis 11 Car,Normal. Viñetas Car,HOJA Car,Bolita Car,Párrafo de lista4 Car,BOLADEF Car,Párrafo de lista3 Car,Párrafo de lista21 Car,l Car"/>
    <w:basedOn w:val="Fuentedeprrafopredeter"/>
    <w:link w:val="Prrafodelista"/>
    <w:uiPriority w:val="34"/>
    <w:qFormat w:val="1"/>
    <w:rsid w:val="008D57FA"/>
  </w:style>
  <w:style w:type="table" w:styleId="Tablaconcuadrcula">
    <w:name w:val="Table Grid"/>
    <w:basedOn w:val="Tablanormal"/>
    <w:uiPriority w:val="39"/>
    <w:rsid w:val="008D57FA"/>
    <w:rPr>
      <w:rFonts w:ascii="Times New Roman" w:cs="Times New Roman" w:eastAsia="Times New Roman" w:hAnsi="Times New Roman"/>
      <w:sz w:val="20"/>
      <w:szCs w:val="20"/>
      <w:lang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top w:w="15.0" w:type="dxa"/>
        <w:left w:w="10.0" w:type="dxa"/>
        <w:bottom w:w="15.0" w:type="dxa"/>
        <w:right w:w="10.0" w:type="dxa"/>
      </w:tblCellMar>
    </w:tblPr>
  </w:style>
  <w:style w:type="table" w:styleId="affff0" w:customStyle="1">
    <w:basedOn w:val="TableNormal0"/>
    <w:tblPr>
      <w:tblStyleRowBandSize w:val="1"/>
      <w:tblStyleColBandSize w:val="1"/>
      <w:tblCellMar>
        <w:top w:w="15.0" w:type="dxa"/>
        <w:left w:w="10.0" w:type="dxa"/>
        <w:bottom w:w="15.0" w:type="dxa"/>
        <w:right w:w="10.0" w:type="dxa"/>
      </w:tblCellMar>
    </w:tblPr>
  </w:style>
  <w:style w:type="table" w:styleId="affff1" w:customStyle="1">
    <w:basedOn w:val="TableNormal0"/>
    <w:tblPr>
      <w:tblStyleRowBandSize w:val="1"/>
      <w:tblStyleColBandSize w:val="1"/>
      <w:tblCellMar>
        <w:top w:w="15.0" w:type="dxa"/>
        <w:left w:w="10.0" w:type="dxa"/>
        <w:bottom w:w="15.0" w:type="dxa"/>
        <w:right w:w="10.0" w:type="dxa"/>
      </w:tblCellMar>
    </w:tblPr>
  </w:style>
  <w:style w:type="table" w:styleId="affff2" w:customStyle="1">
    <w:basedOn w:val="TableNormal0"/>
    <w:tblPr>
      <w:tblStyleRowBandSize w:val="1"/>
      <w:tblStyleColBandSize w:val="1"/>
      <w:tblCellMar>
        <w:top w:w="15.0" w:type="dxa"/>
        <w:left w:w="10.0" w:type="dxa"/>
        <w:bottom w:w="15.0" w:type="dxa"/>
        <w:right w:w="1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 w:type="table" w:styleId="Table5">
    <w:basedOn w:val="TableNormal"/>
    <w:tblPr>
      <w:tblStyleRowBandSize w:val="1"/>
      <w:tblStyleColBandSize w:val="1"/>
      <w:tblCellMar>
        <w:top w:w="15.0" w:type="dxa"/>
        <w:left w:w="10.0" w:type="dxa"/>
        <w:bottom w:w="15.0" w:type="dxa"/>
        <w:right w:w="10.0" w:type="dxa"/>
      </w:tblCellMar>
    </w:tblPr>
  </w:style>
  <w:style w:type="table" w:styleId="Table6">
    <w:basedOn w:val="TableNormal"/>
    <w:tblPr>
      <w:tblStyleRowBandSize w:val="1"/>
      <w:tblStyleColBandSize w:val="1"/>
      <w:tblCellMar>
        <w:top w:w="15.0" w:type="dxa"/>
        <w:left w:w="10.0" w:type="dxa"/>
        <w:bottom w:w="15.0" w:type="dxa"/>
        <w:right w:w="10.0" w:type="dxa"/>
      </w:tblCellMar>
    </w:tblPr>
  </w:style>
  <w:style w:type="table" w:styleId="Table7">
    <w:basedOn w:val="TableNormal"/>
    <w:tblPr>
      <w:tblStyleRowBandSize w:val="1"/>
      <w:tblStyleColBandSize w:val="1"/>
      <w:tblCellMar>
        <w:top w:w="15.0" w:type="dxa"/>
        <w:left w:w="10.0" w:type="dxa"/>
        <w:bottom w:w="15.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0.0" w:type="dxa"/>
        <w:bottom w:w="15.0" w:type="dxa"/>
        <w:right w:w="10.0" w:type="dxa"/>
      </w:tblCellMar>
    </w:tblPr>
  </w:style>
  <w:style w:type="table" w:styleId="Table2">
    <w:basedOn w:val="TableNormal"/>
    <w:tblPr>
      <w:tblStyleRowBandSize w:val="1"/>
      <w:tblStyleColBandSize w:val="1"/>
      <w:tblCellMar>
        <w:top w:w="15.0" w:type="dxa"/>
        <w:left w:w="10.0" w:type="dxa"/>
        <w:bottom w:w="15.0" w:type="dxa"/>
        <w:right w:w="10.0" w:type="dxa"/>
      </w:tblCellMar>
    </w:tblPr>
  </w:style>
  <w:style w:type="table" w:styleId="Table3">
    <w:basedOn w:val="TableNormal"/>
    <w:tblPr>
      <w:tblStyleRowBandSize w:val="1"/>
      <w:tblStyleColBandSize w:val="1"/>
      <w:tblCellMar>
        <w:top w:w="15.0" w:type="dxa"/>
        <w:left w:w="10.0" w:type="dxa"/>
        <w:bottom w:w="15.0" w:type="dxa"/>
        <w:right w:w="10.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5Xt5bI7FiOy2E3F801OFAv11g==">CgMxLjAyDmguZzU2dG5neXE4bXdtMg5oLmZob3IwbjN0c3RpeDIIaC5namRneHMyDWgueXZic2J3YnF4OWYyCWguM3pueXNoNzIOaC5hbDhmamUzaDcycXYyDmgubDhtOHh3aGhmejk4MgloLjJldDkycDA4AHIhMUxoblVCdDAySGg0UDE2WGxFd3J6QzI5R3hZODlqZHUw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2025-07-01T19:11:00Z</dcterms:created>
  <dc:creator>Apolo y Junior</dc:creator>
</cp:coreProperties>
</file>