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63F" w:rsidRDefault="0020763F">
      <w:pPr>
        <w:jc w:val="both"/>
        <w:rPr>
          <w:rFonts w:ascii="Calibri" w:eastAsia="Calibri" w:hAnsi="Calibri" w:cs="Calibri"/>
          <w:color w:val="FF0000"/>
        </w:rPr>
      </w:pPr>
    </w:p>
    <w:p w:rsidR="004F4C53" w:rsidRPr="00C308CC" w:rsidRDefault="0013515B" w:rsidP="004F4C53">
      <w:pPr>
        <w:widowControl w:val="0"/>
        <w:adjustRightInd w:val="0"/>
        <w:spacing w:line="240" w:lineRule="atLeast"/>
        <w:ind w:left="23"/>
        <w:jc w:val="both"/>
        <w:rPr>
          <w:rFonts w:ascii="Calibri" w:hAnsi="Calibri" w:cs="Arial"/>
          <w:lang w:val="es-MX"/>
        </w:rPr>
      </w:pPr>
      <w:r w:rsidRPr="00C308CC">
        <w:rPr>
          <w:rFonts w:ascii="Calibri" w:eastAsia="Calibri" w:hAnsi="Calibri" w:cs="Calibri"/>
        </w:rPr>
        <w:t xml:space="preserve">El SENA </w:t>
      </w:r>
      <w:r w:rsidR="008F01C4" w:rsidRPr="00C308CC">
        <w:rPr>
          <w:rFonts w:ascii="Calibri" w:eastAsia="Calibri" w:hAnsi="Calibri" w:cs="Calibri"/>
        </w:rPr>
        <w:t>Regional Nariño</w:t>
      </w:r>
      <w:r w:rsidRPr="00C308CC">
        <w:rPr>
          <w:rFonts w:ascii="Calibri" w:eastAsia="Calibri" w:hAnsi="Calibri" w:cs="Calibri"/>
        </w:rPr>
        <w:t xml:space="preserve">, está interesado en obtener ofertas para seleccionar en igualdad de oportunidades a los proponentes que ofrezcan las mejores condiciones para </w:t>
      </w:r>
      <w:r w:rsidR="008F01C4" w:rsidRPr="00C308CC">
        <w:rPr>
          <w:rFonts w:ascii="Calibri" w:eastAsia="Calibri" w:hAnsi="Calibri" w:cs="Calibri"/>
        </w:rPr>
        <w:t xml:space="preserve">la contratación </w:t>
      </w:r>
      <w:r w:rsidR="00C308CC" w:rsidRPr="00C308CC">
        <w:rPr>
          <w:rFonts w:ascii="Calibri" w:eastAsia="Calibri" w:hAnsi="Calibri" w:cs="Calibri"/>
        </w:rPr>
        <w:t>de</w:t>
      </w:r>
      <w:r w:rsidR="00BA5699">
        <w:rPr>
          <w:rFonts w:ascii="Calibri" w:eastAsia="Calibri" w:hAnsi="Calibri" w:cs="Calibri"/>
        </w:rPr>
        <w:t>l suministro y dispensación de medicamentos y prestación del servicio farmacéutico</w:t>
      </w:r>
      <w:r w:rsidR="007C6A7C" w:rsidRPr="00C308CC">
        <w:rPr>
          <w:rFonts w:ascii="Calibri" w:eastAsia="Calibri" w:hAnsi="Calibri" w:cs="Calibri"/>
        </w:rPr>
        <w:t xml:space="preserve">, </w:t>
      </w:r>
      <w:r w:rsidR="00C412F6" w:rsidRPr="00C308CC">
        <w:rPr>
          <w:rFonts w:ascii="Calibri" w:eastAsia="Calibri" w:hAnsi="Calibri" w:cs="Calibri"/>
        </w:rPr>
        <w:t>para los</w:t>
      </w:r>
      <w:r w:rsidR="004F4C53" w:rsidRPr="00C308CC">
        <w:rPr>
          <w:rFonts w:ascii="Calibri" w:hAnsi="Calibri" w:cs="Arial"/>
          <w:lang w:val="es-MX"/>
        </w:rPr>
        <w:t xml:space="preserve">  beneficiarios del Servicio Médico A</w:t>
      </w:r>
      <w:r w:rsidR="00C412F6" w:rsidRPr="00C308CC">
        <w:rPr>
          <w:rFonts w:ascii="Calibri" w:hAnsi="Calibri" w:cs="Arial"/>
          <w:lang w:val="es-MX"/>
        </w:rPr>
        <w:t xml:space="preserve">sistencial, en el SENA Regional Nariño. </w:t>
      </w:r>
    </w:p>
    <w:p w:rsidR="0020763F" w:rsidRPr="004D4CCF" w:rsidRDefault="0020763F">
      <w:pPr>
        <w:jc w:val="both"/>
        <w:rPr>
          <w:rFonts w:asciiTheme="majorHAnsi" w:eastAsia="Calibri" w:hAnsiTheme="majorHAnsi" w:cs="Calibri"/>
        </w:rPr>
      </w:pPr>
    </w:p>
    <w:p w:rsidR="0020763F" w:rsidRPr="004D4CCF" w:rsidRDefault="0013515B">
      <w:pPr>
        <w:numPr>
          <w:ilvl w:val="0"/>
          <w:numId w:val="2"/>
        </w:numPr>
        <w:pBdr>
          <w:top w:val="nil"/>
          <w:left w:val="nil"/>
          <w:bottom w:val="nil"/>
          <w:right w:val="nil"/>
          <w:between w:val="nil"/>
        </w:pBdr>
        <w:ind w:left="720" w:hanging="709"/>
        <w:jc w:val="both"/>
        <w:rPr>
          <w:rFonts w:asciiTheme="majorHAnsi" w:eastAsia="Calibri" w:hAnsiTheme="majorHAnsi" w:cs="Calibri"/>
          <w:color w:val="000000"/>
        </w:rPr>
      </w:pPr>
      <w:bookmarkStart w:id="0" w:name="_30j0zll" w:colFirst="0" w:colLast="0"/>
      <w:bookmarkEnd w:id="0"/>
      <w:r w:rsidRPr="004D4CCF">
        <w:rPr>
          <w:rFonts w:asciiTheme="majorHAnsi" w:eastAsia="Calibri" w:hAnsiTheme="majorHAnsi" w:cs="Calibri"/>
          <w:b/>
          <w:color w:val="000000"/>
        </w:rPr>
        <w:t xml:space="preserve">CAUSALES DE RECHAZO DE LAS OFERTAS O DECLARATORIA DE DESIERTO DEL PROCESO: </w:t>
      </w:r>
    </w:p>
    <w:p w:rsidR="0020763F" w:rsidRPr="004D4CCF" w:rsidRDefault="0020763F">
      <w:pPr>
        <w:pBdr>
          <w:top w:val="nil"/>
          <w:left w:val="nil"/>
          <w:bottom w:val="nil"/>
          <w:right w:val="nil"/>
          <w:between w:val="nil"/>
        </w:pBdr>
        <w:ind w:left="720"/>
        <w:jc w:val="both"/>
        <w:rPr>
          <w:rFonts w:asciiTheme="majorHAnsi" w:eastAsia="Calibri" w:hAnsiTheme="majorHAnsi" w:cs="Calibri"/>
          <w:color w:val="000000"/>
        </w:rPr>
      </w:pP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proponente está  incurso en alguna o algunas de las prohibiciones,    inhabilidades y/o incompatibilidades establecidas en la Constitución y la ley para contratar con el Estado.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se encuentre registrado en el Boletín expedido por la Contraloría General de la República como responsable fiscal, situación que la Entidad verificará.</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objeto social del proponente, no guarde relación con el objeto 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la persona jurídica tenga limitaciones para contratar y no tenga la autorización expresa del órgano social competente para presentar oferta y/o celebrar el Contrato.</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Representante Legal de una persona jurídica ostente igual condición en otra u otras firmas diferentes, que también estén participando en el presente proceso.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una persona natural o jurídica, por si o por interpuesta persona, forme parte de más de un Consorcio o Unión Temporal que presenten propuesta para este proceso de selección, asimismo, cuando una persona presente más de una oferta para este proceso, causará rechazo de todas las propuestas en las que él intervenga.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se compruebe que la información contenida en los documentos que componen la oferta no es veraz o no corresponde con la realidad.</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la oferta supere el presupuesto disponible para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se tenga conocimiento de quejas presentadas por los servicios prestados a los usuarios del oferente.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con el precio más bajo no subsane los requisitos habilitantes en el tiempo requerido por la Entidad y así sucesivamente.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ninguna de las ofertas se ajuste a las exigencias contenidas en la presente invitación pública.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se hubiere radicado y presentado después de la fecha y hora exacta establecida como límite para el cierre del proceso de selección o presentado en oficina o dependencia diferente de la indicada expresamente para el efecto, o enviada por correo electrónico o vía fax.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de menor valor no cumpla las condiciones técnicas exigidas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marca que propone el oferente no cumpla con las descripciones técnicas solicitadas en la invitación pública.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Se debe establecer correctamente la propuesta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Cuando se presenten borrones, enmendaduras o tachaduras en la oferta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Cuando no se presente ningún oferente.</w:t>
      </w:r>
      <w:r w:rsidRPr="004D4CCF">
        <w:rPr>
          <w:rFonts w:asciiTheme="majorHAnsi" w:hAnsiTheme="majorHAnsi" w:cs="Arial"/>
        </w:rPr>
        <w:t xml:space="preserv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rPr>
        <w:t>cuando se presente alguna inconsistencia o inexactitud en la información de la propuesta, sobre los documentos con los cuales se acrediten factores habilitantes, sin que medie justificación razonablemente aceptable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t>Se deben cotizar el total de los ítems solicitados en la presente invitación, si no la propuesta será rechazada.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lastRenderedPageBreak/>
        <w:t>Una vez analizada las ofertas económicas, la entidad de acuerdo al establecido en el artículo 2.2.1.1.2.2.4 decreto 1082/2015, podrá requerir al oferente que presente valores artificialmente bajos para que expliques las razones que sustentan el valor ofrecido, de acuerdo al sustento de las explicaciones la oferta será rechazada o continuar en el proceso.</w:t>
      </w:r>
    </w:p>
    <w:p w:rsidR="0020763F" w:rsidRPr="004D4CCF" w:rsidRDefault="0020763F">
      <w:pPr>
        <w:ind w:left="360"/>
        <w:jc w:val="both"/>
        <w:rPr>
          <w:rFonts w:asciiTheme="majorHAnsi" w:eastAsia="Calibri" w:hAnsiTheme="majorHAnsi" w:cs="Calibri"/>
          <w:b/>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 xml:space="preserve">VALIDEZ DE LAS OFERTAS: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validez de la oferta debe ser de </w:t>
      </w:r>
      <w:r w:rsidR="00DE2E16">
        <w:rPr>
          <w:rFonts w:asciiTheme="majorHAnsi" w:eastAsia="Calibri" w:hAnsiTheme="majorHAnsi" w:cs="Calibri"/>
          <w:color w:val="000000"/>
        </w:rPr>
        <w:t>cuarenta y cinco</w:t>
      </w:r>
      <w:r w:rsidR="009C31BF">
        <w:rPr>
          <w:rFonts w:asciiTheme="majorHAnsi" w:eastAsia="Calibri" w:hAnsiTheme="majorHAnsi" w:cs="Calibri"/>
          <w:color w:val="000000"/>
        </w:rPr>
        <w:t xml:space="preserve"> </w:t>
      </w:r>
      <w:r w:rsidR="00DE2E16">
        <w:rPr>
          <w:rFonts w:asciiTheme="majorHAnsi" w:eastAsia="Calibri" w:hAnsiTheme="majorHAnsi" w:cs="Calibri"/>
          <w:color w:val="000000"/>
        </w:rPr>
        <w:t xml:space="preserve"> (45) </w:t>
      </w:r>
      <w:r w:rsidRPr="004D4CCF">
        <w:rPr>
          <w:rFonts w:asciiTheme="majorHAnsi" w:eastAsia="Calibri" w:hAnsiTheme="majorHAnsi" w:cs="Calibri"/>
          <w:color w:val="000000"/>
        </w:rPr>
        <w:t xml:space="preserve"> días calendario a partir de la fecha de cierre del proceso.</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PARTICIPANTES</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Ninguno de los miembros de los integrantes del consorcio o unión temporal del proponente adjudicatario, podrá ceder su participación sin la autorización previa y escrita del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SERVICIO NACIONAL DE APRENDIZAJE.</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Ninguna persona podrá participar en más de una propuesta, bien sea como proponente individual, sociedad o como integrante de un consorcio, unión temporal.</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Cada uno de los integrantes del consorcio o de la unión temporal, deberá presentar individualmente los documentos que acrediten su capacidad jurídica, técnica y su existencia y representación legal.</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Según si se trata de persona natural, persona jurídica, consorcio o unión temporal, los proponentes deberán presentar los documentos, de acuerdo con su naturaleza jurídica.</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SELECCIÓN Y ADJUDICACIÓN:</w:t>
      </w:r>
    </w:p>
    <w:p w:rsidR="0020763F" w:rsidRPr="004D4CCF" w:rsidRDefault="0020763F">
      <w:pPr>
        <w:ind w:right="6"/>
        <w:jc w:val="both"/>
        <w:rPr>
          <w:rFonts w:asciiTheme="majorHAnsi" w:eastAsia="Calibri" w:hAnsiTheme="majorHAnsi" w:cs="Calibri"/>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La selección se efectuará con base en el siguiente procedimiento:</w:t>
      </w:r>
    </w:p>
    <w:p w:rsidR="0020763F" w:rsidRPr="004D4CCF" w:rsidRDefault="0020763F">
      <w:pPr>
        <w:pBdr>
          <w:top w:val="nil"/>
          <w:left w:val="nil"/>
          <w:bottom w:val="nil"/>
          <w:right w:val="nil"/>
          <w:between w:val="nil"/>
        </w:pBdr>
        <w:ind w:left="426" w:hanging="284"/>
        <w:jc w:val="both"/>
        <w:rPr>
          <w:rFonts w:asciiTheme="majorHAnsi" w:eastAsia="Calibri" w:hAnsiTheme="majorHAnsi" w:cs="Calibri"/>
          <w:color w:val="000000"/>
          <w:highlight w:val="yellow"/>
        </w:rPr>
      </w:pP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establecerá el orden de escogencia de ofertas teniendo como base el precio más bajo, siempre que se encuentre en condiciones de mercado, no supere el presupuesto oficial y no tenga un precio artificialmente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Establecido este orden, se verificará el cumplimiento de los requisitos mínimos habilitantes para el oferente que tenga el precio más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lastRenderedPageBreak/>
        <w:t>En caso que este (1°) no cumpla con los requisitos habilitantes exigidos, se podrá contratar con el oferente que haya presentado el segundo menor precio previa verificación de sus calidades habilitantes.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En caso de que este (2°) tampoco cumpla con los requisitos habilitantes, se verificarán las de quien presentó el tercer (3°) menor precio y así sucesivamente hasta obtener un oferente habilitado. </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Si sólo se presenta una oferta, esta se aceptará siempre que satisfaga los requerimientos contenidos en la invitación pública.</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empate la entidad adjudicará a quien haya entregado primero la oferta entre los empatados, según el orden de entrega de las mismas.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no presentarse habilitada alguna de las propuestas, el proceso se declarará desierto.</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entidad seleccionará mediante comunicación de aceptación de la oferta electrónica al proponente con el precio más bajo siempre y cuando cumpla con las condiciones señaladas en esta invitación. </w:t>
      </w:r>
    </w:p>
    <w:p w:rsidR="0020763F" w:rsidRPr="004D4CCF" w:rsidRDefault="0020763F">
      <w:pPr>
        <w:pBdr>
          <w:top w:val="nil"/>
          <w:left w:val="nil"/>
          <w:bottom w:val="nil"/>
          <w:right w:val="nil"/>
          <w:between w:val="nil"/>
        </w:pBdr>
        <w:jc w:val="both"/>
        <w:rPr>
          <w:rFonts w:asciiTheme="majorHAnsi" w:eastAsia="Calibri" w:hAnsiTheme="majorHAns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Pr="004D4CCF" w:rsidRDefault="0013515B">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color w:val="000000"/>
          <w:sz w:val="20"/>
          <w:szCs w:val="20"/>
        </w:rPr>
        <w:t>Proyectó:</w:t>
      </w:r>
      <w:r>
        <w:rPr>
          <w:rFonts w:ascii="Calibri" w:eastAsia="Calibri" w:hAnsi="Calibri" w:cs="Calibri"/>
          <w:color w:val="FF0000"/>
          <w:sz w:val="20"/>
          <w:szCs w:val="20"/>
        </w:rPr>
        <w:t xml:space="preserve"> </w:t>
      </w:r>
      <w:r w:rsidR="004D4CCF" w:rsidRPr="004D4CCF">
        <w:rPr>
          <w:rFonts w:ascii="Calibri" w:eastAsia="Calibri" w:hAnsi="Calibri" w:cs="Calibri"/>
          <w:sz w:val="20"/>
          <w:szCs w:val="20"/>
        </w:rPr>
        <w:t xml:space="preserve">Sonia Nardet Viteri Rosero, </w:t>
      </w:r>
      <w:proofErr w:type="spellStart"/>
      <w:r w:rsidR="004D4CCF" w:rsidRPr="004D4CCF">
        <w:rPr>
          <w:rFonts w:ascii="Calibri" w:eastAsia="Calibri" w:hAnsi="Calibri" w:cs="Calibri"/>
          <w:sz w:val="20"/>
          <w:szCs w:val="20"/>
        </w:rPr>
        <w:t>Lider</w:t>
      </w:r>
      <w:proofErr w:type="spellEnd"/>
      <w:r w:rsidR="004D4CCF" w:rsidRPr="004D4CCF">
        <w:rPr>
          <w:rFonts w:ascii="Calibri" w:eastAsia="Calibri" w:hAnsi="Calibri" w:cs="Calibri"/>
          <w:sz w:val="20"/>
          <w:szCs w:val="20"/>
        </w:rPr>
        <w:t xml:space="preserve"> SMA</w:t>
      </w:r>
      <w:bookmarkStart w:id="1" w:name="_GoBack"/>
      <w:bookmarkEnd w:id="1"/>
    </w:p>
    <w:sectPr w:rsidR="0020763F" w:rsidRPr="004D4CCF">
      <w:headerReference w:type="default" r:id="rId8"/>
      <w:pgSz w:w="12240" w:h="20160"/>
      <w:pgMar w:top="1860" w:right="1134" w:bottom="2381" w:left="1701" w:header="124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EAF" w:rsidRDefault="00D05EAF">
      <w:r>
        <w:separator/>
      </w:r>
    </w:p>
  </w:endnote>
  <w:endnote w:type="continuationSeparator" w:id="0">
    <w:p w:rsidR="00D05EAF" w:rsidRDefault="00D05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EAF" w:rsidRDefault="00D05EAF">
      <w:r>
        <w:separator/>
      </w:r>
    </w:p>
  </w:footnote>
  <w:footnote w:type="continuationSeparator" w:id="0">
    <w:p w:rsidR="00D05EAF" w:rsidRDefault="00D05E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F" w:rsidRDefault="0020763F">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0"/>
      <w:tblW w:w="9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8460"/>
    </w:tblGrid>
    <w:tr w:rsidR="0020763F">
      <w:trPr>
        <w:trHeight w:val="2121"/>
      </w:trPr>
      <w:tc>
        <w:tcPr>
          <w:tcW w:w="1150" w:type="dxa"/>
          <w:tcBorders>
            <w:top w:val="nil"/>
            <w:left w:val="nil"/>
            <w:bottom w:val="nil"/>
            <w:right w:val="nil"/>
          </w:tcBorders>
        </w:tcPr>
        <w:p w:rsidR="0020763F" w:rsidRDefault="0013515B">
          <w:pPr>
            <w:pBdr>
              <w:top w:val="nil"/>
              <w:left w:val="nil"/>
              <w:bottom w:val="nil"/>
              <w:right w:val="nil"/>
              <w:between w:val="nil"/>
            </w:pBdr>
            <w:tabs>
              <w:tab w:val="center" w:pos="4252"/>
              <w:tab w:val="right" w:pos="8504"/>
            </w:tabs>
            <w:rPr>
              <w:rFonts w:ascii="Tahoma" w:eastAsia="Tahoma" w:hAnsi="Tahoma" w:cs="Tahoma"/>
              <w:b/>
              <w:i/>
              <w:color w:val="000000"/>
              <w:sz w:val="18"/>
              <w:szCs w:val="18"/>
            </w:rPr>
          </w:pPr>
          <w:r>
            <w:rPr>
              <w:noProof/>
              <w:lang w:val="es-CO" w:eastAsia="es-CO"/>
            </w:rPr>
            <w:drawing>
              <wp:anchor distT="0" distB="0" distL="114300" distR="114300" simplePos="0" relativeHeight="251658240" behindDoc="0" locked="0" layoutInCell="1" hidden="0" allowOverlap="1">
                <wp:simplePos x="0" y="0"/>
                <wp:positionH relativeFrom="column">
                  <wp:posOffset>-48259</wp:posOffset>
                </wp:positionH>
                <wp:positionV relativeFrom="paragraph">
                  <wp:posOffset>-96519</wp:posOffset>
                </wp:positionV>
                <wp:extent cx="676275" cy="619125"/>
                <wp:effectExtent l="0" t="0" r="0" b="0"/>
                <wp:wrapNone/>
                <wp:docPr id="1" name="image1.png" descr="noti1-2001-7"/>
                <wp:cNvGraphicFramePr/>
                <a:graphic xmlns:a="http://schemas.openxmlformats.org/drawingml/2006/main">
                  <a:graphicData uri="http://schemas.openxmlformats.org/drawingml/2006/picture">
                    <pic:pic xmlns:pic="http://schemas.openxmlformats.org/drawingml/2006/picture">
                      <pic:nvPicPr>
                        <pic:cNvPr id="0" name="image1.png" descr="noti1-2001-7"/>
                        <pic:cNvPicPr preferRelativeResize="0"/>
                      </pic:nvPicPr>
                      <pic:blipFill>
                        <a:blip r:embed="rId1"/>
                        <a:srcRect/>
                        <a:stretch>
                          <a:fillRect/>
                        </a:stretch>
                      </pic:blipFill>
                      <pic:spPr>
                        <a:xfrm>
                          <a:off x="0" y="0"/>
                          <a:ext cx="676275" cy="619125"/>
                        </a:xfrm>
                        <a:prstGeom prst="rect">
                          <a:avLst/>
                        </a:prstGeom>
                        <a:ln/>
                      </pic:spPr>
                    </pic:pic>
                  </a:graphicData>
                </a:graphic>
              </wp:anchor>
            </w:drawing>
          </w: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13515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 </w:t>
          </w:r>
        </w:p>
      </w:tc>
      <w:tc>
        <w:tcPr>
          <w:tcW w:w="8460" w:type="dxa"/>
          <w:tcBorders>
            <w:top w:val="nil"/>
            <w:left w:val="nil"/>
            <w:bottom w:val="nil"/>
            <w:right w:val="nil"/>
          </w:tcBorders>
        </w:tcPr>
        <w:p w:rsidR="0020763F" w:rsidRPr="004D4CCF" w:rsidRDefault="0013515B">
          <w:pPr>
            <w:tabs>
              <w:tab w:val="left" w:pos="1575"/>
              <w:tab w:val="center" w:pos="4160"/>
            </w:tabs>
            <w:jc w:val="center"/>
            <w:rPr>
              <w:rFonts w:asciiTheme="majorHAnsi" w:eastAsia="Calibri" w:hAnsiTheme="majorHAnsi" w:cs="Calibri"/>
              <w:b/>
              <w:color w:val="000000"/>
            </w:rPr>
          </w:pPr>
          <w:r w:rsidRPr="004D4CCF">
            <w:rPr>
              <w:rFonts w:asciiTheme="majorHAnsi" w:eastAsia="Calibri" w:hAnsiTheme="majorHAnsi" w:cs="Calibri"/>
              <w:b/>
              <w:color w:val="000000"/>
            </w:rPr>
            <w:t>ANEXO A LA INVITACIÓN PÚBLICA</w:t>
          </w:r>
          <w:r w:rsidR="008F01C4" w:rsidRPr="004D4CCF">
            <w:rPr>
              <w:rFonts w:asciiTheme="majorHAnsi" w:eastAsia="Calibri" w:hAnsiTheme="majorHAnsi" w:cs="Calibri"/>
              <w:b/>
              <w:color w:val="000000"/>
            </w:rPr>
            <w:t xml:space="preserve"> </w:t>
          </w:r>
          <w:r w:rsidRPr="004D4CCF">
            <w:rPr>
              <w:rFonts w:asciiTheme="majorHAnsi" w:eastAsia="Calibri" w:hAnsiTheme="majorHAnsi" w:cs="Calibri"/>
              <w:b/>
              <w:color w:val="000000"/>
            </w:rPr>
            <w:t xml:space="preserve">– No. </w:t>
          </w:r>
          <w:r w:rsidR="00C412F6" w:rsidRPr="0025549B">
            <w:rPr>
              <w:rFonts w:ascii="Arial" w:hAnsi="Arial" w:cs="Arial"/>
              <w:b/>
              <w:bCs/>
              <w:sz w:val="22"/>
              <w:szCs w:val="22"/>
              <w:lang w:val="pt-BR"/>
            </w:rPr>
            <w:t xml:space="preserve"> </w:t>
          </w:r>
          <w:r w:rsidR="00DE2E16" w:rsidRPr="00977DA9">
            <w:rPr>
              <w:rFonts w:ascii="Arial" w:hAnsi="Arial" w:cs="Arial"/>
              <w:b/>
              <w:bCs/>
              <w:sz w:val="22"/>
              <w:szCs w:val="22"/>
              <w:lang w:val="pt-BR"/>
            </w:rPr>
            <w:t>MC-NRÑ-RN-0</w:t>
          </w:r>
          <w:r w:rsidR="00C308CC">
            <w:rPr>
              <w:rFonts w:ascii="Arial" w:hAnsi="Arial" w:cs="Arial"/>
              <w:b/>
              <w:bCs/>
              <w:sz w:val="22"/>
              <w:szCs w:val="22"/>
              <w:lang w:val="pt-BR"/>
            </w:rPr>
            <w:t>10</w:t>
          </w:r>
          <w:r w:rsidR="00BA5699">
            <w:rPr>
              <w:rFonts w:ascii="Arial" w:hAnsi="Arial" w:cs="Arial"/>
              <w:b/>
              <w:bCs/>
              <w:sz w:val="22"/>
              <w:szCs w:val="22"/>
              <w:lang w:val="pt-BR"/>
            </w:rPr>
            <w:t>7</w:t>
          </w:r>
          <w:r w:rsidR="00DE2E16" w:rsidRPr="00977DA9">
            <w:rPr>
              <w:rFonts w:ascii="Arial" w:hAnsi="Arial" w:cs="Arial"/>
              <w:b/>
              <w:bCs/>
              <w:sz w:val="22"/>
              <w:szCs w:val="22"/>
              <w:lang w:val="pt-BR"/>
            </w:rPr>
            <w:t>-2020</w:t>
          </w:r>
        </w:p>
        <w:p w:rsidR="0020763F" w:rsidRPr="004D4CCF" w:rsidRDefault="0020763F">
          <w:pPr>
            <w:jc w:val="center"/>
            <w:rPr>
              <w:rFonts w:asciiTheme="majorHAnsi" w:eastAsia="Calibri" w:hAnsiTheme="majorHAnsi" w:cs="Calibri"/>
              <w:b/>
              <w:color w:val="000000"/>
            </w:rPr>
          </w:pPr>
        </w:p>
        <w:p w:rsidR="0020763F" w:rsidRPr="004D4CCF" w:rsidRDefault="0013515B">
          <w:pPr>
            <w:jc w:val="center"/>
            <w:rPr>
              <w:rFonts w:asciiTheme="majorHAnsi" w:eastAsia="Calibri" w:hAnsiTheme="majorHAnsi" w:cs="Calibri"/>
              <w:b/>
              <w:color w:val="000000"/>
            </w:rPr>
          </w:pPr>
          <w:r w:rsidRPr="004D4CCF">
            <w:rPr>
              <w:rFonts w:asciiTheme="majorHAnsi" w:eastAsia="Calibri" w:hAnsiTheme="majorHAnsi" w:cs="Calibri"/>
              <w:b/>
              <w:color w:val="000000"/>
            </w:rPr>
            <w:t xml:space="preserve">MÍNIMA CUANTÍA </w:t>
          </w:r>
        </w:p>
        <w:p w:rsidR="0020763F" w:rsidRPr="004D4CCF" w:rsidRDefault="0020763F">
          <w:pPr>
            <w:jc w:val="center"/>
            <w:rPr>
              <w:rFonts w:asciiTheme="majorHAnsi" w:eastAsia="Calibri" w:hAnsiTheme="majorHAnsi" w:cs="Calibri"/>
              <w:b/>
              <w:color w:val="000000"/>
            </w:rPr>
          </w:pPr>
        </w:p>
        <w:p w:rsidR="008F01C4" w:rsidRPr="007C6A7C" w:rsidRDefault="008F01C4" w:rsidP="00BA5699">
          <w:pPr>
            <w:jc w:val="both"/>
            <w:rPr>
              <w:rFonts w:asciiTheme="majorHAnsi" w:hAnsiTheme="majorHAnsi" w:cs="Arial"/>
              <w:b/>
              <w:bCs/>
              <w:lang w:val="es-ES" w:eastAsia="es-CO"/>
            </w:rPr>
          </w:pPr>
          <w:r w:rsidRPr="007C6A7C">
            <w:rPr>
              <w:rFonts w:asciiTheme="majorHAnsi" w:hAnsiTheme="majorHAnsi" w:cs="Arial"/>
              <w:b/>
              <w:bCs/>
            </w:rPr>
            <w:t xml:space="preserve">CONTRATACIÓN  </w:t>
          </w:r>
          <w:r w:rsidR="00BA5699">
            <w:rPr>
              <w:rFonts w:asciiTheme="majorHAnsi" w:hAnsiTheme="majorHAnsi" w:cs="Arial"/>
              <w:b/>
              <w:bCs/>
            </w:rPr>
            <w:t>DEL SUMINISTRO Y DISPENSACION DE MEDICAMENTOS Y PRESTACION DEL SERVICIO FARMACEUTICO</w:t>
          </w:r>
          <w:r w:rsidR="007C6A7C" w:rsidRPr="007C6A7C">
            <w:rPr>
              <w:rFonts w:asciiTheme="majorHAnsi" w:hAnsiTheme="majorHAnsi" w:cs="Arial"/>
              <w:b/>
              <w:bCs/>
            </w:rPr>
            <w:t xml:space="preserve">, </w:t>
          </w:r>
          <w:r w:rsidRPr="007C6A7C">
            <w:rPr>
              <w:rFonts w:asciiTheme="majorHAnsi" w:hAnsiTheme="majorHAnsi" w:cs="Arial"/>
              <w:b/>
              <w:bCs/>
              <w:lang w:val="es-ES" w:eastAsia="es-CO"/>
            </w:rPr>
            <w:t xml:space="preserve">PARA LOS BENEFICIARIOS DEL SERVICIO MEDICO ASISTENCIAL </w:t>
          </w:r>
          <w:r w:rsidR="00DE2E16">
            <w:rPr>
              <w:rFonts w:asciiTheme="majorHAnsi" w:hAnsiTheme="majorHAnsi" w:cs="Arial"/>
              <w:b/>
              <w:bCs/>
              <w:lang w:val="es-ES" w:eastAsia="es-CO"/>
            </w:rPr>
            <w:t xml:space="preserve">DEL </w:t>
          </w:r>
          <w:r w:rsidRPr="007C6A7C">
            <w:rPr>
              <w:rFonts w:asciiTheme="majorHAnsi" w:hAnsiTheme="majorHAnsi" w:cs="Arial"/>
              <w:b/>
              <w:bCs/>
              <w:lang w:val="es-ES" w:eastAsia="es-CO"/>
            </w:rPr>
            <w:t xml:space="preserve"> SENA REGIONAL NARIÑO</w:t>
          </w:r>
        </w:p>
        <w:p w:rsidR="0020763F" w:rsidRDefault="0013515B">
          <w:pPr>
            <w:spacing w:after="120"/>
            <w:jc w:val="right"/>
            <w:rPr>
              <w:rFonts w:ascii="Calibri" w:eastAsia="Calibri" w:hAnsi="Calibri" w:cs="Calibri"/>
              <w:b/>
              <w:color w:val="000000"/>
              <w:sz w:val="16"/>
              <w:szCs w:val="16"/>
            </w:rPr>
          </w:pPr>
          <w:r>
            <w:rPr>
              <w:rFonts w:ascii="Calibri" w:eastAsia="Calibri" w:hAnsi="Calibri" w:cs="Calibri"/>
              <w:color w:val="000000"/>
              <w:sz w:val="16"/>
              <w:szCs w:val="16"/>
            </w:rPr>
            <w:t xml:space="preserve">Pág. </w:t>
          </w: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BA5699">
            <w:rPr>
              <w:rFonts w:ascii="Calibri" w:eastAsia="Calibri" w:hAnsi="Calibri" w:cs="Calibri"/>
              <w:noProof/>
              <w:color w:val="000000"/>
              <w:sz w:val="16"/>
              <w:szCs w:val="16"/>
            </w:rPr>
            <w:t>3</w:t>
          </w:r>
          <w:r>
            <w:rPr>
              <w:rFonts w:ascii="Calibri" w:eastAsia="Calibri" w:hAnsi="Calibri" w:cs="Calibri"/>
              <w:color w:val="000000"/>
              <w:sz w:val="16"/>
              <w:szCs w:val="16"/>
            </w:rPr>
            <w:fldChar w:fldCharType="end"/>
          </w:r>
        </w:p>
      </w:tc>
    </w:tr>
  </w:tbl>
  <w:p w:rsidR="0020763F" w:rsidRDefault="0020763F">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3B52"/>
    <w:multiLevelType w:val="hybridMultilevel"/>
    <w:tmpl w:val="CDB05B50"/>
    <w:lvl w:ilvl="0" w:tplc="72FED68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80433"/>
    <w:multiLevelType w:val="multilevel"/>
    <w:tmpl w:val="FFFFFFFF"/>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50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145544"/>
    <w:multiLevelType w:val="multilevel"/>
    <w:tmpl w:val="FFFFFFFF"/>
    <w:lvl w:ilvl="0">
      <w:start w:val="1"/>
      <w:numFmt w:val="lowerLetter"/>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E20DD"/>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US"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63F"/>
    <w:rsid w:val="0013515B"/>
    <w:rsid w:val="0020763F"/>
    <w:rsid w:val="002A3C94"/>
    <w:rsid w:val="00301C8A"/>
    <w:rsid w:val="00437E17"/>
    <w:rsid w:val="004D4CCF"/>
    <w:rsid w:val="004E6D2B"/>
    <w:rsid w:val="004F0147"/>
    <w:rsid w:val="004F4C53"/>
    <w:rsid w:val="00525750"/>
    <w:rsid w:val="005D553E"/>
    <w:rsid w:val="00650CD5"/>
    <w:rsid w:val="006F6ECE"/>
    <w:rsid w:val="007C6A7C"/>
    <w:rsid w:val="00830E8B"/>
    <w:rsid w:val="008366A5"/>
    <w:rsid w:val="008F01C4"/>
    <w:rsid w:val="009C31BF"/>
    <w:rsid w:val="009E6BCB"/>
    <w:rsid w:val="009F66DB"/>
    <w:rsid w:val="00A8515C"/>
    <w:rsid w:val="00A8543F"/>
    <w:rsid w:val="00AE4439"/>
    <w:rsid w:val="00B33FD2"/>
    <w:rsid w:val="00B63D07"/>
    <w:rsid w:val="00B82F32"/>
    <w:rsid w:val="00BA5699"/>
    <w:rsid w:val="00C308CC"/>
    <w:rsid w:val="00C412F6"/>
    <w:rsid w:val="00D05EAF"/>
    <w:rsid w:val="00DE2E16"/>
    <w:rsid w:val="00E54520"/>
    <w:rsid w:val="00E92222"/>
    <w:rsid w:val="00FD268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1D68B-0966-8447-9DF7-0A22AEE6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rPr>
  </w:style>
  <w:style w:type="paragraph" w:styleId="Ttulo3">
    <w:name w:val="heading 3"/>
    <w:basedOn w:val="Normal"/>
    <w:next w:val="Normal"/>
    <w:uiPriority w:val="9"/>
    <w:semiHidden/>
    <w:unhideWhenUsed/>
    <w:qFormat/>
    <w:pPr>
      <w:keepNext/>
      <w:spacing w:before="240" w:after="60"/>
      <w:outlineLvl w:val="2"/>
    </w:pPr>
    <w:rPr>
      <w:b/>
    </w:rPr>
  </w:style>
  <w:style w:type="paragraph" w:styleId="Ttulo4">
    <w:name w:val="heading 4"/>
    <w:basedOn w:val="Normal"/>
    <w:next w:val="Normal"/>
    <w:uiPriority w:val="9"/>
    <w:semiHidden/>
    <w:unhideWhenUsed/>
    <w:qFormat/>
    <w:pPr>
      <w:keepNext/>
      <w:spacing w:before="240" w:after="60"/>
      <w:outlineLvl w:val="3"/>
    </w:pPr>
    <w:rPr>
      <w:b/>
      <w:i/>
    </w:rPr>
  </w:style>
  <w:style w:type="paragraph" w:styleId="Ttulo5">
    <w:name w:val="heading 5"/>
    <w:basedOn w:val="Normal"/>
    <w:next w:val="Normal"/>
    <w:uiPriority w:val="9"/>
    <w:semiHidden/>
    <w:unhideWhenUsed/>
    <w:qFormat/>
    <w:pPr>
      <w:spacing w:before="240" w:after="60"/>
      <w:outlineLvl w:val="4"/>
    </w:pPr>
    <w:rPr>
      <w:rFonts w:ascii="Arial" w:eastAsia="Arial" w:hAnsi="Arial" w:cs="Arial"/>
      <w:sz w:val="22"/>
      <w:szCs w:val="22"/>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jc w:val="both"/>
    </w:pPr>
    <w:rPr>
      <w:rFonts w:ascii="Tahoma" w:eastAsia="Tahoma" w:hAnsi="Tahoma" w:cs="Tahoma"/>
      <w:i/>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8F01C4"/>
    <w:pPr>
      <w:tabs>
        <w:tab w:val="center" w:pos="4419"/>
        <w:tab w:val="right" w:pos="8838"/>
      </w:tabs>
    </w:pPr>
  </w:style>
  <w:style w:type="character" w:customStyle="1" w:styleId="EncabezadoCar">
    <w:name w:val="Encabezado Car"/>
    <w:basedOn w:val="Fuentedeprrafopredeter"/>
    <w:link w:val="Encabezado"/>
    <w:uiPriority w:val="99"/>
    <w:rsid w:val="008F01C4"/>
  </w:style>
  <w:style w:type="paragraph" w:styleId="Piedepgina">
    <w:name w:val="footer"/>
    <w:basedOn w:val="Normal"/>
    <w:link w:val="PiedepginaCar"/>
    <w:uiPriority w:val="99"/>
    <w:unhideWhenUsed/>
    <w:rsid w:val="008F01C4"/>
    <w:pPr>
      <w:tabs>
        <w:tab w:val="center" w:pos="4419"/>
        <w:tab w:val="right" w:pos="8838"/>
      </w:tabs>
    </w:pPr>
  </w:style>
  <w:style w:type="character" w:customStyle="1" w:styleId="PiedepginaCar">
    <w:name w:val="Pie de página Car"/>
    <w:basedOn w:val="Fuentedeprrafopredeter"/>
    <w:link w:val="Piedepgina"/>
    <w:uiPriority w:val="99"/>
    <w:rsid w:val="008F01C4"/>
  </w:style>
  <w:style w:type="paragraph" w:styleId="Textoindependiente2">
    <w:name w:val="Body Text 2"/>
    <w:basedOn w:val="Normal"/>
    <w:link w:val="Textoindependiente2Car"/>
    <w:rsid w:val="008F01C4"/>
    <w:pPr>
      <w:autoSpaceDE w:val="0"/>
      <w:autoSpaceDN w:val="0"/>
      <w:spacing w:after="120" w:line="480" w:lineRule="auto"/>
    </w:pPr>
    <w:rPr>
      <w:lang w:val="es-ES_tradnl"/>
    </w:rPr>
  </w:style>
  <w:style w:type="character" w:customStyle="1" w:styleId="Textoindependiente2Car">
    <w:name w:val="Texto independiente 2 Car"/>
    <w:basedOn w:val="Fuentedeprrafopredeter"/>
    <w:link w:val="Textoindependiente2"/>
    <w:rsid w:val="008F01C4"/>
    <w:rPr>
      <w:lang w:val="es-ES_tradnl"/>
    </w:rPr>
  </w:style>
  <w:style w:type="paragraph" w:styleId="Textodeglobo">
    <w:name w:val="Balloon Text"/>
    <w:basedOn w:val="Normal"/>
    <w:link w:val="TextodegloboCar"/>
    <w:uiPriority w:val="99"/>
    <w:semiHidden/>
    <w:unhideWhenUsed/>
    <w:rsid w:val="00FD26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26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2E04-C41D-4D33-810B-28F5F8725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1011</Words>
  <Characters>5564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Nardet Viteri de Huertas</dc:creator>
  <cp:lastModifiedBy>Sonia Nardet Viteri de Huertas</cp:lastModifiedBy>
  <cp:revision>13</cp:revision>
  <cp:lastPrinted>2020-02-21T18:41:00Z</cp:lastPrinted>
  <dcterms:created xsi:type="dcterms:W3CDTF">2020-02-17T23:14:00Z</dcterms:created>
  <dcterms:modified xsi:type="dcterms:W3CDTF">2020-10-14T20:38:00Z</dcterms:modified>
</cp:coreProperties>
</file>