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51AF03" w14:textId="00E38BFD" w:rsidR="00013EA2" w:rsidRPr="00600717" w:rsidRDefault="00CF4D61" w:rsidP="00600717">
      <w:pPr>
        <w:spacing w:after="0"/>
        <w:jc w:val="center"/>
        <w:rPr>
          <w:rFonts w:ascii="Arial Narrow" w:hAnsi="Arial Narrow"/>
          <w:b/>
          <w:sz w:val="20"/>
          <w:szCs w:val="20"/>
          <w:lang w:val="es-MX"/>
        </w:rPr>
      </w:pPr>
      <w:r w:rsidRPr="00600717">
        <w:rPr>
          <w:rFonts w:ascii="Arial Narrow" w:hAnsi="Arial Narrow"/>
          <w:b/>
          <w:sz w:val="20"/>
          <w:szCs w:val="20"/>
          <w:lang w:val="es-MX"/>
        </w:rPr>
        <w:t>GARANTIA TÉ</w:t>
      </w:r>
      <w:r w:rsidR="00CA397F" w:rsidRPr="00600717">
        <w:rPr>
          <w:rFonts w:ascii="Arial Narrow" w:hAnsi="Arial Narrow"/>
          <w:b/>
          <w:sz w:val="20"/>
          <w:szCs w:val="20"/>
          <w:lang w:val="es-MX"/>
        </w:rPr>
        <w:t>CNICA</w:t>
      </w:r>
    </w:p>
    <w:p w14:paraId="661967DE" w14:textId="77777777" w:rsidR="00AA05E9" w:rsidRPr="00600717" w:rsidRDefault="00AA05E9" w:rsidP="00AA05E9">
      <w:pPr>
        <w:widowControl w:val="0"/>
        <w:spacing w:after="0" w:line="240" w:lineRule="auto"/>
        <w:jc w:val="both"/>
        <w:rPr>
          <w:rFonts w:ascii="Arial Narrow" w:hAnsi="Arial Narrow" w:cs="Arial"/>
          <w:sz w:val="20"/>
          <w:szCs w:val="20"/>
        </w:rPr>
      </w:pPr>
      <w:r w:rsidRPr="00600717">
        <w:rPr>
          <w:rFonts w:ascii="Arial Narrow" w:hAnsi="Arial Narrow" w:cs="Arial"/>
          <w:sz w:val="20"/>
          <w:szCs w:val="20"/>
        </w:rPr>
        <w:t>Señores</w:t>
      </w:r>
    </w:p>
    <w:p w14:paraId="77B29D27" w14:textId="77777777" w:rsidR="00AA05E9" w:rsidRPr="00600717" w:rsidRDefault="00AA05E9" w:rsidP="00AA05E9">
      <w:pPr>
        <w:widowControl w:val="0"/>
        <w:spacing w:after="0" w:line="240" w:lineRule="auto"/>
        <w:jc w:val="both"/>
        <w:rPr>
          <w:rFonts w:ascii="Arial Narrow" w:hAnsi="Arial Narrow" w:cs="Arial"/>
          <w:b/>
          <w:bCs/>
          <w:sz w:val="20"/>
          <w:szCs w:val="20"/>
        </w:rPr>
      </w:pPr>
      <w:r w:rsidRPr="00600717">
        <w:rPr>
          <w:rFonts w:ascii="Arial Narrow" w:hAnsi="Arial Narrow" w:cs="Arial"/>
          <w:b/>
          <w:bCs/>
          <w:sz w:val="20"/>
          <w:szCs w:val="20"/>
        </w:rPr>
        <w:t xml:space="preserve">MINISTERIO DE DEFENSA NACIONAL </w:t>
      </w:r>
    </w:p>
    <w:p w14:paraId="1A43E019" w14:textId="77777777" w:rsidR="00AA05E9" w:rsidRPr="00600717" w:rsidRDefault="00AA05E9" w:rsidP="00AA05E9">
      <w:pPr>
        <w:widowControl w:val="0"/>
        <w:spacing w:after="0" w:line="240" w:lineRule="auto"/>
        <w:jc w:val="both"/>
        <w:rPr>
          <w:rFonts w:ascii="Arial Narrow" w:hAnsi="Arial Narrow" w:cs="Arial"/>
          <w:b/>
          <w:sz w:val="20"/>
          <w:szCs w:val="20"/>
        </w:rPr>
      </w:pPr>
      <w:r w:rsidRPr="00600717">
        <w:rPr>
          <w:rFonts w:ascii="Arial Narrow" w:hAnsi="Arial Narrow" w:cs="Arial"/>
          <w:b/>
          <w:sz w:val="20"/>
          <w:szCs w:val="20"/>
        </w:rPr>
        <w:t xml:space="preserve">DIRECCIÓN GENERAL MARÍTIMA </w:t>
      </w:r>
    </w:p>
    <w:p w14:paraId="60A0A531" w14:textId="77777777" w:rsidR="003D4F96" w:rsidRDefault="003D4F96" w:rsidP="003D4F96">
      <w:pPr>
        <w:spacing w:line="0" w:lineRule="atLeast"/>
        <w:jc w:val="both"/>
        <w:rPr>
          <w:rFonts w:ascii="Arial Narrow" w:hAnsi="Arial Narrow" w:cs="Arial"/>
          <w:b/>
        </w:rPr>
      </w:pPr>
      <w:bookmarkStart w:id="0" w:name="_Hlk196398163"/>
      <w:r w:rsidRPr="003D4F96">
        <w:rPr>
          <w:rFonts w:ascii="Arial Narrow" w:hAnsi="Arial Narrow" w:cs="Arial"/>
          <w:b/>
          <w:bCs/>
          <w:sz w:val="20"/>
          <w:szCs w:val="20"/>
        </w:rPr>
        <w:t>GRUPO INTENDENCIA REGIONAL CARIBE</w:t>
      </w:r>
      <w:r w:rsidRPr="003D4F96">
        <w:rPr>
          <w:rFonts w:ascii="Arial Narrow" w:hAnsi="Arial Narrow" w:cs="Arial"/>
          <w:b/>
          <w:sz w:val="20"/>
          <w:szCs w:val="20"/>
        </w:rPr>
        <w:t xml:space="preserve"> </w:t>
      </w:r>
      <w:r>
        <w:rPr>
          <w:rFonts w:ascii="Arial Narrow" w:hAnsi="Arial Narrow" w:cs="Arial"/>
          <w:b/>
        </w:rPr>
        <w:t xml:space="preserve"> </w:t>
      </w:r>
    </w:p>
    <w:bookmarkEnd w:id="0"/>
    <w:p w14:paraId="40BD5B10" w14:textId="2BC602D4" w:rsidR="00AA05E9" w:rsidRPr="00600717" w:rsidRDefault="003D4F96" w:rsidP="00AA05E9">
      <w:pPr>
        <w:widowControl w:val="0"/>
        <w:spacing w:after="0" w:line="240" w:lineRule="auto"/>
        <w:jc w:val="both"/>
        <w:rPr>
          <w:rFonts w:ascii="Arial Narrow" w:hAnsi="Arial Narrow" w:cs="Arial"/>
          <w:sz w:val="20"/>
          <w:szCs w:val="20"/>
        </w:rPr>
      </w:pPr>
      <w:r>
        <w:rPr>
          <w:rFonts w:ascii="Arial Narrow" w:hAnsi="Arial Narrow" w:cs="Arial"/>
          <w:sz w:val="20"/>
          <w:szCs w:val="20"/>
        </w:rPr>
        <w:t>Cartagena</w:t>
      </w:r>
    </w:p>
    <w:p w14:paraId="3B5B5ACA" w14:textId="77777777" w:rsidR="00AA05E9" w:rsidRPr="00600717" w:rsidRDefault="00AA05E9" w:rsidP="00AA05E9">
      <w:pPr>
        <w:widowControl w:val="0"/>
        <w:spacing w:after="0" w:line="240" w:lineRule="auto"/>
        <w:jc w:val="both"/>
        <w:rPr>
          <w:rFonts w:ascii="Arial Narrow" w:hAnsi="Arial Narrow" w:cs="Arial"/>
          <w:sz w:val="20"/>
          <w:szCs w:val="20"/>
        </w:rPr>
      </w:pPr>
    </w:p>
    <w:p w14:paraId="13BE9B49" w14:textId="3A357EBD" w:rsidR="00AA05E9" w:rsidRPr="00600717" w:rsidRDefault="00AA05E9" w:rsidP="00AA05E9">
      <w:pPr>
        <w:widowControl w:val="0"/>
        <w:spacing w:after="0" w:line="240" w:lineRule="auto"/>
        <w:jc w:val="both"/>
        <w:rPr>
          <w:rFonts w:ascii="Arial Narrow" w:hAnsi="Arial Narrow" w:cs="Arial"/>
          <w:sz w:val="20"/>
          <w:szCs w:val="20"/>
        </w:rPr>
      </w:pPr>
      <w:r w:rsidRPr="00600717">
        <w:rPr>
          <w:rFonts w:ascii="Arial Narrow" w:hAnsi="Arial Narrow" w:cs="Arial"/>
          <w:b/>
          <w:sz w:val="20"/>
          <w:szCs w:val="20"/>
        </w:rPr>
        <w:t xml:space="preserve">Asunto: Proceso de Contratación </w:t>
      </w:r>
      <w:r w:rsidRPr="00600717">
        <w:rPr>
          <w:rFonts w:ascii="Arial Narrow" w:hAnsi="Arial Narrow" w:cs="Arial"/>
          <w:b/>
          <w:bCs/>
          <w:sz w:val="20"/>
          <w:szCs w:val="20"/>
        </w:rPr>
        <w:t>No</w:t>
      </w:r>
      <w:r w:rsidRPr="00600717">
        <w:rPr>
          <w:rFonts w:ascii="Arial Narrow" w:hAnsi="Arial Narrow" w:cs="Arial"/>
          <w:b/>
          <w:bCs/>
          <w:sz w:val="20"/>
          <w:szCs w:val="20"/>
          <w:u w:val="single"/>
        </w:rPr>
        <w:t xml:space="preserve">. </w:t>
      </w:r>
      <w:r w:rsidR="00774C9F" w:rsidRPr="00600717">
        <w:rPr>
          <w:rFonts w:ascii="Arial Narrow" w:hAnsi="Arial Narrow" w:cs="Arial"/>
          <w:b/>
          <w:bCs/>
          <w:sz w:val="20"/>
          <w:szCs w:val="20"/>
          <w:u w:val="single"/>
        </w:rPr>
        <w:t>MC</w:t>
      </w:r>
      <w:r w:rsidRPr="00600717">
        <w:rPr>
          <w:rFonts w:ascii="Arial Narrow" w:hAnsi="Arial Narrow" w:cs="Arial"/>
          <w:b/>
          <w:bCs/>
          <w:sz w:val="20"/>
          <w:szCs w:val="20"/>
          <w:u w:val="single"/>
        </w:rPr>
        <w:t>-</w:t>
      </w:r>
      <w:r w:rsidR="003D4F96">
        <w:rPr>
          <w:rFonts w:ascii="Arial Narrow" w:hAnsi="Arial Narrow" w:cs="Arial"/>
          <w:b/>
          <w:bCs/>
          <w:sz w:val="20"/>
          <w:szCs w:val="20"/>
          <w:u w:val="single"/>
        </w:rPr>
        <w:t>2</w:t>
      </w:r>
      <w:r w:rsidR="00DB79FC">
        <w:rPr>
          <w:rFonts w:ascii="Arial Narrow" w:hAnsi="Arial Narrow" w:cs="Arial"/>
          <w:b/>
          <w:bCs/>
          <w:sz w:val="20"/>
          <w:szCs w:val="20"/>
          <w:u w:val="single"/>
        </w:rPr>
        <w:t>9</w:t>
      </w:r>
      <w:r w:rsidR="003D4F96">
        <w:rPr>
          <w:rFonts w:ascii="Arial Narrow" w:hAnsi="Arial Narrow" w:cs="Arial"/>
          <w:b/>
          <w:bCs/>
          <w:sz w:val="20"/>
          <w:szCs w:val="20"/>
          <w:u w:val="single"/>
        </w:rPr>
        <w:t>6</w:t>
      </w:r>
      <w:r w:rsidRPr="00600717">
        <w:rPr>
          <w:rFonts w:ascii="Arial Narrow" w:hAnsi="Arial Narrow" w:cs="Arial"/>
          <w:b/>
          <w:sz w:val="20"/>
          <w:szCs w:val="20"/>
          <w:u w:val="single"/>
        </w:rPr>
        <w:t>-GINRED</w:t>
      </w:r>
      <w:r w:rsidR="003D4F96">
        <w:rPr>
          <w:rFonts w:ascii="Arial Narrow" w:hAnsi="Arial Narrow" w:cs="Arial"/>
          <w:b/>
          <w:sz w:val="20"/>
          <w:szCs w:val="20"/>
          <w:u w:val="single"/>
        </w:rPr>
        <w:t>CA</w:t>
      </w:r>
      <w:r w:rsidRPr="00600717">
        <w:rPr>
          <w:rFonts w:ascii="Arial Narrow" w:hAnsi="Arial Narrow" w:cs="Arial"/>
          <w:b/>
          <w:sz w:val="20"/>
          <w:szCs w:val="20"/>
          <w:u w:val="single"/>
        </w:rPr>
        <w:t>-202</w:t>
      </w:r>
      <w:r w:rsidR="003D4F96">
        <w:rPr>
          <w:rFonts w:ascii="Arial Narrow" w:hAnsi="Arial Narrow" w:cs="Arial"/>
          <w:b/>
          <w:sz w:val="20"/>
          <w:szCs w:val="20"/>
          <w:u w:val="single"/>
        </w:rPr>
        <w:t>5</w:t>
      </w:r>
    </w:p>
    <w:p w14:paraId="1257FDB7" w14:textId="77777777" w:rsidR="00AA05E9" w:rsidRPr="00600717" w:rsidRDefault="00AA05E9" w:rsidP="00AA05E9">
      <w:pPr>
        <w:widowControl w:val="0"/>
        <w:spacing w:after="0" w:line="240" w:lineRule="auto"/>
        <w:jc w:val="both"/>
        <w:rPr>
          <w:rFonts w:ascii="Arial Narrow" w:hAnsi="Arial Narrow" w:cs="Arial"/>
          <w:sz w:val="20"/>
          <w:szCs w:val="20"/>
        </w:rPr>
      </w:pPr>
    </w:p>
    <w:p w14:paraId="54ACFFD0" w14:textId="77777777" w:rsidR="00AA05E9" w:rsidRPr="00600717" w:rsidRDefault="00AA05E9" w:rsidP="00AA05E9">
      <w:pPr>
        <w:widowControl w:val="0"/>
        <w:spacing w:after="0" w:line="240" w:lineRule="auto"/>
        <w:jc w:val="both"/>
        <w:rPr>
          <w:rFonts w:ascii="Arial Narrow" w:hAnsi="Arial Narrow" w:cs="Arial"/>
          <w:sz w:val="20"/>
          <w:szCs w:val="20"/>
        </w:rPr>
      </w:pPr>
      <w:r w:rsidRPr="00600717">
        <w:rPr>
          <w:rFonts w:ascii="Arial Narrow" w:hAnsi="Arial Narrow" w:cs="Arial"/>
          <w:sz w:val="20"/>
          <w:szCs w:val="20"/>
        </w:rPr>
        <w:t xml:space="preserve">Estimados señores: </w:t>
      </w:r>
    </w:p>
    <w:p w14:paraId="751537B2" w14:textId="77777777" w:rsidR="00AA05E9" w:rsidRPr="00A473FB" w:rsidRDefault="00AA05E9" w:rsidP="00CA397F">
      <w:pPr>
        <w:rPr>
          <w:rFonts w:ascii="Arial Narrow" w:hAnsi="Arial Narrow" w:cs="Arial"/>
          <w:color w:val="808080"/>
        </w:rPr>
      </w:pPr>
    </w:p>
    <w:p w14:paraId="4062F38F" w14:textId="77777777" w:rsidR="00434E21" w:rsidRPr="00434E21" w:rsidRDefault="00A74C16" w:rsidP="00434E21">
      <w:pPr>
        <w:adjustRightInd w:val="0"/>
        <w:ind w:right="-1"/>
        <w:jc w:val="both"/>
        <w:rPr>
          <w:rFonts w:ascii="Arial Narrow" w:hAnsi="Arial Narrow" w:cs="Arial"/>
          <w:sz w:val="20"/>
          <w:szCs w:val="20"/>
          <w:lang w:val="es-ES"/>
        </w:rPr>
      </w:pPr>
      <w:bookmarkStart w:id="1" w:name="_Hlk144472989"/>
      <w:r w:rsidRPr="00434E21">
        <w:rPr>
          <w:rFonts w:ascii="Arial Narrow" w:hAnsi="Arial Narrow" w:cs="Arial"/>
          <w:color w:val="808080" w:themeColor="background1" w:themeShade="80"/>
          <w:sz w:val="20"/>
          <w:szCs w:val="20"/>
        </w:rPr>
        <w:t xml:space="preserve">Nombre del Representante Legal o de la Persona Natural Proponente], </w:t>
      </w:r>
      <w:r w:rsidRPr="00434E21">
        <w:rPr>
          <w:rFonts w:ascii="Arial Narrow" w:hAnsi="Arial Narrow" w:cs="Arial"/>
          <w:sz w:val="20"/>
          <w:szCs w:val="20"/>
        </w:rPr>
        <w:t>identificado como aparece al pie de mi firma, obrando en (</w:t>
      </w:r>
      <w:r w:rsidRPr="00434E21">
        <w:rPr>
          <w:rFonts w:ascii="Arial Narrow" w:hAnsi="Arial Narrow" w:cs="Arial"/>
          <w:color w:val="808080" w:themeColor="background1" w:themeShade="80"/>
          <w:sz w:val="20"/>
          <w:szCs w:val="20"/>
        </w:rPr>
        <w:t xml:space="preserve">mi propio nombre o en mi calidad de Representante Legal] </w:t>
      </w:r>
      <w:r w:rsidRPr="00434E21">
        <w:rPr>
          <w:rFonts w:ascii="Arial Narrow" w:hAnsi="Arial Narrow" w:cs="Arial"/>
          <w:sz w:val="20"/>
          <w:szCs w:val="20"/>
        </w:rPr>
        <w:t xml:space="preserve">De </w:t>
      </w:r>
      <w:r w:rsidRPr="00434E21">
        <w:rPr>
          <w:rFonts w:ascii="Arial Narrow" w:hAnsi="Arial Narrow" w:cs="Arial"/>
          <w:color w:val="808080" w:themeColor="background1" w:themeShade="80"/>
          <w:sz w:val="20"/>
          <w:szCs w:val="20"/>
        </w:rPr>
        <w:t>[Nombre del Proponente],</w:t>
      </w:r>
      <w:r w:rsidRPr="00434E21">
        <w:rPr>
          <w:rFonts w:ascii="Arial Narrow" w:hAnsi="Arial Narrow" w:cs="Arial"/>
          <w:sz w:val="20"/>
          <w:szCs w:val="20"/>
        </w:rPr>
        <w:t xml:space="preserve"> presento Oferta para el Proceso de Contratación de la referencia y declaro bajo gravedad de juramento que o</w:t>
      </w:r>
      <w:r w:rsidR="002C3545" w:rsidRPr="00434E21">
        <w:rPr>
          <w:rFonts w:ascii="Arial Narrow" w:hAnsi="Arial Narrow" w:cs="Arial"/>
          <w:sz w:val="20"/>
          <w:szCs w:val="20"/>
        </w:rPr>
        <w:t xml:space="preserve">frece una garantía de los </w:t>
      </w:r>
      <w:r w:rsidR="00434E21" w:rsidRPr="00434E21">
        <w:rPr>
          <w:rFonts w:ascii="Arial Narrow" w:hAnsi="Arial Narrow" w:cs="Arial"/>
          <w:bCs/>
          <w:sz w:val="20"/>
          <w:szCs w:val="20"/>
          <w:lang w:val="es-ES"/>
        </w:rPr>
        <w:t>los Bienes y Servicios brindados en las cantidades mínimas requeridas, contra cualquier anomalía, incluidos todos sus componentes, insumos y accesorios conforme las Especificaciones y características técnicas exigidas, por un lapso igual al plazo de ejecución del contrato y seis (6) meses más, lapso contado a partir de la expedición del acta de recibo a satisfacción de los mismos, por parte del Supervisor del Contrato que designe la Entidad. Si durante la vigencia del Contrato resultare defectuosos y/o anómalo cualquiera de los elementos entregados o servicios prestados, el Contratista deberá asumir su costo, por cuenta y riesgo de este (incluyendo la totalidad de los gastos que el subsanar genere) a satisfacción. en este caso corresponderá notificar por escrito al contratista dentro de los cinco (05) días calendario, siguientes a la fecha en que suceda y/o se descubra la falla o el defecto e indicar el plazo dentro del cual se debe reponer el material, el Contratista en consecuencia procederá a subsanar y/o remplazar lo peticionado, sin ningún costo.</w:t>
      </w:r>
    </w:p>
    <w:p w14:paraId="63C579FF" w14:textId="2F26941C" w:rsidR="002C3545" w:rsidRPr="00434E21" w:rsidRDefault="002C3545" w:rsidP="00434E21">
      <w:pPr>
        <w:pStyle w:val="Prrafodelista"/>
        <w:adjustRightInd w:val="0"/>
        <w:ind w:left="0" w:right="-1"/>
        <w:jc w:val="both"/>
        <w:rPr>
          <w:rFonts w:ascii="Arial Narrow" w:hAnsi="Arial Narrow" w:cs="Arial"/>
          <w:sz w:val="20"/>
          <w:szCs w:val="20"/>
          <w:lang w:val="es-ES"/>
        </w:rPr>
      </w:pPr>
    </w:p>
    <w:p w14:paraId="1A9E1046" w14:textId="77777777" w:rsidR="00434E21" w:rsidRPr="00434E21" w:rsidRDefault="009925F8" w:rsidP="00434E21">
      <w:pPr>
        <w:pStyle w:val="Prrafodelista"/>
        <w:tabs>
          <w:tab w:val="left" w:pos="597"/>
        </w:tabs>
        <w:ind w:left="0" w:right="175"/>
        <w:jc w:val="both"/>
        <w:rPr>
          <w:rFonts w:ascii="Arial Narrow" w:hAnsi="Arial Narrow" w:cs="Arial"/>
          <w:sz w:val="20"/>
          <w:szCs w:val="20"/>
          <w:lang w:val="es-ES" w:eastAsia="es-CO" w:bidi="es-ES"/>
        </w:rPr>
      </w:pPr>
      <w:bookmarkStart w:id="2" w:name="_Hlk144371382"/>
      <w:bookmarkEnd w:id="1"/>
      <w:r w:rsidRPr="00F74F8F">
        <w:rPr>
          <w:rFonts w:ascii="Arial Narrow" w:hAnsi="Arial Narrow" w:cs="Arial"/>
          <w:b/>
          <w:sz w:val="20"/>
          <w:szCs w:val="20"/>
          <w:lang w:eastAsia="es-CO" w:bidi="es-ES"/>
        </w:rPr>
        <w:t>TÉRMINO PARA ATENDER EL RECLAMO DE GARANTÍA.</w:t>
      </w:r>
      <w:r w:rsidRPr="00F74F8F">
        <w:rPr>
          <w:rFonts w:ascii="Arial Narrow" w:hAnsi="Arial Narrow" w:cs="Arial"/>
          <w:sz w:val="20"/>
          <w:szCs w:val="20"/>
          <w:lang w:eastAsia="es-CO" w:bidi="es-ES"/>
        </w:rPr>
        <w:t xml:space="preserve"> </w:t>
      </w:r>
      <w:r w:rsidR="00434E21" w:rsidRPr="00434E21">
        <w:rPr>
          <w:rFonts w:ascii="Arial Narrow" w:hAnsi="Arial Narrow" w:cs="Arial"/>
          <w:sz w:val="20"/>
          <w:szCs w:val="20"/>
          <w:lang w:val="es-ES" w:eastAsia="es-CO" w:bidi="es-ES"/>
        </w:rPr>
        <w:t xml:space="preserve">En caso de reclamo de garantía, la Dirección General Marítima – Grupo Intendencia Regional Caribe informará al contratista dentro de los dos (02) días hábiles siguientes a la fecha en que suceda y/o se descubra la falla o el defecto que presenta los </w:t>
      </w:r>
      <w:r w:rsidR="00434E21" w:rsidRPr="00434E21">
        <w:rPr>
          <w:rFonts w:ascii="Arial Narrow" w:hAnsi="Arial Narrow" w:cs="Arial"/>
          <w:sz w:val="20"/>
          <w:szCs w:val="20"/>
          <w:lang w:eastAsia="es-CO" w:bidi="es-ES"/>
        </w:rPr>
        <w:t xml:space="preserve">bienes y/o servicios </w:t>
      </w:r>
      <w:r w:rsidR="00434E21" w:rsidRPr="00434E21">
        <w:rPr>
          <w:rFonts w:ascii="Arial Narrow" w:hAnsi="Arial Narrow" w:cs="Arial"/>
          <w:sz w:val="20"/>
          <w:szCs w:val="20"/>
          <w:lang w:val="es-ES" w:eastAsia="es-CO" w:bidi="es-ES"/>
        </w:rPr>
        <w:t>suministrados, efectuando la entrega del elemento al contratista en el mismo lugar en que estos fueron recibidos por la entidad de conformidad con el lugar de entrega previsto en el contrato. El contratista o quien realice la subsanación en su nombre previa autorización escrita, deberá expedir una constancia de recibo, e indicará los motivos de la reclamación. Así mismo correrá por su cuenta el transporte y demás erogaciones que se ocasiones debido al reclamo.</w:t>
      </w:r>
    </w:p>
    <w:p w14:paraId="3CE3100B" w14:textId="77777777" w:rsidR="00434E21" w:rsidRPr="00434E21" w:rsidRDefault="00434E21" w:rsidP="00434E21">
      <w:pPr>
        <w:pStyle w:val="Prrafodelista"/>
        <w:tabs>
          <w:tab w:val="left" w:pos="597"/>
        </w:tabs>
        <w:ind w:left="0" w:right="175"/>
        <w:jc w:val="both"/>
        <w:rPr>
          <w:rFonts w:ascii="Arial Narrow" w:hAnsi="Arial Narrow" w:cs="Arial"/>
          <w:sz w:val="18"/>
          <w:szCs w:val="18"/>
          <w:lang w:val="es-CO" w:eastAsia="es-CO" w:bidi="es-ES"/>
        </w:rPr>
      </w:pPr>
    </w:p>
    <w:p w14:paraId="6DEB3BD4" w14:textId="77777777" w:rsidR="00434E21" w:rsidRPr="00434E21" w:rsidRDefault="00434E21" w:rsidP="00434E21">
      <w:pPr>
        <w:pStyle w:val="Prrafodelista"/>
        <w:tabs>
          <w:tab w:val="left" w:pos="597"/>
        </w:tabs>
        <w:ind w:left="0" w:right="175"/>
        <w:jc w:val="both"/>
        <w:rPr>
          <w:rFonts w:ascii="Arial Narrow" w:hAnsi="Arial Narrow" w:cs="Arial"/>
          <w:sz w:val="20"/>
          <w:szCs w:val="20"/>
          <w:lang w:val="es-CO" w:eastAsia="es-CO" w:bidi="es-ES"/>
        </w:rPr>
      </w:pPr>
      <w:r w:rsidRPr="00434E21">
        <w:rPr>
          <w:rFonts w:ascii="Arial Narrow" w:hAnsi="Arial Narrow" w:cs="Arial"/>
          <w:sz w:val="20"/>
          <w:szCs w:val="20"/>
          <w:lang w:val="es-CO" w:eastAsia="es-CO" w:bidi="es-ES"/>
        </w:rPr>
        <w:t xml:space="preserve">Cuando sea subsanado el bien suministrado en cumplimiento de una garantía legal o suplementaria, el contratista o quien la realice, estará obligado a entregar a la Dirección General Marítima – Grupo Intendencia Regional Caribe constancia del </w:t>
      </w:r>
      <w:r w:rsidRPr="00434E21">
        <w:rPr>
          <w:rFonts w:ascii="Arial Narrow" w:hAnsi="Arial Narrow" w:cs="Arial"/>
          <w:sz w:val="20"/>
          <w:szCs w:val="20"/>
          <w:lang w:eastAsia="es-CO" w:bidi="es-ES"/>
        </w:rPr>
        <w:t xml:space="preserve">bien y/o servicios </w:t>
      </w:r>
      <w:r w:rsidRPr="00434E21">
        <w:rPr>
          <w:rFonts w:ascii="Arial Narrow" w:hAnsi="Arial Narrow" w:cs="Arial"/>
          <w:sz w:val="20"/>
          <w:szCs w:val="20"/>
          <w:lang w:val="es-CO" w:eastAsia="es-CO" w:bidi="es-ES"/>
        </w:rPr>
        <w:t xml:space="preserve">en reemplazo, indicando lo siguiente: descripción del </w:t>
      </w:r>
      <w:r w:rsidRPr="00434E21">
        <w:rPr>
          <w:rFonts w:ascii="Arial Narrow" w:hAnsi="Arial Narrow" w:cs="Arial"/>
          <w:sz w:val="20"/>
          <w:szCs w:val="20"/>
          <w:lang w:eastAsia="es-CO" w:bidi="es-ES"/>
        </w:rPr>
        <w:t xml:space="preserve">bien y/o servicios </w:t>
      </w:r>
      <w:r w:rsidRPr="00434E21">
        <w:rPr>
          <w:rFonts w:ascii="Arial Narrow" w:hAnsi="Arial Narrow" w:cs="Arial"/>
          <w:sz w:val="20"/>
          <w:szCs w:val="20"/>
          <w:lang w:val="es-CO" w:eastAsia="es-CO" w:bidi="es-ES"/>
        </w:rPr>
        <w:t xml:space="preserve">reemplazado, fecha de entrega del </w:t>
      </w:r>
      <w:r w:rsidRPr="00434E21">
        <w:rPr>
          <w:rFonts w:ascii="Arial Narrow" w:hAnsi="Arial Narrow" w:cs="Arial"/>
          <w:sz w:val="20"/>
          <w:szCs w:val="20"/>
          <w:lang w:eastAsia="es-CO" w:bidi="es-ES"/>
        </w:rPr>
        <w:t>bien y/o servicios</w:t>
      </w:r>
      <w:r w:rsidRPr="00434E21">
        <w:rPr>
          <w:rFonts w:ascii="Arial Narrow" w:hAnsi="Arial Narrow" w:cs="Arial"/>
          <w:sz w:val="20"/>
          <w:szCs w:val="20"/>
          <w:lang w:val="es-CO" w:eastAsia="es-CO" w:bidi="es-ES"/>
        </w:rPr>
        <w:t xml:space="preserve"> objeto de reclamo. El término de atención al reclamo de garantía, el reemplazo no podrá superar dos (02) días calendarios a menos que por escrito el contratista informe los motivos que implican mayor tiempo señalando la justificación respectiva.</w:t>
      </w:r>
    </w:p>
    <w:p w14:paraId="3E3732E5" w14:textId="746318F1" w:rsidR="009925F8" w:rsidRPr="00434E21" w:rsidRDefault="009925F8" w:rsidP="00434E21">
      <w:pPr>
        <w:pStyle w:val="Prrafodelista"/>
        <w:tabs>
          <w:tab w:val="left" w:pos="597"/>
        </w:tabs>
        <w:ind w:left="0" w:right="175"/>
        <w:jc w:val="both"/>
        <w:rPr>
          <w:rFonts w:ascii="Arial Narrow" w:hAnsi="Arial Narrow" w:cs="Arial"/>
          <w:sz w:val="20"/>
          <w:szCs w:val="20"/>
          <w:lang w:val="es-CO" w:eastAsia="es-CO" w:bidi="es-ES"/>
        </w:rPr>
      </w:pPr>
    </w:p>
    <w:p w14:paraId="66A84DFC" w14:textId="77777777" w:rsidR="009925F8" w:rsidRPr="00F74F8F" w:rsidRDefault="009925F8" w:rsidP="009925F8">
      <w:pPr>
        <w:pStyle w:val="Prrafodelista"/>
        <w:tabs>
          <w:tab w:val="left" w:pos="597"/>
        </w:tabs>
        <w:ind w:left="0" w:right="175"/>
        <w:jc w:val="both"/>
        <w:rPr>
          <w:rFonts w:ascii="Arial Narrow" w:hAnsi="Arial Narrow" w:cs="Arial"/>
          <w:sz w:val="20"/>
          <w:szCs w:val="20"/>
          <w:lang w:eastAsia="es-CO" w:bidi="es-ES"/>
        </w:rPr>
      </w:pPr>
      <w:r w:rsidRPr="00F74F8F">
        <w:rPr>
          <w:rFonts w:ascii="Arial Narrow" w:hAnsi="Arial Narrow" w:cs="Arial"/>
          <w:b/>
          <w:sz w:val="20"/>
          <w:szCs w:val="20"/>
          <w:lang w:eastAsia="es-CO" w:bidi="es-ES"/>
        </w:rPr>
        <w:t>EXONERACIÓN DE RESPONSABILIDAD DE LA GARANTÍA.</w:t>
      </w:r>
      <w:r w:rsidRPr="00F74F8F">
        <w:rPr>
          <w:rFonts w:ascii="Arial Narrow" w:hAnsi="Arial Narrow" w:cs="Arial"/>
          <w:sz w:val="20"/>
          <w:szCs w:val="20"/>
          <w:lang w:eastAsia="es-CO" w:bidi="es-ES"/>
        </w:rPr>
        <w:t xml:space="preserve"> El contratista se exonerará de la responsabilidad que se deriva de la garantía, cuando demuestre que el defecto proviene de fuerza mayor o caso fortuito; el hecho de un tercero; el uso indebido por parte del usuario, y que el usuario no atendió las instrucciones, uso o mantenimiento indicadas y en la garantía (cuando aplique). En todo caso el contratista que alegue la causal de exoneración deberá demostrar el nexo causal entre ésta y el defecto del servicio.</w:t>
      </w:r>
    </w:p>
    <w:p w14:paraId="61C4B1BC" w14:textId="77777777" w:rsidR="009925F8" w:rsidRPr="00F74F8F" w:rsidRDefault="009925F8" w:rsidP="009925F8">
      <w:pPr>
        <w:pStyle w:val="Prrafodelista"/>
        <w:tabs>
          <w:tab w:val="left" w:pos="597"/>
        </w:tabs>
        <w:ind w:left="597" w:right="175"/>
        <w:jc w:val="both"/>
        <w:rPr>
          <w:rFonts w:ascii="Arial Narrow" w:hAnsi="Arial Narrow" w:cs="Arial"/>
          <w:sz w:val="20"/>
          <w:szCs w:val="20"/>
          <w:lang w:eastAsia="es-CO" w:bidi="es-ES"/>
        </w:rPr>
      </w:pPr>
    </w:p>
    <w:p w14:paraId="51E3566F" w14:textId="77777777" w:rsidR="009925F8" w:rsidRPr="00F74F8F" w:rsidRDefault="009925F8" w:rsidP="009925F8">
      <w:pPr>
        <w:pStyle w:val="Prrafodelista"/>
        <w:tabs>
          <w:tab w:val="left" w:pos="597"/>
        </w:tabs>
        <w:ind w:left="0" w:right="175"/>
        <w:jc w:val="both"/>
        <w:rPr>
          <w:rFonts w:ascii="Arial Narrow" w:hAnsi="Arial Narrow" w:cs="Arial"/>
          <w:sz w:val="20"/>
          <w:szCs w:val="20"/>
          <w:lang w:eastAsia="es-CO" w:bidi="es-ES"/>
        </w:rPr>
      </w:pPr>
      <w:r w:rsidRPr="00F74F8F">
        <w:rPr>
          <w:rFonts w:ascii="Arial Narrow" w:hAnsi="Arial Narrow" w:cs="Arial"/>
          <w:b/>
          <w:sz w:val="20"/>
          <w:szCs w:val="20"/>
          <w:lang w:eastAsia="es-CO" w:bidi="es-ES"/>
        </w:rPr>
        <w:lastRenderedPageBreak/>
        <w:t xml:space="preserve">SUSPENSIÓN Y AMPLIACIÓN DEL PLAZO DE GARANTÍA: </w:t>
      </w:r>
      <w:r w:rsidRPr="00F74F8F">
        <w:rPr>
          <w:rFonts w:ascii="Arial Narrow" w:hAnsi="Arial Narrow" w:cs="Arial"/>
          <w:sz w:val="20"/>
          <w:szCs w:val="20"/>
          <w:lang w:eastAsia="es-CO" w:bidi="es-ES"/>
        </w:rPr>
        <w:t xml:space="preserve">De conformidad con lo estipulado en el artículo 9 de la Ley 1480 de 2001, El término de la garantía se suspenderá mientras la </w:t>
      </w:r>
      <w:r w:rsidRPr="00F74F8F">
        <w:rPr>
          <w:rFonts w:ascii="Arial Narrow" w:hAnsi="Arial Narrow" w:cs="Arial"/>
          <w:sz w:val="20"/>
          <w:szCs w:val="20"/>
          <w:lang w:eastAsia="es-CO"/>
        </w:rPr>
        <w:t xml:space="preserve">Dirección General Marítima – Grupo Intendencia Regional DIMAR No. 3 </w:t>
      </w:r>
      <w:r w:rsidRPr="00F74F8F">
        <w:rPr>
          <w:rFonts w:ascii="Arial Narrow" w:hAnsi="Arial Narrow" w:cs="Arial"/>
          <w:sz w:val="20"/>
          <w:szCs w:val="20"/>
          <w:lang w:eastAsia="es-CO" w:bidi="es-ES"/>
        </w:rPr>
        <w:t xml:space="preserve">esté privada del uso del bien con ocasión de la efectividad de la garantía y en caso de producirse un cambio total del producto por otro, el término de garantía empezará a correr nuevamente en su totalidad desde el momento de reposición. </w:t>
      </w:r>
    </w:p>
    <w:bookmarkEnd w:id="2"/>
    <w:p w14:paraId="68EDDDF2" w14:textId="77777777" w:rsidR="00600717" w:rsidRPr="002C3545" w:rsidRDefault="00600717" w:rsidP="00CA397F">
      <w:pPr>
        <w:jc w:val="both"/>
        <w:rPr>
          <w:rFonts w:ascii="Arial Narrow" w:hAnsi="Arial Narrow" w:cs="Arial"/>
          <w:color w:val="000000"/>
          <w:lang w:val="es-ES_tradnl"/>
        </w:rPr>
      </w:pPr>
    </w:p>
    <w:p w14:paraId="1D3D22BF" w14:textId="77777777" w:rsidR="00CA397F" w:rsidRPr="00C85676" w:rsidRDefault="00CA397F" w:rsidP="00CA397F">
      <w:pPr>
        <w:autoSpaceDE w:val="0"/>
        <w:autoSpaceDN w:val="0"/>
        <w:adjustRightInd w:val="0"/>
        <w:spacing w:line="0" w:lineRule="atLeast"/>
        <w:jc w:val="both"/>
        <w:rPr>
          <w:rFonts w:ascii="Arial Narrow" w:hAnsi="Arial Narrow" w:cs="Arial"/>
          <w:sz w:val="20"/>
          <w:szCs w:val="20"/>
        </w:rPr>
      </w:pPr>
      <w:r w:rsidRPr="00C85676">
        <w:rPr>
          <w:rFonts w:ascii="Arial Narrow" w:hAnsi="Arial Narrow" w:cs="Arial"/>
          <w:sz w:val="20"/>
          <w:szCs w:val="20"/>
        </w:rPr>
        <w:t>Firma _________________________________________________________</w:t>
      </w:r>
    </w:p>
    <w:p w14:paraId="4D6AAECF" w14:textId="77777777" w:rsidR="00CA397F" w:rsidRPr="00C85676" w:rsidRDefault="00CA397F" w:rsidP="00CA397F">
      <w:pPr>
        <w:autoSpaceDE w:val="0"/>
        <w:autoSpaceDN w:val="0"/>
        <w:adjustRightInd w:val="0"/>
        <w:spacing w:line="0" w:lineRule="atLeast"/>
        <w:jc w:val="both"/>
        <w:rPr>
          <w:rFonts w:ascii="Arial Narrow" w:hAnsi="Arial Narrow" w:cs="Arial"/>
          <w:sz w:val="20"/>
          <w:szCs w:val="20"/>
        </w:rPr>
      </w:pPr>
      <w:r w:rsidRPr="00C85676">
        <w:rPr>
          <w:rFonts w:ascii="Arial Narrow" w:hAnsi="Arial Narrow" w:cs="Arial"/>
          <w:sz w:val="20"/>
          <w:szCs w:val="20"/>
        </w:rPr>
        <w:t>Nombre del Representante Legal: ___________________________________</w:t>
      </w:r>
    </w:p>
    <w:p w14:paraId="10C12899" w14:textId="77777777" w:rsidR="00CA397F" w:rsidRPr="00C85676" w:rsidRDefault="00CA397F" w:rsidP="00CA397F">
      <w:pPr>
        <w:autoSpaceDE w:val="0"/>
        <w:autoSpaceDN w:val="0"/>
        <w:adjustRightInd w:val="0"/>
        <w:spacing w:line="0" w:lineRule="atLeast"/>
        <w:jc w:val="both"/>
        <w:rPr>
          <w:rFonts w:ascii="Arial Narrow" w:hAnsi="Arial Narrow" w:cs="Arial"/>
          <w:sz w:val="20"/>
          <w:szCs w:val="20"/>
        </w:rPr>
      </w:pPr>
      <w:r w:rsidRPr="00C85676">
        <w:rPr>
          <w:rFonts w:ascii="Arial Narrow" w:hAnsi="Arial Narrow" w:cs="Arial"/>
          <w:sz w:val="20"/>
          <w:szCs w:val="20"/>
        </w:rPr>
        <w:t>C.C. No. ______________________ De ______________________________</w:t>
      </w:r>
    </w:p>
    <w:p w14:paraId="5D3F308D" w14:textId="77777777" w:rsidR="00CA397F" w:rsidRPr="00C85676" w:rsidRDefault="00CA397F" w:rsidP="00CA397F">
      <w:pPr>
        <w:autoSpaceDE w:val="0"/>
        <w:autoSpaceDN w:val="0"/>
        <w:adjustRightInd w:val="0"/>
        <w:spacing w:line="0" w:lineRule="atLeast"/>
        <w:jc w:val="both"/>
        <w:rPr>
          <w:rFonts w:ascii="Arial Narrow" w:hAnsi="Arial Narrow" w:cs="Arial"/>
          <w:sz w:val="20"/>
          <w:szCs w:val="20"/>
        </w:rPr>
      </w:pPr>
      <w:r w:rsidRPr="00C85676">
        <w:rPr>
          <w:rFonts w:ascii="Arial Narrow" w:hAnsi="Arial Narrow" w:cs="Arial"/>
          <w:sz w:val="20"/>
          <w:szCs w:val="20"/>
        </w:rPr>
        <w:t>Nombre o Razón Social del Proponente: ______________________________</w:t>
      </w:r>
    </w:p>
    <w:p w14:paraId="5C366930" w14:textId="77777777" w:rsidR="00CA397F" w:rsidRPr="00CE6EA3" w:rsidRDefault="00CA397F" w:rsidP="00CA397F">
      <w:pPr>
        <w:spacing w:line="0" w:lineRule="atLeast"/>
        <w:jc w:val="both"/>
        <w:rPr>
          <w:rFonts w:ascii="Arial Narrow" w:hAnsi="Arial Narrow" w:cs="Arial"/>
        </w:rPr>
      </w:pPr>
      <w:r w:rsidRPr="00C85676">
        <w:rPr>
          <w:rFonts w:ascii="Arial Narrow" w:hAnsi="Arial Narrow" w:cs="Arial"/>
          <w:sz w:val="20"/>
          <w:szCs w:val="20"/>
        </w:rPr>
        <w:t>N.I.T. _________________________</w:t>
      </w:r>
      <w:r w:rsidRPr="00C85676">
        <w:rPr>
          <w:rFonts w:ascii="Arial Narrow" w:hAnsi="Arial Narrow" w:cs="Arial"/>
        </w:rPr>
        <w:t>______________________________</w:t>
      </w:r>
    </w:p>
    <w:p w14:paraId="2E6E39B8" w14:textId="77777777" w:rsidR="00CA397F" w:rsidRPr="00CA397F" w:rsidRDefault="00CA397F" w:rsidP="00D91786">
      <w:pPr>
        <w:jc w:val="right"/>
        <w:rPr>
          <w:lang w:val="es-MX"/>
        </w:rPr>
      </w:pPr>
    </w:p>
    <w:sectPr w:rsidR="00CA397F" w:rsidRPr="00CA397F">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51FCB" w14:textId="77777777" w:rsidR="008648EF" w:rsidRDefault="008648EF" w:rsidP="004B58FB">
      <w:pPr>
        <w:spacing w:after="0" w:line="240" w:lineRule="auto"/>
      </w:pPr>
      <w:r>
        <w:separator/>
      </w:r>
    </w:p>
  </w:endnote>
  <w:endnote w:type="continuationSeparator" w:id="0">
    <w:p w14:paraId="26D44D92" w14:textId="77777777" w:rsidR="008648EF" w:rsidRDefault="008648EF" w:rsidP="004B5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E6421" w14:textId="77777777" w:rsidR="00712AEA" w:rsidRDefault="00712AE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0A41A" w14:textId="77777777" w:rsidR="00712AEA" w:rsidRPr="00F876F9" w:rsidRDefault="00712AEA" w:rsidP="00712AEA">
    <w:pPr>
      <w:pStyle w:val="Piedepgina"/>
      <w:rPr>
        <w:rFonts w:ascii="Arial" w:hAnsi="Arial" w:cs="Arial"/>
        <w:sz w:val="18"/>
        <w:szCs w:val="18"/>
      </w:rPr>
    </w:pPr>
    <w:bookmarkStart w:id="3" w:name="_Hlk111617937"/>
    <w:bookmarkStart w:id="4" w:name="_Hlk196292455"/>
    <w:r w:rsidRPr="00F876F9">
      <w:rPr>
        <w:rFonts w:ascii="Arial" w:hAnsi="Arial" w:cs="Arial"/>
        <w:b/>
        <w:bCs/>
        <w:sz w:val="18"/>
        <w:szCs w:val="18"/>
        <w:lang w:val="es-MX"/>
      </w:rPr>
      <w:t>Regional Caribe</w:t>
    </w:r>
    <w:bookmarkEnd w:id="3"/>
  </w:p>
  <w:p w14:paraId="0DE43611" w14:textId="77777777" w:rsidR="00712AEA" w:rsidRPr="00F876F9" w:rsidRDefault="00712AEA" w:rsidP="00712AEA">
    <w:pPr>
      <w:pStyle w:val="Piedepgina"/>
      <w:rPr>
        <w:rFonts w:ascii="Arial" w:hAnsi="Arial" w:cs="Arial"/>
        <w:sz w:val="18"/>
        <w:szCs w:val="18"/>
      </w:rPr>
    </w:pPr>
    <w:bookmarkStart w:id="5" w:name="_Hlk196399937"/>
    <w:r w:rsidRPr="00F876F9">
      <w:rPr>
        <w:rFonts w:ascii="Arial" w:hAnsi="Arial" w:cs="Arial"/>
        <w:sz w:val="18"/>
        <w:szCs w:val="18"/>
        <w:lang w:val="es-MX"/>
      </w:rPr>
      <w:t>Dirección Escuela Naval de Cadetes Almirante Padilla -</w:t>
    </w:r>
  </w:p>
  <w:p w14:paraId="06FADBA2" w14:textId="77777777" w:rsidR="00712AEA" w:rsidRPr="00F876F9" w:rsidRDefault="00712AEA" w:rsidP="00712AEA">
    <w:pPr>
      <w:pStyle w:val="Piedepgina"/>
      <w:rPr>
        <w:rFonts w:ascii="Arial" w:hAnsi="Arial" w:cs="Arial"/>
        <w:sz w:val="18"/>
        <w:szCs w:val="18"/>
      </w:rPr>
    </w:pPr>
    <w:r w:rsidRPr="00F876F9">
      <w:rPr>
        <w:rFonts w:ascii="Arial" w:hAnsi="Arial" w:cs="Arial"/>
        <w:sz w:val="18"/>
        <w:szCs w:val="18"/>
        <w:lang w:val="es-MX"/>
      </w:rPr>
      <w:t>Centro de Investigaciones Oceanográficas e Hidrográficas del Caribe CIOH, Cartagena</w:t>
    </w:r>
  </w:p>
  <w:bookmarkEnd w:id="5"/>
  <w:p w14:paraId="60C884D4" w14:textId="77777777" w:rsidR="00712AEA" w:rsidRPr="00F876F9" w:rsidRDefault="00712AEA" w:rsidP="00712AEA">
    <w:pPr>
      <w:pStyle w:val="Piedepgina"/>
      <w:rPr>
        <w:rFonts w:ascii="Arial" w:hAnsi="Arial" w:cs="Arial"/>
        <w:sz w:val="18"/>
        <w:szCs w:val="18"/>
      </w:rPr>
    </w:pPr>
    <w:r w:rsidRPr="00F876F9">
      <w:rPr>
        <w:rFonts w:ascii="Arial" w:hAnsi="Arial" w:cs="Arial"/>
        <w:sz w:val="18"/>
        <w:szCs w:val="18"/>
        <w:lang w:val="es-MX"/>
      </w:rPr>
      <w:t>Conmutador (+57) 601 220 0490 - Línea Anticorrupción y Antisoborno 01 8000 911 670</w:t>
    </w:r>
  </w:p>
  <w:p w14:paraId="079CB4F3" w14:textId="77777777" w:rsidR="00712AEA" w:rsidRPr="00F876F9" w:rsidRDefault="00712AEA" w:rsidP="00712AEA">
    <w:pPr>
      <w:pStyle w:val="Piedepgina"/>
      <w:rPr>
        <w:rFonts w:ascii="Arial" w:hAnsi="Arial" w:cs="Arial"/>
        <w:sz w:val="18"/>
        <w:szCs w:val="18"/>
      </w:rPr>
    </w:pPr>
    <w:r w:rsidRPr="00F876F9">
      <w:rPr>
        <w:rFonts w:ascii="Arial" w:hAnsi="Arial" w:cs="Arial"/>
        <w:sz w:val="18"/>
        <w:szCs w:val="18"/>
        <w:lang w:val="es-MX"/>
      </w:rPr>
      <w:t>Línea de Atención al Ciudadano 01 8000 115 966 - Bogotá (+57) 601 328 6800</w:t>
    </w:r>
  </w:p>
  <w:p w14:paraId="21D69264" w14:textId="77777777" w:rsidR="00712AEA" w:rsidRPr="00F876F9" w:rsidRDefault="00712AEA" w:rsidP="00712AEA">
    <w:pPr>
      <w:pStyle w:val="Piedepgina"/>
      <w:rPr>
        <w:rFonts w:ascii="Arial" w:hAnsi="Arial" w:cs="Arial"/>
        <w:sz w:val="18"/>
        <w:szCs w:val="18"/>
      </w:rPr>
    </w:pPr>
    <w:hyperlink r:id="rId1" w:history="1">
      <w:r w:rsidRPr="00F876F9">
        <w:rPr>
          <w:rStyle w:val="Hipervnculo"/>
          <w:rFonts w:ascii="Arial" w:hAnsi="Arial" w:cs="Arial"/>
          <w:sz w:val="18"/>
          <w:szCs w:val="18"/>
          <w:lang w:val="es-MX"/>
        </w:rPr>
        <w:t>dimar@dimar.mil.co</w:t>
      </w:r>
    </w:hyperlink>
    <w:r w:rsidRPr="00F876F9">
      <w:rPr>
        <w:rFonts w:ascii="Arial" w:hAnsi="Arial" w:cs="Arial"/>
        <w:sz w:val="18"/>
        <w:szCs w:val="18"/>
        <w:lang w:val="es-MX"/>
      </w:rPr>
      <w:t xml:space="preserve"> - </w:t>
    </w:r>
    <w:hyperlink r:id="rId2" w:history="1">
      <w:r w:rsidRPr="00F876F9">
        <w:rPr>
          <w:rStyle w:val="Hipervnculo"/>
          <w:rFonts w:ascii="Arial" w:hAnsi="Arial" w:cs="Arial"/>
          <w:sz w:val="18"/>
          <w:szCs w:val="18"/>
          <w:lang w:val="es-MX"/>
        </w:rPr>
        <w:t>www.dimar.mil.co</w:t>
      </w:r>
    </w:hyperlink>
    <w:r w:rsidRPr="00F876F9">
      <w:rPr>
        <w:rFonts w:ascii="Arial" w:hAnsi="Arial" w:cs="Arial"/>
        <w:sz w:val="18"/>
        <w:szCs w:val="18"/>
        <w:lang w:val="es-ES"/>
      </w:rPr>
      <w:t xml:space="preserve"> - </w:t>
    </w:r>
    <w:r w:rsidRPr="00F876F9">
      <w:rPr>
        <w:rFonts w:ascii="Arial" w:hAnsi="Arial" w:cs="Arial"/>
        <w:sz w:val="18"/>
        <w:szCs w:val="18"/>
      </w:rPr>
      <w:t>@DimarColombia</w:t>
    </w:r>
  </w:p>
  <w:bookmarkEnd w:id="4"/>
  <w:p w14:paraId="3FBABE13" w14:textId="77777777" w:rsidR="00712AEA" w:rsidRPr="00163585" w:rsidRDefault="00712AEA" w:rsidP="00712AEA">
    <w:pPr>
      <w:tabs>
        <w:tab w:val="center" w:pos="4419"/>
        <w:tab w:val="right" w:pos="8838"/>
      </w:tabs>
      <w:rPr>
        <w:rFonts w:ascii="Arial" w:hAnsi="Arial" w:cs="Arial"/>
        <w:b/>
        <w:i/>
        <w:sz w:val="18"/>
        <w:szCs w:val="18"/>
        <w:lang w:val="es-ES" w:eastAsia="es-MX"/>
      </w:rPr>
    </w:pPr>
  </w:p>
  <w:p w14:paraId="1AF47BDA" w14:textId="7A8D19D3" w:rsidR="001C088A" w:rsidRPr="00712AEA" w:rsidRDefault="001C088A" w:rsidP="00712AEA">
    <w:pPr>
      <w:pStyle w:val="Piedepgina"/>
      <w:rPr>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C6A14" w14:textId="77777777" w:rsidR="00712AEA" w:rsidRDefault="00712AE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20422" w14:textId="77777777" w:rsidR="008648EF" w:rsidRDefault="008648EF" w:rsidP="004B58FB">
      <w:pPr>
        <w:spacing w:after="0" w:line="240" w:lineRule="auto"/>
      </w:pPr>
      <w:r>
        <w:separator/>
      </w:r>
    </w:p>
  </w:footnote>
  <w:footnote w:type="continuationSeparator" w:id="0">
    <w:p w14:paraId="7D75F948" w14:textId="77777777" w:rsidR="008648EF" w:rsidRDefault="008648EF" w:rsidP="004B58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E470C" w14:textId="77777777" w:rsidR="00712AEA" w:rsidRDefault="00712AE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7908E" w14:textId="679A9321" w:rsidR="005F2AEB" w:rsidRDefault="003D4F96">
    <w:pPr>
      <w:pStyle w:val="Encabezado"/>
      <w:rPr>
        <w:noProof/>
        <w:lang w:eastAsia="es-CO"/>
      </w:rPr>
    </w:pPr>
    <w:r w:rsidRPr="00F876F9">
      <w:rPr>
        <w:rFonts w:ascii="Arial" w:hAnsi="Arial" w:cs="Arial"/>
        <w:noProof/>
        <w:sz w:val="20"/>
        <w:szCs w:val="20"/>
        <w:lang w:val="es-ES"/>
      </w:rPr>
      <w:drawing>
        <wp:anchor distT="0" distB="0" distL="114300" distR="114300" simplePos="0" relativeHeight="251665408" behindDoc="1" locked="0" layoutInCell="1" allowOverlap="1" wp14:anchorId="300B439D" wp14:editId="29EBB86F">
          <wp:simplePos x="0" y="0"/>
          <wp:positionH relativeFrom="margin">
            <wp:align>left</wp:align>
          </wp:positionH>
          <wp:positionV relativeFrom="margin">
            <wp:posOffset>-1064287</wp:posOffset>
          </wp:positionV>
          <wp:extent cx="5612130" cy="956945"/>
          <wp:effectExtent l="0" t="0" r="7620" b="0"/>
          <wp:wrapNone/>
          <wp:docPr id="2033356460"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9767"/>
                  <a:stretch>
                    <a:fillRect/>
                  </a:stretch>
                </pic:blipFill>
                <pic:spPr bwMode="auto">
                  <a:xfrm>
                    <a:off x="0" y="0"/>
                    <a:ext cx="5612130" cy="956945"/>
                  </a:xfrm>
                  <a:prstGeom prst="rect">
                    <a:avLst/>
                  </a:prstGeom>
                  <a:noFill/>
                </pic:spPr>
              </pic:pic>
            </a:graphicData>
          </a:graphic>
          <wp14:sizeRelH relativeFrom="margin">
            <wp14:pctWidth>0</wp14:pctWidth>
          </wp14:sizeRelH>
          <wp14:sizeRelV relativeFrom="margin">
            <wp14:pctHeight>0</wp14:pctHeight>
          </wp14:sizeRelV>
        </wp:anchor>
      </w:drawing>
    </w:r>
  </w:p>
  <w:p w14:paraId="7EB084B9" w14:textId="77777777" w:rsidR="003D4F96" w:rsidRDefault="003D4F96">
    <w:pPr>
      <w:pStyle w:val="Encabezado"/>
      <w:rPr>
        <w:noProof/>
        <w:lang w:eastAsia="es-CO"/>
      </w:rPr>
    </w:pPr>
  </w:p>
  <w:p w14:paraId="5DE4A24F" w14:textId="77777777" w:rsidR="003D4F96" w:rsidRDefault="003D4F96">
    <w:pPr>
      <w:pStyle w:val="Encabezado"/>
      <w:rPr>
        <w:noProof/>
        <w:lang w:eastAsia="es-CO"/>
      </w:rPr>
    </w:pPr>
  </w:p>
  <w:p w14:paraId="02A0DBEB" w14:textId="77777777" w:rsidR="003D4F96" w:rsidRDefault="003D4F9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99135" w14:textId="77777777" w:rsidR="00712AEA" w:rsidRDefault="00712AE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504D9"/>
    <w:multiLevelType w:val="multilevel"/>
    <w:tmpl w:val="134504D9"/>
    <w:lvl w:ilvl="0">
      <w:start w:val="5"/>
      <w:numFmt w:val="decimal"/>
      <w:lvlText w:val="%1"/>
      <w:lvlJc w:val="left"/>
      <w:pPr>
        <w:ind w:left="405" w:hanging="405"/>
      </w:pPr>
      <w:rPr>
        <w:rFonts w:eastAsia="Times New Roman" w:hint="default"/>
        <w:b/>
        <w:color w:val="auto"/>
      </w:rPr>
    </w:lvl>
    <w:lvl w:ilvl="1">
      <w:start w:val="2"/>
      <w:numFmt w:val="decimal"/>
      <w:lvlText w:val="%1.%2"/>
      <w:lvlJc w:val="left"/>
      <w:pPr>
        <w:ind w:left="405" w:hanging="405"/>
      </w:pPr>
      <w:rPr>
        <w:rFonts w:eastAsia="Times New Roman" w:hint="default"/>
        <w:b/>
        <w:color w:val="auto"/>
      </w:rPr>
    </w:lvl>
    <w:lvl w:ilvl="2">
      <w:start w:val="6"/>
      <w:numFmt w:val="decimal"/>
      <w:lvlText w:val="%1.%2.%3"/>
      <w:lvlJc w:val="left"/>
      <w:pPr>
        <w:ind w:left="720" w:hanging="720"/>
      </w:pPr>
      <w:rPr>
        <w:rFonts w:eastAsia="Times New Roman" w:hint="default"/>
        <w:b/>
        <w:color w:val="auto"/>
      </w:rPr>
    </w:lvl>
    <w:lvl w:ilvl="3">
      <w:start w:val="1"/>
      <w:numFmt w:val="decimal"/>
      <w:lvlText w:val="%1.%2.%3.%4"/>
      <w:lvlJc w:val="left"/>
      <w:pPr>
        <w:ind w:left="720" w:hanging="720"/>
      </w:pPr>
      <w:rPr>
        <w:rFonts w:eastAsia="Times New Roman" w:hint="default"/>
        <w:b/>
        <w:color w:val="auto"/>
      </w:rPr>
    </w:lvl>
    <w:lvl w:ilvl="4">
      <w:start w:val="1"/>
      <w:numFmt w:val="decimal"/>
      <w:lvlText w:val="%1.%2.%3.%4.%5"/>
      <w:lvlJc w:val="left"/>
      <w:pPr>
        <w:ind w:left="720" w:hanging="720"/>
      </w:pPr>
      <w:rPr>
        <w:rFonts w:eastAsia="Times New Roman" w:hint="default"/>
        <w:b/>
        <w:color w:val="auto"/>
      </w:rPr>
    </w:lvl>
    <w:lvl w:ilvl="5">
      <w:start w:val="1"/>
      <w:numFmt w:val="decimal"/>
      <w:lvlText w:val="%1.%2.%3.%4.%5.%6"/>
      <w:lvlJc w:val="left"/>
      <w:pPr>
        <w:ind w:left="1080" w:hanging="1080"/>
      </w:pPr>
      <w:rPr>
        <w:rFonts w:eastAsia="Times New Roman" w:hint="default"/>
        <w:b/>
        <w:color w:val="auto"/>
      </w:rPr>
    </w:lvl>
    <w:lvl w:ilvl="6">
      <w:start w:val="1"/>
      <w:numFmt w:val="decimal"/>
      <w:lvlText w:val="%1.%2.%3.%4.%5.%6.%7"/>
      <w:lvlJc w:val="left"/>
      <w:pPr>
        <w:ind w:left="1080" w:hanging="1080"/>
      </w:pPr>
      <w:rPr>
        <w:rFonts w:eastAsia="Times New Roman" w:hint="default"/>
        <w:b/>
        <w:color w:val="auto"/>
      </w:rPr>
    </w:lvl>
    <w:lvl w:ilvl="7">
      <w:start w:val="1"/>
      <w:numFmt w:val="decimal"/>
      <w:lvlText w:val="%1.%2.%3.%4.%5.%6.%7.%8"/>
      <w:lvlJc w:val="left"/>
      <w:pPr>
        <w:ind w:left="1440" w:hanging="1440"/>
      </w:pPr>
      <w:rPr>
        <w:rFonts w:eastAsia="Times New Roman" w:hint="default"/>
        <w:b/>
        <w:color w:val="auto"/>
      </w:rPr>
    </w:lvl>
    <w:lvl w:ilvl="8">
      <w:start w:val="1"/>
      <w:numFmt w:val="decimal"/>
      <w:lvlText w:val="%1.%2.%3.%4.%5.%6.%7.%8.%9"/>
      <w:lvlJc w:val="left"/>
      <w:pPr>
        <w:ind w:left="1440" w:hanging="1440"/>
      </w:pPr>
      <w:rPr>
        <w:rFonts w:eastAsia="Times New Roman" w:hint="default"/>
        <w:b/>
        <w:color w:val="auto"/>
      </w:rPr>
    </w:lvl>
  </w:abstractNum>
  <w:abstractNum w:abstractNumId="1" w15:restartNumberingAfterBreak="0">
    <w:nsid w:val="158B1ED9"/>
    <w:multiLevelType w:val="multilevel"/>
    <w:tmpl w:val="6852976E"/>
    <w:lvl w:ilvl="0">
      <w:start w:val="5"/>
      <w:numFmt w:val="decimal"/>
      <w:lvlText w:val="%1"/>
      <w:lvlJc w:val="left"/>
      <w:pPr>
        <w:ind w:left="360" w:hanging="360"/>
      </w:pPr>
      <w:rPr>
        <w:rFonts w:eastAsia="Times New Roman" w:hint="default"/>
        <w:b/>
        <w:color w:val="auto"/>
      </w:rPr>
    </w:lvl>
    <w:lvl w:ilvl="1">
      <w:start w:val="5"/>
      <w:numFmt w:val="decimal"/>
      <w:lvlText w:val="%1.%2"/>
      <w:lvlJc w:val="left"/>
      <w:pPr>
        <w:ind w:left="360" w:hanging="360"/>
      </w:pPr>
      <w:rPr>
        <w:rFonts w:eastAsia="Times New Roman" w:hint="default"/>
        <w:b/>
        <w:color w:val="auto"/>
      </w:rPr>
    </w:lvl>
    <w:lvl w:ilvl="2">
      <w:start w:val="1"/>
      <w:numFmt w:val="decimal"/>
      <w:lvlText w:val="%1.%2.%3"/>
      <w:lvlJc w:val="left"/>
      <w:pPr>
        <w:ind w:left="720" w:hanging="720"/>
      </w:pPr>
      <w:rPr>
        <w:rFonts w:eastAsia="Times New Roman" w:hint="default"/>
        <w:b/>
        <w:color w:val="auto"/>
      </w:rPr>
    </w:lvl>
    <w:lvl w:ilvl="3">
      <w:start w:val="1"/>
      <w:numFmt w:val="decimal"/>
      <w:lvlText w:val="%1.%2.%3.%4"/>
      <w:lvlJc w:val="left"/>
      <w:pPr>
        <w:ind w:left="720" w:hanging="720"/>
      </w:pPr>
      <w:rPr>
        <w:rFonts w:eastAsia="Times New Roman" w:hint="default"/>
        <w:b/>
        <w:color w:val="auto"/>
      </w:rPr>
    </w:lvl>
    <w:lvl w:ilvl="4">
      <w:start w:val="1"/>
      <w:numFmt w:val="decimal"/>
      <w:lvlText w:val="%1.%2.%3.%4.%5"/>
      <w:lvlJc w:val="left"/>
      <w:pPr>
        <w:ind w:left="720" w:hanging="720"/>
      </w:pPr>
      <w:rPr>
        <w:rFonts w:eastAsia="Times New Roman" w:hint="default"/>
        <w:b/>
        <w:color w:val="auto"/>
      </w:rPr>
    </w:lvl>
    <w:lvl w:ilvl="5">
      <w:start w:val="1"/>
      <w:numFmt w:val="decimal"/>
      <w:lvlText w:val="%1.%2.%3.%4.%5.%6"/>
      <w:lvlJc w:val="left"/>
      <w:pPr>
        <w:ind w:left="1080" w:hanging="1080"/>
      </w:pPr>
      <w:rPr>
        <w:rFonts w:eastAsia="Times New Roman" w:hint="default"/>
        <w:b/>
        <w:color w:val="auto"/>
      </w:rPr>
    </w:lvl>
    <w:lvl w:ilvl="6">
      <w:start w:val="1"/>
      <w:numFmt w:val="decimal"/>
      <w:lvlText w:val="%1.%2.%3.%4.%5.%6.%7"/>
      <w:lvlJc w:val="left"/>
      <w:pPr>
        <w:ind w:left="1080" w:hanging="1080"/>
      </w:pPr>
      <w:rPr>
        <w:rFonts w:eastAsia="Times New Roman" w:hint="default"/>
        <w:b/>
        <w:color w:val="auto"/>
      </w:rPr>
    </w:lvl>
    <w:lvl w:ilvl="7">
      <w:start w:val="1"/>
      <w:numFmt w:val="decimal"/>
      <w:lvlText w:val="%1.%2.%3.%4.%5.%6.%7.%8"/>
      <w:lvlJc w:val="left"/>
      <w:pPr>
        <w:ind w:left="1440" w:hanging="1440"/>
      </w:pPr>
      <w:rPr>
        <w:rFonts w:eastAsia="Times New Roman" w:hint="default"/>
        <w:b/>
        <w:color w:val="auto"/>
      </w:rPr>
    </w:lvl>
    <w:lvl w:ilvl="8">
      <w:start w:val="1"/>
      <w:numFmt w:val="decimal"/>
      <w:lvlText w:val="%1.%2.%3.%4.%5.%6.%7.%8.%9"/>
      <w:lvlJc w:val="left"/>
      <w:pPr>
        <w:ind w:left="1440" w:hanging="1440"/>
      </w:pPr>
      <w:rPr>
        <w:rFonts w:eastAsia="Times New Roman" w:hint="default"/>
        <w:b/>
        <w:color w:val="auto"/>
      </w:rPr>
    </w:lvl>
  </w:abstractNum>
  <w:abstractNum w:abstractNumId="2" w15:restartNumberingAfterBreak="0">
    <w:nsid w:val="239A0DB5"/>
    <w:multiLevelType w:val="multilevel"/>
    <w:tmpl w:val="E500B12A"/>
    <w:lvl w:ilvl="0">
      <w:start w:val="3"/>
      <w:numFmt w:val="decimal"/>
      <w:lvlText w:val="%1"/>
      <w:lvlJc w:val="left"/>
      <w:pPr>
        <w:ind w:left="360" w:hanging="360"/>
      </w:pPr>
      <w:rPr>
        <w:rFonts w:hint="default"/>
        <w:color w:val="FF0000"/>
      </w:rPr>
    </w:lvl>
    <w:lvl w:ilvl="1">
      <w:start w:val="2"/>
      <w:numFmt w:val="decimal"/>
      <w:lvlText w:val="%1.%2"/>
      <w:lvlJc w:val="left"/>
      <w:pPr>
        <w:ind w:left="367" w:hanging="360"/>
      </w:pPr>
      <w:rPr>
        <w:rFonts w:hint="default"/>
        <w:color w:val="FF0000"/>
      </w:rPr>
    </w:lvl>
    <w:lvl w:ilvl="2">
      <w:start w:val="5"/>
      <w:numFmt w:val="decimal"/>
      <w:lvlText w:val="%1.%2.%3"/>
      <w:lvlJc w:val="left"/>
      <w:pPr>
        <w:ind w:left="734" w:hanging="720"/>
      </w:pPr>
      <w:rPr>
        <w:rFonts w:hint="default"/>
        <w:b/>
        <w:bCs/>
        <w:color w:val="auto"/>
      </w:rPr>
    </w:lvl>
    <w:lvl w:ilvl="3">
      <w:start w:val="1"/>
      <w:numFmt w:val="decimal"/>
      <w:lvlText w:val="%1.%2.%3.%4"/>
      <w:lvlJc w:val="left"/>
      <w:pPr>
        <w:ind w:left="741" w:hanging="720"/>
      </w:pPr>
      <w:rPr>
        <w:rFonts w:hint="default"/>
        <w:color w:val="FF0000"/>
      </w:rPr>
    </w:lvl>
    <w:lvl w:ilvl="4">
      <w:start w:val="1"/>
      <w:numFmt w:val="decimal"/>
      <w:lvlText w:val="%1.%2.%3.%4.%5"/>
      <w:lvlJc w:val="left"/>
      <w:pPr>
        <w:ind w:left="748" w:hanging="720"/>
      </w:pPr>
      <w:rPr>
        <w:rFonts w:hint="default"/>
        <w:color w:val="FF0000"/>
      </w:rPr>
    </w:lvl>
    <w:lvl w:ilvl="5">
      <w:start w:val="1"/>
      <w:numFmt w:val="decimal"/>
      <w:lvlText w:val="%1.%2.%3.%4.%5.%6"/>
      <w:lvlJc w:val="left"/>
      <w:pPr>
        <w:ind w:left="1115" w:hanging="1080"/>
      </w:pPr>
      <w:rPr>
        <w:rFonts w:hint="default"/>
        <w:color w:val="FF0000"/>
      </w:rPr>
    </w:lvl>
    <w:lvl w:ilvl="6">
      <w:start w:val="1"/>
      <w:numFmt w:val="decimal"/>
      <w:lvlText w:val="%1.%2.%3.%4.%5.%6.%7"/>
      <w:lvlJc w:val="left"/>
      <w:pPr>
        <w:ind w:left="1122" w:hanging="1080"/>
      </w:pPr>
      <w:rPr>
        <w:rFonts w:hint="default"/>
        <w:color w:val="FF0000"/>
      </w:rPr>
    </w:lvl>
    <w:lvl w:ilvl="7">
      <w:start w:val="1"/>
      <w:numFmt w:val="decimal"/>
      <w:lvlText w:val="%1.%2.%3.%4.%5.%6.%7.%8"/>
      <w:lvlJc w:val="left"/>
      <w:pPr>
        <w:ind w:left="1129" w:hanging="1080"/>
      </w:pPr>
      <w:rPr>
        <w:rFonts w:hint="default"/>
        <w:color w:val="FF0000"/>
      </w:rPr>
    </w:lvl>
    <w:lvl w:ilvl="8">
      <w:start w:val="1"/>
      <w:numFmt w:val="decimal"/>
      <w:lvlText w:val="%1.%2.%3.%4.%5.%6.%7.%8.%9"/>
      <w:lvlJc w:val="left"/>
      <w:pPr>
        <w:ind w:left="1496" w:hanging="1440"/>
      </w:pPr>
      <w:rPr>
        <w:rFonts w:hint="default"/>
        <w:color w:val="FF0000"/>
      </w:rPr>
    </w:lvl>
  </w:abstractNum>
  <w:abstractNum w:abstractNumId="3" w15:restartNumberingAfterBreak="0">
    <w:nsid w:val="28797380"/>
    <w:multiLevelType w:val="multilevel"/>
    <w:tmpl w:val="4E20720E"/>
    <w:lvl w:ilvl="0">
      <w:start w:val="4"/>
      <w:numFmt w:val="decimal"/>
      <w:lvlText w:val="%1."/>
      <w:lvlJc w:val="left"/>
      <w:pPr>
        <w:ind w:left="405" w:hanging="405"/>
      </w:pPr>
      <w:rPr>
        <w:rFonts w:eastAsia="Times New Roman" w:hint="default"/>
        <w:b/>
        <w:bCs w:val="0"/>
      </w:rPr>
    </w:lvl>
    <w:lvl w:ilvl="1">
      <w:start w:val="2"/>
      <w:numFmt w:val="decimal"/>
      <w:lvlText w:val="%1.%2."/>
      <w:lvlJc w:val="left"/>
      <w:pPr>
        <w:ind w:left="405" w:hanging="405"/>
      </w:pPr>
      <w:rPr>
        <w:rFonts w:eastAsia="Times New Roman" w:hint="default"/>
        <w:b/>
        <w:bCs w:val="0"/>
      </w:rPr>
    </w:lvl>
    <w:lvl w:ilvl="2">
      <w:start w:val="1"/>
      <w:numFmt w:val="decimal"/>
      <w:lvlText w:val="%1.%2.%3."/>
      <w:lvlJc w:val="left"/>
      <w:pPr>
        <w:ind w:left="720" w:hanging="720"/>
      </w:pPr>
      <w:rPr>
        <w:rFonts w:eastAsia="Times New Roman" w:hint="default"/>
        <w:b/>
        <w:bCs/>
        <w:sz w:val="20"/>
        <w:szCs w:val="20"/>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720" w:hanging="72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4" w15:restartNumberingAfterBreak="0">
    <w:nsid w:val="68485F5D"/>
    <w:multiLevelType w:val="multilevel"/>
    <w:tmpl w:val="56F46496"/>
    <w:lvl w:ilvl="0">
      <w:start w:val="5"/>
      <w:numFmt w:val="decimal"/>
      <w:lvlText w:val="%1"/>
      <w:lvlJc w:val="left"/>
      <w:pPr>
        <w:ind w:left="405" w:hanging="405"/>
      </w:pPr>
      <w:rPr>
        <w:rFonts w:hint="default"/>
        <w:b/>
      </w:rPr>
    </w:lvl>
    <w:lvl w:ilvl="1">
      <w:start w:val="2"/>
      <w:numFmt w:val="decimal"/>
      <w:lvlText w:val="%1.%2"/>
      <w:lvlJc w:val="left"/>
      <w:pPr>
        <w:ind w:left="405" w:hanging="40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6E3A6B55"/>
    <w:multiLevelType w:val="multilevel"/>
    <w:tmpl w:val="F976DE12"/>
    <w:lvl w:ilvl="0">
      <w:start w:val="3"/>
      <w:numFmt w:val="decimal"/>
      <w:lvlText w:val="%1"/>
      <w:lvlJc w:val="left"/>
      <w:pPr>
        <w:ind w:left="405" w:hanging="405"/>
      </w:pPr>
      <w:rPr>
        <w:rFonts w:hint="default"/>
        <w:b/>
        <w:u w:val="none"/>
      </w:rPr>
    </w:lvl>
    <w:lvl w:ilvl="1">
      <w:start w:val="2"/>
      <w:numFmt w:val="decimal"/>
      <w:lvlText w:val="%1.%2"/>
      <w:lvlJc w:val="left"/>
      <w:pPr>
        <w:ind w:left="405" w:hanging="405"/>
      </w:pPr>
      <w:rPr>
        <w:rFonts w:hint="default"/>
        <w:b/>
        <w:u w:val="none"/>
      </w:rPr>
    </w:lvl>
    <w:lvl w:ilvl="2">
      <w:start w:val="3"/>
      <w:numFmt w:val="decimal"/>
      <w:lvlText w:val="%1.%2.%3"/>
      <w:lvlJc w:val="left"/>
      <w:pPr>
        <w:ind w:left="720" w:hanging="720"/>
      </w:pPr>
      <w:rPr>
        <w:rFonts w:hint="default"/>
        <w:b/>
        <w:u w:val="none"/>
      </w:rPr>
    </w:lvl>
    <w:lvl w:ilvl="3">
      <w:start w:val="1"/>
      <w:numFmt w:val="decimal"/>
      <w:lvlText w:val="%1.%2.%3.%4"/>
      <w:lvlJc w:val="left"/>
      <w:pPr>
        <w:ind w:left="720" w:hanging="720"/>
      </w:pPr>
      <w:rPr>
        <w:rFonts w:hint="default"/>
        <w:b/>
        <w:u w:val="none"/>
      </w:rPr>
    </w:lvl>
    <w:lvl w:ilvl="4">
      <w:start w:val="1"/>
      <w:numFmt w:val="decimal"/>
      <w:lvlText w:val="%1.%2.%3.%4.%5"/>
      <w:lvlJc w:val="left"/>
      <w:pPr>
        <w:ind w:left="720" w:hanging="720"/>
      </w:pPr>
      <w:rPr>
        <w:rFonts w:hint="default"/>
        <w:b/>
        <w:u w:val="none"/>
      </w:rPr>
    </w:lvl>
    <w:lvl w:ilvl="5">
      <w:start w:val="1"/>
      <w:numFmt w:val="decimal"/>
      <w:lvlText w:val="%1.%2.%3.%4.%5.%6"/>
      <w:lvlJc w:val="left"/>
      <w:pPr>
        <w:ind w:left="1080" w:hanging="1080"/>
      </w:pPr>
      <w:rPr>
        <w:rFonts w:hint="default"/>
        <w:b/>
        <w:u w:val="none"/>
      </w:rPr>
    </w:lvl>
    <w:lvl w:ilvl="6">
      <w:start w:val="1"/>
      <w:numFmt w:val="decimal"/>
      <w:lvlText w:val="%1.%2.%3.%4.%5.%6.%7"/>
      <w:lvlJc w:val="left"/>
      <w:pPr>
        <w:ind w:left="1080" w:hanging="1080"/>
      </w:pPr>
      <w:rPr>
        <w:rFonts w:hint="default"/>
        <w:b/>
        <w:u w:val="none"/>
      </w:rPr>
    </w:lvl>
    <w:lvl w:ilvl="7">
      <w:start w:val="1"/>
      <w:numFmt w:val="decimal"/>
      <w:lvlText w:val="%1.%2.%3.%4.%5.%6.%7.%8"/>
      <w:lvlJc w:val="left"/>
      <w:pPr>
        <w:ind w:left="1440" w:hanging="1440"/>
      </w:pPr>
      <w:rPr>
        <w:rFonts w:hint="default"/>
        <w:b/>
        <w:u w:val="none"/>
      </w:rPr>
    </w:lvl>
    <w:lvl w:ilvl="8">
      <w:start w:val="1"/>
      <w:numFmt w:val="decimal"/>
      <w:lvlText w:val="%1.%2.%3.%4.%5.%6.%7.%8.%9"/>
      <w:lvlJc w:val="left"/>
      <w:pPr>
        <w:ind w:left="1440" w:hanging="1440"/>
      </w:pPr>
      <w:rPr>
        <w:rFonts w:hint="default"/>
        <w:b/>
        <w:u w:val="none"/>
      </w:rPr>
    </w:lvl>
  </w:abstractNum>
  <w:num w:numId="1" w16cid:durableId="502941268">
    <w:abstractNumId w:val="1"/>
  </w:num>
  <w:num w:numId="2" w16cid:durableId="2112510491">
    <w:abstractNumId w:val="5"/>
  </w:num>
  <w:num w:numId="3" w16cid:durableId="976030870">
    <w:abstractNumId w:val="0"/>
  </w:num>
  <w:num w:numId="4" w16cid:durableId="806434458">
    <w:abstractNumId w:val="4"/>
  </w:num>
  <w:num w:numId="5" w16cid:durableId="1950160497">
    <w:abstractNumId w:val="2"/>
  </w:num>
  <w:num w:numId="6" w16cid:durableId="1954897422">
    <w:abstractNumId w:val="2"/>
    <w:lvlOverride w:ilvl="0">
      <w:startOverride w:val="3"/>
    </w:lvlOverride>
    <w:lvlOverride w:ilvl="1">
      <w:startOverride w:val="2"/>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30706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97F"/>
    <w:rsid w:val="000022D0"/>
    <w:rsid w:val="00013EA2"/>
    <w:rsid w:val="0003129C"/>
    <w:rsid w:val="001030BC"/>
    <w:rsid w:val="001C088A"/>
    <w:rsid w:val="002C3545"/>
    <w:rsid w:val="003109F2"/>
    <w:rsid w:val="003679DA"/>
    <w:rsid w:val="003A7AF3"/>
    <w:rsid w:val="003D4F96"/>
    <w:rsid w:val="003E6BD3"/>
    <w:rsid w:val="00434E21"/>
    <w:rsid w:val="004B58FB"/>
    <w:rsid w:val="00514535"/>
    <w:rsid w:val="0055540D"/>
    <w:rsid w:val="00576F82"/>
    <w:rsid w:val="005E6954"/>
    <w:rsid w:val="005F2AEB"/>
    <w:rsid w:val="00600717"/>
    <w:rsid w:val="006C7B59"/>
    <w:rsid w:val="00712AEA"/>
    <w:rsid w:val="007264D7"/>
    <w:rsid w:val="00774C9F"/>
    <w:rsid w:val="007A1121"/>
    <w:rsid w:val="008648EF"/>
    <w:rsid w:val="0090229B"/>
    <w:rsid w:val="009925F8"/>
    <w:rsid w:val="00A2064A"/>
    <w:rsid w:val="00A473FB"/>
    <w:rsid w:val="00A74C16"/>
    <w:rsid w:val="00A82703"/>
    <w:rsid w:val="00AA05E9"/>
    <w:rsid w:val="00AC253A"/>
    <w:rsid w:val="00B8095C"/>
    <w:rsid w:val="00C27A08"/>
    <w:rsid w:val="00C83407"/>
    <w:rsid w:val="00C86C17"/>
    <w:rsid w:val="00CA397F"/>
    <w:rsid w:val="00CF4D61"/>
    <w:rsid w:val="00D25A54"/>
    <w:rsid w:val="00D91786"/>
    <w:rsid w:val="00DB79FC"/>
    <w:rsid w:val="00DD4F5E"/>
    <w:rsid w:val="00DD6C31"/>
    <w:rsid w:val="00E32896"/>
    <w:rsid w:val="00E45768"/>
    <w:rsid w:val="00E54484"/>
    <w:rsid w:val="00E57201"/>
    <w:rsid w:val="00E65464"/>
    <w:rsid w:val="00E746DA"/>
    <w:rsid w:val="00FB1D7F"/>
    <w:rsid w:val="00FD5151"/>
    <w:rsid w:val="00FF13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9DFDD8"/>
  <w15:chartTrackingRefBased/>
  <w15:docId w15:val="{4E299F48-5D28-4FF2-86ED-6F00CA6B6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E32896"/>
    <w:rPr>
      <w:color w:val="0563C1"/>
      <w:u w:val="single"/>
    </w:rPr>
  </w:style>
  <w:style w:type="paragraph" w:styleId="Prrafodelista">
    <w:name w:val="List Paragraph"/>
    <w:aliases w:val="COLEGIO,Bullet List,FooterText,numbered,List Paragraph1,Paragraphe de liste1,lp1,HOJA,Bolita,List Paragraph,Párrafo de lista4,BOLADEF,Párrafo de lista3,Párrafo de lista21,BOLA,Nivel 1 OS,Colorful List Accent 1,Colorful List - Accent 11"/>
    <w:basedOn w:val="Normal"/>
    <w:link w:val="PrrafodelistaCar"/>
    <w:uiPriority w:val="1"/>
    <w:qFormat/>
    <w:rsid w:val="00E65464"/>
    <w:pPr>
      <w:spacing w:after="0" w:line="240" w:lineRule="auto"/>
      <w:ind w:left="708"/>
    </w:pPr>
    <w:rPr>
      <w:rFonts w:ascii="Times New Roman" w:eastAsia="Times New Roman" w:hAnsi="Times New Roman" w:cs="Times New Roman"/>
      <w:sz w:val="24"/>
      <w:szCs w:val="24"/>
      <w:lang w:val="es-ES_tradnl" w:eastAsia="es-ES"/>
    </w:rPr>
  </w:style>
  <w:style w:type="character" w:customStyle="1" w:styleId="PrrafodelistaCar">
    <w:name w:val="Párrafo de lista Car"/>
    <w:aliases w:val="COLEGIO Car,Bullet List Car,FooterText Car,numbered Car,List Paragraph1 Car,Paragraphe de liste1 Car,lp1 Car,HOJA Car,Bolita Car,List Paragraph Car,Párrafo de lista4 Car,BOLADEF Car,Párrafo de lista3 Car,Párrafo de lista21 Car"/>
    <w:link w:val="Prrafodelista"/>
    <w:uiPriority w:val="1"/>
    <w:qFormat/>
    <w:rsid w:val="00E65464"/>
    <w:rPr>
      <w:rFonts w:ascii="Times New Roman" w:eastAsia="Times New Roman" w:hAnsi="Times New Roman" w:cs="Times New Roman"/>
      <w:sz w:val="24"/>
      <w:szCs w:val="24"/>
      <w:lang w:val="es-ES_tradnl" w:eastAsia="es-ES"/>
    </w:rPr>
  </w:style>
  <w:style w:type="paragraph" w:styleId="Encabezado">
    <w:name w:val="header"/>
    <w:basedOn w:val="Normal"/>
    <w:link w:val="EncabezadoCar"/>
    <w:uiPriority w:val="99"/>
    <w:unhideWhenUsed/>
    <w:rsid w:val="005F2AE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AEB"/>
  </w:style>
  <w:style w:type="paragraph" w:styleId="Piedepgina">
    <w:name w:val="footer"/>
    <w:aliases w:val="AL Pie de página,Pie de página AL,f"/>
    <w:basedOn w:val="Normal"/>
    <w:link w:val="PiedepginaCar"/>
    <w:uiPriority w:val="99"/>
    <w:unhideWhenUsed/>
    <w:rsid w:val="005F2AEB"/>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5F2AEB"/>
  </w:style>
  <w:style w:type="paragraph" w:styleId="Textoindependiente">
    <w:name w:val="Body Text"/>
    <w:aliases w:val="body text,bt,body tesx,TextindepT2,EHPT,Body Text2,ändrad,tabla 2,contents,Subsection Body Text,Table Bullet 1,TABLA DE CONTENIDO 3,Texto independiente Car Car,body tesx Car Car"/>
    <w:basedOn w:val="Normal"/>
    <w:link w:val="TextoindependienteCar"/>
    <w:uiPriority w:val="1"/>
    <w:qFormat/>
    <w:rsid w:val="00CF4D61"/>
    <w:pPr>
      <w:widowControl w:val="0"/>
      <w:autoSpaceDE w:val="0"/>
      <w:autoSpaceDN w:val="0"/>
      <w:spacing w:after="0" w:line="240" w:lineRule="auto"/>
    </w:pPr>
    <w:rPr>
      <w:rFonts w:ascii="Tahoma" w:eastAsia="Tahoma" w:hAnsi="Tahoma" w:cs="Tahoma"/>
      <w:sz w:val="20"/>
      <w:szCs w:val="20"/>
      <w:lang w:val="es-ES" w:eastAsia="es-ES" w:bidi="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exto independiente Car Car Car"/>
    <w:basedOn w:val="Fuentedeprrafopredeter"/>
    <w:link w:val="Textoindependiente"/>
    <w:uiPriority w:val="1"/>
    <w:rsid w:val="00CF4D61"/>
    <w:rPr>
      <w:rFonts w:ascii="Tahoma" w:eastAsia="Tahoma" w:hAnsi="Tahoma" w:cs="Tahoma"/>
      <w:sz w:val="20"/>
      <w:szCs w:val="20"/>
      <w:lang w:val="es-ES" w:eastAsia="es-ES" w:bidi="es-ES"/>
    </w:rPr>
  </w:style>
  <w:style w:type="character" w:styleId="Refdecomentario">
    <w:name w:val="annotation reference"/>
    <w:uiPriority w:val="99"/>
    <w:rsid w:val="00DD6C31"/>
    <w:rPr>
      <w:sz w:val="16"/>
      <w:szCs w:val="16"/>
    </w:rPr>
  </w:style>
  <w:style w:type="paragraph" w:styleId="Textocomentario">
    <w:name w:val="annotation text"/>
    <w:basedOn w:val="Normal"/>
    <w:link w:val="TextocomentarioCar"/>
    <w:uiPriority w:val="99"/>
    <w:rsid w:val="00DD6C31"/>
    <w:pPr>
      <w:spacing w:after="0" w:line="240" w:lineRule="auto"/>
    </w:pPr>
    <w:rPr>
      <w:rFonts w:ascii="Times New Roman" w:eastAsia="Times New Roman" w:hAnsi="Times New Roman" w:cs="Times New Roman"/>
      <w:sz w:val="20"/>
      <w:szCs w:val="20"/>
      <w:lang w:val="x-none" w:eastAsia="es-CO"/>
    </w:rPr>
  </w:style>
  <w:style w:type="character" w:customStyle="1" w:styleId="TextocomentarioCar">
    <w:name w:val="Texto comentario Car"/>
    <w:basedOn w:val="Fuentedeprrafopredeter"/>
    <w:link w:val="Textocomentario"/>
    <w:uiPriority w:val="99"/>
    <w:rsid w:val="00DD6C31"/>
    <w:rPr>
      <w:rFonts w:ascii="Times New Roman" w:eastAsia="Times New Roman" w:hAnsi="Times New Roman" w:cs="Times New Roman"/>
      <w:sz w:val="20"/>
      <w:szCs w:val="20"/>
      <w:lang w:val="x-none"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374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671</Words>
  <Characters>3692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Cristancho</dc:creator>
  <cp:keywords/>
  <dc:description/>
  <cp:lastModifiedBy>Dilia Gordillo</cp:lastModifiedBy>
  <cp:revision>29</cp:revision>
  <dcterms:created xsi:type="dcterms:W3CDTF">2023-01-20T20:01:00Z</dcterms:created>
  <dcterms:modified xsi:type="dcterms:W3CDTF">2025-06-11T15:32:00Z</dcterms:modified>
</cp:coreProperties>
</file>