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95AF7" w14:textId="77777777" w:rsidR="006F3A07" w:rsidRDefault="000A03AB">
      <w:pPr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b/>
          <w:sz w:val="22"/>
          <w:szCs w:val="22"/>
        </w:rPr>
        <w:t>ANEXO No. 3</w:t>
      </w:r>
    </w:p>
    <w:p w14:paraId="4D836B3B" w14:textId="77777777" w:rsidR="006F3A07" w:rsidRDefault="000A03AB">
      <w:pPr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DOCUMENTO CONSORCIAL</w:t>
      </w:r>
    </w:p>
    <w:p w14:paraId="45B5846F" w14:textId="77777777" w:rsidR="006F3A07" w:rsidRDefault="006F3A07">
      <w:pPr>
        <w:rPr>
          <w:rFonts w:ascii="Century Gothic" w:eastAsia="Century Gothic" w:hAnsi="Century Gothic" w:cs="Century Gothic"/>
          <w:sz w:val="22"/>
          <w:szCs w:val="22"/>
        </w:rPr>
      </w:pPr>
    </w:p>
    <w:p w14:paraId="5FA67389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NIT.____________,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NIT.__________,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0FAB271D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4083CEE" w14:textId="3A6A1359" w:rsidR="006F3A07" w:rsidRDefault="000A03AB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el Proceso de Mínima Cuantía  </w:t>
      </w:r>
      <w:r w:rsidRPr="000A03AB">
        <w:rPr>
          <w:rFonts w:ascii="Century Gothic" w:eastAsia="Century Gothic" w:hAnsi="Century Gothic" w:cs="Century Gothic"/>
          <w:sz w:val="22"/>
          <w:szCs w:val="22"/>
        </w:rPr>
        <w:t>AMS-MC-0</w:t>
      </w:r>
      <w:r w:rsidR="004C1E2B">
        <w:rPr>
          <w:rFonts w:ascii="Century Gothic" w:eastAsia="Century Gothic" w:hAnsi="Century Gothic" w:cs="Century Gothic"/>
          <w:sz w:val="22"/>
          <w:szCs w:val="22"/>
        </w:rPr>
        <w:t>24</w:t>
      </w:r>
      <w:r w:rsidRPr="000A03AB">
        <w:rPr>
          <w:rFonts w:ascii="Century Gothic" w:eastAsia="Century Gothic" w:hAnsi="Century Gothic" w:cs="Century Gothic"/>
          <w:sz w:val="22"/>
          <w:szCs w:val="22"/>
        </w:rPr>
        <w:t>-2025</w:t>
      </w:r>
      <w:r>
        <w:rPr>
          <w:rFonts w:ascii="Century Gothic" w:eastAsia="Century Gothic" w:hAnsi="Century Gothic" w:cs="Century Gothic"/>
          <w:sz w:val="22"/>
          <w:szCs w:val="22"/>
        </w:rPr>
        <w:t>, convocado por el MUNICPIO DE SUBACHOQUE cuyo objeto es</w:t>
      </w:r>
      <w:r>
        <w:rPr>
          <w:rFonts w:ascii="Century Gothic" w:eastAsia="Century Gothic" w:hAnsi="Century Gothic" w:cs="Century Gothic"/>
          <w:i/>
          <w:sz w:val="22"/>
          <w:szCs w:val="22"/>
        </w:rPr>
        <w:t>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“</w:t>
      </w:r>
      <w:r w:rsidR="004C1E2B" w:rsidRPr="004C1E2B">
        <w:rPr>
          <w:rFonts w:ascii="Century Gothic" w:eastAsia="Century Gothic" w:hAnsi="Century Gothic" w:cs="Century Gothic"/>
          <w:b/>
          <w:bCs/>
          <w:sz w:val="20"/>
          <w:szCs w:val="20"/>
        </w:rPr>
        <w:t>PRESTACIÓN DEL SERVICIO DE TRANSPORTE TERRESTRE PARA EL PERSONAL DE LA COMISARÍA DE FAMILIA Y LA INSPECCIÓN DE POLICÍA DEL MUNICIPIO DE SUBACHOQUE, CON EL FIN DE GARANTIZAR EL CUMPLIMIENTO DE SUS FUNCIONES ORIENTADAS A LA PROTECCIÓN DE LOS DERECHOS EN EL ÁMBITO FAMILIAR Y DE LOS DERECHOS CIUDADANOS</w:t>
      </w:r>
      <w:r>
        <w:rPr>
          <w:rFonts w:ascii="Century Gothic" w:eastAsia="Century Gothic" w:hAnsi="Century Gothic" w:cs="Century Gothic"/>
          <w:sz w:val="20"/>
          <w:szCs w:val="20"/>
        </w:rPr>
        <w:t>”</w:t>
      </w:r>
    </w:p>
    <w:p w14:paraId="3B16558C" w14:textId="77777777" w:rsidR="006F3A07" w:rsidRDefault="006F3A07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2DCA297" w14:textId="77777777" w:rsidR="006F3A07" w:rsidRDefault="006F3A07">
      <w:pPr>
        <w:jc w:val="both"/>
        <w:rPr>
          <w:rFonts w:ascii="Century Gothic" w:eastAsia="Century Gothic" w:hAnsi="Century Gothic" w:cs="Century Gothic"/>
          <w:i/>
          <w:sz w:val="22"/>
          <w:szCs w:val="22"/>
        </w:rPr>
      </w:pPr>
    </w:p>
    <w:p w14:paraId="455666AD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14:paraId="1EADE34D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FF5BC65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SEGUNDA.  NOMBRE Y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DOMICILIO.-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614923BD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4DECFA94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nombra como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520012B3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lastRenderedPageBreak/>
        <w:t xml:space="preserve">CUARTA: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CESIÓN.-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 No se podrá ceder en todo o en parte la participación de alguno de los integrantes del CONSORCIO, entre ellos. Cuando se trate de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cesión  a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un tercero se requerirá aprobación escrita previa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de el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MUNICPIO DE SUBACHOQUE, quien se reserva la facultad de aprobar dicha cesión.</w:t>
      </w:r>
    </w:p>
    <w:p w14:paraId="67DA2B8D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7C5A7D9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QUINTA: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DURACIÓN.-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contrato  y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atender las garantías prestadas.</w:t>
      </w:r>
    </w:p>
    <w:p w14:paraId="34C511B0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7446F52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676F6338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73E51A8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SÉPTIMA: PORCENTAJE DE PARTICIPACIÓN.  Los miembros del consorcio tienen la siguiente participación:</w:t>
      </w:r>
    </w:p>
    <w:p w14:paraId="6CCF6C9A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_____________________________            _______ %</w:t>
      </w:r>
    </w:p>
    <w:p w14:paraId="6C86303A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________%</w:t>
      </w:r>
    </w:p>
    <w:p w14:paraId="72F50AA4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3DA6333C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OCTAVA: FACTURACIÓN. El consorcio facturará de la siguiente manera: </w:t>
      </w:r>
    </w:p>
    <w:p w14:paraId="55EA3E7E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______________________________________________________________________</w:t>
      </w:r>
    </w:p>
    <w:p w14:paraId="539964A3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El documento podrá contener las demás CLÁUSULAS OPCIONALES: que los asociados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consideren  pertinentes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>, siempre y cuando no contravengan lo dispuesto en la ley 80/93 o incluyan limitaciones o exclusiones de los Consorciados.</w:t>
      </w:r>
    </w:p>
    <w:p w14:paraId="3EB693B6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7D4D866E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Ejemplo:</w:t>
      </w:r>
    </w:p>
    <w:p w14:paraId="222B1795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Aspectos Financieros</w:t>
      </w:r>
    </w:p>
    <w:p w14:paraId="6A347F13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7AFBF4D5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Arbitramento</w:t>
      </w:r>
    </w:p>
    <w:p w14:paraId="2EEC9607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45444DC1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Reglas básicas que regulan la relaciones entre los integrantes del CONSORCIO.</w:t>
      </w:r>
    </w:p>
    <w:p w14:paraId="6867BC54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Etc.</w:t>
      </w:r>
    </w:p>
    <w:p w14:paraId="6EB0CCD6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FAF2448" w14:textId="77777777" w:rsidR="006F3A07" w:rsidRDefault="000A03A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4D0F9F6B" w14:textId="77777777" w:rsidR="006F3A07" w:rsidRDefault="006F3A07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tbl>
      <w:tblPr>
        <w:tblStyle w:val="a0"/>
        <w:tblW w:w="869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348"/>
        <w:gridCol w:w="4348"/>
      </w:tblGrid>
      <w:tr w:rsidR="006F3A07" w14:paraId="1F2E5946" w14:textId="77777777">
        <w:trPr>
          <w:trHeight w:val="1484"/>
        </w:trPr>
        <w:tc>
          <w:tcPr>
            <w:tcW w:w="4348" w:type="dxa"/>
            <w:shd w:val="clear" w:color="auto" w:fill="auto"/>
          </w:tcPr>
          <w:p w14:paraId="6B63ADBA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_______________________________</w:t>
            </w:r>
          </w:p>
          <w:p w14:paraId="6A0C9AF3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Nombre</w:t>
            </w:r>
          </w:p>
          <w:p w14:paraId="00A14927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CC</w:t>
            </w:r>
          </w:p>
          <w:p w14:paraId="46800DB9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Representante Legal                  NIT:</w:t>
            </w:r>
          </w:p>
          <w:p w14:paraId="399B40A9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Dirección: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  <w:p w14:paraId="140C5928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38C50B21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_______________________________</w:t>
            </w:r>
          </w:p>
          <w:p w14:paraId="7A48C248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Nombre</w:t>
            </w:r>
          </w:p>
          <w:p w14:paraId="5452476E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CC</w:t>
            </w:r>
          </w:p>
          <w:p w14:paraId="738B29CA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Representante Legal                  NIT:</w:t>
            </w:r>
          </w:p>
          <w:p w14:paraId="3CCF1AA0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Dirección: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  <w:p w14:paraId="703D49DC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Teléfono:</w:t>
            </w:r>
          </w:p>
          <w:p w14:paraId="7A475FAD" w14:textId="77777777" w:rsidR="006F3A07" w:rsidRDefault="006F3A07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  <w:tr w:rsidR="006F3A07" w14:paraId="28BF9458" w14:textId="77777777">
        <w:trPr>
          <w:trHeight w:val="248"/>
        </w:trPr>
        <w:tc>
          <w:tcPr>
            <w:tcW w:w="4348" w:type="dxa"/>
            <w:shd w:val="clear" w:color="auto" w:fill="auto"/>
          </w:tcPr>
          <w:p w14:paraId="50239BC9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Acepto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011C4132" w14:textId="77777777" w:rsidR="006F3A07" w:rsidRDefault="000A03AB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Acepto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ab/>
            </w:r>
          </w:p>
          <w:p w14:paraId="33FDC01B" w14:textId="77777777" w:rsidR="006F3A07" w:rsidRDefault="006F3A07">
            <w:pPr>
              <w:jc w:val="both"/>
              <w:rPr>
                <w:rFonts w:ascii="Century Gothic" w:eastAsia="Century Gothic" w:hAnsi="Century Gothic" w:cs="Century Gothic"/>
              </w:rPr>
            </w:pPr>
          </w:p>
        </w:tc>
      </w:tr>
    </w:tbl>
    <w:p w14:paraId="58AAAC5A" w14:textId="77777777" w:rsidR="006F3A07" w:rsidRDefault="006F3A07" w:rsidP="00B25F62">
      <w:pPr>
        <w:rPr>
          <w:rFonts w:ascii="Century Gothic" w:eastAsia="Century Gothic" w:hAnsi="Century Gothic" w:cs="Century Gothic"/>
        </w:rPr>
      </w:pPr>
    </w:p>
    <w:sectPr w:rsidR="006F3A07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07"/>
    <w:rsid w:val="000A03AB"/>
    <w:rsid w:val="00185C2B"/>
    <w:rsid w:val="004C1E2B"/>
    <w:rsid w:val="005657F2"/>
    <w:rsid w:val="006F3A07"/>
    <w:rsid w:val="00A76257"/>
    <w:rsid w:val="00B25F62"/>
    <w:rsid w:val="00BD0A01"/>
    <w:rsid w:val="00BD0C19"/>
    <w:rsid w:val="00CE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472F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287448"/>
    <w:rPr>
      <w:iCs/>
      <w:lang w:eastAsia="zh-CN"/>
    </w:rPr>
  </w:style>
  <w:style w:type="paragraph" w:styleId="Prrafodelista">
    <w:name w:val="List Paragraph"/>
    <w:aliases w:val="Bolita,Tabla,INGETEC LISTA,Guión,BOLA,Párrafo de lista21,Titulo 8,Lista multicolor - Énfasis 11,HOJA,Viñeta 2,BOLADEF,VIÑETA,Tabla 1.,MIBEX B,Bullet List,FooterText,numbered,Paragraphe de liste1,lp1,List Paragraph,Ha,Título1,列出段落,Foot"/>
    <w:basedOn w:val="Normal"/>
    <w:link w:val="PrrafodelistaCar"/>
    <w:uiPriority w:val="34"/>
    <w:qFormat/>
    <w:rsid w:val="00CE6673"/>
    <w:pPr>
      <w:widowControl w:val="0"/>
      <w:autoSpaceDE w:val="0"/>
      <w:autoSpaceDN w:val="0"/>
      <w:ind w:left="901" w:hanging="360"/>
      <w:jc w:val="both"/>
    </w:pPr>
    <w:rPr>
      <w:rFonts w:ascii="Arial Narrow" w:eastAsia="Arial Narrow" w:hAnsi="Arial Narrow" w:cs="Arial Narrow"/>
      <w:iCs w:val="0"/>
      <w:sz w:val="22"/>
      <w:szCs w:val="22"/>
      <w:lang w:eastAsia="en-US"/>
    </w:rPr>
  </w:style>
  <w:style w:type="character" w:customStyle="1" w:styleId="PrrafodelistaCar">
    <w:name w:val="Párrafo de lista Car"/>
    <w:aliases w:val="Bolita Car,Tabla Car,INGETEC LISTA Car,Guión Car,BOLA Car,Párrafo de lista21 Car,Titulo 8 Car,Lista multicolor - Énfasis 11 Car,HOJA Car,Viñeta 2 Car,BOLADEF Car,VIÑETA Car,Tabla 1. Car,MIBEX B Car,Bullet List Car,FooterText Car"/>
    <w:link w:val="Prrafodelista"/>
    <w:uiPriority w:val="34"/>
    <w:qFormat/>
    <w:rsid w:val="00CE6673"/>
    <w:rPr>
      <w:rFonts w:ascii="Arial Narrow" w:eastAsia="Arial Narrow" w:hAnsi="Arial Narrow" w:cs="Arial Narrow"/>
      <w:lang w:val="es-ES"/>
    </w:rPr>
  </w:style>
  <w:style w:type="character" w:customStyle="1" w:styleId="Fuentedeprrafopredeter1">
    <w:name w:val="Fuente de párrafo predeter.1"/>
    <w:qFormat/>
    <w:rsid w:val="00CE6673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ESkoC/6yrCJXJW4hY0mpZ70IZQ==">CgMxLjAyCGguZ2pkZ3hzOAByITFRUXI5M2xEQnBEbzZUeUpveExHSWlJTUtmUXU3TGZpNQ==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767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CRISTIAM CUFIÑO</cp:lastModifiedBy>
  <cp:revision>14</cp:revision>
  <dcterms:created xsi:type="dcterms:W3CDTF">2024-07-16T02:20:00Z</dcterms:created>
  <dcterms:modified xsi:type="dcterms:W3CDTF">2025-10-09T17:13:00Z</dcterms:modified>
</cp:coreProperties>
</file>