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2C5B9" w14:textId="77777777" w:rsidR="00C63E4C" w:rsidRPr="006C58B4" w:rsidRDefault="00C63E4C" w:rsidP="00C63E4C">
      <w:pPr>
        <w:jc w:val="both"/>
        <w:rPr>
          <w:rFonts w:ascii="Arial" w:hAnsi="Arial" w:cs="Arial"/>
          <w:b/>
          <w:lang w:val="es-CO"/>
        </w:rPr>
      </w:pPr>
    </w:p>
    <w:p w14:paraId="612810A3" w14:textId="552B57BF" w:rsidR="00C63E4C" w:rsidRPr="0053562F" w:rsidRDefault="00C63E4C" w:rsidP="00C63E4C">
      <w:pPr>
        <w:pStyle w:val="WW-Textoindependiente2"/>
        <w:suppressAutoHyphens w:val="0"/>
        <w:jc w:val="center"/>
        <w:rPr>
          <w:rFonts w:cs="Arial"/>
          <w:b/>
          <w:sz w:val="24"/>
          <w:szCs w:val="24"/>
          <w:lang w:val="es-CO"/>
        </w:rPr>
      </w:pPr>
      <w:r w:rsidRPr="0053562F">
        <w:rPr>
          <w:rFonts w:cs="Arial"/>
          <w:b/>
          <w:sz w:val="24"/>
          <w:szCs w:val="24"/>
          <w:lang w:val="es-CO"/>
        </w:rPr>
        <w:t xml:space="preserve">ANEXO </w:t>
      </w:r>
      <w:r w:rsidR="00FD7510">
        <w:rPr>
          <w:rFonts w:cs="Arial"/>
          <w:b/>
          <w:sz w:val="24"/>
          <w:szCs w:val="24"/>
          <w:lang w:val="es-CO"/>
        </w:rPr>
        <w:t>6</w:t>
      </w:r>
    </w:p>
    <w:p w14:paraId="59133387" w14:textId="77777777" w:rsidR="00C63E4C" w:rsidRPr="0053562F" w:rsidRDefault="00C63E4C" w:rsidP="00C63E4C">
      <w:pPr>
        <w:pStyle w:val="WW-Textoindependiente2"/>
        <w:suppressAutoHyphens w:val="0"/>
        <w:jc w:val="center"/>
        <w:rPr>
          <w:rFonts w:cs="Arial"/>
          <w:b/>
          <w:sz w:val="24"/>
          <w:szCs w:val="24"/>
          <w:lang w:val="es-CO"/>
        </w:rPr>
      </w:pPr>
      <w:r w:rsidRPr="0053562F">
        <w:rPr>
          <w:rFonts w:cs="Arial"/>
          <w:b/>
          <w:sz w:val="24"/>
          <w:szCs w:val="24"/>
          <w:lang w:val="es-CO"/>
        </w:rPr>
        <w:t>OFERTA ECONÓMICA</w:t>
      </w:r>
    </w:p>
    <w:p w14:paraId="50AC949D" w14:textId="77777777" w:rsidR="00C63E4C" w:rsidRPr="0053562F" w:rsidRDefault="00C63E4C" w:rsidP="00C63E4C">
      <w:pPr>
        <w:pStyle w:val="WW-Textoindependiente2"/>
        <w:suppressAutoHyphens w:val="0"/>
        <w:jc w:val="center"/>
        <w:rPr>
          <w:rFonts w:cs="Arial"/>
          <w:b/>
          <w:sz w:val="24"/>
          <w:szCs w:val="24"/>
          <w:lang w:val="es-CO"/>
        </w:rPr>
      </w:pPr>
    </w:p>
    <w:p w14:paraId="07CE2B52" w14:textId="77777777" w:rsidR="00C63E4C" w:rsidRDefault="00C63E4C" w:rsidP="00C63E4C">
      <w:pPr>
        <w:jc w:val="both"/>
        <w:rPr>
          <w:rFonts w:ascii="Arial" w:hAnsi="Arial" w:cs="Arial"/>
          <w:b/>
          <w:lang w:val="es-CO"/>
        </w:rPr>
      </w:pPr>
      <w:r w:rsidRPr="0053562F">
        <w:rPr>
          <w:rFonts w:ascii="Arial" w:hAnsi="Arial" w:cs="Arial"/>
          <w:b/>
          <w:lang w:val="es-CO"/>
        </w:rPr>
        <w:t>PROPUESTA ECONÓMICA</w:t>
      </w:r>
    </w:p>
    <w:p w14:paraId="115B0491" w14:textId="77777777" w:rsidR="00D82044" w:rsidRPr="0053562F" w:rsidRDefault="00D82044" w:rsidP="00C63E4C">
      <w:pPr>
        <w:jc w:val="both"/>
        <w:rPr>
          <w:rFonts w:ascii="Arial" w:hAnsi="Arial" w:cs="Arial"/>
          <w:b/>
          <w:lang w:val="es-CO"/>
        </w:rPr>
      </w:pPr>
    </w:p>
    <w:p w14:paraId="0B60ABEE" w14:textId="6128161A" w:rsidR="00C63E4C" w:rsidRPr="00D82044" w:rsidRDefault="00C63E4C" w:rsidP="00C63E4C">
      <w:pPr>
        <w:jc w:val="both"/>
        <w:rPr>
          <w:rFonts w:ascii="Arial" w:hAnsi="Arial" w:cs="Arial"/>
          <w:b/>
          <w:color w:val="FF0000"/>
          <w:lang w:val="es-CO"/>
        </w:rPr>
      </w:pPr>
    </w:p>
    <w:tbl>
      <w:tblPr>
        <w:tblW w:w="4732" w:type="pct"/>
        <w:tblCellMar>
          <w:left w:w="70" w:type="dxa"/>
          <w:right w:w="70" w:type="dxa"/>
        </w:tblCellMar>
        <w:tblLook w:val="04A0" w:firstRow="1" w:lastRow="0" w:firstColumn="1" w:lastColumn="0" w:noHBand="0" w:noVBand="1"/>
      </w:tblPr>
      <w:tblGrid>
        <w:gridCol w:w="1420"/>
        <w:gridCol w:w="2087"/>
        <w:gridCol w:w="640"/>
        <w:gridCol w:w="904"/>
        <w:gridCol w:w="763"/>
        <w:gridCol w:w="1010"/>
        <w:gridCol w:w="1531"/>
      </w:tblGrid>
      <w:tr w:rsidR="00D82044" w:rsidRPr="00D82044" w14:paraId="20375E5B" w14:textId="77777777" w:rsidTr="00D7764D">
        <w:trPr>
          <w:trHeight w:val="315"/>
        </w:trPr>
        <w:tc>
          <w:tcPr>
            <w:tcW w:w="731" w:type="pct"/>
            <w:tcBorders>
              <w:top w:val="single" w:sz="4" w:space="0" w:color="auto"/>
              <w:left w:val="single" w:sz="4" w:space="0" w:color="auto"/>
              <w:bottom w:val="single" w:sz="4" w:space="0" w:color="auto"/>
              <w:right w:val="single" w:sz="4" w:space="0" w:color="auto"/>
            </w:tcBorders>
            <w:shd w:val="clear" w:color="000000" w:fill="auto"/>
            <w:vAlign w:val="center"/>
            <w:hideMark/>
          </w:tcPr>
          <w:p w14:paraId="210AD861"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18"/>
                <w:szCs w:val="18"/>
                <w:bdr w:val="none" w:sz="0" w:space="0" w:color="auto"/>
                <w:lang w:val="es-CO" w:eastAsia="es-CO"/>
              </w:rPr>
            </w:pPr>
            <w:r w:rsidRPr="00D82044">
              <w:rPr>
                <w:rFonts w:ascii="Arial" w:eastAsia="Times New Roman" w:hAnsi="Arial" w:cs="Arial"/>
                <w:b/>
                <w:bCs/>
                <w:sz w:val="18"/>
                <w:szCs w:val="18"/>
                <w:bdr w:val="none" w:sz="0" w:space="0" w:color="auto"/>
                <w:lang w:val="es-CO" w:eastAsia="es-CO"/>
              </w:rPr>
              <w:t>ITEM</w:t>
            </w:r>
          </w:p>
        </w:tc>
        <w:tc>
          <w:tcPr>
            <w:tcW w:w="1302" w:type="pct"/>
            <w:tcBorders>
              <w:top w:val="single" w:sz="4" w:space="0" w:color="auto"/>
              <w:left w:val="nil"/>
              <w:bottom w:val="single" w:sz="4" w:space="0" w:color="auto"/>
              <w:right w:val="single" w:sz="4" w:space="0" w:color="auto"/>
            </w:tcBorders>
            <w:shd w:val="clear" w:color="000000" w:fill="auto"/>
            <w:vAlign w:val="center"/>
            <w:hideMark/>
          </w:tcPr>
          <w:p w14:paraId="381BD2FC"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18"/>
                <w:szCs w:val="18"/>
                <w:bdr w:val="none" w:sz="0" w:space="0" w:color="auto"/>
                <w:lang w:val="es-CO" w:eastAsia="es-CO"/>
              </w:rPr>
            </w:pPr>
            <w:r w:rsidRPr="00D82044">
              <w:rPr>
                <w:rFonts w:ascii="Arial" w:eastAsia="Times New Roman" w:hAnsi="Arial" w:cs="Arial"/>
                <w:b/>
                <w:bCs/>
                <w:sz w:val="18"/>
                <w:szCs w:val="18"/>
                <w:bdr w:val="none" w:sz="0" w:space="0" w:color="auto"/>
                <w:lang w:val="es-CO" w:eastAsia="es-CO"/>
              </w:rPr>
              <w:t>DESCRIPCION</w:t>
            </w:r>
          </w:p>
        </w:tc>
        <w:tc>
          <w:tcPr>
            <w:tcW w:w="339" w:type="pct"/>
            <w:tcBorders>
              <w:top w:val="single" w:sz="4" w:space="0" w:color="auto"/>
              <w:left w:val="nil"/>
              <w:bottom w:val="single" w:sz="4" w:space="0" w:color="auto"/>
              <w:right w:val="single" w:sz="4" w:space="0" w:color="auto"/>
            </w:tcBorders>
            <w:shd w:val="clear" w:color="000000" w:fill="auto"/>
            <w:vAlign w:val="bottom"/>
            <w:hideMark/>
          </w:tcPr>
          <w:p w14:paraId="1E79EDE8"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18"/>
                <w:szCs w:val="18"/>
                <w:bdr w:val="none" w:sz="0" w:space="0" w:color="auto"/>
                <w:lang w:val="es-CO" w:eastAsia="es-CO"/>
              </w:rPr>
            </w:pPr>
            <w:r w:rsidRPr="00D82044">
              <w:rPr>
                <w:rFonts w:ascii="Arial" w:eastAsia="Times New Roman" w:hAnsi="Arial" w:cs="Arial"/>
                <w:b/>
                <w:bCs/>
                <w:sz w:val="18"/>
                <w:szCs w:val="18"/>
                <w:bdr w:val="none" w:sz="0" w:space="0" w:color="auto"/>
                <w:lang w:val="es-CO" w:eastAsia="es-CO"/>
              </w:rPr>
              <w:t>CANT</w:t>
            </w:r>
          </w:p>
        </w:tc>
        <w:tc>
          <w:tcPr>
            <w:tcW w:w="594" w:type="pct"/>
            <w:tcBorders>
              <w:top w:val="single" w:sz="4" w:space="0" w:color="auto"/>
              <w:left w:val="nil"/>
              <w:bottom w:val="single" w:sz="4" w:space="0" w:color="auto"/>
              <w:right w:val="single" w:sz="4" w:space="0" w:color="auto"/>
            </w:tcBorders>
            <w:shd w:val="clear" w:color="000000" w:fill="auto"/>
            <w:vAlign w:val="bottom"/>
            <w:hideMark/>
          </w:tcPr>
          <w:p w14:paraId="46A8A763" w14:textId="1827E479"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18"/>
                <w:szCs w:val="18"/>
                <w:bdr w:val="none" w:sz="0" w:space="0" w:color="auto"/>
                <w:lang w:val="es-CO" w:eastAsia="es-CO"/>
              </w:rPr>
            </w:pPr>
            <w:r w:rsidRPr="00D82044">
              <w:rPr>
                <w:rFonts w:ascii="Arial" w:eastAsia="Times New Roman" w:hAnsi="Arial" w:cs="Arial"/>
                <w:b/>
                <w:bCs/>
                <w:sz w:val="18"/>
                <w:szCs w:val="18"/>
                <w:bdr w:val="none" w:sz="0" w:space="0" w:color="auto"/>
                <w:lang w:val="es-CO" w:eastAsia="es-CO"/>
              </w:rPr>
              <w:t>TOTAL, sin IVA</w:t>
            </w:r>
          </w:p>
        </w:tc>
        <w:tc>
          <w:tcPr>
            <w:tcW w:w="509" w:type="pct"/>
            <w:tcBorders>
              <w:top w:val="single" w:sz="4" w:space="0" w:color="auto"/>
              <w:left w:val="nil"/>
              <w:bottom w:val="single" w:sz="4" w:space="0" w:color="auto"/>
              <w:right w:val="single" w:sz="4" w:space="0" w:color="auto"/>
            </w:tcBorders>
            <w:shd w:val="clear" w:color="000000" w:fill="auto"/>
            <w:vAlign w:val="bottom"/>
            <w:hideMark/>
          </w:tcPr>
          <w:p w14:paraId="24DC5A2D" w14:textId="3BB21943"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18"/>
                <w:szCs w:val="18"/>
                <w:bdr w:val="none" w:sz="0" w:space="0" w:color="auto"/>
                <w:lang w:val="es-CO" w:eastAsia="es-CO"/>
              </w:rPr>
            </w:pPr>
            <w:r w:rsidRPr="00D82044">
              <w:rPr>
                <w:rFonts w:ascii="Arial" w:eastAsia="Times New Roman" w:hAnsi="Arial" w:cs="Arial"/>
                <w:b/>
                <w:bCs/>
                <w:sz w:val="18"/>
                <w:szCs w:val="18"/>
                <w:bdr w:val="none" w:sz="0" w:space="0" w:color="auto"/>
                <w:lang w:val="es-CO" w:eastAsia="es-CO"/>
              </w:rPr>
              <w:t>IVA</w:t>
            </w:r>
          </w:p>
        </w:tc>
        <w:tc>
          <w:tcPr>
            <w:tcW w:w="556" w:type="pct"/>
            <w:tcBorders>
              <w:top w:val="single" w:sz="4" w:space="0" w:color="auto"/>
              <w:left w:val="nil"/>
              <w:bottom w:val="single" w:sz="4" w:space="0" w:color="auto"/>
              <w:right w:val="single" w:sz="4" w:space="0" w:color="auto"/>
            </w:tcBorders>
            <w:shd w:val="clear" w:color="000000" w:fill="auto"/>
            <w:vAlign w:val="bottom"/>
            <w:hideMark/>
          </w:tcPr>
          <w:p w14:paraId="347C3CA0" w14:textId="38EC602E"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18"/>
                <w:szCs w:val="18"/>
                <w:bdr w:val="none" w:sz="0" w:space="0" w:color="auto"/>
                <w:lang w:val="es-CO" w:eastAsia="es-CO"/>
              </w:rPr>
            </w:pPr>
            <w:r w:rsidRPr="00D82044">
              <w:rPr>
                <w:rFonts w:ascii="Arial" w:eastAsia="Times New Roman" w:hAnsi="Arial" w:cs="Arial"/>
                <w:b/>
                <w:bCs/>
                <w:sz w:val="18"/>
                <w:szCs w:val="18"/>
                <w:bdr w:val="none" w:sz="0" w:space="0" w:color="auto"/>
                <w:lang w:val="es-CO" w:eastAsia="es-CO"/>
              </w:rPr>
              <w:t>VALOR UNITARIO CON IVA</w:t>
            </w:r>
          </w:p>
        </w:tc>
        <w:tc>
          <w:tcPr>
            <w:tcW w:w="969" w:type="pct"/>
            <w:tcBorders>
              <w:top w:val="single" w:sz="4" w:space="0" w:color="auto"/>
              <w:left w:val="nil"/>
              <w:bottom w:val="single" w:sz="4" w:space="0" w:color="auto"/>
              <w:right w:val="single" w:sz="4" w:space="0" w:color="auto"/>
            </w:tcBorders>
            <w:shd w:val="clear" w:color="000000" w:fill="auto"/>
            <w:vAlign w:val="bottom"/>
          </w:tcPr>
          <w:p w14:paraId="1D2E9C85" w14:textId="5AF39778" w:rsidR="00D82044" w:rsidRPr="00D82044" w:rsidRDefault="00D7764D"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sz w:val="18"/>
                <w:szCs w:val="18"/>
                <w:bdr w:val="none" w:sz="0" w:space="0" w:color="auto"/>
                <w:lang w:val="es-CO" w:eastAsia="es-CO"/>
              </w:rPr>
            </w:pPr>
            <w:r w:rsidRPr="00D82044">
              <w:rPr>
                <w:rFonts w:ascii="Arial" w:eastAsia="Times New Roman" w:hAnsi="Arial" w:cs="Arial"/>
                <w:b/>
                <w:bCs/>
                <w:sz w:val="18"/>
                <w:szCs w:val="18"/>
                <w:bdr w:val="none" w:sz="0" w:space="0" w:color="auto"/>
                <w:lang w:val="es-CO" w:eastAsia="es-CO"/>
              </w:rPr>
              <w:t xml:space="preserve">TOTAL </w:t>
            </w:r>
            <w:r w:rsidRPr="00D82044">
              <w:rPr>
                <w:rFonts w:ascii="Arial" w:eastAsia="Times New Roman" w:hAnsi="Arial" w:cs="Arial"/>
                <w:b/>
                <w:bCs/>
                <w:sz w:val="18"/>
                <w:szCs w:val="18"/>
                <w:bdr w:val="none" w:sz="0" w:space="0" w:color="auto"/>
                <w:lang w:val="es-CO" w:eastAsia="es-CO"/>
              </w:rPr>
              <w:br/>
              <w:t>CON IVA</w:t>
            </w:r>
          </w:p>
        </w:tc>
      </w:tr>
      <w:tr w:rsidR="00D82044" w:rsidRPr="00D82044" w14:paraId="17085DDE" w14:textId="77777777" w:rsidTr="00D7764D">
        <w:trPr>
          <w:trHeight w:val="3075"/>
        </w:trPr>
        <w:tc>
          <w:tcPr>
            <w:tcW w:w="731" w:type="pct"/>
            <w:tcBorders>
              <w:top w:val="nil"/>
              <w:left w:val="single" w:sz="4" w:space="0" w:color="auto"/>
              <w:bottom w:val="single" w:sz="4" w:space="0" w:color="auto"/>
              <w:right w:val="single" w:sz="4" w:space="0" w:color="auto"/>
            </w:tcBorders>
            <w:shd w:val="clear" w:color="000000" w:fill="auto"/>
            <w:vAlign w:val="center"/>
            <w:hideMark/>
          </w:tcPr>
          <w:p w14:paraId="072B79D7"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MESA TOUCH DE 43" CON BRANDING Y SOFTWARE</w:t>
            </w:r>
          </w:p>
        </w:tc>
        <w:tc>
          <w:tcPr>
            <w:tcW w:w="1302" w:type="pct"/>
            <w:tcBorders>
              <w:top w:val="nil"/>
              <w:left w:val="nil"/>
              <w:bottom w:val="single" w:sz="4" w:space="0" w:color="auto"/>
              <w:right w:val="single" w:sz="4" w:space="0" w:color="auto"/>
            </w:tcBorders>
            <w:shd w:val="clear" w:color="000000" w:fill="auto"/>
            <w:vAlign w:val="center"/>
            <w:hideMark/>
          </w:tcPr>
          <w:p w14:paraId="29EDEA19"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Mesa interactiva de 74 cm de ancho x 1.80 de alto, 27 cm de fondo x 10 cm de base, con pantalla táctil de 43 pulgadas integrada, ideal para experiencias digitales; Incluye personalización gráfica (branding) con identidad visual de la secretaria y desarrollo de software interactivo para promocionar los sitios turistocos  servicios y actividades de la secretaria ubicado en centros comerciales de alta afluencia del Municipio de Pereira previa aprobación por parte de la supervisión.</w:t>
            </w:r>
          </w:p>
        </w:tc>
        <w:tc>
          <w:tcPr>
            <w:tcW w:w="339" w:type="pct"/>
            <w:tcBorders>
              <w:top w:val="nil"/>
              <w:left w:val="nil"/>
              <w:bottom w:val="single" w:sz="4" w:space="0" w:color="auto"/>
              <w:right w:val="single" w:sz="4" w:space="0" w:color="auto"/>
            </w:tcBorders>
            <w:shd w:val="clear" w:color="000000" w:fill="FFFFFF"/>
            <w:vAlign w:val="bottom"/>
            <w:hideMark/>
          </w:tcPr>
          <w:p w14:paraId="273A9561"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3</w:t>
            </w:r>
          </w:p>
        </w:tc>
        <w:tc>
          <w:tcPr>
            <w:tcW w:w="594" w:type="pct"/>
            <w:tcBorders>
              <w:top w:val="nil"/>
              <w:left w:val="nil"/>
              <w:bottom w:val="single" w:sz="4" w:space="0" w:color="auto"/>
              <w:right w:val="single" w:sz="4" w:space="0" w:color="auto"/>
            </w:tcBorders>
            <w:shd w:val="clear" w:color="000000" w:fill="auto"/>
            <w:vAlign w:val="bottom"/>
          </w:tcPr>
          <w:p w14:paraId="0D816AFB" w14:textId="4FA4A696"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09" w:type="pct"/>
            <w:tcBorders>
              <w:top w:val="nil"/>
              <w:left w:val="nil"/>
              <w:bottom w:val="single" w:sz="4" w:space="0" w:color="auto"/>
              <w:right w:val="single" w:sz="4" w:space="0" w:color="auto"/>
            </w:tcBorders>
            <w:shd w:val="clear" w:color="000000" w:fill="auto"/>
            <w:vAlign w:val="bottom"/>
          </w:tcPr>
          <w:p w14:paraId="2FCF7335" w14:textId="37DDB63A"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56" w:type="pct"/>
            <w:tcBorders>
              <w:top w:val="nil"/>
              <w:left w:val="nil"/>
              <w:bottom w:val="single" w:sz="4" w:space="0" w:color="auto"/>
              <w:right w:val="single" w:sz="4" w:space="0" w:color="auto"/>
            </w:tcBorders>
            <w:shd w:val="clear" w:color="000000" w:fill="auto"/>
            <w:vAlign w:val="bottom"/>
          </w:tcPr>
          <w:p w14:paraId="44837C10" w14:textId="64EECA8F"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969" w:type="pct"/>
            <w:tcBorders>
              <w:top w:val="nil"/>
              <w:left w:val="nil"/>
              <w:bottom w:val="single" w:sz="4" w:space="0" w:color="auto"/>
              <w:right w:val="single" w:sz="4" w:space="0" w:color="auto"/>
            </w:tcBorders>
            <w:noWrap/>
            <w:vAlign w:val="bottom"/>
          </w:tcPr>
          <w:p w14:paraId="033B5A6B" w14:textId="0D23AE20"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18"/>
                <w:szCs w:val="18"/>
                <w:bdr w:val="none" w:sz="0" w:space="0" w:color="auto"/>
                <w:lang w:val="es-CO" w:eastAsia="es-CO"/>
              </w:rPr>
            </w:pPr>
          </w:p>
        </w:tc>
      </w:tr>
      <w:tr w:rsidR="00D82044" w:rsidRPr="00D82044" w14:paraId="3BA2F7D8" w14:textId="77777777" w:rsidTr="00D7764D">
        <w:trPr>
          <w:trHeight w:val="3060"/>
        </w:trPr>
        <w:tc>
          <w:tcPr>
            <w:tcW w:w="731" w:type="pct"/>
            <w:tcBorders>
              <w:top w:val="nil"/>
              <w:left w:val="single" w:sz="4" w:space="0" w:color="auto"/>
              <w:bottom w:val="single" w:sz="4" w:space="0" w:color="auto"/>
              <w:right w:val="single" w:sz="4" w:space="0" w:color="auto"/>
            </w:tcBorders>
            <w:shd w:val="clear" w:color="000000" w:fill="auto"/>
            <w:vAlign w:val="center"/>
            <w:hideMark/>
          </w:tcPr>
          <w:p w14:paraId="3705BA75"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TOTEM DE 2 MT CON MONITOR DE 43" CON BRANDING Y SOFTWARE</w:t>
            </w:r>
          </w:p>
        </w:tc>
        <w:tc>
          <w:tcPr>
            <w:tcW w:w="1302" w:type="pct"/>
            <w:tcBorders>
              <w:top w:val="nil"/>
              <w:left w:val="nil"/>
              <w:bottom w:val="single" w:sz="4" w:space="0" w:color="auto"/>
              <w:right w:val="single" w:sz="4" w:space="0" w:color="auto"/>
            </w:tcBorders>
            <w:shd w:val="clear" w:color="000000" w:fill="auto"/>
            <w:vAlign w:val="center"/>
            <w:hideMark/>
          </w:tcPr>
          <w:p w14:paraId="71CEFCCF"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Tótem digital vertical de 107 cm de ancho x 102 cm de alto x 61 cm de fondo x 12 cm de base con pantalla integrada de 43” en alta definición para la reproducción de la oferta institucional. Incluye branding personalizado de la secretaria y software interactivo diseñado para promocionar los sitios turisticos, servicios y actividades de la secretaria, ubicado en centros comerciales de alta afluencia del Municipio de Pereira previa aprobación por parte de la supervisión.</w:t>
            </w:r>
          </w:p>
        </w:tc>
        <w:tc>
          <w:tcPr>
            <w:tcW w:w="339" w:type="pct"/>
            <w:tcBorders>
              <w:top w:val="nil"/>
              <w:left w:val="nil"/>
              <w:bottom w:val="single" w:sz="4" w:space="0" w:color="auto"/>
              <w:right w:val="single" w:sz="4" w:space="0" w:color="auto"/>
            </w:tcBorders>
            <w:shd w:val="clear" w:color="000000" w:fill="FFFFFF"/>
            <w:vAlign w:val="bottom"/>
            <w:hideMark/>
          </w:tcPr>
          <w:p w14:paraId="2CC57707"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3</w:t>
            </w:r>
          </w:p>
        </w:tc>
        <w:tc>
          <w:tcPr>
            <w:tcW w:w="594" w:type="pct"/>
            <w:tcBorders>
              <w:top w:val="nil"/>
              <w:left w:val="nil"/>
              <w:bottom w:val="single" w:sz="4" w:space="0" w:color="auto"/>
              <w:right w:val="single" w:sz="4" w:space="0" w:color="auto"/>
            </w:tcBorders>
            <w:shd w:val="clear" w:color="000000" w:fill="auto"/>
            <w:vAlign w:val="bottom"/>
          </w:tcPr>
          <w:p w14:paraId="2E741BB0" w14:textId="4627DA04"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09" w:type="pct"/>
            <w:tcBorders>
              <w:top w:val="nil"/>
              <w:left w:val="nil"/>
              <w:bottom w:val="single" w:sz="4" w:space="0" w:color="auto"/>
              <w:right w:val="single" w:sz="4" w:space="0" w:color="auto"/>
            </w:tcBorders>
            <w:shd w:val="clear" w:color="000000" w:fill="auto"/>
            <w:vAlign w:val="bottom"/>
          </w:tcPr>
          <w:p w14:paraId="20DEAD22" w14:textId="27215E35"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56" w:type="pct"/>
            <w:tcBorders>
              <w:top w:val="nil"/>
              <w:left w:val="nil"/>
              <w:bottom w:val="single" w:sz="4" w:space="0" w:color="auto"/>
              <w:right w:val="single" w:sz="4" w:space="0" w:color="auto"/>
            </w:tcBorders>
            <w:shd w:val="clear" w:color="000000" w:fill="auto"/>
            <w:vAlign w:val="bottom"/>
          </w:tcPr>
          <w:p w14:paraId="19A4A31B" w14:textId="7A97A852"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969" w:type="pct"/>
            <w:tcBorders>
              <w:top w:val="nil"/>
              <w:left w:val="nil"/>
              <w:bottom w:val="single" w:sz="4" w:space="0" w:color="auto"/>
              <w:right w:val="single" w:sz="4" w:space="0" w:color="auto"/>
            </w:tcBorders>
            <w:noWrap/>
            <w:vAlign w:val="bottom"/>
          </w:tcPr>
          <w:p w14:paraId="5C120DA9" w14:textId="2CDBAA9D"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18"/>
                <w:szCs w:val="18"/>
                <w:bdr w:val="none" w:sz="0" w:space="0" w:color="auto"/>
                <w:lang w:val="es-CO" w:eastAsia="es-CO"/>
              </w:rPr>
            </w:pPr>
          </w:p>
        </w:tc>
      </w:tr>
      <w:tr w:rsidR="00D82044" w:rsidRPr="00D82044" w14:paraId="610163E5" w14:textId="77777777" w:rsidTr="00D7764D">
        <w:trPr>
          <w:trHeight w:val="2295"/>
        </w:trPr>
        <w:tc>
          <w:tcPr>
            <w:tcW w:w="731" w:type="pct"/>
            <w:tcBorders>
              <w:top w:val="nil"/>
              <w:left w:val="single" w:sz="4" w:space="0" w:color="auto"/>
              <w:bottom w:val="single" w:sz="4" w:space="0" w:color="auto"/>
              <w:right w:val="single" w:sz="4" w:space="0" w:color="auto"/>
            </w:tcBorders>
            <w:shd w:val="clear" w:color="000000" w:fill="auto"/>
            <w:vAlign w:val="center"/>
            <w:hideMark/>
          </w:tcPr>
          <w:p w14:paraId="760ADF13"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lastRenderedPageBreak/>
              <w:t>TOTEM DE 2MT CON CARGA DE CELULAR Y PANTALLA CON BRANDING</w:t>
            </w:r>
          </w:p>
        </w:tc>
        <w:tc>
          <w:tcPr>
            <w:tcW w:w="1302" w:type="pct"/>
            <w:tcBorders>
              <w:top w:val="nil"/>
              <w:left w:val="nil"/>
              <w:bottom w:val="single" w:sz="4" w:space="0" w:color="auto"/>
              <w:right w:val="single" w:sz="4" w:space="0" w:color="auto"/>
            </w:tcBorders>
            <w:shd w:val="clear" w:color="000000" w:fill="auto"/>
            <w:vAlign w:val="center"/>
            <w:hideMark/>
          </w:tcPr>
          <w:p w14:paraId="1A1CD24B"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Tótem digital vertical de 2 metros de alto x 55 cm de ancho x 22 de fondo con puertos de carga para dispositivos móviles y pantalla integrada de 31</w:t>
            </w:r>
            <w:r w:rsidRPr="00D82044">
              <w:rPr>
                <w:rFonts w:ascii="Arial" w:eastAsia="Times New Roman" w:hAnsi="Arial" w:cs="Arial"/>
                <w:color w:val="FF0000"/>
                <w:sz w:val="18"/>
                <w:szCs w:val="18"/>
                <w:bdr w:val="none" w:sz="0" w:space="0" w:color="auto"/>
                <w:lang w:val="es-CO" w:eastAsia="es-CO"/>
              </w:rPr>
              <w:t xml:space="preserve">" </w:t>
            </w:r>
            <w:r w:rsidRPr="00D82044">
              <w:rPr>
                <w:rFonts w:ascii="Arial" w:eastAsia="Times New Roman" w:hAnsi="Arial" w:cs="Arial"/>
                <w:sz w:val="18"/>
                <w:szCs w:val="18"/>
                <w:bdr w:val="none" w:sz="0" w:space="0" w:color="auto"/>
                <w:lang w:val="es-CO" w:eastAsia="es-CO"/>
              </w:rPr>
              <w:t>en alta definición. Incluye branding personalizado de la secretaria y software interactivo diseñado para promocionar los sitios turisticos, servicios y actividades de la secretaria, ubicado en centros comerciales de alta afluencia del Municipio de Pereira previa aprobación por parte de la supervisión.</w:t>
            </w:r>
          </w:p>
        </w:tc>
        <w:tc>
          <w:tcPr>
            <w:tcW w:w="339" w:type="pct"/>
            <w:tcBorders>
              <w:top w:val="nil"/>
              <w:left w:val="nil"/>
              <w:bottom w:val="single" w:sz="4" w:space="0" w:color="auto"/>
              <w:right w:val="single" w:sz="4" w:space="0" w:color="auto"/>
            </w:tcBorders>
            <w:shd w:val="clear" w:color="000000" w:fill="FFFFFF"/>
            <w:vAlign w:val="bottom"/>
            <w:hideMark/>
          </w:tcPr>
          <w:p w14:paraId="5EBC3A6C"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3</w:t>
            </w:r>
          </w:p>
        </w:tc>
        <w:tc>
          <w:tcPr>
            <w:tcW w:w="594" w:type="pct"/>
            <w:tcBorders>
              <w:top w:val="nil"/>
              <w:left w:val="nil"/>
              <w:bottom w:val="single" w:sz="4" w:space="0" w:color="auto"/>
              <w:right w:val="single" w:sz="4" w:space="0" w:color="auto"/>
            </w:tcBorders>
            <w:shd w:val="clear" w:color="000000" w:fill="auto"/>
            <w:vAlign w:val="bottom"/>
          </w:tcPr>
          <w:p w14:paraId="761A1D65" w14:textId="4847329E"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09" w:type="pct"/>
            <w:tcBorders>
              <w:top w:val="nil"/>
              <w:left w:val="nil"/>
              <w:bottom w:val="single" w:sz="4" w:space="0" w:color="auto"/>
              <w:right w:val="single" w:sz="4" w:space="0" w:color="auto"/>
            </w:tcBorders>
            <w:shd w:val="clear" w:color="000000" w:fill="auto"/>
            <w:vAlign w:val="bottom"/>
          </w:tcPr>
          <w:p w14:paraId="4304A87A" w14:textId="14602A65"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56" w:type="pct"/>
            <w:tcBorders>
              <w:top w:val="nil"/>
              <w:left w:val="nil"/>
              <w:bottom w:val="single" w:sz="4" w:space="0" w:color="auto"/>
              <w:right w:val="single" w:sz="4" w:space="0" w:color="auto"/>
            </w:tcBorders>
            <w:shd w:val="clear" w:color="000000" w:fill="auto"/>
            <w:vAlign w:val="bottom"/>
          </w:tcPr>
          <w:p w14:paraId="24C03121" w14:textId="01E39F3A"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969" w:type="pct"/>
            <w:tcBorders>
              <w:top w:val="nil"/>
              <w:left w:val="nil"/>
              <w:bottom w:val="single" w:sz="4" w:space="0" w:color="auto"/>
              <w:right w:val="single" w:sz="4" w:space="0" w:color="auto"/>
            </w:tcBorders>
            <w:noWrap/>
            <w:vAlign w:val="bottom"/>
          </w:tcPr>
          <w:p w14:paraId="7C298C89" w14:textId="022D0A3A"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18"/>
                <w:szCs w:val="18"/>
                <w:bdr w:val="none" w:sz="0" w:space="0" w:color="auto"/>
                <w:lang w:val="es-CO" w:eastAsia="es-CO"/>
              </w:rPr>
            </w:pPr>
          </w:p>
        </w:tc>
      </w:tr>
      <w:tr w:rsidR="00D82044" w:rsidRPr="00D82044" w14:paraId="2378FC61" w14:textId="77777777" w:rsidTr="00D7764D">
        <w:trPr>
          <w:trHeight w:val="2580"/>
        </w:trPr>
        <w:tc>
          <w:tcPr>
            <w:tcW w:w="731" w:type="pct"/>
            <w:tcBorders>
              <w:top w:val="nil"/>
              <w:left w:val="single" w:sz="4" w:space="0" w:color="auto"/>
              <w:bottom w:val="single" w:sz="4" w:space="0" w:color="auto"/>
              <w:right w:val="single" w:sz="4" w:space="0" w:color="auto"/>
            </w:tcBorders>
            <w:shd w:val="clear" w:color="000000" w:fill="auto"/>
            <w:vAlign w:val="center"/>
            <w:hideMark/>
          </w:tcPr>
          <w:p w14:paraId="0D623969"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PUNTO DE INFORMACION CON PANTALLA DE 55" Y CARGA DE CELULAR CON BRANDING EXCLUSIVO</w:t>
            </w:r>
          </w:p>
        </w:tc>
        <w:tc>
          <w:tcPr>
            <w:tcW w:w="1302" w:type="pct"/>
            <w:tcBorders>
              <w:top w:val="nil"/>
              <w:left w:val="nil"/>
              <w:bottom w:val="single" w:sz="4" w:space="0" w:color="auto"/>
              <w:right w:val="single" w:sz="4" w:space="0" w:color="auto"/>
            </w:tcBorders>
            <w:shd w:val="clear" w:color="000000" w:fill="auto"/>
            <w:vAlign w:val="center"/>
            <w:hideMark/>
          </w:tcPr>
          <w:p w14:paraId="0C41363B"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Módulo integral de 1.70 de ancho x 2 metros de alto x 50 de profundidad para atención e información, con pantalla integrada 55” con puertos de carga para dispositivos móviles. Incluye diseño gráfico exclusivo alineado con la identidad visual de la secretaria, pensado para ofrecer información turistica digital para brindar un servicio útil al visitante, ubicado en centros comerciales de alta afluencia del Municipio de Pereira previa aprobación por parte de la supervisión.</w:t>
            </w:r>
          </w:p>
        </w:tc>
        <w:tc>
          <w:tcPr>
            <w:tcW w:w="339" w:type="pct"/>
            <w:tcBorders>
              <w:top w:val="nil"/>
              <w:left w:val="nil"/>
              <w:bottom w:val="single" w:sz="4" w:space="0" w:color="auto"/>
              <w:right w:val="single" w:sz="4" w:space="0" w:color="auto"/>
            </w:tcBorders>
            <w:shd w:val="clear" w:color="000000" w:fill="auto"/>
            <w:vAlign w:val="bottom"/>
            <w:hideMark/>
          </w:tcPr>
          <w:p w14:paraId="3CCA3B0B"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1</w:t>
            </w:r>
          </w:p>
        </w:tc>
        <w:tc>
          <w:tcPr>
            <w:tcW w:w="594" w:type="pct"/>
            <w:tcBorders>
              <w:top w:val="nil"/>
              <w:left w:val="nil"/>
              <w:bottom w:val="single" w:sz="4" w:space="0" w:color="auto"/>
              <w:right w:val="single" w:sz="4" w:space="0" w:color="auto"/>
            </w:tcBorders>
            <w:shd w:val="clear" w:color="000000" w:fill="auto"/>
            <w:vAlign w:val="bottom"/>
          </w:tcPr>
          <w:p w14:paraId="3547E505" w14:textId="048EE08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09" w:type="pct"/>
            <w:tcBorders>
              <w:top w:val="nil"/>
              <w:left w:val="nil"/>
              <w:bottom w:val="single" w:sz="4" w:space="0" w:color="auto"/>
              <w:right w:val="single" w:sz="4" w:space="0" w:color="auto"/>
            </w:tcBorders>
            <w:shd w:val="clear" w:color="000000" w:fill="auto"/>
            <w:vAlign w:val="bottom"/>
          </w:tcPr>
          <w:p w14:paraId="3844E139" w14:textId="041DC15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56" w:type="pct"/>
            <w:tcBorders>
              <w:top w:val="nil"/>
              <w:left w:val="nil"/>
              <w:bottom w:val="single" w:sz="4" w:space="0" w:color="auto"/>
              <w:right w:val="single" w:sz="4" w:space="0" w:color="auto"/>
            </w:tcBorders>
            <w:shd w:val="clear" w:color="000000" w:fill="auto"/>
            <w:vAlign w:val="bottom"/>
          </w:tcPr>
          <w:p w14:paraId="45810B38" w14:textId="6E6DC4A4"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969" w:type="pct"/>
            <w:tcBorders>
              <w:top w:val="nil"/>
              <w:left w:val="nil"/>
              <w:bottom w:val="single" w:sz="4" w:space="0" w:color="auto"/>
              <w:right w:val="single" w:sz="4" w:space="0" w:color="auto"/>
            </w:tcBorders>
            <w:noWrap/>
            <w:vAlign w:val="bottom"/>
          </w:tcPr>
          <w:p w14:paraId="02983013" w14:textId="14EE0799"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18"/>
                <w:szCs w:val="18"/>
                <w:bdr w:val="none" w:sz="0" w:space="0" w:color="auto"/>
                <w:lang w:val="es-CO" w:eastAsia="es-CO"/>
              </w:rPr>
            </w:pPr>
          </w:p>
        </w:tc>
      </w:tr>
      <w:tr w:rsidR="00D82044" w:rsidRPr="00D82044" w14:paraId="13C2876F" w14:textId="77777777" w:rsidTr="00D7764D">
        <w:trPr>
          <w:trHeight w:val="748"/>
        </w:trPr>
        <w:tc>
          <w:tcPr>
            <w:tcW w:w="731" w:type="pct"/>
            <w:tcBorders>
              <w:top w:val="nil"/>
              <w:left w:val="single" w:sz="4" w:space="0" w:color="auto"/>
              <w:bottom w:val="single" w:sz="4" w:space="0" w:color="auto"/>
              <w:right w:val="single" w:sz="4" w:space="0" w:color="auto"/>
            </w:tcBorders>
            <w:shd w:val="clear" w:color="000000" w:fill="auto"/>
            <w:vAlign w:val="center"/>
            <w:hideMark/>
          </w:tcPr>
          <w:p w14:paraId="7376E6E9"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TOTEM DE 2 MT CON MONITOR DE 43" CON BRANDING Y SOFTWARE - TOTEM (Redondo).</w:t>
            </w:r>
          </w:p>
        </w:tc>
        <w:tc>
          <w:tcPr>
            <w:tcW w:w="1302" w:type="pct"/>
            <w:tcBorders>
              <w:top w:val="nil"/>
              <w:left w:val="nil"/>
              <w:bottom w:val="single" w:sz="4" w:space="0" w:color="auto"/>
              <w:right w:val="single" w:sz="4" w:space="0" w:color="auto"/>
            </w:tcBorders>
            <w:shd w:val="clear" w:color="000000" w:fill="auto"/>
            <w:vAlign w:val="center"/>
            <w:hideMark/>
          </w:tcPr>
          <w:p w14:paraId="3385690A"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 xml:space="preserve">Tótem digital vertical redondo de 66 cm de ancho x 1,89 de alto x 66 de fondo con pantalla táctil integrada de 43", ideal para experiencias digitales; Incluye personalización gráfica (branding) con identidad visual de la secretaria y desarrollo de software interactivo para promocionar los sitios turistocos  servicios y actividades de la </w:t>
            </w:r>
            <w:r w:rsidRPr="00D82044">
              <w:rPr>
                <w:rFonts w:ascii="Arial" w:eastAsia="Times New Roman" w:hAnsi="Arial" w:cs="Arial"/>
                <w:sz w:val="18"/>
                <w:szCs w:val="18"/>
                <w:bdr w:val="none" w:sz="0" w:space="0" w:color="auto"/>
                <w:lang w:val="es-CO" w:eastAsia="es-CO"/>
              </w:rPr>
              <w:lastRenderedPageBreak/>
              <w:t>secretaria, ubicado en centros comerciales de alta afluencia del Municipio de Pereira previa aprobación por parte de la supervisión.</w:t>
            </w:r>
          </w:p>
        </w:tc>
        <w:tc>
          <w:tcPr>
            <w:tcW w:w="339" w:type="pct"/>
            <w:tcBorders>
              <w:top w:val="nil"/>
              <w:left w:val="nil"/>
              <w:bottom w:val="single" w:sz="4" w:space="0" w:color="auto"/>
              <w:right w:val="single" w:sz="4" w:space="0" w:color="auto"/>
            </w:tcBorders>
            <w:shd w:val="clear" w:color="000000" w:fill="auto"/>
            <w:vAlign w:val="bottom"/>
            <w:hideMark/>
          </w:tcPr>
          <w:p w14:paraId="201B69CB"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lastRenderedPageBreak/>
              <w:t>2</w:t>
            </w:r>
          </w:p>
        </w:tc>
        <w:tc>
          <w:tcPr>
            <w:tcW w:w="594" w:type="pct"/>
            <w:tcBorders>
              <w:top w:val="nil"/>
              <w:left w:val="nil"/>
              <w:bottom w:val="single" w:sz="4" w:space="0" w:color="auto"/>
              <w:right w:val="single" w:sz="4" w:space="0" w:color="auto"/>
            </w:tcBorders>
            <w:shd w:val="clear" w:color="000000" w:fill="auto"/>
            <w:vAlign w:val="bottom"/>
          </w:tcPr>
          <w:p w14:paraId="56B65D52" w14:textId="5E49D786"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09" w:type="pct"/>
            <w:tcBorders>
              <w:top w:val="nil"/>
              <w:left w:val="nil"/>
              <w:bottom w:val="single" w:sz="4" w:space="0" w:color="auto"/>
              <w:right w:val="single" w:sz="4" w:space="0" w:color="auto"/>
            </w:tcBorders>
            <w:shd w:val="clear" w:color="000000" w:fill="auto"/>
            <w:vAlign w:val="bottom"/>
          </w:tcPr>
          <w:p w14:paraId="4CF9C400" w14:textId="0B51DAF6"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56" w:type="pct"/>
            <w:tcBorders>
              <w:top w:val="nil"/>
              <w:left w:val="nil"/>
              <w:bottom w:val="single" w:sz="4" w:space="0" w:color="auto"/>
              <w:right w:val="single" w:sz="4" w:space="0" w:color="auto"/>
            </w:tcBorders>
            <w:shd w:val="clear" w:color="000000" w:fill="auto"/>
            <w:vAlign w:val="bottom"/>
          </w:tcPr>
          <w:p w14:paraId="24E10CA4" w14:textId="78485E2D"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969" w:type="pct"/>
            <w:tcBorders>
              <w:top w:val="nil"/>
              <w:left w:val="nil"/>
              <w:bottom w:val="single" w:sz="4" w:space="0" w:color="auto"/>
              <w:right w:val="single" w:sz="4" w:space="0" w:color="auto"/>
            </w:tcBorders>
            <w:noWrap/>
            <w:vAlign w:val="bottom"/>
          </w:tcPr>
          <w:p w14:paraId="68AEC4D8" w14:textId="0AA638BA"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18"/>
                <w:szCs w:val="18"/>
                <w:bdr w:val="none" w:sz="0" w:space="0" w:color="auto"/>
                <w:lang w:val="es-CO" w:eastAsia="es-CO"/>
              </w:rPr>
            </w:pPr>
          </w:p>
        </w:tc>
      </w:tr>
      <w:tr w:rsidR="00D82044" w:rsidRPr="00D82044" w14:paraId="6116AD63" w14:textId="77777777" w:rsidTr="00D7764D">
        <w:trPr>
          <w:trHeight w:val="606"/>
        </w:trPr>
        <w:tc>
          <w:tcPr>
            <w:tcW w:w="731" w:type="pct"/>
            <w:tcBorders>
              <w:top w:val="nil"/>
              <w:left w:val="single" w:sz="4" w:space="0" w:color="auto"/>
              <w:bottom w:val="single" w:sz="4" w:space="0" w:color="auto"/>
              <w:right w:val="single" w:sz="4" w:space="0" w:color="auto"/>
            </w:tcBorders>
            <w:shd w:val="clear" w:color="000000" w:fill="auto"/>
            <w:vAlign w:val="center"/>
            <w:hideMark/>
          </w:tcPr>
          <w:p w14:paraId="28D2758F"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PROMOCION DIGITAL GRAN FORMATO - PEREIRA PLAZA - 8mts2</w:t>
            </w:r>
          </w:p>
        </w:tc>
        <w:tc>
          <w:tcPr>
            <w:tcW w:w="1302" w:type="pct"/>
            <w:tcBorders>
              <w:top w:val="nil"/>
              <w:left w:val="nil"/>
              <w:bottom w:val="single" w:sz="4" w:space="0" w:color="auto"/>
              <w:right w:val="single" w:sz="4" w:space="0" w:color="auto"/>
            </w:tcBorders>
            <w:shd w:val="clear" w:color="000000" w:fill="auto"/>
            <w:vAlign w:val="center"/>
            <w:hideMark/>
          </w:tcPr>
          <w:p w14:paraId="2CF4A653"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Promoción digital de gran formato ubicada en el Centro Comercial Pereira Plaza, utilizando una pantalla LED de 8 metros cuadrados, ubicada en un espacio que peremita generar un alto impacto visual. Esta plataforma permitirá llevar a cabo campañas promocionales masivas, garantizando gran visibilidad y exposición destacada de la promoción turística, actividades y oferta institucional de la Secretaría. Todos los contenidos a ser proyectados a través de la pantalla serán previamente concertados con la supervisión correspondiente, asegurando su alineación y conformidad.</w:t>
            </w:r>
          </w:p>
        </w:tc>
        <w:tc>
          <w:tcPr>
            <w:tcW w:w="339" w:type="pct"/>
            <w:tcBorders>
              <w:top w:val="nil"/>
              <w:left w:val="nil"/>
              <w:bottom w:val="single" w:sz="4" w:space="0" w:color="auto"/>
              <w:right w:val="single" w:sz="4" w:space="0" w:color="auto"/>
            </w:tcBorders>
            <w:shd w:val="clear" w:color="000000" w:fill="auto"/>
            <w:vAlign w:val="bottom"/>
            <w:hideMark/>
          </w:tcPr>
          <w:p w14:paraId="409D7A8B"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1</w:t>
            </w:r>
          </w:p>
        </w:tc>
        <w:tc>
          <w:tcPr>
            <w:tcW w:w="594" w:type="pct"/>
            <w:tcBorders>
              <w:top w:val="nil"/>
              <w:left w:val="nil"/>
              <w:bottom w:val="single" w:sz="4" w:space="0" w:color="auto"/>
              <w:right w:val="single" w:sz="4" w:space="0" w:color="auto"/>
            </w:tcBorders>
            <w:shd w:val="clear" w:color="000000" w:fill="auto"/>
            <w:vAlign w:val="bottom"/>
          </w:tcPr>
          <w:p w14:paraId="74730FC4" w14:textId="142541C9"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09" w:type="pct"/>
            <w:tcBorders>
              <w:top w:val="nil"/>
              <w:left w:val="nil"/>
              <w:bottom w:val="single" w:sz="4" w:space="0" w:color="auto"/>
              <w:right w:val="single" w:sz="4" w:space="0" w:color="auto"/>
            </w:tcBorders>
            <w:shd w:val="clear" w:color="000000" w:fill="auto"/>
            <w:vAlign w:val="bottom"/>
          </w:tcPr>
          <w:p w14:paraId="563283DF" w14:textId="4DAA2A4A"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56" w:type="pct"/>
            <w:tcBorders>
              <w:top w:val="nil"/>
              <w:left w:val="nil"/>
              <w:bottom w:val="single" w:sz="4" w:space="0" w:color="auto"/>
              <w:right w:val="single" w:sz="4" w:space="0" w:color="auto"/>
            </w:tcBorders>
            <w:shd w:val="clear" w:color="000000" w:fill="auto"/>
            <w:vAlign w:val="bottom"/>
          </w:tcPr>
          <w:p w14:paraId="6AF9F71F" w14:textId="51DE0672"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969" w:type="pct"/>
            <w:tcBorders>
              <w:top w:val="nil"/>
              <w:left w:val="nil"/>
              <w:bottom w:val="single" w:sz="4" w:space="0" w:color="auto"/>
              <w:right w:val="single" w:sz="4" w:space="0" w:color="auto"/>
            </w:tcBorders>
            <w:noWrap/>
            <w:vAlign w:val="bottom"/>
          </w:tcPr>
          <w:p w14:paraId="128A5CCC" w14:textId="25DAEE45"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18"/>
                <w:szCs w:val="18"/>
                <w:bdr w:val="none" w:sz="0" w:space="0" w:color="auto"/>
                <w:lang w:val="es-CO" w:eastAsia="es-CO"/>
              </w:rPr>
            </w:pPr>
          </w:p>
        </w:tc>
      </w:tr>
      <w:tr w:rsidR="00D82044" w:rsidRPr="00D82044" w14:paraId="6F81604B" w14:textId="77777777" w:rsidTr="00D82044">
        <w:trPr>
          <w:trHeight w:val="2430"/>
        </w:trPr>
        <w:tc>
          <w:tcPr>
            <w:tcW w:w="731" w:type="pct"/>
            <w:tcBorders>
              <w:top w:val="nil"/>
              <w:left w:val="single" w:sz="4" w:space="0" w:color="auto"/>
              <w:bottom w:val="single" w:sz="4" w:space="0" w:color="auto"/>
              <w:right w:val="single" w:sz="4" w:space="0" w:color="auto"/>
            </w:tcBorders>
            <w:shd w:val="clear" w:color="000000" w:fill="auto"/>
            <w:vAlign w:val="center"/>
            <w:hideMark/>
          </w:tcPr>
          <w:p w14:paraId="3E06A068"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PROMOCION DIGITAL GRAN FORMATO - 32mts2 - AIM</w:t>
            </w:r>
          </w:p>
        </w:tc>
        <w:tc>
          <w:tcPr>
            <w:tcW w:w="1302" w:type="pct"/>
            <w:tcBorders>
              <w:top w:val="nil"/>
              <w:left w:val="nil"/>
              <w:bottom w:val="single" w:sz="4" w:space="0" w:color="auto"/>
              <w:right w:val="single" w:sz="4" w:space="0" w:color="auto"/>
            </w:tcBorders>
            <w:shd w:val="clear" w:color="000000" w:fill="auto"/>
            <w:vAlign w:val="center"/>
            <w:hideMark/>
          </w:tcPr>
          <w:p w14:paraId="1F448FC6"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t xml:space="preserve">Pantalla LED de gran formato (32 m²) estratégicamente ubicada en el Aeropuerto Internacional Matecaña, en un espacio de alto tráfico con visibilidad garantizada ante miles de viajeros nacionales e internacionales. Este entorno es ideal para la promoción institucional, la difusión del destino con alto alcance, y el posicionamiento de la marca ciudad. Todos los contenidos a ser proyectados en la pantalla serán previamente concertados con la supervisión </w:t>
            </w:r>
            <w:r w:rsidRPr="00D82044">
              <w:rPr>
                <w:rFonts w:ascii="Arial" w:eastAsia="Times New Roman" w:hAnsi="Arial" w:cs="Arial"/>
                <w:sz w:val="18"/>
                <w:szCs w:val="18"/>
                <w:bdr w:val="none" w:sz="0" w:space="0" w:color="auto"/>
                <w:lang w:val="es-CO" w:eastAsia="es-CO"/>
              </w:rPr>
              <w:lastRenderedPageBreak/>
              <w:t>correspondiente, asegurando que las campañas estén alineadas con los objetivos establecidos, logrando así una exposición efectiva a nivel local e internacional.</w:t>
            </w:r>
          </w:p>
        </w:tc>
        <w:tc>
          <w:tcPr>
            <w:tcW w:w="339" w:type="pct"/>
            <w:tcBorders>
              <w:top w:val="nil"/>
              <w:left w:val="nil"/>
              <w:bottom w:val="single" w:sz="4" w:space="0" w:color="auto"/>
              <w:right w:val="single" w:sz="4" w:space="0" w:color="auto"/>
            </w:tcBorders>
            <w:shd w:val="clear" w:color="000000" w:fill="auto"/>
            <w:vAlign w:val="bottom"/>
            <w:hideMark/>
          </w:tcPr>
          <w:p w14:paraId="244C582D"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r w:rsidRPr="00D82044">
              <w:rPr>
                <w:rFonts w:ascii="Arial" w:eastAsia="Times New Roman" w:hAnsi="Arial" w:cs="Arial"/>
                <w:sz w:val="18"/>
                <w:szCs w:val="18"/>
                <w:bdr w:val="none" w:sz="0" w:space="0" w:color="auto"/>
                <w:lang w:val="es-CO" w:eastAsia="es-CO"/>
              </w:rPr>
              <w:lastRenderedPageBreak/>
              <w:t>1</w:t>
            </w:r>
          </w:p>
        </w:tc>
        <w:tc>
          <w:tcPr>
            <w:tcW w:w="594" w:type="pct"/>
            <w:tcBorders>
              <w:top w:val="nil"/>
              <w:left w:val="nil"/>
              <w:bottom w:val="single" w:sz="4" w:space="0" w:color="auto"/>
              <w:right w:val="single" w:sz="4" w:space="0" w:color="auto"/>
            </w:tcBorders>
            <w:shd w:val="clear" w:color="000000" w:fill="auto"/>
            <w:vAlign w:val="bottom"/>
          </w:tcPr>
          <w:p w14:paraId="1FDF877F" w14:textId="5BEDBA1E"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09" w:type="pct"/>
            <w:tcBorders>
              <w:top w:val="nil"/>
              <w:left w:val="nil"/>
              <w:bottom w:val="single" w:sz="4" w:space="0" w:color="auto"/>
              <w:right w:val="single" w:sz="4" w:space="0" w:color="auto"/>
            </w:tcBorders>
            <w:shd w:val="clear" w:color="000000" w:fill="auto"/>
            <w:vAlign w:val="bottom"/>
          </w:tcPr>
          <w:p w14:paraId="75B8373E" w14:textId="27CC192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556" w:type="pct"/>
            <w:tcBorders>
              <w:top w:val="nil"/>
              <w:left w:val="nil"/>
              <w:bottom w:val="single" w:sz="4" w:space="0" w:color="auto"/>
              <w:right w:val="single" w:sz="4" w:space="0" w:color="auto"/>
            </w:tcBorders>
            <w:shd w:val="clear" w:color="000000" w:fill="auto"/>
            <w:vAlign w:val="bottom"/>
          </w:tcPr>
          <w:p w14:paraId="372C3505" w14:textId="74597AE2"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sz w:val="18"/>
                <w:szCs w:val="18"/>
                <w:bdr w:val="none" w:sz="0" w:space="0" w:color="auto"/>
                <w:lang w:val="es-CO" w:eastAsia="es-CO"/>
              </w:rPr>
            </w:pPr>
          </w:p>
        </w:tc>
        <w:tc>
          <w:tcPr>
            <w:tcW w:w="969" w:type="pct"/>
            <w:tcBorders>
              <w:top w:val="nil"/>
              <w:left w:val="nil"/>
              <w:bottom w:val="single" w:sz="4" w:space="0" w:color="auto"/>
              <w:right w:val="single" w:sz="4" w:space="0" w:color="auto"/>
            </w:tcBorders>
            <w:noWrap/>
            <w:vAlign w:val="bottom"/>
          </w:tcPr>
          <w:p w14:paraId="35FABF15" w14:textId="7400FC55"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color w:val="000000"/>
                <w:sz w:val="18"/>
                <w:szCs w:val="18"/>
                <w:bdr w:val="none" w:sz="0" w:space="0" w:color="auto"/>
                <w:lang w:val="es-CO" w:eastAsia="es-CO"/>
              </w:rPr>
            </w:pPr>
          </w:p>
        </w:tc>
      </w:tr>
      <w:tr w:rsidR="00D82044" w:rsidRPr="00D82044" w14:paraId="6F985AA7" w14:textId="77777777" w:rsidTr="00D82044">
        <w:trPr>
          <w:trHeight w:val="315"/>
        </w:trPr>
        <w:tc>
          <w:tcPr>
            <w:tcW w:w="731" w:type="pct"/>
            <w:tcBorders>
              <w:top w:val="nil"/>
              <w:left w:val="single" w:sz="4" w:space="0" w:color="auto"/>
              <w:bottom w:val="single" w:sz="4" w:space="0" w:color="auto"/>
              <w:right w:val="single" w:sz="4" w:space="0" w:color="auto"/>
            </w:tcBorders>
            <w:noWrap/>
            <w:vAlign w:val="bottom"/>
            <w:hideMark/>
          </w:tcPr>
          <w:p w14:paraId="51580B04"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bCs/>
                <w:color w:val="000000"/>
                <w:sz w:val="18"/>
                <w:szCs w:val="18"/>
                <w:bdr w:val="none" w:sz="0" w:space="0" w:color="auto"/>
                <w:lang w:val="es-CO" w:eastAsia="es-CO"/>
              </w:rPr>
            </w:pPr>
            <w:r w:rsidRPr="00D82044">
              <w:rPr>
                <w:rFonts w:ascii="Arial" w:eastAsia="Times New Roman" w:hAnsi="Arial" w:cs="Arial"/>
                <w:b/>
                <w:bCs/>
                <w:color w:val="000000"/>
                <w:sz w:val="18"/>
                <w:szCs w:val="18"/>
                <w:bdr w:val="none" w:sz="0" w:space="0" w:color="auto"/>
                <w:lang w:val="es-CO" w:eastAsia="es-CO"/>
              </w:rPr>
              <w:t>Total</w:t>
            </w:r>
          </w:p>
        </w:tc>
        <w:tc>
          <w:tcPr>
            <w:tcW w:w="1302" w:type="pct"/>
            <w:tcBorders>
              <w:top w:val="nil"/>
              <w:left w:val="nil"/>
              <w:bottom w:val="single" w:sz="4" w:space="0" w:color="auto"/>
              <w:right w:val="single" w:sz="4" w:space="0" w:color="auto"/>
            </w:tcBorders>
            <w:noWrap/>
            <w:vAlign w:val="bottom"/>
            <w:hideMark/>
          </w:tcPr>
          <w:p w14:paraId="39AB7657"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Times New Roman" w:hAnsi="Arial" w:cs="Arial"/>
                <w:b/>
                <w:bCs/>
                <w:color w:val="000000"/>
                <w:sz w:val="18"/>
                <w:szCs w:val="18"/>
                <w:bdr w:val="none" w:sz="0" w:space="0" w:color="auto"/>
                <w:lang w:val="es-CO" w:eastAsia="es-CO"/>
              </w:rPr>
            </w:pPr>
            <w:r w:rsidRPr="00D82044">
              <w:rPr>
                <w:rFonts w:ascii="Arial" w:eastAsia="Times New Roman" w:hAnsi="Arial" w:cs="Arial"/>
                <w:b/>
                <w:bCs/>
                <w:color w:val="000000"/>
                <w:sz w:val="18"/>
                <w:szCs w:val="18"/>
                <w:bdr w:val="none" w:sz="0" w:space="0" w:color="auto"/>
                <w:lang w:val="es-CO" w:eastAsia="es-CO"/>
              </w:rPr>
              <w:t> </w:t>
            </w:r>
          </w:p>
        </w:tc>
        <w:tc>
          <w:tcPr>
            <w:tcW w:w="339" w:type="pct"/>
            <w:tcBorders>
              <w:top w:val="nil"/>
              <w:left w:val="nil"/>
              <w:bottom w:val="single" w:sz="4" w:space="0" w:color="auto"/>
              <w:right w:val="single" w:sz="4" w:space="0" w:color="auto"/>
            </w:tcBorders>
            <w:noWrap/>
            <w:vAlign w:val="bottom"/>
            <w:hideMark/>
          </w:tcPr>
          <w:p w14:paraId="01E7B1F0" w14:textId="7777777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
                <w:bCs/>
                <w:color w:val="000000"/>
                <w:sz w:val="18"/>
                <w:szCs w:val="18"/>
                <w:bdr w:val="none" w:sz="0" w:space="0" w:color="auto"/>
                <w:lang w:val="es-CO" w:eastAsia="es-CO"/>
              </w:rPr>
            </w:pPr>
            <w:r w:rsidRPr="00D82044">
              <w:rPr>
                <w:rFonts w:ascii="Arial" w:eastAsia="Times New Roman" w:hAnsi="Arial" w:cs="Arial"/>
                <w:b/>
                <w:bCs/>
                <w:color w:val="000000"/>
                <w:sz w:val="18"/>
                <w:szCs w:val="18"/>
                <w:bdr w:val="none" w:sz="0" w:space="0" w:color="auto"/>
                <w:lang w:val="es-CO" w:eastAsia="es-CO"/>
              </w:rPr>
              <w:t> </w:t>
            </w:r>
          </w:p>
        </w:tc>
        <w:tc>
          <w:tcPr>
            <w:tcW w:w="594" w:type="pct"/>
            <w:tcBorders>
              <w:top w:val="nil"/>
              <w:left w:val="nil"/>
              <w:bottom w:val="single" w:sz="4" w:space="0" w:color="auto"/>
              <w:right w:val="single" w:sz="4" w:space="0" w:color="auto"/>
            </w:tcBorders>
            <w:noWrap/>
            <w:vAlign w:val="bottom"/>
          </w:tcPr>
          <w:p w14:paraId="30A1FEDC" w14:textId="74942FF7"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
                <w:bCs/>
                <w:color w:val="000000"/>
                <w:sz w:val="18"/>
                <w:szCs w:val="18"/>
                <w:bdr w:val="none" w:sz="0" w:space="0" w:color="auto"/>
                <w:lang w:val="es-CO" w:eastAsia="es-CO"/>
              </w:rPr>
            </w:pPr>
          </w:p>
        </w:tc>
        <w:tc>
          <w:tcPr>
            <w:tcW w:w="509" w:type="pct"/>
            <w:tcBorders>
              <w:top w:val="nil"/>
              <w:left w:val="nil"/>
              <w:bottom w:val="single" w:sz="4" w:space="0" w:color="auto"/>
              <w:right w:val="single" w:sz="4" w:space="0" w:color="auto"/>
            </w:tcBorders>
            <w:noWrap/>
            <w:vAlign w:val="bottom"/>
          </w:tcPr>
          <w:p w14:paraId="0D164FDC" w14:textId="1F9364F1"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
                <w:bCs/>
                <w:color w:val="000000"/>
                <w:sz w:val="18"/>
                <w:szCs w:val="18"/>
                <w:bdr w:val="none" w:sz="0" w:space="0" w:color="auto"/>
                <w:lang w:val="es-CO" w:eastAsia="es-CO"/>
              </w:rPr>
            </w:pPr>
          </w:p>
        </w:tc>
        <w:tc>
          <w:tcPr>
            <w:tcW w:w="556" w:type="pct"/>
            <w:tcBorders>
              <w:top w:val="nil"/>
              <w:left w:val="nil"/>
              <w:bottom w:val="single" w:sz="4" w:space="0" w:color="auto"/>
              <w:right w:val="single" w:sz="4" w:space="0" w:color="auto"/>
            </w:tcBorders>
            <w:noWrap/>
            <w:vAlign w:val="bottom"/>
          </w:tcPr>
          <w:p w14:paraId="2C026DAF" w14:textId="5D97B1F8"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
                <w:bCs/>
                <w:color w:val="000000"/>
                <w:sz w:val="18"/>
                <w:szCs w:val="18"/>
                <w:bdr w:val="none" w:sz="0" w:space="0" w:color="auto"/>
                <w:lang w:val="es-CO" w:eastAsia="es-CO"/>
              </w:rPr>
            </w:pPr>
          </w:p>
        </w:tc>
        <w:tc>
          <w:tcPr>
            <w:tcW w:w="969" w:type="pct"/>
            <w:tcBorders>
              <w:top w:val="nil"/>
              <w:left w:val="nil"/>
              <w:bottom w:val="single" w:sz="4" w:space="0" w:color="auto"/>
              <w:right w:val="single" w:sz="4" w:space="0" w:color="auto"/>
            </w:tcBorders>
            <w:noWrap/>
            <w:vAlign w:val="bottom"/>
          </w:tcPr>
          <w:p w14:paraId="7436A657" w14:textId="59103395" w:rsidR="00D82044" w:rsidRPr="00D82044" w:rsidRDefault="00D82044" w:rsidP="00D82044">
            <w:pPr>
              <w:pBdr>
                <w:top w:val="none" w:sz="0" w:space="0" w:color="auto"/>
                <w:left w:val="none" w:sz="0" w:space="0" w:color="auto"/>
                <w:bottom w:val="none" w:sz="0" w:space="0" w:color="auto"/>
                <w:right w:val="none" w:sz="0" w:space="0" w:color="auto"/>
                <w:between w:val="none" w:sz="0" w:space="0" w:color="auto"/>
                <w:bar w:val="none" w:sz="0" w:color="auto"/>
              </w:pBdr>
              <w:jc w:val="right"/>
              <w:rPr>
                <w:rFonts w:ascii="Arial" w:eastAsia="Times New Roman" w:hAnsi="Arial" w:cs="Arial"/>
                <w:b/>
                <w:bCs/>
                <w:color w:val="000000"/>
                <w:sz w:val="18"/>
                <w:szCs w:val="18"/>
                <w:bdr w:val="none" w:sz="0" w:space="0" w:color="auto"/>
                <w:lang w:val="es-CO" w:eastAsia="es-CO"/>
              </w:rPr>
            </w:pPr>
          </w:p>
        </w:tc>
      </w:tr>
    </w:tbl>
    <w:p w14:paraId="51CDBAB4" w14:textId="77777777" w:rsidR="00D82044" w:rsidRDefault="00D82044" w:rsidP="00C63E4C">
      <w:pPr>
        <w:jc w:val="both"/>
        <w:rPr>
          <w:rFonts w:ascii="Arial" w:hAnsi="Arial" w:cs="Arial"/>
          <w:b/>
          <w:color w:val="FF0000"/>
          <w:lang w:val="es-CO"/>
        </w:rPr>
      </w:pPr>
    </w:p>
    <w:p w14:paraId="399A1009" w14:textId="77777777" w:rsidR="00C63E4C" w:rsidRPr="0053562F" w:rsidRDefault="00C63E4C" w:rsidP="00C63E4C">
      <w:pPr>
        <w:jc w:val="both"/>
        <w:rPr>
          <w:rFonts w:ascii="Arial" w:hAnsi="Arial" w:cs="Arial"/>
          <w:b/>
          <w:color w:val="FF0000"/>
          <w:lang w:val="es-CO"/>
        </w:rPr>
      </w:pPr>
    </w:p>
    <w:p w14:paraId="79A7E57D" w14:textId="77777777" w:rsidR="00C63E4C" w:rsidRPr="006C58B4" w:rsidRDefault="00C63E4C" w:rsidP="00C63E4C">
      <w:pPr>
        <w:jc w:val="both"/>
        <w:rPr>
          <w:rFonts w:ascii="Arial" w:hAnsi="Arial" w:cs="Arial"/>
          <w:b/>
        </w:rPr>
      </w:pPr>
    </w:p>
    <w:p w14:paraId="391BEF29" w14:textId="77777777" w:rsidR="00C63E4C" w:rsidRPr="006C58B4" w:rsidRDefault="00C63E4C" w:rsidP="00C63E4C">
      <w:pPr>
        <w:jc w:val="both"/>
        <w:rPr>
          <w:rFonts w:ascii="Arial" w:hAnsi="Arial" w:cs="Arial"/>
          <w:b/>
        </w:rPr>
      </w:pPr>
    </w:p>
    <w:p w14:paraId="7FB2D062" w14:textId="77777777" w:rsidR="00C63E4C" w:rsidRPr="006C58B4" w:rsidRDefault="00C63E4C" w:rsidP="00C63E4C">
      <w:pPr>
        <w:jc w:val="both"/>
        <w:rPr>
          <w:rFonts w:ascii="Arial" w:hAnsi="Arial" w:cs="Arial"/>
          <w:b/>
          <w:lang w:val="es-CO"/>
        </w:rPr>
      </w:pPr>
    </w:p>
    <w:p w14:paraId="09F12D4D" w14:textId="77777777" w:rsidR="00C63E4C" w:rsidRPr="006C58B4" w:rsidRDefault="00C63E4C" w:rsidP="00C63E4C">
      <w:pPr>
        <w:jc w:val="both"/>
        <w:rPr>
          <w:rFonts w:ascii="Arial" w:hAnsi="Arial" w:cs="Arial"/>
          <w:b/>
          <w:lang w:val="es-CO"/>
        </w:rPr>
      </w:pPr>
      <w:r w:rsidRPr="006C58B4">
        <w:rPr>
          <w:rFonts w:ascii="Arial" w:hAnsi="Arial" w:cs="Arial"/>
          <w:b/>
          <w:lang w:val="es-CO"/>
        </w:rPr>
        <w:t>NOTAS:</w:t>
      </w:r>
    </w:p>
    <w:p w14:paraId="04639375" w14:textId="77777777" w:rsidR="00C63E4C" w:rsidRPr="006C58B4" w:rsidRDefault="00C63E4C" w:rsidP="00C63E4C">
      <w:pPr>
        <w:jc w:val="both"/>
        <w:rPr>
          <w:rFonts w:ascii="Arial" w:hAnsi="Arial" w:cs="Arial"/>
          <w:b/>
          <w:lang w:val="es-CO"/>
        </w:rPr>
      </w:pPr>
    </w:p>
    <w:p w14:paraId="7B1C909E" w14:textId="77777777" w:rsidR="00C63E4C" w:rsidRPr="006C58B4" w:rsidRDefault="00C63E4C" w:rsidP="00C63E4C">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lang w:val="es-CO"/>
        </w:rPr>
      </w:pPr>
      <w:r w:rsidRPr="006C58B4">
        <w:rPr>
          <w:rFonts w:ascii="Arial" w:hAnsi="Arial" w:cs="Arial"/>
          <w:lang w:val="es-CO"/>
        </w:rPr>
        <w:t xml:space="preserve">El presente anexo </w:t>
      </w:r>
      <w:r>
        <w:rPr>
          <w:rFonts w:ascii="Arial" w:hAnsi="Arial" w:cs="Arial"/>
          <w:lang w:val="es-CO"/>
        </w:rPr>
        <w:t xml:space="preserve">debe ser diligenciado en su totalidad y </w:t>
      </w:r>
      <w:r w:rsidRPr="006C58B4">
        <w:rPr>
          <w:rFonts w:ascii="Arial" w:hAnsi="Arial" w:cs="Arial"/>
          <w:lang w:val="es-CO"/>
        </w:rPr>
        <w:t xml:space="preserve">no podrá ser modificado, suprimido, adicionado, alterado, </w:t>
      </w:r>
      <w:r>
        <w:rPr>
          <w:rFonts w:ascii="Arial" w:hAnsi="Arial" w:cs="Arial"/>
          <w:lang w:val="es-CO"/>
        </w:rPr>
        <w:t>lo cual podría generar en c</w:t>
      </w:r>
      <w:r w:rsidRPr="006C58B4">
        <w:rPr>
          <w:rFonts w:ascii="Arial" w:hAnsi="Arial" w:cs="Arial"/>
          <w:lang w:val="es-CO"/>
        </w:rPr>
        <w:t>ausal de rechazo.</w:t>
      </w:r>
    </w:p>
    <w:p w14:paraId="11E5088B" w14:textId="77777777" w:rsidR="00C63E4C" w:rsidRPr="006C58B4" w:rsidRDefault="00C63E4C" w:rsidP="00C63E4C">
      <w:pPr>
        <w:ind w:left="720"/>
        <w:jc w:val="both"/>
        <w:rPr>
          <w:rFonts w:ascii="Arial" w:hAnsi="Arial" w:cs="Arial"/>
          <w:lang w:val="es-CO"/>
        </w:rPr>
      </w:pPr>
    </w:p>
    <w:p w14:paraId="1A857BD0" w14:textId="77777777" w:rsidR="00C63E4C" w:rsidRPr="006C58B4" w:rsidRDefault="00C63E4C" w:rsidP="00C63E4C">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lang w:val="es-CO"/>
        </w:rPr>
      </w:pPr>
      <w:r>
        <w:rPr>
          <w:rFonts w:ascii="Arial" w:hAnsi="Arial" w:cs="Arial"/>
          <w:lang w:val="es-CO"/>
        </w:rPr>
        <w:t>L</w:t>
      </w:r>
      <w:r w:rsidRPr="006C58B4">
        <w:rPr>
          <w:rFonts w:ascii="Arial" w:hAnsi="Arial" w:cs="Arial"/>
          <w:lang w:val="es-CO"/>
        </w:rPr>
        <w:t>os ítems</w:t>
      </w:r>
      <w:r>
        <w:rPr>
          <w:rFonts w:ascii="Arial" w:hAnsi="Arial" w:cs="Arial"/>
          <w:lang w:val="es-CO"/>
        </w:rPr>
        <w:t xml:space="preserve">, </w:t>
      </w:r>
      <w:r w:rsidRPr="006C58B4">
        <w:rPr>
          <w:rFonts w:ascii="Arial" w:hAnsi="Arial" w:cs="Arial"/>
          <w:lang w:val="es-CO"/>
        </w:rPr>
        <w:t>valores</w:t>
      </w:r>
      <w:r>
        <w:rPr>
          <w:rFonts w:ascii="Arial" w:hAnsi="Arial" w:cs="Arial"/>
          <w:lang w:val="es-CO"/>
        </w:rPr>
        <w:t xml:space="preserve"> y cantidades ofertados por e</w:t>
      </w:r>
      <w:r w:rsidRPr="006C58B4">
        <w:rPr>
          <w:rFonts w:ascii="Arial" w:hAnsi="Arial" w:cs="Arial"/>
          <w:lang w:val="es-CO"/>
        </w:rPr>
        <w:t xml:space="preserve">l oferente </w:t>
      </w:r>
      <w:r>
        <w:rPr>
          <w:rFonts w:ascii="Arial" w:hAnsi="Arial" w:cs="Arial"/>
          <w:lang w:val="es-CO"/>
        </w:rPr>
        <w:t xml:space="preserve">deben permitir </w:t>
      </w:r>
      <w:r w:rsidRPr="006C58B4">
        <w:rPr>
          <w:rFonts w:ascii="Arial" w:hAnsi="Arial" w:cs="Arial"/>
          <w:lang w:val="es-CO"/>
        </w:rPr>
        <w:t>la comparación de las propuestas</w:t>
      </w:r>
      <w:r>
        <w:rPr>
          <w:rFonts w:ascii="Arial" w:hAnsi="Arial" w:cs="Arial"/>
          <w:lang w:val="es-CO"/>
        </w:rPr>
        <w:t xml:space="preserve"> de lo contrario la propuesta será rechazada</w:t>
      </w:r>
      <w:r w:rsidRPr="006C58B4">
        <w:rPr>
          <w:rFonts w:ascii="Arial" w:hAnsi="Arial" w:cs="Arial"/>
          <w:lang w:val="es-CO"/>
        </w:rPr>
        <w:t>.</w:t>
      </w:r>
    </w:p>
    <w:p w14:paraId="0DEBA0B3" w14:textId="77777777" w:rsidR="00C63E4C" w:rsidRPr="006C58B4" w:rsidRDefault="00C63E4C" w:rsidP="00C63E4C">
      <w:pPr>
        <w:ind w:left="720"/>
        <w:jc w:val="both"/>
        <w:rPr>
          <w:rFonts w:ascii="Arial" w:hAnsi="Arial" w:cs="Arial"/>
          <w:lang w:val="es-CO"/>
        </w:rPr>
      </w:pPr>
    </w:p>
    <w:p w14:paraId="2380A71B" w14:textId="77777777" w:rsidR="00C63E4C" w:rsidRDefault="00C63E4C" w:rsidP="00C63E4C">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lang w:val="es-CO"/>
        </w:rPr>
      </w:pPr>
      <w:r w:rsidRPr="006C58B4">
        <w:rPr>
          <w:rFonts w:ascii="Arial" w:hAnsi="Arial" w:cs="Arial"/>
          <w:lang w:val="es-CO"/>
        </w:rPr>
        <w:t>En cualquier caso, el valor total y los valores unitarios de la propuesta, no deben superar los valores promedio establecidos ni el valor estimado del contrato, lo que conllevaría al rechazo de la propuesta.</w:t>
      </w:r>
    </w:p>
    <w:p w14:paraId="19977381" w14:textId="77777777" w:rsidR="00C63E4C" w:rsidRDefault="00C63E4C" w:rsidP="00C63E4C">
      <w:pPr>
        <w:pStyle w:val="Prrafodelista"/>
        <w:rPr>
          <w:rFonts w:ascii="Arial" w:hAnsi="Arial" w:cs="Arial"/>
          <w:lang w:val="es-CO"/>
        </w:rPr>
      </w:pPr>
    </w:p>
    <w:p w14:paraId="6236D448" w14:textId="77777777" w:rsidR="00C63E4C" w:rsidRPr="006C58B4" w:rsidRDefault="00C63E4C" w:rsidP="00C63E4C">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lang w:val="es-CO"/>
        </w:rPr>
      </w:pPr>
      <w:r>
        <w:rPr>
          <w:rFonts w:ascii="Arial" w:hAnsi="Arial" w:cs="Arial"/>
          <w:lang w:val="es-CO"/>
        </w:rPr>
        <w:t>La firma del proponente en la presente se considera como carta de intención.</w:t>
      </w:r>
    </w:p>
    <w:p w14:paraId="6C7AC5BD" w14:textId="77777777" w:rsidR="00C63E4C" w:rsidRPr="006C58B4" w:rsidRDefault="00C63E4C" w:rsidP="00C63E4C">
      <w:pPr>
        <w:jc w:val="both"/>
        <w:rPr>
          <w:rFonts w:ascii="Arial" w:hAnsi="Arial" w:cs="Arial"/>
          <w:b/>
          <w:lang w:val="es-CO"/>
        </w:rPr>
      </w:pPr>
    </w:p>
    <w:p w14:paraId="4A35F056" w14:textId="5E3FD5AE" w:rsidR="00DA090A" w:rsidRPr="00DA090A"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b/>
          <w:color w:val="FF0000"/>
          <w:sz w:val="22"/>
          <w:szCs w:val="22"/>
          <w:lang w:val="es-CO" w:eastAsia="es-CO"/>
        </w:rPr>
      </w:pPr>
      <w:r w:rsidRPr="00DA090A">
        <w:rPr>
          <w:rFonts w:ascii="Arial" w:eastAsia="Arial" w:hAnsi="Arial" w:cs="Arial"/>
          <w:b/>
          <w:color w:val="FF0000"/>
          <w:sz w:val="22"/>
          <w:szCs w:val="22"/>
          <w:lang w:val="es-CO" w:eastAsia="es-CO"/>
        </w:rPr>
        <w:t>.</w:t>
      </w:r>
    </w:p>
    <w:sectPr w:rsidR="00DA090A" w:rsidRPr="00DA090A">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061A5" w14:textId="77777777" w:rsidR="00D21C34" w:rsidRDefault="00D21C34" w:rsidP="00723CBD">
      <w:r>
        <w:separator/>
      </w:r>
    </w:p>
  </w:endnote>
  <w:endnote w:type="continuationSeparator" w:id="0">
    <w:p w14:paraId="065B3A77" w14:textId="77777777" w:rsidR="00D21C34" w:rsidRDefault="00D21C34"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B1582" w14:textId="77777777" w:rsidR="008B307F" w:rsidRDefault="008B30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Carrera 7 18-55 Pereira – Risaralda</w:t>
    </w:r>
  </w:p>
  <w:p w14:paraId="62EED92F" w14:textId="214A5617" w:rsidR="00723CBD"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www.pereira.gov.co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23253" w14:textId="77777777" w:rsidR="008B307F" w:rsidRDefault="008B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05862" w14:textId="77777777" w:rsidR="00D21C34" w:rsidRDefault="00D21C34" w:rsidP="00723CBD">
      <w:r>
        <w:separator/>
      </w:r>
    </w:p>
  </w:footnote>
  <w:footnote w:type="continuationSeparator" w:id="0">
    <w:p w14:paraId="76907974" w14:textId="77777777" w:rsidR="00D21C34" w:rsidRDefault="00D21C34"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50699" w14:textId="77777777" w:rsidR="008B307F" w:rsidRDefault="008B30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Default="002964FA" w:rsidP="00723CBD">
    <w:pPr>
      <w:pStyle w:val="Encabezado"/>
      <w:jc w:val="both"/>
    </w:pPr>
  </w:p>
  <w:p w14:paraId="014C6208" w14:textId="77777777" w:rsidR="008B307F" w:rsidRPr="008B307F" w:rsidRDefault="008B307F" w:rsidP="008B307F">
    <w:pPr>
      <w:pStyle w:val="Encabezado"/>
      <w:jc w:val="both"/>
      <w:rPr>
        <w:rFonts w:ascii="Arial" w:hAnsi="Arial" w:cs="Arial"/>
        <w:sz w:val="20"/>
        <w:szCs w:val="20"/>
      </w:rPr>
    </w:pPr>
    <w:r w:rsidRPr="008B307F">
      <w:rPr>
        <w:rFonts w:ascii="Arial" w:hAnsi="Arial" w:cs="Arial"/>
        <w:sz w:val="20"/>
        <w:szCs w:val="20"/>
      </w:rPr>
      <w:t xml:space="preserve">Versión: 1                                                                    Fecha de vigencia: 12 de junio de 2025                                                                   </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365CE" w14:textId="77777777" w:rsidR="008B307F" w:rsidRDefault="008B30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399C"/>
    <w:multiLevelType w:val="hybridMultilevel"/>
    <w:tmpl w:val="1D70B50E"/>
    <w:lvl w:ilvl="0" w:tplc="2686706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65787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136FF0"/>
    <w:rsid w:val="00154E98"/>
    <w:rsid w:val="00155C87"/>
    <w:rsid w:val="002964FA"/>
    <w:rsid w:val="002E44FB"/>
    <w:rsid w:val="0045013C"/>
    <w:rsid w:val="004C454C"/>
    <w:rsid w:val="005B3E53"/>
    <w:rsid w:val="005E220D"/>
    <w:rsid w:val="005E4250"/>
    <w:rsid w:val="00673EF9"/>
    <w:rsid w:val="006A053C"/>
    <w:rsid w:val="006A2DBA"/>
    <w:rsid w:val="006A5825"/>
    <w:rsid w:val="0070008A"/>
    <w:rsid w:val="00713E90"/>
    <w:rsid w:val="00723CBD"/>
    <w:rsid w:val="007413A3"/>
    <w:rsid w:val="007763EF"/>
    <w:rsid w:val="007E3A45"/>
    <w:rsid w:val="008170EA"/>
    <w:rsid w:val="00872E4D"/>
    <w:rsid w:val="008B307F"/>
    <w:rsid w:val="00AB2DBC"/>
    <w:rsid w:val="00AC568E"/>
    <w:rsid w:val="00B231D0"/>
    <w:rsid w:val="00B23DBC"/>
    <w:rsid w:val="00B3436A"/>
    <w:rsid w:val="00B473E5"/>
    <w:rsid w:val="00B90BC4"/>
    <w:rsid w:val="00C63E4C"/>
    <w:rsid w:val="00CA539B"/>
    <w:rsid w:val="00D21C34"/>
    <w:rsid w:val="00D7764D"/>
    <w:rsid w:val="00D82044"/>
    <w:rsid w:val="00D957EB"/>
    <w:rsid w:val="00DA090A"/>
    <w:rsid w:val="00E120AA"/>
    <w:rsid w:val="00E23E67"/>
    <w:rsid w:val="00E32C24"/>
    <w:rsid w:val="00E352AE"/>
    <w:rsid w:val="00E53CE1"/>
    <w:rsid w:val="00EB505C"/>
    <w:rsid w:val="00EF7383"/>
    <w:rsid w:val="00F21715"/>
    <w:rsid w:val="00F22258"/>
    <w:rsid w:val="00F25580"/>
    <w:rsid w:val="00F321A1"/>
    <w:rsid w:val="00FC7155"/>
    <w:rsid w:val="00FD7510"/>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 w:type="paragraph" w:customStyle="1" w:styleId="WW-Textoindependiente2">
    <w:name w:val="WW-Texto independiente 2"/>
    <w:basedOn w:val="Normal"/>
    <w:rsid w:val="00C63E4C"/>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Arial" w:hAnsi="Arial"/>
      <w:sz w:val="25"/>
      <w:szCs w:val="20"/>
      <w:bdr w:val="none" w:sz="0" w:space="0" w:color="auto"/>
      <w:lang w:eastAsia="es-ES"/>
    </w:rPr>
  </w:style>
  <w:style w:type="paragraph" w:styleId="Prrafodelista">
    <w:name w:val="List Paragraph"/>
    <w:aliases w:val="HOJA,Bolita,List Paragraph,Párrafo de lista4,BOLADEF,Párrafo de lista3,Párrafo de lista21,BOLA,Nivel 1 OS,Colorful List Accent 1,Colorful List - Accent 11,lp1,Bullet List,FooterText,Use Case List Paragraph,titulo 3,numbered,Foot,列出段落"/>
    <w:basedOn w:val="Normal"/>
    <w:link w:val="PrrafodelistaCar"/>
    <w:qFormat/>
    <w:rsid w:val="00C63E4C"/>
    <w:pPr>
      <w:pBdr>
        <w:top w:val="none" w:sz="0" w:space="0" w:color="auto"/>
        <w:left w:val="none" w:sz="0" w:space="0" w:color="auto"/>
        <w:bottom w:val="none" w:sz="0" w:space="0" w:color="auto"/>
        <w:right w:val="none" w:sz="0" w:space="0" w:color="auto"/>
        <w:between w:val="none" w:sz="0" w:space="0" w:color="auto"/>
        <w:bar w:val="none" w:sz="0" w:color="auto"/>
      </w:pBdr>
      <w:ind w:left="708"/>
    </w:pPr>
    <w:rPr>
      <w:rFonts w:eastAsia="Times New Roman"/>
      <w:sz w:val="20"/>
      <w:szCs w:val="20"/>
      <w:bdr w:val="none" w:sz="0" w:space="0" w:color="auto"/>
      <w:lang w:val="es-ES_tradnl"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p1 Car,Bullet List Car,Foot Car"/>
    <w:link w:val="Prrafodelista"/>
    <w:qFormat/>
    <w:rsid w:val="00C63E4C"/>
    <w:rPr>
      <w:rFonts w:ascii="Times New Roman" w:eastAsia="Times New Roman" w:hAnsi="Times New Roman" w:cs="Times New Roman"/>
      <w:kern w:val="0"/>
      <w:sz w:val="20"/>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825539">
      <w:bodyDiv w:val="1"/>
      <w:marLeft w:val="0"/>
      <w:marRight w:val="0"/>
      <w:marTop w:val="0"/>
      <w:marBottom w:val="0"/>
      <w:divBdr>
        <w:top w:val="none" w:sz="0" w:space="0" w:color="auto"/>
        <w:left w:val="none" w:sz="0" w:space="0" w:color="auto"/>
        <w:bottom w:val="none" w:sz="0" w:space="0" w:color="auto"/>
        <w:right w:val="none" w:sz="0" w:space="0" w:color="auto"/>
      </w:divBdr>
    </w:div>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730225917">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734</Words>
  <Characters>4037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Romero Ospina</cp:lastModifiedBy>
  <cp:revision>9</cp:revision>
  <dcterms:created xsi:type="dcterms:W3CDTF">2025-05-05T04:59:00Z</dcterms:created>
  <dcterms:modified xsi:type="dcterms:W3CDTF">2025-10-17T20:58:00Z</dcterms:modified>
</cp:coreProperties>
</file>