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>INFORME DE ACTIVIDADES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b/>
          <w:sz w:val="24"/>
          <w:szCs w:val="24"/>
        </w:rPr>
      </w:pPr>
      <w:r>
        <w:rPr>
          <w:rFonts w:ascii="Arial" w:cs="Arial" w:hAnsi="Arial"/>
          <w:b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CONTRATO No. </w:t>
      </w:r>
      <w:r>
        <w:rPr>
          <w:rFonts w:ascii="Arial" w:cs="Arial" w:hAnsi="Arial"/>
          <w:b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789</w:t>
      </w:r>
      <w:r>
        <w:rPr>
          <w:rFonts w:ascii="Arial" w:cs="Arial" w:hAnsi="Arial"/>
          <w:b/>
          <w:sz w:val="24"/>
          <w:szCs w:val="24"/>
          <w14:shadow w14:blurRad="0" w14:ky="0" w14:dir="0" w14:kx="0" w14:algn="none" w14:sy="100000" w14:sx="100000" w14:dist="0">
            <w14:srgbClr w14:val="808080"/>
          </w14:shadow>
        </w:rPr>
        <w:t xml:space="preserve"> DE 202</w:t>
      </w:r>
      <w:r>
        <w:rPr>
          <w:rFonts w:ascii="Arial" w:cs="Arial" w:hAnsi="Arial"/>
          <w:b/>
          <w:sz w:val="24"/>
          <w:szCs w:val="24"/>
          <w:lang w:val="en-US"/>
          <w14:shadow w14:blurRad="0" w14:ky="0" w14:dir="0" w14:kx="0" w14:algn="none" w14:sy="100000" w14:sx="100000" w14:dist="0">
            <w14:srgbClr w14:val="808080"/>
          </w14:shadow>
        </w:rPr>
        <w:t>5</w:t>
      </w:r>
    </w:p>
    <w:p>
      <w:pPr>
        <w:pStyle w:val="style0"/>
        <w:spacing w:after="0" w:lineRule="auto" w:line="240"/>
        <w:jc w:val="center"/>
        <w:rPr>
          <w:rFonts w:ascii="Arial" w:cs="Arial" w:hAnsi="Arial"/>
          <w:b/>
          <w:sz w:val="24"/>
          <w:szCs w:val="24"/>
        </w:rPr>
      </w:pPr>
    </w:p>
    <w:tbl>
      <w:tblPr>
        <w:tblStyle w:val="style154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>
        <w:trPr/>
        <w:tc>
          <w:tcPr>
            <w:tcW w:w="9782" w:type="dxa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sz w:val="24"/>
                <w:szCs w:val="24"/>
              </w:rPr>
            </w:pPr>
            <w:r>
              <w:rPr>
                <w:rFonts w:ascii="Arial" w:cs="Arial" w:hAnsi="Arial"/>
                <w:b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DATOS DEL INFORME</w:t>
            </w:r>
          </w:p>
        </w:tc>
      </w:tr>
      <w:tr>
        <w:tblPrEx/>
        <w:trPr>
          <w:trHeight w:val="742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Fecha de presentación:(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29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/09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/202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5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) </w:t>
            </w:r>
          </w:p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Periodo del Informe: desde (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01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09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/202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5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) hasta (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30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09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/202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5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)</w:t>
            </w:r>
          </w:p>
        </w:tc>
      </w:tr>
      <w:tr>
        <w:tblPrEx/>
        <w:trPr>
          <w:trHeight w:val="412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Nombre del Contratista: DANNA ZHARICK CALDERÓN BELTRÁN</w:t>
            </w:r>
          </w:p>
        </w:tc>
      </w:tr>
      <w:tr>
        <w:tblPrEx/>
        <w:trPr>
          <w:trHeight w:val="417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Nombre del Supervisor: 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SAUL PARRA GARCIA </w:t>
            </w:r>
          </w:p>
        </w:tc>
      </w:tr>
      <w:tr>
        <w:tblPrEx/>
        <w:trPr/>
        <w:tc>
          <w:tcPr>
            <w:tcW w:w="9782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4"/>
                <w:szCs w:val="24"/>
              </w:rPr>
            </w:pPr>
          </w:p>
        </w:tc>
      </w:tr>
      <w:tr>
        <w:tblPrEx/>
        <w:trPr>
          <w:trHeight w:val="785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jc w:val="center"/>
              <w:rPr>
                <w:rFonts w:ascii="Arial" w:cs="Arial" w:hAnsi="Arial"/>
                <w:b/>
                <w:sz w:val="24"/>
                <w:szCs w:val="24"/>
              </w:rPr>
            </w:pPr>
            <w:r>
              <w:rPr>
                <w:rFonts w:ascii="Arial" w:cs="Arial" w:hAnsi="Arial"/>
                <w:b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DATOS DEL CONTRATO</w:t>
            </w:r>
          </w:p>
        </w:tc>
      </w:tr>
      <w:tr>
        <w:tblPrEx/>
        <w:trPr>
          <w:trHeight w:val="544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CONTRATISTA: DANNA ZHARICK CALDERÓN BELTRÁN </w:t>
            </w:r>
          </w:p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C.C. No. 1.003.559.288 de SAN BERNARDO </w:t>
            </w:r>
          </w:p>
        </w:tc>
      </w:tr>
      <w:tr>
        <w:tblPrEx/>
        <w:trPr>
          <w:trHeight w:val="304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bCs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OBJETO: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LA PRESTACION DE 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14:shadow w14:blurRad="0" w14:ky="0" w14:dir="0" w14:kx="0" w14:algn="none" w14:sy="100000" w14:sx="100000" w14:dist="0">
                  <w14:srgbClr w14:val="808080"/>
                </w14:shadow>
              </w:rPr>
              <w:t>SERVICIOS TECNICOS DE APOYO A LA GESTION COMO AUXILIAR DE ENFERMERÍA PARA ROTACIÓN POR LOS CENTROS DE SALUD ADSCRITO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S 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14:shadow w14:blurRad="0" w14:ky="0" w14:dir="0" w14:kx="0" w14:algn="none" w14:sy="100000" w14:sx="100000" w14:dist="0">
                  <w14:srgbClr w14:val="808080"/>
                </w14:shadow>
              </w:rPr>
              <w:t>A LA E.S.E. HOSPITAL SAN ANTONIO DE ARBELAEZ</w:t>
            </w:r>
            <w:r>
              <w:rPr>
                <w:rFonts w:ascii="Arial" w:cs="Arial" w:hAnsi="Arial"/>
                <w:color w:val="000000"/>
                <w:sz w:val="24"/>
                <w:szCs w:val="24"/>
                <w:shd w:val="clear" w:color="auto" w:fill="ffffff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- RECURSOS PROPIOS.</w:t>
            </w:r>
          </w:p>
        </w:tc>
      </w:tr>
      <w:tr>
        <w:tblPrEx/>
        <w:trPr>
          <w:trHeight w:val="1102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b/>
                <w:bCs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Plazo: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UN (01) MES Y DIECIO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CHO (18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) DIAS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</w:t>
            </w:r>
          </w:p>
          <w:p>
            <w:pPr>
              <w:pStyle w:val="style0"/>
              <w:rPr>
                <w:rFonts w:ascii="Arial" w:cs="Arial" w:hAnsi="Arial"/>
                <w:b/>
                <w:bCs/>
              </w:rPr>
            </w:pP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</w:t>
            </w:r>
            <w:r>
              <w:rPr>
                <w:rFonts w:ascii="Arial" w:cs="Arial" w:hAnsi="Arial"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Valor del Contrato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:</w:t>
            </w:r>
            <w:r>
              <w:rPr>
                <w:rFonts w:ascii="Arial" w:cs="Arial" w:hAnsi="Arial"/>
                <w:b/>
                <w:bCs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 CUATRO MILLONES TREINTA Y UN MIL OCHOCIENTOS CUARENTA Y DOS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PESOS ($</w:t>
            </w:r>
            <w:r>
              <w:rPr>
                <w:rFonts w:ascii="Arial" w:cs="Arial" w:hAnsi="Arial"/>
                <w:b/>
                <w:bCs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4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.</w:t>
            </w:r>
            <w:r>
              <w:rPr>
                <w:rFonts w:ascii="Arial" w:cs="Arial" w:hAnsi="Arial"/>
                <w:b/>
                <w:bCs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031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.</w:t>
            </w:r>
            <w:r>
              <w:rPr>
                <w:rFonts w:ascii="Arial" w:cs="Arial" w:hAnsi="Arial"/>
                <w:b/>
                <w:bCs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842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.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oo</w:t>
            </w:r>
            <w:r>
              <w:rPr>
                <w:rFonts w:ascii="Arial" w:cs="Arial" w:hAnsi="Arial"/>
                <w:b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) M/CTE</w:t>
            </w:r>
          </w:p>
          <w:p>
            <w:pPr>
              <w:pStyle w:val="style0"/>
              <w:rPr>
                <w:rFonts w:ascii="Arial" w:cs="Arial" w:hAnsi="Arial"/>
                <w:b/>
                <w:bCs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Fecha de Iniciación:(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13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08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/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202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5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)            Fecha de Terminación:  (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30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/09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/202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5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)</w:t>
            </w:r>
          </w:p>
        </w:tc>
      </w:tr>
      <w:tr>
        <w:tblPrEx/>
        <w:trPr>
          <w:trHeight w:val="565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Porc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ent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aje de ejecución financiera: 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100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%  Porcentaje de ejecución en tiempo: </w:t>
            </w:r>
            <w:r>
              <w:rPr>
                <w:rFonts w:ascii="Arial" w:cs="Arial" w:hAnsi="Arial"/>
                <w:sz w:val="24"/>
                <w:szCs w:val="24"/>
                <w:lang w:val="en-US"/>
                <w14:shadow w14:blurRad="0" w14:ky="0" w14:dir="0" w14:kx="0" w14:algn="none" w14:sy="100000" w14:sx="100000" w14:dist="0">
                  <w14:srgbClr w14:val="808080"/>
                </w14:shadow>
              </w:rPr>
              <w:t>100</w:t>
            </w: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%</w:t>
            </w:r>
          </w:p>
        </w:tc>
      </w:tr>
      <w:tr>
        <w:tblPrEx/>
        <w:trPr>
          <w:trHeight w:val="843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snapToGrid w:val="false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Modificaciones al contrato:  NO</w:t>
            </w:r>
          </w:p>
          <w:p>
            <w:pPr>
              <w:pStyle w:val="style0"/>
              <w:snapToGrid w:val="false"/>
              <w:rPr>
                <w:rFonts w:ascii="Arial" w:cs="Arial" w:hAnsi="Arial"/>
                <w:bCs/>
              </w:rPr>
            </w:pPr>
            <w:r>
              <w:rPr>
                <w:rFonts w:ascii="Arial" w:cs="Arial" w:hAnsi="Arial"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Prorroga: NO       </w:t>
            </w:r>
          </w:p>
          <w:p>
            <w:pPr>
              <w:pStyle w:val="style0"/>
              <w:rPr>
                <w:rFonts w:ascii="Arial" w:cs="Arial" w:hAnsi="Arial"/>
                <w:bCs/>
              </w:rPr>
            </w:pPr>
            <w:r>
              <w:rPr>
                <w:rFonts w:ascii="Arial" w:cs="Arial" w:hAnsi="Arial"/>
                <w:bCs/>
                <w14:shadow w14:blurRad="0" w14:ky="0" w14:dir="0" w14:kx="0" w14:algn="none" w14:sy="100000" w14:sx="100000" w14:dist="0">
                  <w14:srgbClr w14:val="808080"/>
                </w14:shadow>
              </w:rPr>
              <w:t>Valor Adición: NO</w:t>
            </w:r>
          </w:p>
        </w:tc>
      </w:tr>
      <w:tr>
        <w:tblPrEx/>
        <w:trPr>
          <w:trHeight w:val="552" w:hRule="atLeast"/>
        </w:trPr>
        <w:tc>
          <w:tcPr>
            <w:tcW w:w="9782" w:type="dxa"/>
            <w:tcBorders/>
            <w:vAlign w:val="center"/>
          </w:tcPr>
          <w:p>
            <w:pPr>
              <w:pStyle w:val="style0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Porcentaje de ejecución financiera:  0    Porcentaje de ejecución en tiempo: 0</w:t>
            </w:r>
          </w:p>
        </w:tc>
      </w:tr>
    </w:tbl>
    <w:p>
      <w:pPr>
        <w:pStyle w:val="style0"/>
        <w:spacing w:after="0" w:lineRule="auto" w:line="240"/>
        <w:rPr/>
      </w:pPr>
    </w:p>
    <w:tbl>
      <w:tblPr>
        <w:tblStyle w:val="style154"/>
        <w:tblW w:w="10802" w:type="dxa"/>
        <w:tblInd w:w="-459" w:type="dxa"/>
        <w:tblLook w:val="04A0" w:firstRow="1" w:lastRow="0" w:firstColumn="1" w:lastColumn="0" w:noHBand="0" w:noVBand="1"/>
      </w:tblPr>
      <w:tblGrid>
        <w:gridCol w:w="4565"/>
        <w:gridCol w:w="3119"/>
        <w:gridCol w:w="2098"/>
        <w:gridCol w:w="1020"/>
      </w:tblGrid>
      <w:tr>
        <w:trPr>
          <w:gridAfter w:val="1"/>
          <w:wAfter w:w="1020" w:type="dxa"/>
          <w:trHeight w:val="625" w:hRule="atLeast"/>
        </w:trPr>
        <w:tc>
          <w:tcPr>
            <w:tcW w:w="9782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ascii="Arial" w:cs="Arial" w:hAnsi="Arial"/>
                <w:sz w:val="24"/>
                <w:szCs w:val="24"/>
              </w:rPr>
            </w:pPr>
            <w:r>
              <w:rPr>
                <w:rFonts w:ascii="Arial" w:cs="Arial" w:hAnsi="Arial"/>
                <w:b/>
                <w:sz w:val="24"/>
                <w:szCs w:val="24"/>
                <w14:shadow w14:blurRad="0" w14:ky="0" w14:dir="0" w14:kx="0" w14:algn="none" w14:sy="100000" w14:sx="100000" w14:dist="0">
                  <w14:srgbClr w14:val="808080"/>
                </w14:shadow>
              </w:rPr>
              <w:t>EJECUCION DE ACTIVIDADES FRENTE A LAS OBLIGACIONES DURANTE EL PERIODO REPORTADO</w:t>
            </w:r>
          </w:p>
        </w:tc>
      </w:tr>
      <w:bookmarkStart w:id="0" w:name="_Hlk126090351"/>
      <w:tr>
        <w:tblPrEx/>
        <w:trPr>
          <w:trHeight w:val="234" w:hRule="atLeast"/>
        </w:trPr>
        <w:tc>
          <w:tcPr>
            <w:tcW w:w="4565" w:type="dxa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OBLIGACIONES CONTRACTUALES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ACTIVIDADES REALIZADAS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center"/>
              <w:rPr>
                <w:rFonts w:ascii="Arial" w:cs="Arial" w:hAnsi="Arial"/>
                <w:b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SOPORTES</w:t>
            </w:r>
          </w:p>
        </w:tc>
      </w:tr>
      <w:tr>
        <w:tblPrEx/>
        <w:trPr>
          <w:trHeight w:val="1245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1. Brindar asistencia técnica en la atención hospitalaria, con calidad, seguridad del paciente y humanización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-Realiza actividades básicas y específicas de enfermería (signos vitales, administración de medicamentos, canalización, paso de sondas, cambios de posición).</w:t>
            </w:r>
          </w:p>
        </w:tc>
        <w:tc>
          <w:tcPr>
            <w:tcW w:w="3118" w:type="dxa"/>
            <w:gridSpan w:val="2"/>
            <w:tcBorders>
              <w:bottom w:val="none" w:sz="0" w:space="0" w:color="000000"/>
            </w:tcBorders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-Cuadro de turnos (1 folio)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2. Arreglar la unidad y ambiente físico para la atención del paciente, tanto para la admisión como para la estadía del mismo en la institución.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-Aseo y desinfección de las unidades.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Libro de ingreso de pacientes</w:t>
            </w:r>
          </w:p>
        </w:tc>
      </w:tr>
      <w:tr>
        <w:tblPrEx/>
        <w:trPr>
          <w:trHeight w:val="921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3. Instruir al paciente y a la familia en el proceso de tratamiento y rehabilitación a seguir, según patología.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le brinda al usuario y familia información oportuna con calidad y humanización despejando dudas e inquietudes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hace firmar el consentimiento informado</w:t>
            </w:r>
          </w:p>
        </w:tc>
      </w:tr>
      <w:tr>
        <w:tblPrEx/>
        <w:trPr>
          <w:trHeight w:val="751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4. Preparar al paciente para la realización de exámenes como medio de diagnóstico y tratamientos especiales.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-Realizar procedimientos según los protocolos de la institución.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-Notas de enfermería registro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5. Realizar actividades educativas sobre aspectos básicos de salud en promoción, prevención, cuidado de la salud y del medio ambiente.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brinda educación al paciente y familia sobre el lavado de manos, seguridad del paciente, fortalecer el autocuidado.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-Educar al paciente y se deja registro en CNT</w:t>
            </w:r>
          </w:p>
        </w:tc>
      </w:tr>
      <w:tr>
        <w:tblPrEx/>
        <w:trPr>
          <w:trHeight w:val="2808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3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6. Brindar atención al paciente antes, durante y después del tratamiento médico; preparándolo para procedimientos, toma de signos vitales, suministro de oxígeno, toma muestras de exámenes de laboratorio, paso de sondas, cuidados al paciente de acuerdo con las órdenes médicas y de enfermería, conservando las normas de asepsia y antisepsia establecidas, arreglo de camas, baño de pacientes, mantener una atención integral y en casos según necesidad del servicio administrar medicamentos y otros.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explicaciones y diligenciamiento del consentimiento informado, verificación de historia clínica e información oportuna al médico de turno de reportes ordenados.</w:t>
            </w:r>
          </w:p>
          <w:p>
            <w:pPr>
              <w:pStyle w:val="style179"/>
              <w:ind w:left="360"/>
              <w:jc w:val="both"/>
              <w:rPr>
                <w:rFonts w:ascii="Arial" w:cs="Arial" w:hAnsi="Arial"/>
              </w:rPr>
            </w:pP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-Realiza actividades básicas y específicas de enfermería (signos vitales, administración de medicamentos, canalización, paso de sondas, cambios de posición).</w:t>
            </w:r>
          </w:p>
          <w:p>
            <w:pPr>
              <w:pStyle w:val="style179"/>
              <w:ind w:left="360"/>
              <w:jc w:val="both"/>
              <w:rPr>
                <w:rFonts w:ascii="Arial" w:cs="Arial" w:hAnsi="Arial"/>
              </w:rPr>
            </w:pP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-Libro de registro de toma de toma de signos vitales</w:t>
            </w:r>
          </w:p>
        </w:tc>
      </w:tr>
      <w:tr>
        <w:tblPrEx/>
        <w:trPr>
          <w:trHeight w:val="1138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7. Informar oportunamente al profesional responsable sobre las situaciones de emergencia y riesgos que se observe en los pacientes, familia, comunidad o medio ambiente.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informa oportunamente al médico de turno los cambios que pueda presentar el paciente y así prestar una adecuada y oportuna atención.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-Revisar oportunamente las historias clínicas y dar cumplimiento a las órdenes médicas, dejando registro en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8. Realizar oportunamente todos los registros diarios que se encuentren en los servicios de urgencias, hospitalización, sala de partos y primavera (libro de novedades del servicio, registros de temperatura y humedad, control de entrega, recibo de carro de paro y seguimiento de la descarga quincenal del desfibrilador), así como Preparar y responder por el material, equipos y elementos a su cargo, rotular según los protocolos los insumos una vez se destapen e informar sobre los cambios.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-En cada cambio de turno se realiza la respectiva entrega de los equipos biomédicos, instrumental quirúrgico.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-Registro en libro de entrega y recibo de turnos</w:t>
            </w:r>
          </w:p>
        </w:tc>
      </w:tr>
      <w:tr>
        <w:tblPrEx/>
        <w:trPr>
          <w:trHeight w:val="886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9. Diligenciar oportunamente los registros clínicos y notas de enfermería de ingreso y egreso del paciente, evoluciones médicas e interconsultas solicitadas y demás actividades que se realizan durante la estadía del paciente en la institución.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el debido diligenciamiento del registro de ingreso, egreso y en el sistema de historia clínica CNT.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</w:tc>
      </w:tr>
      <w:tr>
        <w:tblPrEx/>
        <w:trPr>
          <w:trHeight w:val="558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10. Brindar apoyo al personal médico o de enfermería en el proceso de atención del parto y en la adaptación neonatal del recién nacido que incluye: estimulación del recién nacido, profilaxis ocular y umbilical, verificar permeabilidad nasal y anal, administración de Vitamina K según orden médica, toma de laboratorios: hemoclasificación y TSH, realizar la toma de medidas antropométricas del recién nacido (peso y talla, perímetro cefálico. Torácico y abdominal) estimular la lactancia materna exclusiva en la primera hora de vida.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toma de signos vitales, se realiza profilaxis ocular y umbilical, toma de muestras, medidas antropométricas, se registra en historia clínica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-Libro de registro toma de signos vitales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11. Brindar los cuidados de enfermería en el puerperio inmediato y mediato durante las primeras 24 horas.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control de signos vitales, a la madre y al recién nacido. Se registra en historia clínica.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-Vigilar sangrado, estado de conciencia, control de signos vitales.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  <w:p>
            <w:pPr>
              <w:pStyle w:val="style179"/>
              <w:ind w:left="360"/>
              <w:jc w:val="both"/>
              <w:rPr>
                <w:rFonts w:ascii="Arial" w:cs="Arial" w:hAnsi="Arial"/>
              </w:rPr>
            </w:pP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12. Brindar los cuidados de enfermería al recién nacido, durante la estancia hasta la salida del servicio.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control de signos vitales, a la madre y al recién nacido. Se registra en historia clínica.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  <w:p>
            <w:pPr>
              <w:pStyle w:val="style179"/>
              <w:ind w:left="360"/>
              <w:jc w:val="both"/>
              <w:rPr>
                <w:rFonts w:ascii="Arial" w:cs="Arial" w:hAnsi="Arial"/>
              </w:rPr>
            </w:pP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13. Realizar actividades de apoyo en salas de cirugía, cuando se requiera en el servicio.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asiste al paciente en la preparación, acompañamiento y traslado del paciente.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-Notas de enfermería, registro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14. Realizar los consentimientos informados de enfermería y los que se requieran en la atención del paciente. Así como escanearlos y cargarlos a la historia clínica como documento anexo.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-Registro según protocolo de la institución.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  <w:p>
            <w:pPr>
              <w:pStyle w:val="style179"/>
              <w:ind w:left="360"/>
              <w:jc w:val="both"/>
              <w:rPr>
                <w:rFonts w:ascii="Arial" w:cs="Arial" w:hAnsi="Arial"/>
              </w:rPr>
            </w:pP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15. Colaborar para la instalación de mesas especiales, instrumentos adecuados y materiales extra que se requiera durante los procedimientos menores.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prepara y verificación de instrumental y equipos necesarios para procedimientos menores.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-Asistir al médico durante procedimientos según lo requiera y registro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16. Atender las solicitudes del Médico y resolver los problemas que estén a su alcance e informar cualquier eventualidad.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-Trabajo en equipo permanente.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-Trabajar con ética y profesionalismo permanentemente.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-Mantener ética profesional.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17. Colaborar con el Médico en la realización de procedimientos especiales.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asiste al médico según lo requiera.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-Asistencia en procedimientos y registro en historia clínica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18. Orientar al paciente y a su familia sobre las órdenes médicas impartidas durante la atención.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-Informar de una forma clara y veraz el estado de los pacientes.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le informa al médico los cambios del paciente durante el turno, se deja registro en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9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19. Informar a la profesional de enfermería sobre las órdenes de urgencias y hospitalización con el fin de coordinar la admisión.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-Informar al jefe los cambios realizados por el médico.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-Sistema de registro de enfermería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9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20. Interactuar con el líder del proceso de enfermería para el correcto funcionamiento de los procesos.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-Trabajo en equipo permanente.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-Trabajar con ética y profesionalismo permanentemente.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-Cumplir con actividades requeridas registro CNT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-Mantener ética profesional.</w:t>
            </w:r>
          </w:p>
        </w:tc>
      </w:tr>
      <w:tr>
        <w:tblPrEx/>
        <w:trPr>
          <w:trHeight w:val="983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21. Acudir y asistir al cuerpo médico de la institución en situaciones críticas o de emergencia que requieran el manejo por todo el grupo asistencial o mediante el Sistema código azul o código rojo.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-Asistir al jefe y al médico de turno según protocolo de la institución.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-Según procedimientos realizados, se registra en historia clínica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22. Ejecutar las actividades conforme lo estipulado en el Sistema Obligatorio de la Garantía de la Calidad en el proceso de atención.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-Explicar de forma clara las órdenes médicas.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-Diligenciamiento de consentimiento informado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23. Apoyar en el proceso de sistema de información al usuario realizando encuestas de satisfacción, en la atención que se brinda en los diferentes servicios.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-Atención con calidad y calidez, para cumplir los procesos de la institución.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-Ser cordial, amable y respetuoso con los pacientes y familiares.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24. Participar en el desarrollo de todos los programas de Promoción, Desarrollo y Prevención, garantizando su estricto cumplimiento y cobertura en la población.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-Asistir a procesos de promoción y prevención y educación continuada.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-Asistir a todas las charlas por parte de la ESE</w:t>
            </w:r>
          </w:p>
        </w:tc>
      </w:tr>
      <w:tr>
        <w:tblPrEx/>
        <w:trPr>
          <w:trHeight w:val="1210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25. Aplicar los principios y valores éticos de conformidad con el código de ética propio de la actividad técnica.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-Trabajar con ética y profesionalismo permanentemente.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-Atención con calidad y calidez, para cumplir los procesos de la institución.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-Ser cordial, amable y respetuoso con los pacientes y familiares.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-Mantener ética profesional.</w:t>
            </w:r>
          </w:p>
        </w:tc>
      </w:tr>
      <w:tr>
        <w:tblPrEx/>
        <w:trPr>
          <w:trHeight w:val="845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26. Manejar la información de los usuarios protegiendo la confidencialidad y atendiendo a las normas de reserva de la historia clínica.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-Respetar la confidencialidad de la historia clínica.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-Registro único en historia clínica CNT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27. Brindar apoyo en el proceso de referencia y contra referencia cuando el jefe del servicio lo requiera.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-Diligenciar correctamente los formatos de referencia y contra referencia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-Formato de bitácora de traslados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-Registro de referencia y contra referencia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-Libro de referencia y contra referencia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28. Brindar un adecuado manejo de referencia y contra referencia en los traslados de usuarios a otras instituciones.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-Diligenciar correctamente los formatos de referencia y contra referencia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-Formato de bitácora de traslados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-Registro de referencia y contra referencia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-Libro de referencia y contra referencia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29. Realizar la limpieza, desinfección y asepsia de los servicios, ambulancias y demás a su cargo.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-Permanecer en completa asepsia y antisepsia la ambulancia y demás áreas encargadas.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-Formato de limpieza y desinfección de ambulancia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30. Informar o reportar cualquier novedad, inconveniente o evento adverso que se presente en el servicio.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-Reportar mediante el formato de evento adverso a mis líderes de proceso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-Formato de evento adverso</w:t>
            </w:r>
          </w:p>
        </w:tc>
      </w:tr>
      <w:tr>
        <w:tblPrEx/>
        <w:trPr>
          <w:trHeight w:val="614" w:hRule="atLeast"/>
        </w:trPr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31. Asistir y participar en las capacitaciones, reuniones y eventos que la institución lleve a cabo.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-Asistir a procesos de promoción y prevención y educación continuada.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-Asistir a todas las charlas por parte de la ESE 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32. Dar apoyo permanente en la emergencia sanitaria declarada por el Ministerio de protección social, con ocasión de la pandemia del coronavirus COVID-19.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-Trabajo en equipo permanente.</w:t>
            </w:r>
          </w:p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-Trabo en equipo permanente</w:t>
            </w:r>
          </w:p>
        </w:tc>
      </w:tr>
      <w:tr>
        <w:tblPrEx/>
        <w:trPr/>
        <w:tc>
          <w:tcPr>
            <w:tcW w:w="456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e01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33. Portar el carnet que la identifique como contratista de la ESE.</w:t>
            </w:r>
          </w:p>
        </w:tc>
        <w:tc>
          <w:tcPr>
            <w:tcW w:w="31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-Portar el carnet de la institución</w:t>
            </w:r>
          </w:p>
        </w:tc>
        <w:tc>
          <w:tcPr>
            <w:tcW w:w="3118" w:type="dxa"/>
            <w:gridSpan w:val="2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-Portar carnet de la institución</w:t>
            </w:r>
          </w:p>
        </w:tc>
      </w:tr>
    </w:tbl>
    <w:p>
      <w:pPr>
        <w:pStyle w:val="style0"/>
        <w:spacing w:after="0" w:lineRule="auto" w:line="240"/>
        <w:jc w:val="both"/>
        <w:rPr>
          <w:rFonts w:ascii="Arial" w:cs="Arial" w:hAnsi="Arial"/>
          <w:sz w:val="20"/>
          <w:szCs w:val="20"/>
        </w:rPr>
      </w:pPr>
    </w:p>
    <w:tbl>
      <w:tblPr>
        <w:tblStyle w:val="style154"/>
        <w:tblW w:w="10774" w:type="dxa"/>
        <w:tblInd w:w="-431" w:type="dxa"/>
        <w:tblLook w:val="04A0" w:firstRow="1" w:lastRow="0" w:firstColumn="1" w:lastColumn="0" w:noHBand="0" w:noVBand="1"/>
      </w:tblPr>
      <w:tblGrid>
        <w:gridCol w:w="5955"/>
        <w:gridCol w:w="4819"/>
      </w:tblGrid>
      <w:tr>
        <w:trPr>
          <w:trHeight w:val="166" w:hRule="atLeast"/>
        </w:trPr>
        <w:tc>
          <w:tcPr>
            <w:tcW w:w="10774" w:type="dxa"/>
            <w:gridSpan w:val="2"/>
            <w:tcBorders/>
          </w:tcPr>
          <w:p>
            <w:pPr>
              <w:pStyle w:val="style0"/>
              <w:spacing w:after="200" w:lineRule="auto" w:line="276"/>
              <w:jc w:val="center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OBLIGACIONES PREVENCIÓN, CONTENCIÓN Y MITIGACIÓN DE LA COVID-19</w:t>
            </w:r>
          </w:p>
        </w:tc>
      </w:tr>
      <w:tr>
        <w:tblPrEx/>
        <w:trPr>
          <w:trHeight w:val="542" w:hRule="atLeast"/>
        </w:trPr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. Utilizar los elementos de protección al personal para manejo y prevención de la COVID-19.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utiliza todos los elementos proporcionados por la institución en cuanto a la protección del Covid-19</w:t>
            </w:r>
          </w:p>
          <w:p>
            <w:pPr>
              <w:pStyle w:val="style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2.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Conocer y aplicar la Ruta de Atención Institucional de usuarios con caso sospechoso de COVID -19, dentro de la cual se describe la identificación de factores de riesgo, capacidad instalada, ciclo de Atención; diagrama de flujo de la prevención, detección temprana y manejo de casos sospechosos de COVID -2019, medidas diagnósticas, vigilancia epidemiológica, descripción del proceso de notificación obligatoria.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conoce la ruta de atención en factores de riesgo, capacidad instalada, ciclo de atención, diagrama de flujo de la prevención, detección temprana en cuanto a la atención de pacientes sospechosos de COVID-19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3.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Conocer y aplicar el plan de contingencia preparación, respuesta y atención de los casos de enfermedad por COVID-19.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tiene conocimiento en cuanto al plan de contingencia y la respuesta oportuna con los usuarios.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4.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Contribuir con los procedimientos de limpieza y desinfección de las áreas hospitalarias como acción de prevención de COVID-19.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la debida limpieza y desinfección en todas las áreas hospitalarias.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5.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Contribuir con el protocolo de manejo de residuos hospitalarios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realiza los debidos protocolos de manejo de residuos hospitalarios desde el área asistencial.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6.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Contribuir con el fortalecimiento, actualización y aplicación de protocolos, procedimientos y documentos institucionales como: Programa de prevención y control de infecciones, protocolo de lavado de manos, protocolo de aislamiento, protocolo de limpieza aseo y desinfección, manual de bioseguridad y manual de toma de muestras de laboratorio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conoce los diferentes protocolos de prevención y control de infecciones, protocolo de lavado de manos, protocolo de limpieza, aseo y desinfección, manual de bioseguridad y manual de toma de muestras de laboratorio.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7.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Acoger y aplicar los lineamientos, orientaciones y recomendaciones otorgadas por autoridades sanitarias y por la Institución referentes a las medidas preventivas y de mitigación para contener la infección respiratoria aguda por COVID– 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cumple con los debidos lineamientos de autoridad sanitaria en cuanto a la mitigación del Covid-19.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8.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Conocer los contenidos informativos basados en fuentes calificadas, relacionados a las medidas de prevención y autocuidado.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conoce las diferentes medidas en el autocuidado.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9.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Adoptar las disposiciones impartidas por el Gobierno Nacional relacionadas con la prevención, contención, manejo y mitigación de COVID– 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conoce de las normas impartidas por la Gobernación de Cundinamarca.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10.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Asistir a las capacitaciones programadas por la institución referente a las medidas de prevención, manejo, contención y mitigación del COVID-19.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asiste a las reuniones convocadas por parte de la institución en cuanto a temas de Covid-19.</w:t>
            </w:r>
          </w:p>
        </w:tc>
      </w:tr>
      <w:tr>
        <w:tblPrEx/>
        <w:trPr/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11.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 xml:space="preserve"> Intensificar la higiene de lavado de manos teniendo en cuenta los cinco momentos y la técnica recomendada por la OMS y que se encuentra documentadas en el Protocolo de lavado de manos.</w:t>
            </w: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cumple con el debido y adecuado lavado de manos.</w:t>
            </w:r>
          </w:p>
        </w:tc>
      </w:tr>
      <w:tr>
        <w:tblPrEx/>
        <w:trPr>
          <w:trHeight w:val="610" w:hRule="atLeast"/>
        </w:trPr>
        <w:tc>
          <w:tcPr>
            <w:tcW w:w="5955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iCs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b/>
                <w:bCs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12</w:t>
            </w:r>
            <w:r>
              <w:rPr>
                <w:rFonts w:ascii="Arial" w:cs="Arial" w:hAnsi="Arial"/>
                <w:color w:val="000000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. Desechar los elementos de protección personal en su orden la bata, los guantes y por último el tapabocas en caneca roja para riesgo biológico.</w:t>
            </w:r>
          </w:p>
          <w:p>
            <w:pPr>
              <w:pStyle w:val="style0"/>
              <w:jc w:val="both"/>
              <w:rPr>
                <w:rFonts w:ascii="Arial" w:cs="Arial" w:hAnsi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19" w:type="dxa"/>
            <w:tcBorders/>
          </w:tcPr>
          <w:p>
            <w:pPr>
              <w:pStyle w:val="style0"/>
              <w:jc w:val="both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  <w14:shadow w14:blurRad="0" w14:ky="0" w14:dir="0" w14:kx="0" w14:algn="none" w14:sy="100000" w14:sx="100000" w14:dist="0">
                  <w14:srgbClr w14:val="808080"/>
                </w14:shadow>
              </w:rPr>
              <w:t>-Se cumple con el debido desecho de implementos de bioseguridad en cuento al área asistencial.</w:t>
            </w:r>
          </w:p>
        </w:tc>
      </w:tr>
      <w:bookmarkEnd w:id="0"/>
    </w:tbl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lineRule="auto" w:line="240"/>
        <w:jc w:val="left"/>
        <w:rPr>
          <w:rFonts w:ascii="Arial" w:cs="Arial" w:hAnsi="Arial"/>
          <w:color w:val="000000"/>
          <w:sz w:val="20"/>
          <w:szCs w:val="20"/>
        </w:rPr>
      </w:pPr>
    </w:p>
    <w:tbl>
      <w:tblPr>
        <w:tblW w:w="10773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8"/>
        <w:gridCol w:w="3219"/>
        <w:gridCol w:w="3876"/>
      </w:tblGrid>
      <w:tr>
        <w:trPr>
          <w:cantSplit w:val="false"/>
          <w:trHeight w:val="345" w:hRule="atLeast"/>
          <w:tblHeader w:val="false"/>
          <w:jc w:val="left"/>
        </w:trPr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DESAGREGACION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COSTOS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ÁREA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DONDE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SE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EJECUTA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LA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ACTIVIDAD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PORCENTAJE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EJECUCION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POR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AREA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VALOR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-Centros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salud: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Cabrera,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Venecia,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Pandi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y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San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Bernardo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n-US"/>
              </w:rPr>
              <w:t>192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HORAS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$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n-US"/>
              </w:rPr>
              <w:t>2.015.921</w:t>
            </w:r>
          </w:p>
        </w:tc>
      </w:tr>
    </w:tbl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</w:p>
    <w:tbl>
      <w:tblPr>
        <w:tblW w:w="10773" w:type="dxa"/>
        <w:jc w:val="left"/>
        <w:tblInd w:w="-4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78"/>
        <w:gridCol w:w="3219"/>
        <w:gridCol w:w="1610"/>
        <w:gridCol w:w="2266"/>
      </w:tblGrid>
      <w:tr>
        <w:trPr>
          <w:cantSplit w:val="false"/>
          <w:tblHeader w:val="false"/>
          <w:jc w:val="left"/>
        </w:trPr>
        <w:tc>
          <w:tcPr>
            <w:tcW w:w="10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PRODUCCION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PRODUCTOS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A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ENTREGAR</w:t>
            </w:r>
          </w:p>
        </w:tc>
        <w:tc>
          <w:tcPr>
            <w:tcW w:w="3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PRODUCTOS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ENTREGADOS</w:t>
            </w:r>
          </w:p>
        </w:tc>
        <w:tc>
          <w:tcPr>
            <w:tcW w:w="3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%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EJECUCION</w:t>
            </w:r>
          </w:p>
        </w:tc>
      </w:tr>
      <w:tr>
        <w:tblPrEx/>
        <w:trPr>
          <w:cantSplit w:val="false"/>
          <w:tblHeader w:val="false"/>
          <w:jc w:val="left"/>
        </w:trPr>
        <w:tc>
          <w:tcPr>
            <w:tcW w:w="3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-Notas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enfermería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CNT</w:t>
            </w:r>
          </w:p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-Libros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atención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consulta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prioritaria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y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procedimientos.</w:t>
            </w:r>
          </w:p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-Libros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referencia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y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contra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referencias</w:t>
            </w:r>
          </w:p>
          <w:p>
            <w:pPr>
              <w:pStyle w:val="style0"/>
              <w:spacing w:after="160" w:lineRule="auto" w:line="259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-Bitácoras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traslado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pacientes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en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remisión.</w:t>
            </w:r>
          </w:p>
        </w:tc>
        <w:tc>
          <w:tcPr>
            <w:tcW w:w="3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-Notas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enfermería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CNT</w:t>
            </w:r>
          </w:p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-Libros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atención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consulta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prioritaria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y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procedimientos.</w:t>
            </w:r>
          </w:p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-Libros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referencia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y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contra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referencias</w:t>
            </w:r>
          </w:p>
          <w:p>
            <w:pPr>
              <w:pStyle w:val="style0"/>
              <w:widowControl/>
              <w:shd w:val="clear" w:color="ffffff" w:fill="auto"/>
              <w:spacing w:after="160" w:lineRule="auto" w:line="240"/>
              <w:ind w:firstLine="0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-Bitácoras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traslado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pacientes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en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smallCaps w:val="false"/>
                <w:color w:val="000000"/>
                <w:sz w:val="20"/>
                <w:szCs w:val="20"/>
                <w:highlight w:val="none"/>
                <w:shd w:val="clear" w:color="ffffff" w:fill="auto"/>
                <w:vertAlign w:val="baseline"/>
                <w:em w:val="none"/>
                <w:lang w:val="es-CO"/>
              </w:rPr>
              <w:t>remisión.</w:t>
            </w:r>
          </w:p>
          <w:p>
            <w:pPr>
              <w:pStyle w:val="style0"/>
              <w:spacing w:after="160" w:lineRule="auto" w:line="259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%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EJECUCION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FINANCIERA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%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DE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EJECUCIÓN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EN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 xml:space="preserve"> </w:t>
            </w:r>
            <w:r>
              <w:rPr>
                <w:rFonts w:ascii="Arial" w:cs="Arial" w:eastAsia="Arial" w:hAnsi="Arial" w:hint="default"/>
                <w:b/>
                <w:bCs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TIEMPO</w:t>
            </w:r>
          </w:p>
        </w:tc>
      </w:tr>
      <w:tr>
        <w:tblPrEx/>
        <w:trPr>
          <w:cantSplit w:val="false"/>
          <w:trHeight w:val="935" w:hRule="atLeast"/>
          <w:tblHeader w:val="false"/>
          <w:jc w:val="left"/>
        </w:trPr>
        <w:tc>
          <w:tcPr>
            <w:tcW w:w="36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/>
          </w:tcPr>
          <w:p>
            <w:pPr>
              <w:pStyle w:val="style0"/>
              <w:spacing w:after="160" w:lineRule="auto" w:line="259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</w:p>
        </w:tc>
        <w:tc>
          <w:tcPr>
            <w:tcW w:w="32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/>
          </w:tcPr>
          <w:p>
            <w:pPr>
              <w:pStyle w:val="style0"/>
              <w:spacing w:after="160" w:lineRule="auto" w:line="259"/>
              <w:jc w:val="both"/>
              <w:rPr>
                <w:rFonts w:ascii="Arial" w:cs="Arial" w:hAnsi="Arial"/>
                <w:color w:val="000000"/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n-US"/>
              </w:rPr>
              <w:t>100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%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style0"/>
              <w:spacing w:after="160" w:lineRule="auto" w:line="259"/>
              <w:jc w:val="center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n-US"/>
              </w:rPr>
              <w:t>100</w:t>
            </w:r>
            <w:r>
              <w:rPr>
                <w:rFonts w:ascii="Arial" w:cs="Arial" w:eastAsia="Arial" w:hAnsi="Arial" w:hint="default"/>
                <w:b w:val="false"/>
                <w:bCs w:val="false"/>
                <w:i w:val="false"/>
                <w:iCs w:val="false"/>
                <w:color w:val="000000"/>
                <w:sz w:val="20"/>
                <w:szCs w:val="20"/>
                <w:highlight w:val="none"/>
                <w:vertAlign w:val="baseline"/>
                <w:em w:val="none"/>
                <w:lang w:val="es-CO"/>
              </w:rPr>
              <w:t>%</w:t>
            </w:r>
          </w:p>
        </w:tc>
      </w:tr>
    </w:tbl>
    <w:p>
      <w:pPr>
        <w:pStyle w:val="style0"/>
        <w:spacing w:after="16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16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ANEXOS:</w:t>
      </w:r>
    </w:p>
    <w:p>
      <w:pPr>
        <w:pStyle w:val="style0"/>
        <w:widowControl/>
        <w:shd w:val="clear" w:color="ffffff" w:fill="auto"/>
        <w:spacing w:after="160" w:lineRule="auto" w:line="240"/>
        <w:ind w:firstLine="0"/>
        <w:jc w:val="both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-Copia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de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la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planilla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de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Seguridad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smallCaps w:val="false"/>
          <w:color w:val="000000"/>
          <w:sz w:val="20"/>
          <w:szCs w:val="20"/>
          <w:highlight w:val="none"/>
          <w:shd w:val="clear" w:color="ffffff" w:fill="auto"/>
          <w:vertAlign w:val="baseline"/>
          <w:em w:val="none"/>
          <w:lang w:val="es-CO"/>
        </w:rPr>
        <w:t>social</w:t>
      </w:r>
    </w:p>
    <w:p>
      <w:pPr>
        <w:pStyle w:val="style0"/>
        <w:spacing w:after="16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-Formulario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diligenciado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declaración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pago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seguridad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social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respectivamente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diligenciado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y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firmado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bajo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gravedad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y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000000"/>
          <w:sz w:val="20"/>
          <w:szCs w:val="20"/>
          <w:highlight w:val="none"/>
          <w:vertAlign w:val="baseline"/>
          <w:em w:val="none"/>
          <w:lang w:val="es-CO"/>
        </w:rPr>
        <w:t>juramento</w:t>
      </w: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  <w:r>
        <w:rPr>
          <w:rFonts w:ascii="Calibri" w:cs="Calibri" w:eastAsia="Calibri" w:hAnsi="Calibri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s-CO"/>
        </w:rPr>
        <w:drawing>
          <wp:inline distL="0" distT="0" distB="0" distR="0">
            <wp:extent cx="1176401" cy="634365"/>
            <wp:effectExtent l="0" t="0" r="0" b="0"/>
            <wp:docPr id="1026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176401" cy="6343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  <w:r>
        <w:rPr>
          <w:rFonts w:ascii="Calibri" w:cs="Calibri" w:eastAsia="Calibri" w:hAnsi="Calibri" w:hint="default"/>
          <w:b w:val="false"/>
          <w:bCs w:val="false"/>
          <w:i w:val="false"/>
          <w:iCs w:val="false"/>
          <w:color w:val="auto"/>
          <w:sz w:val="22"/>
          <w:szCs w:val="22"/>
          <w:highlight w:val="none"/>
          <w:vertAlign w:val="baseline"/>
          <w:em w:val="none"/>
          <w:lang w:val="es-CO"/>
        </w:rPr>
        <w:t xml:space="preserve">                                                                             </w:t>
      </w:r>
      <w:r>
        <w:tab/>
      </w:r>
      <w:r>
        <w:rPr>
          <w:rFonts w:ascii="Calibri" w:cs="Calibri" w:eastAsia="Calibri" w:hAnsi="Calibri" w:hint="default"/>
          <w:b w:val="false"/>
          <w:bCs w:val="false"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                                   </w:t>
      </w: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DANNA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ZHARICK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CALDERÓN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BELTRÁN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          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SAUL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PARRA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>GARCIA</w:t>
      </w:r>
      <w:r>
        <w:rPr>
          <w:rFonts w:ascii="Arial" w:cs="Arial" w:eastAsia="Arial" w:hAnsi="Arial" w:hint="default"/>
          <w:b/>
          <w:bCs/>
          <w:i w:val="false"/>
          <w:iCs w:val="false"/>
          <w:color w:val="auto"/>
          <w:sz w:val="20"/>
          <w:szCs w:val="20"/>
          <w:highlight w:val="none"/>
          <w:vertAlign w:val="baseline"/>
          <w:em w:val="none"/>
          <w:lang w:val="es-CO"/>
        </w:rPr>
        <w:t xml:space="preserve"> </w:t>
      </w: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>Contratista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 xml:space="preserve">                                                  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>Supervisor</w:t>
      </w: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160" w:lineRule="auto" w:line="240"/>
        <w:jc w:val="left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>ADRIANA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>MARCELA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>VEGA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/>
          <w:bCs/>
          <w:i w:val="false"/>
          <w:iCs w:val="false"/>
          <w:color w:val="000000"/>
          <w:sz w:val="24"/>
          <w:szCs w:val="24"/>
          <w:highlight w:val="none"/>
          <w:vertAlign w:val="baseline"/>
          <w:em w:val="none"/>
          <w:lang w:val="es-CO"/>
        </w:rPr>
        <w:t>CAICEDO</w:t>
      </w: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>Apoyo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 xml:space="preserve"> 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s-CO"/>
        </w:rPr>
        <w:t>su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/>
        </w:rPr>
        <w:t>pervisión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24"/>
          <w:szCs w:val="24"/>
          <w:highlight w:val="none"/>
          <w:vertAlign w:val="baseline"/>
          <w:em w:val="none"/>
          <w:lang w:val="en-US"/>
        </w:rPr>
        <w:t xml:space="preserve"> </w:t>
      </w: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" w:cs="Arial" w:hAnsi="Arial"/>
          <w:color w:val="000000"/>
          <w:sz w:val="20"/>
          <w:szCs w:val="20"/>
        </w:rPr>
      </w:pPr>
    </w:p>
    <w:p>
      <w:pPr>
        <w:pStyle w:val="style0"/>
        <w:spacing w:after="0" w:lineRule="auto" w:line="240"/>
        <w:jc w:val="both"/>
        <w:rPr>
          <w:rFonts w:ascii="Arial Special G2" w:hAnsi="Arial Special G2"/>
        </w:rPr>
      </w:pPr>
      <w:r>
        <w:rPr/>
        <w:drawing>
          <wp:inline distL="114300" distT="0" distB="0" distR="114300">
            <wp:extent cx="6040758" cy="7841799"/>
            <wp:effectExtent l="0" t="0" r="0" b="0"/>
            <wp:docPr id="1029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040758" cy="7841799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sectPr>
      <w:headerReference w:type="default" r:id="rId4"/>
      <w:footerReference w:type="default" r:id="rId5"/>
      <w:pgSz w:w="12240" w:h="15840" w:orient="portrait"/>
      <w:pgMar w:top="851" w:right="1701" w:bottom="1418" w:left="170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0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000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  <w:font w:name="Arial Special G2">
    <w:altName w:val="Symbol"/>
    <w:panose1 w:val="00000000000000000000"/>
    <w:charset w:val="02"/>
    <w:family w:val="swiss"/>
    <w:pitch w:val="variable"/>
    <w:sig w:usb0="00000000" w:usb1="10000000" w:usb2="00000000" w:usb3="00000000" w:csb0="80000000" w:csb1="00000000"/>
  </w:font>
  <w:font w:name="Cambria">
    <w:altName w:val="Cambria"/>
    <w:panose1 w:val="02040503050000030204"/>
    <w:charset w:val="00"/>
    <w:family w:val="roman"/>
    <w:pitch w:val="variable"/>
    <w:sig w:usb0="E00002FF" w:usb1="400004FF" w:usb2="00000000" w:usb3="00000000" w:csb0="0000019F" w:csb1="00000000"/>
  </w:font>
</w:fonts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  <w:r>
      <w:rPr>
        <w:sz w:val="14"/>
        <w:szCs w:val="14"/>
        <w14:shadow w14:blurRad="0" w14:ky="0" w14:dir="0" w14:kx="0" w14:algn="none" w14:sy="100000" w14:sx="100000" w14:dist="0">
          <w14:srgbClr w14:val="808080"/>
        </w14:shadow>
      </w:rPr>
      <w:t xml:space="preserve"> 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3D4168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A1F6F8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F505CC8"/>
    <w:lvl w:ilvl="0" w:tplc="2BC0DECA">
      <w:start w:val="1"/>
      <w:numFmt w:val="decimal"/>
      <w:lvlText w:val="%1."/>
      <w:lvlJc w:val="left"/>
      <w:pPr>
        <w:ind w:left="720" w:hanging="360"/>
      </w:pPr>
      <w:rPr>
        <w:rFonts w:ascii="Arial" w:cs="Arial" w:hAnsi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multilevel"/>
    <w:tmpl w:val="00000001"/>
    <w:name w:val="Outline"/>
    <w:lvl w:ilvl="0">
      <w:start w:val="2"/>
      <w:numFmt w:val="decimal"/>
      <w:lvlText w:val="%1"/>
      <w:lvlJc w:val="left"/>
      <w:pPr>
        <w:tabs>
          <w:tab w:val="left" w:leader="none" w:pos="705"/>
        </w:tabs>
        <w:ind w:left="705" w:hanging="705"/>
      </w:pPr>
    </w:lvl>
    <w:lvl w:ilvl="1">
      <w:start w:val="3"/>
      <w:numFmt w:val="decimal"/>
      <w:lvlText w:val="%1.%2"/>
      <w:lvlJc w:val="left"/>
      <w:pPr>
        <w:tabs>
          <w:tab w:val="left" w:leader="none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left" w:leader="none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leader="none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left" w:leader="none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left" w:leader="none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left" w:leader="none" w:pos="1080"/>
        </w:tabs>
        <w:ind w:left="1080" w:hanging="1080"/>
      </w:pPr>
    </w:lvl>
    <w:lvl w:ilvl="7">
      <w:start w:val="2"/>
      <w:numFmt w:val="decimal"/>
      <w:lvlText w:val="%8"/>
      <w:lvlJc w:val="left"/>
      <w:pPr>
        <w:tabs>
          <w:tab w:val="left" w:leader="none" w:pos="705"/>
        </w:tabs>
        <w:ind w:left="705" w:hanging="705"/>
      </w:pPr>
    </w:lvl>
    <w:lvl w:ilvl="8">
      <w:start w:val="1"/>
      <w:numFmt w:val="decimal"/>
      <w:lvlText w:val="%1.%2.%3.%4.%5.%6.%7.%8.%9"/>
      <w:lvlJc w:val="left"/>
      <w:pPr>
        <w:tabs>
          <w:tab w:val="left" w:leader="none" w:pos="1440"/>
        </w:tabs>
        <w:ind w:left="1440" w:hanging="144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  <w:sz w:val="22"/>
        <w:szCs w:val="22"/>
        <w:lang w:val="es-CO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419"/>
        <w:tab w:val="right" w:leader="none" w:pos="8838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419"/>
        <w:tab w:val="right" w:leader="none" w:pos="8838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suppressAutoHyphens/>
      <w:spacing w:after="0" w:lineRule="auto" w:line="240"/>
      <w:ind w:left="720"/>
      <w:contextualSpacing/>
    </w:pPr>
    <w:rPr>
      <w:rFonts w:ascii="Times New Roman" w:cs="Times New Roman" w:eastAsia="Times New Roman" w:hAnsi="Times New Roman"/>
      <w:sz w:val="20"/>
      <w:szCs w:val="20"/>
      <w:lang w:val="es-ES" w:eastAsia="ar-SA"/>
    </w:rPr>
  </w:style>
  <w:style w:type="character" w:customStyle="1" w:styleId="style4099">
    <w:name w:val="WW-Absatz-Standardschriftart1111"/>
    <w:next w:val="style4099"/>
  </w:style>
  <w:style w:type="paragraph" w:customStyle="1" w:styleId="style4100">
    <w:name w:val="Default"/>
    <w:next w:val="style4100"/>
    <w:pPr>
      <w:autoSpaceDE w:val="false"/>
      <w:autoSpaceDN w:val="false"/>
      <w:adjustRightInd w:val="false"/>
      <w:spacing w:after="0" w:lineRule="auto" w:line="240"/>
    </w:pPr>
    <w:rPr>
      <w:rFonts w:cs="Calibri"/>
      <w:color w:val="000000"/>
      <w:sz w:val="24"/>
      <w:szCs w:val="24"/>
      <w:lang w:val="es-ES"/>
    </w:rPr>
  </w:style>
  <w:style w:type="paragraph" w:styleId="style153">
    <w:name w:val="Balloon Text"/>
    <w:basedOn w:val="style0"/>
    <w:next w:val="style153"/>
    <w:link w:val="style4101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101">
    <w:name w:val="Texto de globo Car"/>
    <w:basedOn w:val="style65"/>
    <w:next w:val="style4101"/>
    <w:link w:val="style153"/>
    <w:uiPriority w:val="99"/>
    <w:rPr>
      <w:rFonts w:ascii="Segoe UI" w:cs="Segoe UI" w:hAnsi="Segoe U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9" Type="http://schemas.openxmlformats.org/officeDocument/2006/relationships/theme" Target="theme/theme1.xml"/><Relationship Id="rId5" Type="http://schemas.openxmlformats.org/officeDocument/2006/relationships/footer" Target="footer2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Words>2372</Words>
  <Pages>6</Pages>
  <Characters>13544</Characters>
  <Application>WPS Office</Application>
  <DocSecurity>0</DocSecurity>
  <Paragraphs>331</Paragraphs>
  <ScaleCrop>false</ScaleCrop>
  <LinksUpToDate>false</LinksUpToDate>
  <CharactersWithSpaces>15938</CharactersWithSpaces>
  <SharedDoc>false</SharedDoc>
  <HyperlinksChanged>false</HyperlinksChanged>
  <AppVersion>15.000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2024-01-11T15:02:00Z</dcterms:created>
  <dc:creator>CONTROL INTERNO</dc:creator>
  <lastModifiedBy>23073RPBFL</lastModifiedBy>
  <lastPrinted>2024-11-01T14:36:00Z</lastPrinted>
  <dcterms:modified xsi:type="dcterms:W3CDTF">2025-11-05T18:11:24Z</dcterms:modified>
  <revision>15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e673f7a5776f4fcd89435293905a9759</vt:lpwstr>
  </property>
</Properties>
</file>