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png" ContentType="image/png"/>
  <Override PartName="/word/media/image3.jpeg" ContentType="image/jpeg"/>
  <Override PartName="/word/media/image4.png" ContentType="image/pn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pPr w:bottomFromText="0" w:horzAnchor="margin" w:leftFromText="141" w:rightFromText="141" w:tblpX="0" w:tblpY="1501" w:topFromText="0" w:vertAnchor="page"/>
        <w:tblW w:w="10214" w:type="dxa"/>
        <w:jc w:val="left"/>
        <w:tblInd w:w="-5" w:type="dxa"/>
        <w:tblLayout w:type="fixed"/>
        <w:tblCellMar>
          <w:top w:w="0" w:type="dxa"/>
          <w:left w:w="108" w:type="dxa"/>
          <w:bottom w:w="0" w:type="dxa"/>
          <w:right w:w="108" w:type="dxa"/>
        </w:tblCellMar>
        <w:tblLook w:firstRow="1" w:noVBand="0" w:lastRow="1" w:firstColumn="1" w:lastColumn="1" w:noHBand="0" w:val="01e0"/>
      </w:tblPr>
      <w:tblGrid>
        <w:gridCol w:w="2162"/>
        <w:gridCol w:w="2503"/>
        <w:gridCol w:w="1988"/>
        <w:gridCol w:w="3560"/>
      </w:tblGrid>
      <w:tr>
        <w:trPr>
          <w:trHeight w:val="169" w:hRule="atLeast"/>
        </w:trPr>
        <w:tc>
          <w:tcPr>
            <w:tcW w:w="21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b/>
                <w:b/>
                <w:sz w:val="22"/>
                <w:szCs w:val="22"/>
              </w:rPr>
            </w:pPr>
            <w:bookmarkStart w:id="0" w:name="_GoBack"/>
            <w:bookmarkEnd w:id="0"/>
            <w:r>
              <w:rPr>
                <w:rFonts w:cs="Arial" w:ascii="Trebuchet MS" w:hAnsi="Trebuchet MS"/>
                <w:b/>
                <w:sz w:val="22"/>
                <w:szCs w:val="22"/>
              </w:rPr>
              <w:t>CONTRATO No:</w:t>
            </w:r>
          </w:p>
        </w:tc>
        <w:tc>
          <w:tcPr>
            <w:tcW w:w="250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center"/>
              <w:rPr>
                <w:rFonts w:ascii="Trebuchet MS" w:hAnsi="Trebuchet MS" w:cs="Arial"/>
                <w:b/>
                <w:b/>
                <w:iCs/>
                <w:sz w:val="22"/>
                <w:szCs w:val="22"/>
              </w:rPr>
            </w:pPr>
            <w:r>
              <w:rPr>
                <w:rFonts w:cs="Arial" w:ascii="Trebuchet MS" w:hAnsi="Trebuchet MS"/>
                <w:b/>
                <w:spacing w:val="-3"/>
                <w:sz w:val="22"/>
                <w:szCs w:val="22"/>
              </w:rPr>
              <w:t>CD-DP-6536-2025</w:t>
            </w:r>
          </w:p>
        </w:tc>
        <w:tc>
          <w:tcPr>
            <w:tcW w:w="198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b/>
                <w:b/>
                <w:sz w:val="22"/>
                <w:szCs w:val="22"/>
              </w:rPr>
            </w:pPr>
            <w:r>
              <w:rPr>
                <w:rFonts w:cs="Arial" w:ascii="Trebuchet MS" w:hAnsi="Trebuchet MS"/>
                <w:sz w:val="22"/>
                <w:szCs w:val="22"/>
              </w:rPr>
              <w:t>REGIONAL</w:t>
            </w:r>
          </w:p>
        </w:tc>
        <w:tc>
          <w:tcPr>
            <w:tcW w:w="356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center"/>
              <w:rPr>
                <w:rFonts w:ascii="Trebuchet MS" w:hAnsi="Trebuchet MS" w:cs="Arial"/>
                <w:b/>
                <w:b/>
                <w:iCs/>
                <w:sz w:val="22"/>
                <w:szCs w:val="22"/>
              </w:rPr>
            </w:pPr>
            <w:r>
              <w:rPr>
                <w:rFonts w:cs="Arial" w:ascii="Trebuchet MS" w:hAnsi="Trebuchet MS"/>
                <w:b/>
                <w:spacing w:val="-3"/>
                <w:sz w:val="22"/>
                <w:szCs w:val="22"/>
              </w:rPr>
              <w:t>MAGDALENA</w:t>
            </w:r>
          </w:p>
        </w:tc>
      </w:tr>
      <w:tr>
        <w:trPr>
          <w:trHeight w:val="308" w:hRule="atLeast"/>
        </w:trPr>
        <w:tc>
          <w:tcPr>
            <w:tcW w:w="21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sz w:val="22"/>
                <w:szCs w:val="22"/>
              </w:rPr>
            </w:pPr>
            <w:r>
              <w:rPr>
                <w:rFonts w:cs="Arial" w:ascii="Trebuchet MS" w:hAnsi="Trebuchet MS"/>
                <w:sz w:val="22"/>
                <w:szCs w:val="22"/>
              </w:rPr>
              <w:t>Tipo</w:t>
            </w:r>
          </w:p>
        </w:tc>
        <w:tc>
          <w:tcPr>
            <w:tcW w:w="80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 w:val="left" w:pos="0" w:leader="none"/>
                <w:tab w:val="left" w:pos="720" w:leader="none"/>
                <w:tab w:val="left" w:pos="1440" w:leader="none"/>
                <w:tab w:val="left" w:pos="2160" w:leader="none"/>
                <w:tab w:val="left" w:pos="2880" w:leader="none"/>
                <w:tab w:val="left" w:pos="3600" w:leader="none"/>
              </w:tabs>
              <w:suppressAutoHyphens w:val="true"/>
              <w:ind w:left="4320" w:hanging="4320"/>
              <w:rPr>
                <w:rFonts w:ascii="Trebuchet MS" w:hAnsi="Trebuchet MS" w:cs="Arial"/>
                <w:spacing w:val="-3"/>
                <w:sz w:val="22"/>
                <w:szCs w:val="22"/>
              </w:rPr>
            </w:pPr>
            <w:r>
              <w:rPr>
                <w:rFonts w:cs="Arial" w:ascii="Trebuchet MS" w:hAnsi="Trebuchet MS"/>
                <w:spacing w:val="-3"/>
                <w:sz w:val="22"/>
                <w:szCs w:val="22"/>
              </w:rPr>
              <w:t>PRESTACION DE SERVICIOS PROFESIONALES</w:t>
            </w:r>
          </w:p>
        </w:tc>
      </w:tr>
      <w:tr>
        <w:trPr>
          <w:trHeight w:val="986" w:hRule="atLeast"/>
        </w:trPr>
        <w:tc>
          <w:tcPr>
            <w:tcW w:w="21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sz w:val="22"/>
                <w:szCs w:val="22"/>
              </w:rPr>
            </w:pPr>
            <w:r>
              <w:rPr>
                <w:rFonts w:cs="Arial" w:ascii="Trebuchet MS" w:hAnsi="Trebuchet MS"/>
                <w:sz w:val="22"/>
                <w:szCs w:val="22"/>
              </w:rPr>
              <w:t>Objeto</w:t>
            </w:r>
          </w:p>
        </w:tc>
        <w:tc>
          <w:tcPr>
            <w:tcW w:w="80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 w:val="left" w:pos="0" w:leader="none"/>
                <w:tab w:val="left" w:pos="720" w:leader="none"/>
                <w:tab w:val="left" w:pos="1440" w:leader="none"/>
                <w:tab w:val="left" w:pos="2160" w:leader="none"/>
                <w:tab w:val="left" w:pos="2880" w:leader="none"/>
                <w:tab w:val="left" w:pos="3600" w:leader="none"/>
              </w:tabs>
              <w:suppressAutoHyphens w:val="true"/>
              <w:ind w:left="-5" w:hanging="0"/>
              <w:jc w:val="both"/>
              <w:rPr>
                <w:rFonts w:ascii="Trebuchet MS" w:hAnsi="Trebuchet MS" w:cs="Arial"/>
                <w:spacing w:val="-3"/>
                <w:sz w:val="22"/>
                <w:szCs w:val="22"/>
              </w:rPr>
            </w:pPr>
            <w:r>
              <w:rPr>
                <w:rFonts w:cs="Arial" w:ascii="Trebuchet MS" w:hAnsi="Trebuchet MS"/>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cs="Arial" w:ascii="Trebuchet MS" w:hAnsi="Trebuchet MS"/>
                <w:sz w:val="22"/>
                <w:szCs w:val="22"/>
              </w:rPr>
              <w:t>.</w:t>
            </w:r>
          </w:p>
        </w:tc>
      </w:tr>
      <w:tr>
        <w:trPr>
          <w:trHeight w:val="327" w:hRule="atLeast"/>
        </w:trPr>
        <w:tc>
          <w:tcPr>
            <w:tcW w:w="21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sz w:val="22"/>
                <w:szCs w:val="22"/>
              </w:rPr>
            </w:pPr>
            <w:r>
              <w:rPr>
                <w:rFonts w:cs="Arial" w:ascii="Trebuchet MS" w:hAnsi="Trebuchet MS"/>
                <w:sz w:val="22"/>
                <w:szCs w:val="22"/>
              </w:rPr>
              <w:t>Área – Sub área</w:t>
            </w:r>
          </w:p>
        </w:tc>
        <w:tc>
          <w:tcPr>
            <w:tcW w:w="80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 w:val="left" w:pos="0" w:leader="none"/>
                <w:tab w:val="left" w:pos="720" w:leader="none"/>
                <w:tab w:val="left" w:pos="1440" w:leader="none"/>
                <w:tab w:val="left" w:pos="2160" w:leader="none"/>
                <w:tab w:val="left" w:pos="2880" w:leader="none"/>
                <w:tab w:val="left" w:pos="3600" w:leader="none"/>
              </w:tabs>
              <w:suppressAutoHyphens w:val="true"/>
              <w:ind w:left="4320" w:hanging="4320"/>
              <w:rPr>
                <w:rFonts w:ascii="Trebuchet MS" w:hAnsi="Trebuchet MS" w:cs="Arial"/>
                <w:spacing w:val="-3"/>
                <w:sz w:val="22"/>
                <w:szCs w:val="22"/>
              </w:rPr>
            </w:pPr>
            <w:r>
              <w:rPr>
                <w:rFonts w:cs="Arial" w:ascii="Trebuchet MS" w:hAnsi="Trebuchet MS"/>
                <w:b/>
                <w:spacing w:val="-3"/>
                <w:sz w:val="22"/>
                <w:szCs w:val="22"/>
              </w:rPr>
              <w:t>PENAL – PROCESADOS Y CONDENADOS</w:t>
            </w:r>
          </w:p>
        </w:tc>
      </w:tr>
      <w:tr>
        <w:trPr>
          <w:trHeight w:val="348" w:hRule="atLeast"/>
        </w:trPr>
        <w:tc>
          <w:tcPr>
            <w:tcW w:w="21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sz w:val="22"/>
                <w:szCs w:val="22"/>
              </w:rPr>
            </w:pPr>
            <w:r>
              <w:rPr>
                <w:rFonts w:cs="Arial" w:ascii="Trebuchet MS" w:hAnsi="Trebuchet MS"/>
                <w:sz w:val="22"/>
                <w:szCs w:val="22"/>
              </w:rPr>
              <w:t>Programa</w:t>
            </w:r>
          </w:p>
        </w:tc>
        <w:tc>
          <w:tcPr>
            <w:tcW w:w="80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b/>
                <w:b/>
                <w:bCs/>
                <w:sz w:val="22"/>
                <w:szCs w:val="22"/>
              </w:rPr>
            </w:pPr>
            <w:r>
              <w:rPr>
                <w:rFonts w:cs="Arial" w:ascii="Trebuchet MS" w:hAnsi="Trebuchet MS"/>
                <w:b/>
                <w:bCs/>
                <w:sz w:val="22"/>
                <w:szCs w:val="22"/>
              </w:rPr>
              <w:t>PENAL GENERAL</w:t>
            </w:r>
          </w:p>
        </w:tc>
      </w:tr>
      <w:tr>
        <w:trPr>
          <w:trHeight w:val="308" w:hRule="atLeast"/>
        </w:trPr>
        <w:tc>
          <w:tcPr>
            <w:tcW w:w="21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rPr>
                <w:rFonts w:ascii="Trebuchet MS" w:hAnsi="Trebuchet MS" w:cs="Arial"/>
                <w:sz w:val="22"/>
                <w:szCs w:val="22"/>
              </w:rPr>
            </w:pPr>
            <w:r>
              <w:rPr>
                <w:rFonts w:cs="Arial" w:ascii="Trebuchet MS" w:hAnsi="Trebuchet MS"/>
                <w:sz w:val="22"/>
                <w:szCs w:val="22"/>
              </w:rPr>
              <w:t>Lugar de Ejecución</w:t>
            </w:r>
          </w:p>
        </w:tc>
        <w:tc>
          <w:tcPr>
            <w:tcW w:w="80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b/>
                <w:b/>
                <w:sz w:val="22"/>
                <w:szCs w:val="22"/>
              </w:rPr>
            </w:pPr>
            <w:r>
              <w:rPr>
                <w:rFonts w:cs="Arial" w:ascii="Trebuchet MS" w:hAnsi="Trebuchet MS"/>
                <w:b/>
                <w:sz w:val="22"/>
                <w:szCs w:val="22"/>
              </w:rPr>
              <w:t>CIRCUITO JUDICIAL SANTA MARTA</w:t>
            </w:r>
          </w:p>
        </w:tc>
      </w:tr>
      <w:tr>
        <w:trPr>
          <w:trHeight w:val="327" w:hRule="atLeast"/>
        </w:trPr>
        <w:tc>
          <w:tcPr>
            <w:tcW w:w="21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rPr>
                <w:rFonts w:ascii="Trebuchet MS" w:hAnsi="Trebuchet MS" w:cs="Arial"/>
                <w:sz w:val="22"/>
                <w:szCs w:val="22"/>
              </w:rPr>
            </w:pPr>
            <w:r>
              <w:rPr>
                <w:rFonts w:cs="Arial" w:ascii="Trebuchet MS" w:hAnsi="Trebuchet MS"/>
                <w:sz w:val="22"/>
                <w:szCs w:val="22"/>
              </w:rPr>
              <w:t>Valor del contrato</w:t>
            </w:r>
          </w:p>
        </w:tc>
        <w:tc>
          <w:tcPr>
            <w:tcW w:w="80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b/>
                <w:b/>
                <w:spacing w:val="-3"/>
                <w:sz w:val="22"/>
                <w:szCs w:val="22"/>
              </w:rPr>
            </w:pPr>
            <w:r>
              <w:rPr>
                <w:rFonts w:cs="Arial" w:ascii="Trebuchet MS" w:hAnsi="Trebuchet MS"/>
                <w:b/>
                <w:spacing w:val="-3"/>
                <w:sz w:val="22"/>
                <w:szCs w:val="22"/>
              </w:rPr>
              <w:t>$ 40.088.000,00 INCLUIDOS TODOS LOS IMPUESTOS A QUE HAYA LUGAR</w:t>
            </w:r>
          </w:p>
        </w:tc>
      </w:tr>
      <w:tr>
        <w:trPr>
          <w:trHeight w:val="656" w:hRule="atLeast"/>
        </w:trPr>
        <w:tc>
          <w:tcPr>
            <w:tcW w:w="21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sz w:val="22"/>
                <w:szCs w:val="22"/>
              </w:rPr>
            </w:pPr>
            <w:r>
              <w:rPr>
                <w:rFonts w:cs="Arial" w:ascii="Trebuchet MS" w:hAnsi="Trebuchet MS"/>
                <w:sz w:val="22"/>
                <w:szCs w:val="22"/>
              </w:rPr>
              <w:t>Honorarios Mensuales</w:t>
            </w:r>
          </w:p>
        </w:tc>
        <w:tc>
          <w:tcPr>
            <w:tcW w:w="80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b/>
                <w:b/>
                <w:sz w:val="22"/>
                <w:szCs w:val="22"/>
              </w:rPr>
            </w:pPr>
            <w:r>
              <w:rPr>
                <w:rFonts w:cs="Arial" w:ascii="Trebuchet MS" w:hAnsi="Trebuchet MS"/>
                <w:b/>
                <w:spacing w:val="-3"/>
                <w:sz w:val="22"/>
                <w:szCs w:val="22"/>
              </w:rPr>
              <w:t xml:space="preserve">$ 5.011.000,00 INCLUIDOS TODOS LOS IMPUESTOS A QUE HAYA LUGAR  </w:t>
            </w:r>
          </w:p>
        </w:tc>
      </w:tr>
      <w:tr>
        <w:trPr>
          <w:trHeight w:val="308" w:hRule="atLeast"/>
        </w:trPr>
        <w:tc>
          <w:tcPr>
            <w:tcW w:w="21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sz w:val="22"/>
                <w:szCs w:val="22"/>
              </w:rPr>
            </w:pPr>
            <w:r>
              <w:rPr>
                <w:rFonts w:cs="Arial" w:ascii="Trebuchet MS" w:hAnsi="Trebuchet MS"/>
                <w:sz w:val="22"/>
                <w:szCs w:val="22"/>
              </w:rPr>
              <w:t>Plazo de ejecución</w:t>
            </w:r>
          </w:p>
        </w:tc>
        <w:tc>
          <w:tcPr>
            <w:tcW w:w="80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b/>
                <w:b/>
                <w:sz w:val="22"/>
                <w:szCs w:val="22"/>
              </w:rPr>
            </w:pPr>
            <w:r>
              <w:rPr>
                <w:rFonts w:cs="Arial" w:ascii="Trebuchet MS" w:hAnsi="Trebuchet MS"/>
                <w:sz w:val="22"/>
                <w:szCs w:val="22"/>
              </w:rPr>
              <w:t xml:space="preserve">  </w:t>
            </w:r>
            <w:r>
              <w:rPr>
                <w:rFonts w:cs="Arial" w:ascii="Trebuchet MS" w:hAnsi="Trebuchet MS"/>
                <w:sz w:val="22"/>
                <w:szCs w:val="22"/>
              </w:rPr>
              <w:t>31 de JULIO de 2026</w:t>
            </w:r>
          </w:p>
        </w:tc>
      </w:tr>
    </w:tbl>
    <w:p>
      <w:pPr>
        <w:pStyle w:val="Normal"/>
        <w:ind w:right="1262" w:hanging="0"/>
        <w:jc w:val="both"/>
        <w:rPr>
          <w:rFonts w:ascii="Trebuchet MS" w:hAnsi="Trebuchet MS" w:cs="Arial"/>
          <w:sz w:val="22"/>
          <w:szCs w:val="22"/>
        </w:rPr>
      </w:pPr>
      <w:r>
        <w:rPr>
          <w:rFonts w:cs="Arial" w:ascii="Trebuchet MS" w:hAnsi="Trebuchet MS"/>
          <w:sz w:val="22"/>
          <w:szCs w:val="22"/>
        </w:rPr>
      </w:r>
    </w:p>
    <w:tbl>
      <w:tblPr>
        <w:tblW w:w="5000" w:type="pct"/>
        <w:jc w:val="left"/>
        <w:tblInd w:w="0" w:type="dxa"/>
        <w:tblLayout w:type="fixed"/>
        <w:tblCellMar>
          <w:top w:w="0" w:type="dxa"/>
          <w:left w:w="108" w:type="dxa"/>
          <w:bottom w:w="0" w:type="dxa"/>
          <w:right w:w="108" w:type="dxa"/>
        </w:tblCellMar>
        <w:tblLook w:firstRow="1" w:noVBand="0" w:lastRow="1" w:firstColumn="1" w:lastColumn="1" w:noHBand="0" w:val="01e0"/>
      </w:tblPr>
      <w:tblGrid>
        <w:gridCol w:w="2152"/>
        <w:gridCol w:w="7933"/>
      </w:tblGrid>
      <w:tr>
        <w:trPr>
          <w:trHeight w:val="446" w:hRule="atLeast"/>
        </w:trPr>
        <w:tc>
          <w:tcPr>
            <w:tcW w:w="21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spacing w:lineRule="auto" w:line="254"/>
              <w:jc w:val="both"/>
              <w:rPr>
                <w:rFonts w:ascii="Trebuchet MS" w:hAnsi="Trebuchet MS" w:cs="Arial"/>
                <w:b/>
                <w:b/>
                <w:sz w:val="22"/>
                <w:szCs w:val="22"/>
              </w:rPr>
            </w:pPr>
            <w:r>
              <w:rPr>
                <w:rFonts w:cs="Arial" w:ascii="Trebuchet MS" w:hAnsi="Trebuchet MS"/>
                <w:b/>
                <w:sz w:val="22"/>
                <w:szCs w:val="22"/>
              </w:rPr>
              <w:t>CONTRATANTE</w:t>
            </w:r>
          </w:p>
        </w:tc>
        <w:tc>
          <w:tcPr>
            <w:tcW w:w="793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spacing w:lineRule="auto" w:line="254"/>
              <w:jc w:val="both"/>
              <w:rPr>
                <w:rFonts w:ascii="Trebuchet MS" w:hAnsi="Trebuchet MS" w:cs="Arial"/>
                <w:sz w:val="22"/>
                <w:szCs w:val="22"/>
              </w:rPr>
            </w:pPr>
            <w:r>
              <w:rPr>
                <w:rFonts w:cs="Arial" w:ascii="Trebuchet MS" w:hAnsi="Trebuchet MS"/>
                <w:sz w:val="22"/>
                <w:szCs w:val="22"/>
              </w:rPr>
              <w:t>DEFENSORIA DEL PUEBLO</w:t>
            </w:r>
          </w:p>
        </w:tc>
      </w:tr>
      <w:tr>
        <w:trPr>
          <w:trHeight w:val="446" w:hRule="atLeast"/>
        </w:trPr>
        <w:tc>
          <w:tcPr>
            <w:tcW w:w="21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spacing w:lineRule="auto" w:line="254"/>
              <w:jc w:val="both"/>
              <w:rPr>
                <w:rFonts w:ascii="Trebuchet MS" w:hAnsi="Trebuchet MS" w:cs="Arial"/>
                <w:b/>
                <w:b/>
                <w:sz w:val="22"/>
                <w:szCs w:val="22"/>
              </w:rPr>
            </w:pPr>
            <w:r>
              <w:rPr>
                <w:rFonts w:cs="Arial" w:ascii="Trebuchet MS" w:hAnsi="Trebuchet MS"/>
                <w:b/>
                <w:sz w:val="22"/>
                <w:szCs w:val="22"/>
              </w:rPr>
              <w:t>NIT</w:t>
            </w:r>
          </w:p>
        </w:tc>
        <w:tc>
          <w:tcPr>
            <w:tcW w:w="793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spacing w:lineRule="auto" w:line="254"/>
              <w:jc w:val="both"/>
              <w:rPr>
                <w:rFonts w:ascii="Trebuchet MS" w:hAnsi="Trebuchet MS" w:cs="Arial"/>
                <w:sz w:val="22"/>
                <w:szCs w:val="22"/>
              </w:rPr>
            </w:pPr>
            <w:r>
              <w:rPr>
                <w:rFonts w:cs="Arial" w:ascii="Trebuchet MS" w:hAnsi="Trebuchet MS"/>
                <w:sz w:val="22"/>
                <w:szCs w:val="22"/>
              </w:rPr>
              <w:t>800.186.061-1</w:t>
            </w:r>
          </w:p>
        </w:tc>
      </w:tr>
      <w:tr>
        <w:trPr>
          <w:trHeight w:val="895" w:hRule="atLeast"/>
        </w:trPr>
        <w:tc>
          <w:tcPr>
            <w:tcW w:w="21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spacing w:lineRule="auto" w:line="254"/>
              <w:jc w:val="both"/>
              <w:rPr>
                <w:rFonts w:ascii="Trebuchet MS" w:hAnsi="Trebuchet MS" w:cs="Arial"/>
                <w:b/>
                <w:b/>
                <w:sz w:val="22"/>
                <w:szCs w:val="22"/>
              </w:rPr>
            </w:pPr>
            <w:r>
              <w:rPr>
                <w:rFonts w:cs="Arial" w:ascii="Trebuchet MS" w:hAnsi="Trebuchet MS"/>
                <w:b/>
                <w:sz w:val="22"/>
                <w:szCs w:val="22"/>
              </w:rPr>
              <w:t xml:space="preserve">Representante Legal </w:t>
            </w:r>
          </w:p>
        </w:tc>
        <w:tc>
          <w:tcPr>
            <w:tcW w:w="793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rebuchet MS" w:hAnsi="Trebuchet MS"/>
                <w:sz w:val="22"/>
                <w:szCs w:val="22"/>
              </w:rPr>
            </w:pPr>
            <w:r>
              <w:rPr>
                <w:rFonts w:cs="Arial" w:ascii="Trebuchet MS" w:hAnsi="Trebuchet MS"/>
                <w:b/>
                <w:sz w:val="22"/>
                <w:szCs w:val="22"/>
              </w:rPr>
              <w:t>JHONNY MARCEL DIAZ ORTEGA</w:t>
            </w:r>
            <w:r>
              <w:rPr>
                <w:rFonts w:cs="Arial" w:ascii="Trebuchet MS" w:hAnsi="Trebuchet MS"/>
                <w:sz w:val="22"/>
                <w:szCs w:val="22"/>
              </w:rPr>
              <w:t>, identificado con la cédula de ciudadanía No. 80881952</w:t>
            </w:r>
          </w:p>
          <w:p>
            <w:pPr>
              <w:pStyle w:val="Normal"/>
              <w:widowControl w:val="false"/>
              <w:tabs>
                <w:tab w:val="clear" w:pos="708"/>
                <w:tab w:val="left" w:pos="-720" w:leader="none"/>
              </w:tabs>
              <w:suppressAutoHyphens w:val="true"/>
              <w:spacing w:lineRule="auto" w:line="254"/>
              <w:jc w:val="both"/>
              <w:rPr>
                <w:rFonts w:ascii="Trebuchet MS" w:hAnsi="Trebuchet MS" w:cs="Arial"/>
                <w:sz w:val="22"/>
                <w:szCs w:val="22"/>
              </w:rPr>
            </w:pPr>
            <w:r>
              <w:rPr>
                <w:rFonts w:cs="Arial" w:ascii="Trebuchet MS" w:hAnsi="Trebuchet MS"/>
                <w:sz w:val="22"/>
                <w:szCs w:val="22"/>
              </w:rPr>
            </w:r>
          </w:p>
        </w:tc>
      </w:tr>
      <w:tr>
        <w:trPr>
          <w:trHeight w:val="421" w:hRule="atLeast"/>
        </w:trPr>
        <w:tc>
          <w:tcPr>
            <w:tcW w:w="21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spacing w:lineRule="auto" w:line="254"/>
              <w:jc w:val="both"/>
              <w:rPr>
                <w:rFonts w:ascii="Trebuchet MS" w:hAnsi="Trebuchet MS" w:cs="Arial"/>
                <w:b/>
                <w:b/>
                <w:sz w:val="22"/>
                <w:szCs w:val="22"/>
              </w:rPr>
            </w:pPr>
            <w:r>
              <w:rPr>
                <w:rFonts w:cs="Arial" w:ascii="Trebuchet MS" w:hAnsi="Trebuchet MS"/>
                <w:b/>
                <w:sz w:val="22"/>
                <w:szCs w:val="22"/>
              </w:rPr>
              <w:t>Cargo</w:t>
            </w:r>
          </w:p>
        </w:tc>
        <w:tc>
          <w:tcPr>
            <w:tcW w:w="793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spacing w:lineRule="auto" w:line="254"/>
              <w:jc w:val="both"/>
              <w:rPr>
                <w:rFonts w:ascii="Trebuchet MS" w:hAnsi="Trebuchet MS" w:cs="Arial"/>
                <w:sz w:val="22"/>
                <w:szCs w:val="22"/>
              </w:rPr>
            </w:pPr>
            <w:r>
              <w:rPr>
                <w:rFonts w:cs="Arial" w:ascii="Trebuchet MS" w:hAnsi="Trebuchet MS"/>
                <w:sz w:val="22"/>
                <w:szCs w:val="22"/>
              </w:rPr>
              <w:t xml:space="preserve">Director Nacional de Defensoría Pública </w:t>
            </w:r>
          </w:p>
        </w:tc>
      </w:tr>
    </w:tbl>
    <w:p>
      <w:pPr>
        <w:pStyle w:val="Normal"/>
        <w:rPr>
          <w:rFonts w:ascii="Trebuchet MS" w:hAnsi="Trebuchet MS" w:cs="Arial"/>
          <w:sz w:val="22"/>
          <w:szCs w:val="22"/>
        </w:rPr>
      </w:pPr>
      <w:r>
        <w:rPr>
          <w:rFonts w:cs="Arial" w:ascii="Trebuchet MS" w:hAnsi="Trebuchet MS"/>
          <w:sz w:val="22"/>
          <w:szCs w:val="22"/>
        </w:rPr>
      </w:r>
    </w:p>
    <w:tbl>
      <w:tblPr>
        <w:tblW w:w="10201"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2121"/>
        <w:gridCol w:w="8079"/>
      </w:tblGrid>
      <w:tr>
        <w:trPr>
          <w:trHeight w:val="533" w:hRule="atLeast"/>
        </w:trPr>
        <w:tc>
          <w:tcPr>
            <w:tcW w:w="212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b/>
                <w:b/>
                <w:sz w:val="22"/>
                <w:szCs w:val="22"/>
              </w:rPr>
            </w:pPr>
            <w:r>
              <w:rPr>
                <w:rFonts w:cs="Arial" w:ascii="Trebuchet MS" w:hAnsi="Trebuchet MS"/>
                <w:b/>
                <w:sz w:val="22"/>
                <w:szCs w:val="22"/>
              </w:rPr>
              <w:t>CONTRATISTA</w:t>
            </w:r>
          </w:p>
        </w:tc>
        <w:tc>
          <w:tcPr>
            <w:tcW w:w="807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sz w:val="22"/>
                <w:szCs w:val="22"/>
              </w:rPr>
            </w:pPr>
            <w:r>
              <w:rPr>
                <w:rFonts w:cs="Arial" w:ascii="Trebuchet MS" w:hAnsi="Trebuchet MS"/>
                <w:b/>
                <w:spacing w:val="-3"/>
                <w:sz w:val="22"/>
                <w:szCs w:val="22"/>
              </w:rPr>
              <w:t>CHARRIS MOVILLA PEDRO SEGUNDO</w:t>
            </w:r>
          </w:p>
        </w:tc>
      </w:tr>
      <w:tr>
        <w:trPr>
          <w:trHeight w:val="502" w:hRule="atLeast"/>
        </w:trPr>
        <w:tc>
          <w:tcPr>
            <w:tcW w:w="212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sz w:val="22"/>
                <w:szCs w:val="22"/>
              </w:rPr>
            </w:pPr>
            <w:r>
              <w:rPr>
                <w:rFonts w:cs="Arial" w:ascii="Trebuchet MS" w:hAnsi="Trebuchet MS"/>
                <w:sz w:val="22"/>
                <w:szCs w:val="22"/>
              </w:rPr>
              <w:t xml:space="preserve">Identificación </w:t>
            </w:r>
          </w:p>
        </w:tc>
        <w:tc>
          <w:tcPr>
            <w:tcW w:w="807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sz w:val="22"/>
                <w:szCs w:val="22"/>
              </w:rPr>
            </w:pPr>
            <w:r>
              <w:rPr>
                <w:rFonts w:cs="Arial" w:ascii="Trebuchet MS" w:hAnsi="Trebuchet MS"/>
                <w:sz w:val="22"/>
                <w:szCs w:val="22"/>
              </w:rPr>
              <w:t>C.C. No. 8736105</w:t>
            </w:r>
          </w:p>
        </w:tc>
      </w:tr>
      <w:tr>
        <w:trPr>
          <w:trHeight w:val="533" w:hRule="atLeast"/>
        </w:trPr>
        <w:tc>
          <w:tcPr>
            <w:tcW w:w="212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sz w:val="22"/>
                <w:szCs w:val="22"/>
              </w:rPr>
            </w:pPr>
            <w:r>
              <w:rPr>
                <w:rFonts w:cs="Arial" w:ascii="Trebuchet MS" w:hAnsi="Trebuchet MS"/>
                <w:sz w:val="22"/>
                <w:szCs w:val="22"/>
              </w:rPr>
              <w:t>Tarjeta profesional</w:t>
            </w:r>
          </w:p>
        </w:tc>
        <w:tc>
          <w:tcPr>
            <w:tcW w:w="807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jc w:val="both"/>
              <w:rPr>
                <w:rFonts w:ascii="Trebuchet MS" w:hAnsi="Trebuchet MS" w:cs="Arial"/>
                <w:sz w:val="22"/>
                <w:szCs w:val="22"/>
              </w:rPr>
            </w:pPr>
            <w:r>
              <w:rPr>
                <w:rFonts w:cs="Arial" w:ascii="Trebuchet MS" w:hAnsi="Trebuchet MS"/>
                <w:sz w:val="22"/>
                <w:szCs w:val="22"/>
              </w:rPr>
              <w:t>No. 90215 DEL CONSEJO SUPERIOR DE LA JUDICATURA</w:t>
            </w:r>
          </w:p>
        </w:tc>
      </w:tr>
    </w:tbl>
    <w:p>
      <w:pPr>
        <w:pStyle w:val="Normal"/>
        <w:rPr>
          <w:rFonts w:ascii="Trebuchet MS" w:hAnsi="Trebuchet MS" w:cs="Arial"/>
          <w:sz w:val="22"/>
          <w:szCs w:val="22"/>
          <w:lang w:val="pt-BR"/>
        </w:rPr>
      </w:pPr>
      <w:r>
        <w:rPr>
          <w:rFonts w:cs="Arial" w:ascii="Trebuchet MS" w:hAnsi="Trebuchet MS"/>
          <w:sz w:val="22"/>
          <w:szCs w:val="22"/>
          <w:lang w:val="pt-BR"/>
        </w:rPr>
      </w:r>
    </w:p>
    <w:p>
      <w:pPr>
        <w:pStyle w:val="Normal"/>
        <w:rPr>
          <w:rFonts w:ascii="Trebuchet MS" w:hAnsi="Trebuchet MS" w:cs="Arial"/>
          <w:sz w:val="22"/>
          <w:szCs w:val="22"/>
          <w:lang w:val="pt-BR"/>
        </w:rPr>
      </w:pPr>
      <w:r>
        <w:rPr>
          <w:rFonts w:cs="Arial" w:ascii="Trebuchet MS" w:hAnsi="Trebuchet MS"/>
          <w:sz w:val="22"/>
          <w:szCs w:val="22"/>
          <w:lang w:val="pt-BR"/>
        </w:rPr>
      </w:r>
    </w:p>
    <w:tbl>
      <w:tblPr>
        <w:tblW w:w="5000" w:type="pct"/>
        <w:jc w:val="left"/>
        <w:tblInd w:w="-72" w:type="dxa"/>
        <w:tblLayout w:type="fixed"/>
        <w:tblCellMar>
          <w:top w:w="0" w:type="dxa"/>
          <w:left w:w="70" w:type="dxa"/>
          <w:bottom w:w="0" w:type="dxa"/>
          <w:right w:w="70" w:type="dxa"/>
        </w:tblCellMar>
        <w:tblLook w:firstRow="1" w:noVBand="0" w:lastRow="1" w:firstColumn="1" w:lastColumn="1" w:noHBand="0" w:val="01e0"/>
      </w:tblPr>
      <w:tblGrid>
        <w:gridCol w:w="3408"/>
        <w:gridCol w:w="6677"/>
      </w:tblGrid>
      <w:tr>
        <w:trPr>
          <w:trHeight w:val="357" w:hRule="atLeast"/>
        </w:trPr>
        <w:tc>
          <w:tcPr>
            <w:tcW w:w="340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spacing w:lineRule="auto" w:line="254"/>
              <w:jc w:val="center"/>
              <w:rPr>
                <w:rFonts w:ascii="Trebuchet MS" w:hAnsi="Trebuchet MS" w:cs="Arial"/>
                <w:b/>
                <w:b/>
                <w:sz w:val="22"/>
                <w:szCs w:val="22"/>
              </w:rPr>
            </w:pPr>
            <w:r>
              <w:rPr>
                <w:rFonts w:cs="Arial" w:ascii="Trebuchet MS" w:hAnsi="Trebuchet MS"/>
                <w:b/>
                <w:sz w:val="22"/>
                <w:szCs w:val="22"/>
              </w:rPr>
            </w:r>
          </w:p>
          <w:p>
            <w:pPr>
              <w:pStyle w:val="Normal"/>
              <w:widowControl w:val="false"/>
              <w:tabs>
                <w:tab w:val="clear" w:pos="708"/>
                <w:tab w:val="left" w:pos="-720" w:leader="none"/>
              </w:tabs>
              <w:suppressAutoHyphens w:val="true"/>
              <w:spacing w:lineRule="auto" w:line="254"/>
              <w:jc w:val="center"/>
              <w:rPr>
                <w:rFonts w:ascii="Trebuchet MS" w:hAnsi="Trebuchet MS" w:cs="Arial"/>
                <w:b/>
                <w:b/>
                <w:sz w:val="22"/>
                <w:szCs w:val="22"/>
              </w:rPr>
            </w:pPr>
            <w:r>
              <w:rPr>
                <w:rFonts w:cs="Arial" w:ascii="Trebuchet MS" w:hAnsi="Trebuchet MS"/>
                <w:b/>
                <w:sz w:val="22"/>
                <w:szCs w:val="22"/>
              </w:rPr>
              <w:t>CERTIFICADO DE DISPONIBILIDAD PRESUPUESTAL</w:t>
            </w:r>
          </w:p>
          <w:p>
            <w:pPr>
              <w:pStyle w:val="Normal"/>
              <w:widowControl w:val="false"/>
              <w:tabs>
                <w:tab w:val="clear" w:pos="708"/>
                <w:tab w:val="left" w:pos="-720" w:leader="none"/>
              </w:tabs>
              <w:suppressAutoHyphens w:val="true"/>
              <w:spacing w:lineRule="auto" w:line="254"/>
              <w:jc w:val="center"/>
              <w:rPr>
                <w:rFonts w:ascii="Trebuchet MS" w:hAnsi="Trebuchet MS" w:cs="Arial"/>
                <w:b/>
                <w:b/>
                <w:sz w:val="22"/>
                <w:szCs w:val="22"/>
              </w:rPr>
            </w:pPr>
            <w:r>
              <w:rPr>
                <w:rFonts w:cs="Arial" w:ascii="Trebuchet MS" w:hAnsi="Trebuchet MS"/>
                <w:b/>
                <w:sz w:val="22"/>
                <w:szCs w:val="22"/>
              </w:rPr>
            </w:r>
          </w:p>
        </w:tc>
        <w:tc>
          <w:tcPr>
            <w:tcW w:w="66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spacing w:lineRule="auto" w:line="254"/>
              <w:jc w:val="both"/>
              <w:rPr>
                <w:rFonts w:ascii="Trebuchet MS" w:hAnsi="Trebuchet MS" w:cs="Arial"/>
                <w:sz w:val="22"/>
                <w:szCs w:val="22"/>
              </w:rPr>
            </w:pPr>
            <w:r>
              <w:rPr>
                <w:rFonts w:cs="Arial" w:ascii="Trebuchet MS" w:hAnsi="Trebuchet MS"/>
                <w:sz w:val="22"/>
                <w:szCs w:val="22"/>
              </w:rPr>
            </w:r>
          </w:p>
          <w:p>
            <w:pPr>
              <w:pStyle w:val="Normal"/>
              <w:widowControl w:val="false"/>
              <w:tabs>
                <w:tab w:val="clear" w:pos="708"/>
                <w:tab w:val="left" w:pos="-720" w:leader="none"/>
              </w:tabs>
              <w:suppressAutoHyphens w:val="true"/>
              <w:spacing w:lineRule="auto" w:line="254"/>
              <w:jc w:val="both"/>
              <w:rPr>
                <w:rFonts w:ascii="Trebuchet MS" w:hAnsi="Trebuchet MS" w:cs="Arial"/>
                <w:sz w:val="22"/>
                <w:szCs w:val="22"/>
              </w:rPr>
            </w:pPr>
            <w:r>
              <w:rPr>
                <w:rFonts w:cs="Arial" w:ascii="Trebuchet MS" w:hAnsi="Trebuchet MS"/>
                <w:sz w:val="22"/>
                <w:szCs w:val="22"/>
              </w:rPr>
              <w:t xml:space="preserve">Vigencia 2025 - </w:t>
            </w:r>
            <w:r>
              <w:rPr>
                <w:rFonts w:ascii="Trebuchet MS" w:hAnsi="Trebuchet MS"/>
                <w:sz w:val="22"/>
                <w:szCs w:val="22"/>
              </w:rPr>
              <w:t xml:space="preserve">SIIF No </w:t>
            </w:r>
            <w:r>
              <w:rPr>
                <w:rFonts w:cs="Arial" w:ascii="Trebuchet MS" w:hAnsi="Trebuchet MS"/>
                <w:sz w:val="22"/>
                <w:szCs w:val="22"/>
              </w:rPr>
              <w:t>139325 del 04-07-2025 (</w:t>
            </w:r>
            <w:r>
              <w:rPr>
                <w:rFonts w:ascii="Trebuchet MS" w:hAnsi="Trebuchet MS"/>
                <w:sz w:val="22"/>
                <w:szCs w:val="22"/>
              </w:rPr>
              <w:t>DD/MM/AAAA)</w:t>
            </w:r>
          </w:p>
        </w:tc>
      </w:tr>
      <w:tr>
        <w:trPr>
          <w:trHeight w:val="357" w:hRule="atLeast"/>
        </w:trPr>
        <w:tc>
          <w:tcPr>
            <w:tcW w:w="340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spacing w:lineRule="auto" w:line="254"/>
              <w:jc w:val="center"/>
              <w:rPr>
                <w:rFonts w:ascii="Trebuchet MS" w:hAnsi="Trebuchet MS" w:cs="Arial"/>
                <w:b/>
                <w:b/>
                <w:sz w:val="22"/>
                <w:szCs w:val="22"/>
              </w:rPr>
            </w:pPr>
            <w:r>
              <w:rPr>
                <w:rFonts w:cs="Arial" w:ascii="Trebuchet MS" w:hAnsi="Trebuchet MS"/>
                <w:b/>
                <w:sz w:val="22"/>
                <w:szCs w:val="22"/>
              </w:rPr>
              <w:t>APROBACIÓN VIGENCIAS FUTURAS ORDINARIAS</w:t>
            </w:r>
          </w:p>
        </w:tc>
        <w:tc>
          <w:tcPr>
            <w:tcW w:w="66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20" w:leader="none"/>
              </w:tabs>
              <w:suppressAutoHyphens w:val="true"/>
              <w:spacing w:lineRule="auto" w:line="252"/>
              <w:jc w:val="both"/>
              <w:rPr>
                <w:rFonts w:ascii="Trebuchet MS" w:hAnsi="Trebuchet MS" w:cs="Arial"/>
                <w:sz w:val="22"/>
                <w:szCs w:val="22"/>
              </w:rPr>
            </w:pPr>
            <w:r>
              <w:rPr>
                <w:rFonts w:cs="Arial" w:ascii="Trebuchet MS" w:hAnsi="Trebuchet MS"/>
                <w:sz w:val="22"/>
                <w:szCs w:val="22"/>
              </w:rPr>
              <w:t xml:space="preserve">Enero a Julio 2026 </w:t>
            </w:r>
          </w:p>
          <w:p>
            <w:pPr>
              <w:pStyle w:val="Normal"/>
              <w:widowControl w:val="false"/>
              <w:tabs>
                <w:tab w:val="clear" w:pos="708"/>
                <w:tab w:val="left" w:pos="-720" w:leader="none"/>
              </w:tabs>
              <w:suppressAutoHyphens w:val="true"/>
              <w:spacing w:lineRule="auto" w:line="254"/>
              <w:jc w:val="both"/>
              <w:rPr>
                <w:rFonts w:ascii="Trebuchet MS" w:hAnsi="Trebuchet MS" w:cs="Arial"/>
                <w:sz w:val="22"/>
                <w:szCs w:val="22"/>
              </w:rPr>
            </w:pPr>
            <w:r>
              <w:rPr>
                <w:rFonts w:cs="Arial" w:ascii="Trebuchet MS" w:hAnsi="Trebuchet MS"/>
                <w:sz w:val="22"/>
                <w:szCs w:val="22"/>
              </w:rPr>
              <w:t>Radicado: 2-2025-051431 del 26 de agosto de 2025, emitido por el Ministerio de Hacienda y Crédito Público.</w:t>
            </w:r>
          </w:p>
        </w:tc>
      </w:tr>
    </w:tbl>
    <w:p>
      <w:pPr>
        <w:pStyle w:val="Ttulo2"/>
        <w:jc w:val="both"/>
        <w:rPr>
          <w:rFonts w:ascii="Trebuchet MS" w:hAnsi="Trebuchet MS"/>
          <w:bCs w:val="false"/>
          <w:spacing w:val="0"/>
          <w:szCs w:val="22"/>
          <w:u w:val="none"/>
        </w:rPr>
      </w:pPr>
      <w:r>
        <w:rPr>
          <w:rFonts w:ascii="Trebuchet MS" w:hAnsi="Trebuchet MS"/>
          <w:bCs w:val="false"/>
          <w:spacing w:val="0"/>
          <w:szCs w:val="22"/>
          <w:u w:val="none"/>
        </w:rPr>
      </w:r>
    </w:p>
    <w:p>
      <w:pPr>
        <w:pStyle w:val="Ttulo2"/>
        <w:jc w:val="both"/>
        <w:rPr>
          <w:rFonts w:ascii="Trebuchet MS" w:hAnsi="Trebuchet MS"/>
          <w:bCs w:val="false"/>
          <w:spacing w:val="0"/>
          <w:szCs w:val="22"/>
          <w:u w:val="none"/>
        </w:rPr>
      </w:pPr>
      <w:r>
        <w:rPr>
          <w:rFonts w:ascii="Trebuchet MS" w:hAnsi="Trebuchet MS"/>
          <w:bCs w:val="false"/>
          <w:spacing w:val="0"/>
          <w:szCs w:val="22"/>
          <w:u w:val="none"/>
        </w:rPr>
        <w:t xml:space="preserve">Entre los suscritos a saber, por una parte </w:t>
      </w:r>
      <w:r>
        <w:rPr>
          <w:rFonts w:ascii="Trebuchet MS" w:hAnsi="Trebuchet MS"/>
          <w:b/>
          <w:bCs w:val="false"/>
          <w:spacing w:val="0"/>
          <w:szCs w:val="22"/>
          <w:u w:val="none"/>
        </w:rPr>
        <w:t>LA DEFENSORÍA DEL PUEBLO</w:t>
      </w:r>
      <w:r>
        <w:rPr>
          <w:rFonts w:ascii="Trebuchet MS" w:hAnsi="Trebuchet MS"/>
          <w:bCs w:val="false"/>
          <w:spacing w:val="0"/>
          <w:szCs w:val="22"/>
          <w:u w:val="none"/>
        </w:rPr>
        <w:t xml:space="preserve">, representada por el señor Director Nacional de Defensoría Pública, doctor JHONNY MARCEL DIAZ ORTEGA, Director nacional de Defensoría Pública, nombrado mediante resolución No 3705 del 12 de septiembre de 2024, delegado para la ordenación del gasto mediante la Resolución No. 0820 DE 2025, quien en adelante se llamará la DEFENSORÍA; y el señor </w:t>
      </w:r>
      <w:r>
        <w:rPr>
          <w:rFonts w:ascii="Trebuchet MS" w:hAnsi="Trebuchet MS"/>
          <w:b/>
          <w:szCs w:val="22"/>
        </w:rPr>
        <w:t>CHARRIS MOVILLA PEDRO SEGUNDO</w:t>
      </w:r>
      <w:r>
        <w:rPr>
          <w:rFonts w:ascii="Trebuchet MS" w:hAnsi="Trebuchet MS"/>
          <w:szCs w:val="22"/>
        </w:rPr>
        <w:t xml:space="preserve"> </w:t>
      </w:r>
      <w:r>
        <w:rPr>
          <w:rFonts w:ascii="Trebuchet MS" w:hAnsi="Trebuchet MS"/>
          <w:bCs w:val="false"/>
          <w:spacing w:val="0"/>
          <w:szCs w:val="22"/>
          <w:u w:val="none"/>
        </w:rPr>
        <w:t xml:space="preserve">identificado con cédula de ciudadanía No </w:t>
      </w:r>
      <w:r>
        <w:rPr>
          <w:rFonts w:ascii="Trebuchet MS" w:hAnsi="Trebuchet MS"/>
          <w:szCs w:val="22"/>
        </w:rPr>
        <w:t>8736105</w:t>
      </w:r>
      <w:r>
        <w:rPr>
          <w:rFonts w:ascii="Trebuchet MS" w:hAnsi="Trebuchet MS"/>
          <w:bCs w:val="false"/>
          <w:spacing w:val="0"/>
          <w:szCs w:val="22"/>
          <w:u w:val="none"/>
        </w:rPr>
        <w:t xml:space="preserve">, quien para todos los efectos se denominará el CONTRATISTA, decidimos celebrar el presente contrato de prestación de servicios profesionales, previas las siguientes:  </w:t>
      </w:r>
    </w:p>
    <w:p>
      <w:pPr>
        <w:pStyle w:val="Normal"/>
        <w:ind w:left="708" w:hanging="708"/>
        <w:rPr>
          <w:rFonts w:ascii="Trebuchet MS" w:hAnsi="Trebuchet MS"/>
          <w:sz w:val="22"/>
          <w:szCs w:val="22"/>
        </w:rPr>
      </w:pPr>
      <w:r>
        <w:rPr>
          <w:rFonts w:ascii="Trebuchet MS" w:hAnsi="Trebuchet MS"/>
          <w:sz w:val="22"/>
          <w:szCs w:val="22"/>
        </w:rPr>
      </w:r>
    </w:p>
    <w:p>
      <w:pPr>
        <w:pStyle w:val="Ttulo4"/>
        <w:numPr>
          <w:ilvl w:val="0"/>
          <w:numId w:val="2"/>
        </w:numPr>
        <w:rPr>
          <w:rFonts w:ascii="Trebuchet MS" w:hAnsi="Trebuchet MS"/>
          <w:sz w:val="22"/>
          <w:szCs w:val="22"/>
        </w:rPr>
      </w:pPr>
      <w:r>
        <w:rPr>
          <w:rFonts w:ascii="Trebuchet MS" w:hAnsi="Trebuchet MS"/>
          <w:sz w:val="22"/>
          <w:szCs w:val="22"/>
        </w:rPr>
        <w:t>CONSIDERACIONES</w:t>
      </w:r>
    </w:p>
    <w:p>
      <w:pPr>
        <w:pStyle w:val="Normal"/>
        <w:tabs>
          <w:tab w:val="clear" w:pos="708"/>
          <w:tab w:val="left" w:pos="-720" w:leader="none"/>
        </w:tabs>
        <w:suppressAutoHyphens w:val="true"/>
        <w:ind w:left="360" w:hanging="0"/>
        <w:jc w:val="center"/>
        <w:rPr>
          <w:rFonts w:ascii="Trebuchet MS" w:hAnsi="Trebuchet MS" w:cs="Arial"/>
          <w:b/>
          <w:b/>
          <w:sz w:val="22"/>
          <w:szCs w:val="22"/>
        </w:rPr>
      </w:pPr>
      <w:r>
        <w:rPr>
          <w:rFonts w:cs="Arial" w:ascii="Trebuchet MS" w:hAnsi="Trebuchet MS"/>
          <w:b/>
          <w:sz w:val="22"/>
          <w:szCs w:val="22"/>
        </w:rPr>
      </w:r>
    </w:p>
    <w:p>
      <w:pPr>
        <w:pStyle w:val="Normal"/>
        <w:tabs>
          <w:tab w:val="clear" w:pos="708"/>
          <w:tab w:val="left" w:pos="-720" w:leader="none"/>
          <w:tab w:val="left" w:pos="0" w:leader="none"/>
        </w:tabs>
        <w:suppressAutoHyphens w:val="true"/>
        <w:jc w:val="both"/>
        <w:rPr>
          <w:rFonts w:ascii="Trebuchet MS" w:hAnsi="Trebuchet MS" w:cs="Arial"/>
          <w:sz w:val="22"/>
          <w:szCs w:val="22"/>
        </w:rPr>
      </w:pPr>
      <w:r>
        <w:rPr>
          <w:rFonts w:cs="Arial" w:ascii="Trebuchet MS" w:hAnsi="Trebuchet MS"/>
          <w:b/>
          <w:sz w:val="22"/>
          <w:szCs w:val="22"/>
        </w:rPr>
        <w:t>1.</w:t>
      </w:r>
      <w:r>
        <w:rPr>
          <w:rFonts w:cs="Arial" w:ascii="Trebuchet MS" w:hAnsi="Trebuchet MS"/>
          <w:sz w:val="22"/>
          <w:szCs w:val="22"/>
        </w:rPr>
        <w:t xml:space="preserve"> Que, por mandato del numeral 4° del artículo 282 de la Constitución Política Colombiana, corresponde al Defensor del Pueblo “Organizar y dirigir la defensoría pública en los términos que señale la ley”. </w:t>
      </w:r>
      <w:r>
        <w:rPr>
          <w:rFonts w:cs="Arial" w:ascii="Trebuchet MS" w:hAnsi="Trebuchet MS"/>
          <w:b/>
          <w:sz w:val="22"/>
          <w:szCs w:val="22"/>
        </w:rPr>
        <w:t xml:space="preserve">2. </w:t>
      </w:r>
      <w:r>
        <w:rPr>
          <w:rFonts w:cs="Arial" w:ascii="Trebuchet MS" w:hAnsi="Trebuchet MS"/>
          <w:sz w:val="22"/>
          <w:szCs w:val="22"/>
        </w:rPr>
        <w:t xml:space="preserve">Que el artículo 21 de la ley 24 de 1992, por la cual se establecen la organización y funcionamiento de la Defensoría del Pueblo y se dictan otras disposiciones dispuso que </w:t>
      </w:r>
      <w:r>
        <w:rPr>
          <w:rFonts w:cs="Arial" w:ascii="Trebuchet MS" w:hAnsi="Trebuchet MS"/>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Pr>
          <w:rFonts w:cs="Arial" w:ascii="Trebuchet MS" w:hAnsi="Trebuchet MS"/>
          <w:b/>
          <w:sz w:val="22"/>
          <w:szCs w:val="22"/>
        </w:rPr>
        <w:t xml:space="preserve">3. </w:t>
      </w:r>
      <w:r>
        <w:rPr>
          <w:rFonts w:cs="Arial" w:ascii="Trebuchet MS" w:hAnsi="Trebuchet MS"/>
          <w:sz w:val="22"/>
          <w:szCs w:val="22"/>
        </w:rPr>
        <w:t xml:space="preserve">Que el artículo 22 de la ley 24 de 1992 establece que la defensoría pública debe prestarse, entre otros, por los abogados titulados e inscritos que hayan sido contratados como Defensores Públicos. </w:t>
      </w:r>
      <w:r>
        <w:rPr>
          <w:rFonts w:cs="Arial" w:ascii="Trebuchet MS" w:hAnsi="Trebuchet MS"/>
          <w:b/>
          <w:sz w:val="22"/>
          <w:szCs w:val="22"/>
        </w:rPr>
        <w:t xml:space="preserve">4. </w:t>
      </w:r>
      <w:r>
        <w:rPr>
          <w:rFonts w:cs="Arial" w:ascii="Trebuchet MS" w:hAnsi="Trebuchet MS"/>
          <w:sz w:val="22"/>
          <w:szCs w:val="22"/>
        </w:rPr>
        <w:t xml:space="preserve">Que la ley 941 de 2005, </w:t>
      </w:r>
      <w:r>
        <w:rPr>
          <w:rFonts w:cs="Arial" w:ascii="Trebuchet MS" w:hAnsi="Trebuchet MS"/>
          <w:i/>
          <w:sz w:val="22"/>
          <w:szCs w:val="22"/>
        </w:rPr>
        <w:t>“Por la cual se organiza el Sistema Nacional de Defensoría Pública”</w:t>
      </w:r>
      <w:r>
        <w:rPr>
          <w:rFonts w:cs="Arial" w:ascii="Trebuchet MS" w:hAnsi="Trebuchet MS"/>
          <w:sz w:val="22"/>
          <w:szCs w:val="22"/>
        </w:rPr>
        <w:t xml:space="preserve">, se fundamenta sobre los postulados inherentes a los principios de igualdad, derecho de defensa, oportunidad, gratuidad, calidad, responsabilidad, transparencia y selección objetiva. </w:t>
      </w:r>
      <w:r>
        <w:rPr>
          <w:rFonts w:cs="Arial" w:ascii="Trebuchet MS" w:hAnsi="Trebuchet MS"/>
          <w:b/>
          <w:sz w:val="22"/>
          <w:szCs w:val="22"/>
        </w:rPr>
        <w:t xml:space="preserve">5. </w:t>
      </w:r>
      <w:r>
        <w:rPr>
          <w:rFonts w:cs="Arial" w:ascii="Trebuchet MS" w:hAnsi="Trebuchet MS"/>
          <w:sz w:val="22"/>
          <w:szCs w:val="22"/>
        </w:rPr>
        <w:t xml:space="preserve">Que el artículo primero de la </w:t>
      </w:r>
      <w:r>
        <w:rPr>
          <w:rFonts w:ascii="Trebuchet MS" w:hAnsi="Trebuchet MS"/>
          <w:sz w:val="22"/>
          <w:szCs w:val="22"/>
        </w:rPr>
        <w:t xml:space="preserve">precitada ley establece que la finalidad del Sistema Nacional de Defensoría Pública consiste en </w:t>
      </w:r>
      <w:r>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Pr>
          <w:rFonts w:ascii="Trebuchet MS" w:hAnsi="Trebuchet MS"/>
          <w:sz w:val="22"/>
          <w:szCs w:val="22"/>
        </w:rPr>
        <w:t xml:space="preserve">. </w:t>
      </w:r>
      <w:r>
        <w:rPr>
          <w:rFonts w:ascii="Trebuchet MS" w:hAnsi="Trebuchet MS"/>
          <w:b/>
          <w:sz w:val="22"/>
          <w:szCs w:val="22"/>
        </w:rPr>
        <w:t>6.</w:t>
      </w:r>
      <w:r>
        <w:rPr>
          <w:rFonts w:ascii="Trebuchet MS" w:hAnsi="Trebuchet MS"/>
          <w:sz w:val="22"/>
          <w:szCs w:val="22"/>
        </w:rPr>
        <w:t xml:space="preserve">Que el artículo 13 de dicha normativa, señala que el Defensor del Pueblo </w:t>
      </w:r>
      <w:r>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Pr>
          <w:rFonts w:ascii="Trebuchet MS" w:hAnsi="Trebuchet MS"/>
          <w:b/>
          <w:sz w:val="22"/>
          <w:szCs w:val="22"/>
        </w:rPr>
        <w:t>7.</w:t>
      </w:r>
      <w:r>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Pr>
          <w:rFonts w:ascii="Trebuchet MS" w:hAnsi="Trebuchet MS"/>
          <w:b/>
          <w:sz w:val="22"/>
          <w:szCs w:val="22"/>
        </w:rPr>
        <w:t xml:space="preserve">8. </w:t>
      </w:r>
      <w:r>
        <w:rPr>
          <w:rFonts w:ascii="Trebuchet MS" w:hAnsi="Trebuchet MS"/>
          <w:sz w:val="22"/>
          <w:szCs w:val="22"/>
        </w:rPr>
        <w:t xml:space="preserve">Que el artículo 26 de la ley ejusdem define a los defensores públicos, </w:t>
      </w:r>
      <w:r>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Pr>
          <w:rFonts w:ascii="Trebuchet MS" w:hAnsi="Trebuchet MS"/>
          <w:b/>
          <w:sz w:val="22"/>
          <w:szCs w:val="22"/>
        </w:rPr>
        <w:t>9.</w:t>
      </w:r>
      <w:r>
        <w:rPr>
          <w:rFonts w:cs="Arial" w:ascii="Trebuchet MS" w:hAnsi="Trebuchet MS"/>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Pr>
          <w:rFonts w:cs="Arial" w:ascii="Trebuchet MS" w:hAnsi="Trebuchet MS"/>
          <w:b/>
          <w:sz w:val="22"/>
          <w:szCs w:val="22"/>
        </w:rPr>
        <w:t xml:space="preserve">10. </w:t>
      </w:r>
      <w:r>
        <w:rPr>
          <w:rFonts w:ascii="Trebuchet MS" w:hAnsi="Trebuchet MS"/>
          <w:sz w:val="22"/>
          <w:szCs w:val="22"/>
        </w:rPr>
        <w:t xml:space="preserve">Que el artículo 5° del Decreto Ley 025 del año 2014 </w:t>
      </w:r>
      <w:r>
        <w:rPr>
          <w:rFonts w:ascii="Trebuchet MS" w:hAnsi="Trebuchet MS"/>
          <w:i/>
          <w:sz w:val="22"/>
          <w:szCs w:val="22"/>
        </w:rPr>
        <w:t>por el cual se modifica la estructura orgánica y se establece la organización y funcionamiento de la Defensoría del Pueblo</w:t>
      </w:r>
      <w:r>
        <w:rPr>
          <w:rFonts w:ascii="Trebuchet MS" w:hAnsi="Trebuchet MS"/>
          <w:sz w:val="22"/>
          <w:szCs w:val="22"/>
        </w:rPr>
        <w:t xml:space="preserve">, establece que son funciones del Defensor del Pueblo, entre otras, </w:t>
      </w:r>
      <w:r>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Pr>
          <w:rFonts w:ascii="Trebuchet MS" w:hAnsi="Trebuchet MS"/>
          <w:b/>
          <w:sz w:val="22"/>
          <w:szCs w:val="22"/>
        </w:rPr>
        <w:t>11</w:t>
      </w:r>
      <w:r>
        <w:rPr>
          <w:rFonts w:cs="Arial" w:ascii="Trebuchet MS" w:hAnsi="Trebuchet MS"/>
          <w:b/>
          <w:sz w:val="22"/>
          <w:szCs w:val="22"/>
        </w:rPr>
        <w:t xml:space="preserve">. </w:t>
      </w:r>
      <w:r>
        <w:rPr>
          <w:rFonts w:cs="Arial" w:ascii="Trebuchet MS" w:hAnsi="Trebuchet MS"/>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0988 de 2025. </w:t>
      </w:r>
      <w:r>
        <w:rPr>
          <w:rFonts w:cs="Arial" w:ascii="Trebuchet MS" w:hAnsi="Trebuchet MS"/>
          <w:b/>
          <w:sz w:val="22"/>
          <w:szCs w:val="22"/>
        </w:rPr>
        <w:t xml:space="preserve">12. </w:t>
      </w:r>
      <w:r>
        <w:rPr>
          <w:rFonts w:cs="Arial" w:ascii="Trebuchet MS" w:hAnsi="Trebuchet MS"/>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cs="Arial" w:ascii="Trebuchet MS" w:hAnsi="Trebuchet MS"/>
          <w:b/>
          <w:sz w:val="22"/>
          <w:szCs w:val="22"/>
        </w:rPr>
        <w:t xml:space="preserve">13. </w:t>
      </w:r>
      <w:r>
        <w:rPr>
          <w:rFonts w:cs="Arial" w:ascii="Trebuchet MS" w:hAnsi="Trebuchet MS"/>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Pr>
          <w:rFonts w:cs="Arial" w:ascii="Trebuchet MS" w:hAnsi="Trebuchet MS"/>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Pr>
          <w:rFonts w:cs="Arial" w:ascii="Trebuchet MS" w:hAnsi="Trebuchet MS"/>
          <w:b/>
          <w:sz w:val="22"/>
          <w:szCs w:val="22"/>
        </w:rPr>
        <w:t xml:space="preserve">14. </w:t>
      </w:r>
      <w:r>
        <w:rPr>
          <w:rFonts w:cs="Arial" w:ascii="Trebuchet MS" w:hAnsi="Trebuchet MS"/>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Pr>
          <w:rFonts w:cs="Arial" w:ascii="Trebuchet MS" w:hAnsi="Trebuchet MS"/>
          <w:b/>
          <w:bCs/>
          <w:sz w:val="22"/>
          <w:szCs w:val="22"/>
        </w:rPr>
        <w:t>15.</w:t>
      </w:r>
      <w:r>
        <w:rPr>
          <w:rFonts w:cs="Arial" w:ascii="Trebuchet MS" w:hAnsi="Trebuchet MS"/>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Pr>
          <w:rFonts w:cs="Arial" w:ascii="Trebuchet MS" w:hAnsi="Trebuchet MS"/>
          <w:b/>
          <w:sz w:val="22"/>
          <w:szCs w:val="22"/>
        </w:rPr>
        <w:t>16.</w:t>
      </w:r>
      <w:r>
        <w:rPr>
          <w:rFonts w:cs="Arial" w:ascii="Trebuchet MS" w:hAnsi="Trebuchet MS"/>
          <w:sz w:val="22"/>
          <w:szCs w:val="22"/>
        </w:rPr>
        <w:t xml:space="preserve"> Que la presente contratación se encuentra planeada en el Plan Anual de Adquisiciones de la Vigencia 2025. </w:t>
      </w:r>
      <w:r>
        <w:rPr>
          <w:rFonts w:cs="Arial" w:ascii="Trebuchet MS" w:hAnsi="Trebuchet MS"/>
          <w:b/>
          <w:sz w:val="22"/>
          <w:szCs w:val="22"/>
        </w:rPr>
        <w:t>17.</w:t>
      </w:r>
      <w:r>
        <w:rPr>
          <w:rFonts w:cs="Arial" w:ascii="Trebuchet MS" w:hAnsi="Trebuchet MS"/>
          <w:sz w:val="22"/>
          <w:szCs w:val="22"/>
        </w:rPr>
        <w:t xml:space="preserve"> Que, en virtud de lo expuesto, el presente contrato se regirá por las siguientes:</w:t>
      </w:r>
    </w:p>
    <w:p>
      <w:pPr>
        <w:pStyle w:val="Normal"/>
        <w:tabs>
          <w:tab w:val="clear" w:pos="708"/>
          <w:tab w:val="left" w:pos="-720" w:leader="none"/>
          <w:tab w:val="left" w:pos="0" w:leader="none"/>
        </w:tabs>
        <w:suppressAutoHyphens w:val="true"/>
        <w:jc w:val="both"/>
        <w:rPr>
          <w:rFonts w:ascii="Trebuchet MS" w:hAnsi="Trebuchet MS" w:cs="Arial"/>
          <w:sz w:val="22"/>
          <w:szCs w:val="22"/>
        </w:rPr>
      </w:pPr>
      <w:r>
        <w:rPr>
          <w:rFonts w:cs="Arial" w:ascii="Trebuchet MS" w:hAnsi="Trebuchet MS"/>
          <w:sz w:val="22"/>
          <w:szCs w:val="22"/>
        </w:rPr>
      </w:r>
    </w:p>
    <w:p>
      <w:pPr>
        <w:pStyle w:val="Ttulo2"/>
        <w:rPr>
          <w:rFonts w:ascii="Trebuchet MS" w:hAnsi="Trebuchet MS"/>
          <w:b/>
          <w:b/>
          <w:bCs w:val="false"/>
          <w:szCs w:val="22"/>
          <w:u w:val="none"/>
        </w:rPr>
      </w:pPr>
      <w:r>
        <w:rPr>
          <w:rFonts w:ascii="Trebuchet MS" w:hAnsi="Trebuchet MS"/>
          <w:b/>
          <w:bCs w:val="false"/>
          <w:szCs w:val="22"/>
          <w:u w:val="none"/>
        </w:rPr>
        <w:t>II. CLÁUSULAS CONTRACTUALES</w:t>
      </w:r>
    </w:p>
    <w:p>
      <w:pPr>
        <w:pStyle w:val="Normal"/>
        <w:tabs>
          <w:tab w:val="clear" w:pos="708"/>
          <w:tab w:val="left" w:pos="-720" w:leader="none"/>
        </w:tabs>
        <w:suppressAutoHyphens w:val="true"/>
        <w:jc w:val="both"/>
        <w:rPr>
          <w:rFonts w:ascii="Trebuchet MS" w:hAnsi="Trebuchet MS" w:cs="Arial"/>
          <w:b/>
          <w:b/>
          <w:sz w:val="22"/>
          <w:szCs w:val="22"/>
          <w:u w:val="single"/>
        </w:rPr>
      </w:pPr>
      <w:r>
        <w:rPr>
          <w:rFonts w:cs="Arial" w:ascii="Trebuchet MS" w:hAnsi="Trebuchet MS"/>
          <w:b/>
          <w:sz w:val="22"/>
          <w:szCs w:val="22"/>
          <w:u w:val="single"/>
        </w:rPr>
      </w:r>
    </w:p>
    <w:p>
      <w:pPr>
        <w:pStyle w:val="NormalWeb"/>
        <w:shd w:val="clear" w:color="auto" w:fill="FFFFFF"/>
        <w:tabs>
          <w:tab w:val="clear" w:pos="708"/>
          <w:tab w:val="left" w:pos="142" w:leader="none"/>
        </w:tabs>
        <w:jc w:val="both"/>
        <w:rPr>
          <w:rFonts w:ascii="Trebuchet MS" w:hAnsi="Trebuchet MS" w:cs="Arial"/>
          <w:b/>
          <w:b/>
          <w:sz w:val="22"/>
          <w:szCs w:val="22"/>
          <w:u w:val="single"/>
        </w:rPr>
      </w:pPr>
      <w:r>
        <w:rPr>
          <w:rFonts w:cs="Arial" w:ascii="Trebuchet MS" w:hAnsi="Trebuchet MS"/>
          <w:b/>
          <w:sz w:val="22"/>
          <w:szCs w:val="22"/>
          <w:u w:val="single"/>
        </w:rPr>
        <w:t>CLÁUSULA PRIMERA. - OBJETO</w:t>
      </w:r>
      <w:r>
        <w:rPr>
          <w:rFonts w:cs="Arial" w:ascii="Trebuchet MS" w:hAnsi="Trebuchet MS"/>
          <w:b/>
          <w:sz w:val="22"/>
          <w:szCs w:val="22"/>
        </w:rPr>
        <w:t>:</w:t>
      </w:r>
      <w:r>
        <w:rPr>
          <w:rFonts w:cs="Arial" w:ascii="Trebuchet MS" w:hAnsi="Trebuchet MS"/>
          <w:sz w:val="22"/>
          <w:szCs w:val="22"/>
        </w:rPr>
        <w:t xml:space="preserve"> </w:t>
      </w:r>
      <w:r>
        <w:rPr>
          <w:rFonts w:cs="Arial" w:ascii="Trebuchet MS" w:hAnsi="Trebuchet MS"/>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Pr>
          <w:rFonts w:cs="Arial" w:ascii="Trebuchet MS" w:hAnsi="Trebuchet MS"/>
          <w:sz w:val="22"/>
          <w:szCs w:val="22"/>
        </w:rPr>
        <w:t xml:space="preserve">. </w:t>
      </w:r>
      <w:r>
        <w:rPr>
          <w:rFonts w:cs="Arial" w:ascii="Trebuchet MS" w:hAnsi="Trebuchet MS"/>
          <w:b/>
          <w:sz w:val="22"/>
          <w:szCs w:val="22"/>
          <w:u w:val="single"/>
        </w:rPr>
        <w:t>CLÁUSULA SEGUNDA.- PROGRAMA:</w:t>
      </w:r>
      <w:r>
        <w:rPr>
          <w:rFonts w:cs="Arial" w:ascii="Trebuchet MS" w:hAnsi="Trebuchet MS"/>
          <w:sz w:val="22"/>
          <w:szCs w:val="22"/>
        </w:rPr>
        <w:t xml:space="preserve"> El CONTRATISTA se obliga a prestar sus servicios profesionales, en el programa PENAL GENERAL. </w:t>
      </w:r>
      <w:r>
        <w:rPr>
          <w:rFonts w:cs="Arial" w:ascii="Trebuchet MS" w:hAnsi="Trebuchet MS"/>
          <w:b/>
          <w:sz w:val="22"/>
          <w:szCs w:val="22"/>
          <w:u w:val="single"/>
        </w:rPr>
        <w:t xml:space="preserve">CLAUSULA TERCERA: CATEGORÍA.- </w:t>
      </w:r>
      <w:r>
        <w:rPr>
          <w:rFonts w:cs="Arial" w:ascii="Trebuchet MS" w:hAnsi="Trebuchet MS"/>
          <w:sz w:val="22"/>
          <w:szCs w:val="22"/>
        </w:rPr>
        <w:t>De acuerdo con la resolución No 0645 de 2025 y la resolución No 0988 de 2025</w:t>
      </w:r>
      <w:r>
        <w:rPr>
          <w:rFonts w:cs="Arial" w:ascii="Trebuchet MS" w:hAnsi="Trebuchet MS"/>
          <w:bCs/>
          <w:szCs w:val="22"/>
        </w:rPr>
        <w:t xml:space="preserve">, </w:t>
      </w:r>
      <w:r>
        <w:rPr>
          <w:rFonts w:cs="Arial" w:ascii="Trebuchet MS" w:hAnsi="Trebuchet MS"/>
          <w:sz w:val="22"/>
          <w:szCs w:val="22"/>
        </w:rPr>
        <w:t xml:space="preserve">El CONTRATISTA, cumplirá con sus obligaciones contractuales como DEFENSORES PÚBLICOS ANTE LOS JUECES MUNICIPALES. 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Pr>
          <w:rFonts w:cs="Arial" w:ascii="Trebuchet MS" w:hAnsi="Trebuchet MS"/>
          <w:b/>
          <w:sz w:val="22"/>
          <w:szCs w:val="22"/>
          <w:u w:val="single"/>
        </w:rPr>
        <w:t>CLÁUSULA CUARTA.- LUGAR DE EJECUCIÓN</w:t>
      </w:r>
      <w:r>
        <w:rPr>
          <w:rFonts w:cs="Arial" w:ascii="Trebuchet MS" w:hAnsi="Trebuchet MS"/>
          <w:b/>
          <w:sz w:val="22"/>
          <w:szCs w:val="22"/>
        </w:rPr>
        <w:t>:</w:t>
      </w:r>
      <w:r>
        <w:rPr>
          <w:rFonts w:cs="Arial" w:ascii="Trebuchet MS" w:hAnsi="Trebuchet MS"/>
          <w:sz w:val="22"/>
          <w:szCs w:val="22"/>
        </w:rPr>
        <w:t xml:space="preserve"> El CONTRATISTA se obliga a prestar sus servicios profesionales</w:t>
      </w:r>
      <w:r>
        <w:rPr>
          <w:rFonts w:cs="Arial" w:ascii="Trebuchet MS" w:hAnsi="Trebuchet MS"/>
          <w:b/>
          <w:sz w:val="22"/>
          <w:szCs w:val="22"/>
        </w:rPr>
        <w:t xml:space="preserve"> </w:t>
      </w:r>
      <w:r>
        <w:rPr>
          <w:rFonts w:cs="Arial" w:ascii="Trebuchet MS" w:hAnsi="Trebuchet MS"/>
          <w:sz w:val="22"/>
          <w:szCs w:val="22"/>
        </w:rPr>
        <w:t xml:space="preserve">en el </w:t>
      </w:r>
      <w:r>
        <w:rPr>
          <w:rFonts w:cs="Arial" w:ascii="Trebuchet MS" w:hAnsi="Trebuchet MS"/>
          <w:b/>
          <w:bCs/>
          <w:sz w:val="22"/>
          <w:szCs w:val="22"/>
        </w:rPr>
        <w:t>CIRCUITO JUDICIAL SANTA MARTA</w:t>
      </w:r>
      <w:r>
        <w:rPr>
          <w:rFonts w:cs="Arial" w:ascii="Trebuchet MS" w:hAnsi="Trebuchet MS"/>
          <w:sz w:val="22"/>
          <w:szCs w:val="22"/>
        </w:rPr>
        <w:t xml:space="preserve"> de la  DEFENSORÍA DEL PUEBLO REGIONAL MAGDALENA,</w:t>
      </w:r>
      <w:r>
        <w:rPr>
          <w:rFonts w:cs="Arial" w:ascii="Trebuchet MS" w:hAnsi="Trebuchet MS"/>
          <w:spacing w:val="-3"/>
          <w:sz w:val="22"/>
          <w:szCs w:val="22"/>
        </w:rPr>
        <w:t xml:space="preserve"> s</w:t>
      </w:r>
      <w:r>
        <w:rPr>
          <w:rFonts w:cs="Arial" w:ascii="Trebuchet MS" w:hAnsi="Trebuchet MS"/>
          <w:sz w:val="22"/>
          <w:szCs w:val="22"/>
        </w:rPr>
        <w:t xml:space="preserve">in perjuicio que por necesidades del servicio, excepcionalmente, deba cumplir con sus obligaciones contractuales en otro circuito de la misma u otra regional sin que ello implique la modificación del contrato. </w:t>
      </w:r>
      <w:r>
        <w:rPr>
          <w:rFonts w:cs="Arial" w:ascii="Trebuchet MS" w:hAnsi="Trebuchet MS"/>
          <w:b/>
          <w:bCs/>
          <w:sz w:val="22"/>
          <w:szCs w:val="22"/>
          <w:u w:val="single"/>
        </w:rPr>
        <w:t>PARÁGRAFO</w:t>
      </w:r>
      <w:r>
        <w:rPr>
          <w:rFonts w:cs="Arial" w:ascii="Trebuchet MS" w:hAnsi="Trebuchet MS"/>
          <w:sz w:val="22"/>
          <w:szCs w:val="22"/>
          <w:u w:val="single"/>
        </w:rPr>
        <w:t>:</w:t>
      </w:r>
      <w:r>
        <w:rPr>
          <w:rFonts w:cs="Arial" w:ascii="Trebuchet MS" w:hAnsi="Trebuchet MS"/>
          <w:sz w:val="22"/>
          <w:szCs w:val="22"/>
        </w:rPr>
        <w:t xml:space="preserve"> Para todos los efectos legales del presente contrato, El CONTRATISTA declara que tiene su domicilio en el </w:t>
      </w:r>
      <w:r>
        <w:rPr>
          <w:rFonts w:cs="Arial" w:ascii="Trebuchet MS" w:hAnsi="Trebuchet MS"/>
          <w:b/>
          <w:spacing w:val="-3"/>
          <w:sz w:val="22"/>
          <w:szCs w:val="22"/>
        </w:rPr>
        <w:t>CIRCUITO JUDICIAL</w:t>
      </w:r>
      <w:r>
        <w:rPr>
          <w:rFonts w:cs="Arial" w:ascii="Trebuchet MS" w:hAnsi="Trebuchet MS"/>
          <w:spacing w:val="-3"/>
          <w:sz w:val="22"/>
          <w:szCs w:val="22"/>
        </w:rPr>
        <w:t xml:space="preserve"> del lugar de ejecución del presente contrato</w:t>
      </w:r>
      <w:r>
        <w:rPr>
          <w:rFonts w:cs="Arial" w:ascii="Trebuchet MS" w:hAnsi="Trebuchet MS"/>
          <w:b/>
          <w:spacing w:val="-3"/>
          <w:sz w:val="22"/>
          <w:szCs w:val="22"/>
        </w:rPr>
        <w:t>.</w:t>
      </w:r>
      <w:r>
        <w:rPr>
          <w:rFonts w:cs="Arial" w:ascii="Trebuchet MS" w:hAnsi="Trebuchet MS"/>
          <w:b/>
          <w:bCs/>
          <w:sz w:val="22"/>
          <w:szCs w:val="22"/>
          <w:u w:val="single"/>
        </w:rPr>
        <w:t xml:space="preserve"> </w:t>
      </w:r>
      <w:r>
        <w:rPr>
          <w:rFonts w:cs="Arial" w:ascii="Trebuchet MS" w:hAnsi="Trebuchet MS"/>
          <w:b/>
          <w:sz w:val="22"/>
          <w:szCs w:val="22"/>
          <w:u w:val="single"/>
        </w:rPr>
        <w:t>CLÁUSULA QUINTA.- PLAZO DE EJECUCIÓN Y VIGENCIA DEL CONTRATO</w:t>
      </w:r>
      <w:r>
        <w:rPr>
          <w:rFonts w:cs="Arial" w:ascii="Trebuchet MS" w:hAnsi="Trebuchet MS"/>
          <w:b/>
          <w:sz w:val="22"/>
          <w:szCs w:val="22"/>
        </w:rPr>
        <w:t>:</w:t>
      </w:r>
      <w:r>
        <w:rPr>
          <w:rFonts w:cs="Arial" w:ascii="Trebuchet MS" w:hAnsi="Trebuchet MS"/>
          <w:sz w:val="22"/>
          <w:szCs w:val="22"/>
        </w:rPr>
        <w:t xml:space="preserve"> </w:t>
      </w:r>
      <w:r>
        <w:rPr>
          <w:rFonts w:cs="Arial" w:ascii="Trebuchet MS" w:hAnsi="Trebuchet MS"/>
          <w:spacing w:val="-3"/>
          <w:sz w:val="22"/>
          <w:szCs w:val="22"/>
        </w:rPr>
        <w:t>El plazo para la ejecución del contrato será hasta el </w:t>
      </w:r>
      <w:r>
        <w:rPr>
          <w:rFonts w:cs="Arial" w:ascii="Trebuchet MS" w:hAnsi="Trebuchet MS"/>
          <w:sz w:val="22"/>
          <w:szCs w:val="22"/>
        </w:rPr>
        <w:t>31 de JULIO de 2026</w:t>
      </w:r>
      <w:r>
        <w:rPr>
          <w:rFonts w:cs="Arial" w:ascii="Trebuchet MS" w:hAnsi="Trebuchet MS"/>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Pr>
          <w:rFonts w:cs="Arial" w:ascii="Trebuchet MS" w:hAnsi="Trebuchet MS"/>
          <w:sz w:val="22"/>
          <w:szCs w:val="22"/>
        </w:rPr>
        <w:t xml:space="preserve">. </w:t>
      </w:r>
      <w:r>
        <w:rPr>
          <w:rFonts w:cs="Arial" w:ascii="Trebuchet MS" w:hAnsi="Trebuchet MS"/>
          <w:b/>
          <w:bCs/>
          <w:sz w:val="22"/>
          <w:szCs w:val="22"/>
          <w:u w:val="single"/>
        </w:rPr>
        <w:t xml:space="preserve">CLÁUSULA SEXTA.- OBLIGACIONES DEL CONTRATISTA: </w:t>
      </w:r>
      <w:r>
        <w:rPr>
          <w:rFonts w:cs="Arial" w:ascii="Trebuchet MS" w:hAnsi="Trebuchet MS"/>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Pr>
          <w:rFonts w:cs="Arial" w:ascii="Trebuchet MS" w:hAnsi="Trebuchet MS"/>
          <w:b/>
          <w:bCs/>
          <w:sz w:val="22"/>
          <w:szCs w:val="22"/>
          <w:u w:val="single"/>
        </w:rPr>
        <w:t>6.1) OBLIGACIONES GENERALES:</w:t>
      </w:r>
      <w:r>
        <w:rPr>
          <w:rFonts w:cs="Arial" w:ascii="Trebuchet MS" w:hAnsi="Trebuchet MS"/>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Pr>
          <w:rFonts w:cs="Arial" w:ascii="Trebuchet MS" w:hAnsi="Trebuchet MS"/>
          <w:b/>
          <w:bCs/>
          <w:sz w:val="22"/>
          <w:szCs w:val="22"/>
        </w:rPr>
        <w:t>PARÁGRAFO:</w:t>
      </w:r>
      <w:r>
        <w:rPr>
          <w:rFonts w:cs="Arial" w:ascii="Trebuchet MS" w:hAnsi="Trebuchet MS"/>
          <w:bCs/>
          <w:sz w:val="22"/>
          <w:szCs w:val="22"/>
        </w:rPr>
        <w:t xml:space="preserve"> Para garantizar la adecuada prestación del servicio, el contratista ejercerá los derechos, cumplirá con los deberes y respetará las prohibiciones consagradas en la constitución y la ley. 6.1.17)</w:t>
      </w:r>
      <w:r>
        <w:rPr>
          <w:rFonts w:ascii="Trebuchet MS" w:hAnsi="Trebuchet MS"/>
          <w:sz w:val="22"/>
          <w:szCs w:val="22"/>
        </w:rPr>
        <w:t xml:space="preserve"> </w:t>
      </w:r>
      <w:r>
        <w:rPr>
          <w:rFonts w:cs="Arial" w:ascii="Trebuchet MS" w:hAnsi="Trebuchet MS"/>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Pr>
          <w:rFonts w:cs="Arial" w:ascii="Trebuchet MS" w:hAnsi="Trebuchet MS"/>
          <w:bCs/>
          <w:sz w:val="22"/>
          <w:szCs w:val="22"/>
        </w:rPr>
        <w:t xml:space="preserve">6.1.18) </w:t>
      </w:r>
      <w:r>
        <w:rPr>
          <w:rFonts w:ascii="Trebuchet MS" w:hAnsi="Trebuchet MS"/>
          <w:color w:val="000000"/>
          <w:sz w:val="22"/>
          <w:szCs w:val="22"/>
          <w:shd w:fill="FFFFFF" w:val="clear"/>
        </w:rPr>
        <w:t>Asistir al curso Básico de Derechos Humanos, en el campus virtual de la Defensoría del Pueblo, </w:t>
      </w:r>
      <w:hyperlink r:id="rId2" w:tgtFrame="_blank">
        <w:r>
          <w:rPr>
            <w:rStyle w:val="EnlacedeInternet"/>
            <w:rFonts w:ascii="Trebuchet MS" w:hAnsi="Trebuchet MS"/>
            <w:sz w:val="22"/>
            <w:szCs w:val="22"/>
            <w:shd w:fill="FFFFFF" w:val="clear"/>
          </w:rPr>
          <w:t>https://campusvirtual.defensoria.gov.co/cursos/login/index.php</w:t>
        </w:r>
      </w:hyperlink>
      <w:r>
        <w:rPr>
          <w:rFonts w:ascii="Trebuchet MS" w:hAnsi="Trebuchet MS"/>
          <w:color w:val="000000"/>
          <w:sz w:val="22"/>
          <w:szCs w:val="22"/>
          <w:shd w:fill="FFFFFF" w:val="clear"/>
        </w:rPr>
        <w:t>, dentro de los 15 días calendario siguientes a la suscripción del contrato.</w:t>
      </w:r>
      <w:r>
        <w:rPr>
          <w:rFonts w:cs="Arial" w:ascii="Trebuchet MS" w:hAnsi="Trebuchet MS"/>
          <w:iCs/>
          <w:color w:val="000000" w:themeColor="text1"/>
          <w:sz w:val="22"/>
          <w:szCs w:val="22"/>
        </w:rPr>
        <w:t> </w:t>
      </w:r>
      <w:r>
        <w:rPr>
          <w:rFonts w:cs="Arial" w:ascii="Trebuchet MS" w:hAnsi="Trebuchet MS"/>
          <w:bCs/>
          <w:sz w:val="22"/>
          <w:szCs w:val="22"/>
        </w:rPr>
        <w:t xml:space="preserve"> </w:t>
      </w:r>
      <w:r>
        <w:rPr>
          <w:rFonts w:cs="Arial" w:ascii="Trebuchet MS" w:hAnsi="Trebuchet MS"/>
          <w:b/>
          <w:bCs/>
          <w:sz w:val="22"/>
          <w:szCs w:val="22"/>
          <w:u w:val="single"/>
        </w:rPr>
        <w:t xml:space="preserve">6.2. OBLIGACIONES ESPECÍFICAS: </w:t>
      </w:r>
      <w:r>
        <w:rPr>
          <w:rFonts w:cs="Arial" w:ascii="Trebuchet MS" w:hAnsi="Trebuchet MS"/>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6.2.4. Asistir oportunamente a las audiencias y diligencias a las cuales sea citado en calidad de defensor público teniendo esta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Pr>
          <w:rFonts w:cs="Arial" w:ascii="Trebuchet MS" w:hAnsi="Trebuchet MS"/>
          <w:b/>
          <w:bCs/>
          <w:sz w:val="22"/>
          <w:szCs w:val="22"/>
        </w:rPr>
        <w:t>PARÁGRAFO No 1:</w:t>
      </w:r>
      <w:r>
        <w:rPr>
          <w:rFonts w:cs="Arial" w:ascii="Trebuchet MS" w:hAnsi="Trebuchet MS"/>
          <w:bCs/>
          <w:sz w:val="22"/>
          <w:szCs w:val="22"/>
        </w:rPr>
        <w:t xml:space="preserve">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 </w:t>
      </w:r>
      <w:r>
        <w:rPr>
          <w:rFonts w:cs="Arial" w:ascii="Trebuchet MS" w:hAnsi="Trebuchet MS"/>
          <w:b/>
          <w:bCs/>
          <w:sz w:val="22"/>
          <w:szCs w:val="22"/>
          <w:u w:val="single"/>
        </w:rPr>
        <w:t xml:space="preserve">CLÁSULA SÉPTIMA.- OBLIGACIONES DE LA DEFENSORIA: </w:t>
      </w:r>
      <w:r>
        <w:rPr>
          <w:rFonts w:cs="Arial" w:ascii="Trebuchet MS" w:hAnsi="Trebuchet MS"/>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Pr>
          <w:rFonts w:cs="Arial" w:ascii="Trebuchet MS" w:hAnsi="Trebuchet MS"/>
          <w:b/>
          <w:bCs/>
          <w:sz w:val="22"/>
          <w:szCs w:val="22"/>
          <w:u w:val="single"/>
        </w:rPr>
        <w:t>CLÁUSULA OCTAVA.- PROHIBICIONES DEL CONTRATISTA:</w:t>
      </w:r>
      <w:r>
        <w:rPr>
          <w:rFonts w:cs="Arial" w:ascii="Trebuchet MS" w:hAnsi="Trebuchet MS"/>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Pr>
          <w:rFonts w:cs="Arial" w:ascii="Trebuchet MS" w:hAnsi="Trebuchet MS"/>
          <w:sz w:val="22"/>
          <w:szCs w:val="22"/>
        </w:rPr>
        <w:t xml:space="preserve"> Iniciar la ejecución del contrato mientras no se cumplan los requisitos de ejecución; tampoco podrá solicitar pago con cargo a este contrato por servicios prestados sin el cumplimiento de los requisitos de ejecución. 8.8. Hacer uso indebido del carnet y demás prendas institucionales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Pr>
          <w:rFonts w:cs="Arial" w:ascii="Trebuchet MS" w:hAnsi="Trebuchet MS"/>
          <w:b/>
          <w:bCs/>
          <w:sz w:val="22"/>
          <w:szCs w:val="22"/>
          <w:u w:val="single"/>
        </w:rPr>
        <w:t xml:space="preserve">CLÁUSULA NOVENA- VALOR: </w:t>
      </w:r>
      <w:r>
        <w:rPr>
          <w:rFonts w:cs="Arial" w:ascii="Trebuchet MS" w:hAnsi="Trebuchet MS"/>
          <w:sz w:val="22"/>
          <w:szCs w:val="22"/>
        </w:rPr>
        <w:t xml:space="preserve">El valor total estimado por concepto de honorarios en este contrato </w:t>
      </w:r>
      <w:bookmarkStart w:id="1" w:name="_Hlk189641940"/>
      <w:r>
        <w:rPr>
          <w:rFonts w:cs="Arial" w:ascii="Trebuchet MS" w:hAnsi="Trebuchet MS"/>
          <w:sz w:val="22"/>
          <w:szCs w:val="22"/>
        </w:rPr>
        <w:t xml:space="preserve">es de </w:t>
      </w:r>
      <w:r>
        <w:rPr>
          <w:rFonts w:cs="Arial" w:ascii="Trebuchet MS" w:hAnsi="Trebuchet MS"/>
          <w:b/>
          <w:bCs/>
          <w:sz w:val="22"/>
          <w:szCs w:val="22"/>
        </w:rPr>
        <w:t>CUARENTAMILLONES OCHENTA Y OCHO MIL PESOS M/CTE ($ 40.088.000,00)</w:t>
      </w:r>
      <w:r>
        <w:rPr>
          <w:rFonts w:cs="Arial" w:ascii="Trebuchet MS" w:hAnsi="Trebuchet MS"/>
          <w:b/>
          <w:sz w:val="22"/>
          <w:szCs w:val="22"/>
        </w:rPr>
        <w:t xml:space="preserve"> </w:t>
      </w:r>
      <w:r>
        <w:rPr>
          <w:rFonts w:cs="Arial" w:ascii="Trebuchet MS" w:hAnsi="Trebuchet MS"/>
          <w:spacing w:val="-3"/>
          <w:sz w:val="22"/>
          <w:szCs w:val="22"/>
        </w:rPr>
        <w:t xml:space="preserve">incluido IVA y todos los impuestos a que haya lugar. </w:t>
      </w:r>
      <w:bookmarkEnd w:id="1"/>
      <w:r>
        <w:rPr>
          <w:rFonts w:cs="Arial" w:ascii="Trebuchet MS" w:hAnsi="Trebuchet MS"/>
          <w:b/>
          <w:bCs/>
          <w:sz w:val="22"/>
          <w:szCs w:val="22"/>
          <w:u w:val="single"/>
        </w:rPr>
        <w:t>CLÁUSULA DÉCIMA.- FORMA DE PAGO:</w:t>
      </w:r>
      <w:r>
        <w:rPr>
          <w:rFonts w:cs="Arial" w:ascii="Trebuchet MS" w:hAnsi="Trebuchet MS"/>
          <w:b/>
          <w:sz w:val="22"/>
          <w:szCs w:val="22"/>
        </w:rPr>
        <w:t xml:space="preserve"> </w:t>
      </w:r>
      <w:r>
        <w:rPr>
          <w:rFonts w:cs="Arial" w:ascii="Trebuchet MS" w:hAnsi="Trebuchet MS"/>
          <w:sz w:val="22"/>
          <w:szCs w:val="22"/>
        </w:rPr>
        <w:t xml:space="preserve">La DEFENSORÍA pagará al CONTRATISTA </w:t>
      </w:r>
      <w:r>
        <w:rPr>
          <w:rFonts w:ascii="Trebuchet MS" w:hAnsi="Trebuchet MS"/>
          <w:sz w:val="22"/>
          <w:szCs w:val="22"/>
        </w:rPr>
        <w:t>el valor del contrato por conducto de la Subdirección Financiera por mes calendario vencido a razón de</w:t>
      </w:r>
      <w:r>
        <w:rPr>
          <w:rFonts w:ascii="Trebuchet MS" w:hAnsi="Trebuchet MS"/>
          <w:b/>
          <w:sz w:val="22"/>
          <w:szCs w:val="22"/>
        </w:rPr>
        <w:t xml:space="preserve"> </w:t>
      </w:r>
      <w:bookmarkStart w:id="2" w:name="_Hlk189641978"/>
      <w:r>
        <w:rPr>
          <w:rFonts w:cs="Arial" w:ascii="Trebuchet MS" w:hAnsi="Trebuchet MS"/>
          <w:b/>
          <w:bCs/>
          <w:sz w:val="22"/>
          <w:szCs w:val="22"/>
        </w:rPr>
        <w:t xml:space="preserve">CINCO MILLONES ONCE MIL PESOS M/CTE ($ 5.011.000,00) </w:t>
      </w:r>
      <w:bookmarkEnd w:id="2"/>
      <w:r>
        <w:rPr>
          <w:rFonts w:cs="Arial" w:ascii="Trebuchet MS" w:hAnsi="Trebuchet MS"/>
          <w:sz w:val="22"/>
          <w:szCs w:val="22"/>
        </w:rPr>
        <w:t>incluidos IVA y</w:t>
      </w:r>
      <w:r>
        <w:rPr>
          <w:rFonts w:cs="Arial" w:ascii="Trebuchet MS" w:hAnsi="Trebuchet MS"/>
          <w:spacing w:val="-3"/>
          <w:sz w:val="22"/>
          <w:szCs w:val="22"/>
        </w:rPr>
        <w:t xml:space="preserve"> todos los impuestos a que haya lugar</w:t>
      </w:r>
      <w:r>
        <w:rPr>
          <w:rFonts w:cs="Arial" w:ascii="Trebuchet MS" w:hAnsi="Trebuchet MS"/>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Pr>
          <w:rFonts w:cs="Arial" w:ascii="Trebuchet MS" w:hAnsi="Trebuchet MS"/>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Pr>
          <w:rFonts w:cs="Arial" w:ascii="Trebuchet MS" w:hAnsi="Trebuchet MS"/>
          <w:b/>
          <w:bCs/>
          <w:sz w:val="22"/>
          <w:szCs w:val="22"/>
        </w:rPr>
        <w:t>PARÁGRAFO PRIMERO:</w:t>
      </w:r>
      <w:r>
        <w:rPr>
          <w:rFonts w:cs="Arial" w:ascii="Trebuchet MS" w:hAnsi="Trebuchet MS"/>
          <w:bCs/>
          <w:sz w:val="22"/>
          <w:szCs w:val="22"/>
        </w:rPr>
        <w:t xml:space="preserve"> Del valor de los honorarios mensuales se harán los descuentos autorizados y ordenados por ley. </w:t>
      </w:r>
      <w:r>
        <w:rPr>
          <w:rFonts w:cs="Arial" w:ascii="Trebuchet MS" w:hAnsi="Trebuchet MS"/>
          <w:b/>
          <w:bCs/>
          <w:sz w:val="22"/>
          <w:szCs w:val="22"/>
        </w:rPr>
        <w:t>PARÁGRAFO SEGUNDO:</w:t>
      </w:r>
      <w:r>
        <w:rPr>
          <w:rFonts w:cs="Arial" w:ascii="Trebuchet MS" w:hAnsi="Trebuchet MS"/>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Pr>
          <w:rFonts w:cs="Arial" w:ascii="Trebuchet MS" w:hAnsi="Trebuchet MS"/>
          <w:b/>
          <w:bCs/>
          <w:sz w:val="22"/>
          <w:szCs w:val="22"/>
          <w:u w:val="single"/>
        </w:rPr>
        <w:t xml:space="preserve">CLAUSULA DÉCIMA PRIMERA.- </w:t>
      </w:r>
      <w:r>
        <w:rPr>
          <w:rFonts w:cs="Arial" w:ascii="Trebuchet MS" w:hAnsi="Trebuchet MS"/>
          <w:b/>
          <w:bCs/>
          <w:sz w:val="22"/>
          <w:szCs w:val="22"/>
          <w:u w:val="single"/>
          <w:shd w:fill="FFFFFF" w:val="clear"/>
        </w:rPr>
        <w:t>GASTOS DE DESPLAZAMIENTO</w:t>
      </w:r>
      <w:r>
        <w:rPr>
          <w:rFonts w:cs="Arial" w:ascii="Trebuchet MS" w:hAnsi="Trebuchet MS"/>
          <w:b/>
          <w:bCs/>
          <w:sz w:val="22"/>
          <w:szCs w:val="22"/>
          <w:shd w:fill="FFFFFF" w:val="clear"/>
        </w:rPr>
        <w:t>:</w:t>
      </w:r>
      <w:r>
        <w:rPr>
          <w:rStyle w:val="Appleconvertedspace"/>
          <w:rFonts w:cs="Arial" w:ascii="Trebuchet MS" w:hAnsi="Trebuchet MS"/>
          <w:sz w:val="22"/>
          <w:szCs w:val="22"/>
          <w:shd w:fill="FFFFFF" w:val="clear"/>
        </w:rPr>
        <w:t> </w:t>
      </w:r>
      <w:r>
        <w:rPr>
          <w:rFonts w:cs="Arial" w:ascii="Trebuchet MS" w:hAnsi="Trebuchet MS"/>
          <w:sz w:val="22"/>
          <w:szCs w:val="22"/>
          <w:shd w:fill="FFFFFF" w:val="clear"/>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Pr>
          <w:rFonts w:cs="Arial" w:ascii="Trebuchet MS" w:hAnsi="Trebuchet MS"/>
          <w:b/>
          <w:bCs/>
          <w:sz w:val="22"/>
          <w:szCs w:val="22"/>
          <w:u w:val="single"/>
        </w:rPr>
        <w:t>CLÁUSULA DÉCIMA SEGUNDA.- SUJECIÓN A LAS APROPIACIONES PRESUPUESTALES:</w:t>
      </w:r>
      <w:r>
        <w:rPr>
          <w:rFonts w:cs="Arial" w:ascii="Trebuchet MS" w:hAnsi="Trebuchet MS"/>
          <w:b/>
          <w:bCs/>
          <w:sz w:val="22"/>
          <w:szCs w:val="22"/>
        </w:rPr>
        <w:t xml:space="preserve"> </w:t>
      </w:r>
      <w:r>
        <w:rPr>
          <w:rFonts w:cs="Arial" w:ascii="Trebuchet MS" w:hAnsi="Trebuchet MS"/>
          <w:sz w:val="22"/>
          <w:szCs w:val="22"/>
        </w:rPr>
        <w:t xml:space="preserve">El valor de este contrato se pagará con cargo al presupuesto de La DEFENSORÍA, de la siguiente manera: </w:t>
      </w:r>
    </w:p>
    <w:p>
      <w:pPr>
        <w:pStyle w:val="Normal"/>
        <w:jc w:val="both"/>
        <w:rPr>
          <w:rFonts w:ascii="Trebuchet MS" w:hAnsi="Trebuchet MS" w:cs="Arial"/>
          <w:b/>
          <w:b/>
          <w:sz w:val="22"/>
          <w:szCs w:val="22"/>
          <w:u w:val="single"/>
        </w:rPr>
      </w:pPr>
      <w:r>
        <w:rPr>
          <w:rFonts w:cs="Arial" w:ascii="Trebuchet MS" w:hAnsi="Trebuchet MS"/>
          <w:b/>
          <w:sz w:val="22"/>
          <w:szCs w:val="22"/>
          <w:u w:val="single"/>
        </w:rPr>
      </w:r>
    </w:p>
    <w:tbl>
      <w:tblPr>
        <w:tblStyle w:val="Tablaconcuadrcula"/>
        <w:tblpPr w:vertAnchor="text" w:horzAnchor="page" w:tblpXSpec="center" w:leftFromText="141" w:rightFromText="141" w:tblpY="-41"/>
        <w:tblW w:w="1002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3878"/>
        <w:gridCol w:w="6148"/>
      </w:tblGrid>
      <w:tr>
        <w:trPr>
          <w:trHeight w:val="64" w:hRule="atLeast"/>
        </w:trPr>
        <w:tc>
          <w:tcPr>
            <w:tcW w:w="3878" w:type="dxa"/>
            <w:tcBorders/>
            <w:shd w:color="auto" w:fill="D9D9D9" w:themeFill="background1" w:themeFillShade="d9" w:val="clear"/>
          </w:tcPr>
          <w:p>
            <w:pPr>
              <w:pStyle w:val="Normal"/>
              <w:widowControl w:val="false"/>
              <w:spacing w:before="0" w:after="0"/>
              <w:jc w:val="center"/>
              <w:rPr>
                <w:rFonts w:ascii="Trebuchet MS" w:hAnsi="Trebuchet MS" w:eastAsia="Calibri" w:eastAsiaTheme="minorHAnsi"/>
                <w:b/>
                <w:b/>
                <w:sz w:val="22"/>
                <w:szCs w:val="22"/>
                <w:lang w:val="es-CO"/>
              </w:rPr>
            </w:pPr>
            <w:r>
              <w:rPr>
                <w:rFonts w:eastAsia="Calibri" w:ascii="Trebuchet MS" w:hAnsi="Trebuchet MS" w:eastAsiaTheme="minorHAnsi"/>
                <w:b/>
                <w:kern w:val="0"/>
                <w:sz w:val="22"/>
                <w:szCs w:val="22"/>
                <w:lang w:val="es-CO" w:bidi="ar-SA"/>
              </w:rPr>
              <w:t>Vigencia</w:t>
            </w:r>
          </w:p>
        </w:tc>
        <w:tc>
          <w:tcPr>
            <w:tcW w:w="6148" w:type="dxa"/>
            <w:tcBorders/>
            <w:shd w:color="auto" w:fill="D9D9D9" w:themeFill="background1" w:themeFillShade="d9" w:val="clear"/>
          </w:tcPr>
          <w:p>
            <w:pPr>
              <w:pStyle w:val="Normal"/>
              <w:widowControl w:val="false"/>
              <w:spacing w:before="0" w:after="0"/>
              <w:jc w:val="center"/>
              <w:rPr>
                <w:rFonts w:ascii="Trebuchet MS" w:hAnsi="Trebuchet MS" w:eastAsia="Calibri" w:eastAsiaTheme="minorHAnsi"/>
                <w:b/>
                <w:b/>
                <w:sz w:val="22"/>
                <w:szCs w:val="22"/>
                <w:lang w:val="es-CO"/>
              </w:rPr>
            </w:pPr>
            <w:r>
              <w:rPr>
                <w:rFonts w:eastAsia="Calibri" w:ascii="Trebuchet MS" w:hAnsi="Trebuchet MS" w:eastAsiaTheme="minorHAnsi"/>
                <w:b/>
                <w:kern w:val="0"/>
                <w:sz w:val="22"/>
                <w:szCs w:val="22"/>
                <w:lang w:val="es-CO" w:bidi="ar-SA"/>
              </w:rPr>
              <w:t>Certificado de Disponibilidad Presupuestal - CDP</w:t>
            </w:r>
          </w:p>
        </w:tc>
      </w:tr>
      <w:tr>
        <w:trPr>
          <w:trHeight w:val="64" w:hRule="atLeast"/>
        </w:trPr>
        <w:tc>
          <w:tcPr>
            <w:tcW w:w="3878" w:type="dxa"/>
            <w:tcBorders/>
            <w:vAlign w:val="center"/>
          </w:tcPr>
          <w:p>
            <w:pPr>
              <w:pStyle w:val="Normal"/>
              <w:widowControl w:val="false"/>
              <w:spacing w:before="0" w:after="0"/>
              <w:jc w:val="center"/>
              <w:rPr>
                <w:rFonts w:ascii="Trebuchet MS" w:hAnsi="Trebuchet MS" w:eastAsia="Calibri" w:eastAsiaTheme="minorHAnsi"/>
                <w:sz w:val="22"/>
                <w:szCs w:val="22"/>
                <w:lang w:val="es-CO"/>
              </w:rPr>
            </w:pPr>
            <w:r>
              <w:rPr>
                <w:rFonts w:eastAsia="Calibri" w:ascii="Trebuchet MS" w:hAnsi="Trebuchet MS" w:eastAsiaTheme="minorHAnsi"/>
                <w:kern w:val="0"/>
                <w:sz w:val="22"/>
                <w:szCs w:val="22"/>
                <w:lang w:val="es-CO" w:bidi="ar-SA"/>
              </w:rPr>
              <w:t>2025</w:t>
            </w:r>
          </w:p>
        </w:tc>
        <w:tc>
          <w:tcPr>
            <w:tcW w:w="6148" w:type="dxa"/>
            <w:tcBorders/>
            <w:vAlign w:val="center"/>
          </w:tcPr>
          <w:p>
            <w:pPr>
              <w:pStyle w:val="Normal"/>
              <w:widowControl w:val="false"/>
              <w:spacing w:before="0" w:after="0"/>
              <w:jc w:val="center"/>
              <w:rPr>
                <w:rFonts w:ascii="Trebuchet MS" w:hAnsi="Trebuchet MS" w:eastAsia="Calibri" w:eastAsiaTheme="minorHAnsi"/>
                <w:sz w:val="22"/>
                <w:szCs w:val="22"/>
                <w:lang w:val="es-CO"/>
              </w:rPr>
            </w:pPr>
            <w:r>
              <w:rPr>
                <w:rFonts w:ascii="Trebuchet MS" w:hAnsi="Trebuchet MS"/>
                <w:kern w:val="0"/>
                <w:sz w:val="22"/>
                <w:szCs w:val="22"/>
                <w:lang w:bidi="ar-SA"/>
              </w:rPr>
              <w:t xml:space="preserve">SIIF No </w:t>
            </w:r>
            <w:r>
              <w:rPr>
                <w:rFonts w:cs="Arial" w:ascii="Trebuchet MS" w:hAnsi="Trebuchet MS"/>
                <w:kern w:val="0"/>
                <w:sz w:val="22"/>
                <w:szCs w:val="22"/>
                <w:lang w:bidi="ar-SA"/>
              </w:rPr>
              <w:t xml:space="preserve">139325 del 04-07-2025  </w:t>
            </w:r>
            <w:r>
              <w:rPr>
                <w:rFonts w:ascii="Trebuchet MS" w:hAnsi="Trebuchet MS"/>
                <w:kern w:val="0"/>
                <w:sz w:val="22"/>
                <w:szCs w:val="22"/>
                <w:lang w:bidi="ar-SA"/>
              </w:rPr>
              <w:t>(DD/MM/AAAA)</w:t>
            </w:r>
          </w:p>
        </w:tc>
      </w:tr>
      <w:tr>
        <w:trPr>
          <w:trHeight w:val="64" w:hRule="atLeast"/>
        </w:trPr>
        <w:tc>
          <w:tcPr>
            <w:tcW w:w="3878" w:type="dxa"/>
            <w:tcBorders/>
            <w:vAlign w:val="center"/>
          </w:tcPr>
          <w:p>
            <w:pPr>
              <w:pStyle w:val="Normal"/>
              <w:widowControl w:val="false"/>
              <w:spacing w:before="0" w:after="0"/>
              <w:jc w:val="center"/>
              <w:rPr>
                <w:rFonts w:ascii="Trebuchet MS" w:hAnsi="Trebuchet MS" w:eastAsia="Calibri" w:eastAsiaTheme="minorHAnsi"/>
                <w:sz w:val="22"/>
                <w:szCs w:val="22"/>
                <w:lang w:val="es-CO"/>
              </w:rPr>
            </w:pPr>
            <w:r>
              <w:rPr>
                <w:rFonts w:eastAsia="Calibri" w:ascii="Trebuchet MS" w:hAnsi="Trebuchet MS" w:eastAsiaTheme="minorHAnsi"/>
                <w:kern w:val="0"/>
                <w:sz w:val="22"/>
                <w:lang w:val="es-CO" w:bidi="ar-SA"/>
              </w:rPr>
              <w:t>Aprobación vigencias Futuras</w:t>
            </w:r>
          </w:p>
        </w:tc>
        <w:tc>
          <w:tcPr>
            <w:tcW w:w="6148" w:type="dxa"/>
            <w:tcBorders/>
            <w:vAlign w:val="center"/>
          </w:tcPr>
          <w:p>
            <w:pPr>
              <w:pStyle w:val="Normal"/>
              <w:widowControl w:val="false"/>
              <w:tabs>
                <w:tab w:val="clear" w:pos="708"/>
                <w:tab w:val="left" w:pos="-720" w:leader="none"/>
              </w:tabs>
              <w:suppressAutoHyphens w:val="true"/>
              <w:spacing w:lineRule="auto" w:line="252" w:before="0" w:after="0"/>
              <w:jc w:val="center"/>
              <w:rPr>
                <w:rFonts w:ascii="Trebuchet MS" w:hAnsi="Trebuchet MS" w:cs="Arial"/>
                <w:sz w:val="22"/>
              </w:rPr>
            </w:pPr>
            <w:r>
              <w:rPr>
                <w:rFonts w:cs="Arial" w:ascii="Trebuchet MS" w:hAnsi="Trebuchet MS"/>
                <w:kern w:val="0"/>
                <w:sz w:val="22"/>
                <w:lang w:bidi="ar-SA"/>
              </w:rPr>
              <w:t>Enero a Julio 2026</w:t>
            </w:r>
          </w:p>
          <w:p>
            <w:pPr>
              <w:pStyle w:val="Normal"/>
              <w:widowControl w:val="false"/>
              <w:spacing w:before="0" w:after="0"/>
              <w:jc w:val="center"/>
              <w:rPr>
                <w:rFonts w:ascii="Trebuchet MS" w:hAnsi="Trebuchet MS"/>
                <w:sz w:val="22"/>
                <w:szCs w:val="22"/>
              </w:rPr>
            </w:pPr>
            <w:r>
              <w:rPr>
                <w:rFonts w:cs="Arial" w:ascii="Trebuchet MS" w:hAnsi="Trebuchet MS"/>
                <w:kern w:val="0"/>
                <w:sz w:val="22"/>
                <w:lang w:bidi="ar-SA"/>
              </w:rPr>
              <w:t>Radicado: 2-2025-051431 del 26 de agosto de 2025, emitido por el Ministerio de Hacienda y Crédito Público.</w:t>
            </w:r>
          </w:p>
        </w:tc>
      </w:tr>
    </w:tbl>
    <w:p>
      <w:pPr>
        <w:pStyle w:val="Normal"/>
        <w:jc w:val="both"/>
        <w:rPr>
          <w:rFonts w:ascii="Trebuchet MS" w:hAnsi="Trebuchet MS" w:cs="Arial"/>
          <w:sz w:val="22"/>
          <w:szCs w:val="22"/>
        </w:rPr>
      </w:pPr>
      <w:r/>
      <w:r>
        <w:rPr>
          <w:rFonts w:cs="Arial" w:ascii="Trebuchet MS" w:hAnsi="Trebuchet MS"/>
          <w:b/>
          <w:sz w:val="22"/>
          <w:szCs w:val="22"/>
          <w:u w:val="single"/>
        </w:rPr>
        <w:t xml:space="preserve">CLAUSULA </w:t>
      </w:r>
      <w:r>
        <w:rPr>
          <w:rFonts w:cs="Arial" w:ascii="Trebuchet MS" w:hAnsi="Trebuchet MS"/>
          <w:b/>
          <w:bCs/>
          <w:sz w:val="22"/>
          <w:szCs w:val="22"/>
          <w:u w:val="single"/>
        </w:rPr>
        <w:t>DÉCIMA TERCERA.-</w:t>
      </w:r>
      <w:r>
        <w:rPr>
          <w:rFonts w:cs="Arial" w:ascii="Trebuchet MS" w:hAnsi="Trebuchet MS"/>
          <w:b/>
          <w:sz w:val="22"/>
          <w:szCs w:val="22"/>
          <w:u w:val="single"/>
        </w:rPr>
        <w:t xml:space="preserve"> GARANTÍAS</w:t>
      </w:r>
      <w:r>
        <w:rPr>
          <w:rFonts w:cs="Arial" w:ascii="Trebuchet MS" w:hAnsi="Trebuchet MS"/>
          <w:b/>
          <w:sz w:val="22"/>
          <w:szCs w:val="22"/>
        </w:rPr>
        <w:t xml:space="preserve">. - </w:t>
      </w:r>
      <w:r>
        <w:rPr>
          <w:rFonts w:eastAsia="Calibri" w:cs="Arial" w:ascii="Trebuchet MS" w:hAnsi="Trebuchet MS" w:eastAsiaTheme="minorHAnsi"/>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Pr>
          <w:rFonts w:cs="Arial" w:ascii="Trebuchet MS" w:hAnsi="Trebuchet MS"/>
          <w:sz w:val="22"/>
          <w:szCs w:val="22"/>
        </w:rPr>
        <w:t>Los amparos, términos y vigencia, serán los siguientes:</w:t>
      </w:r>
    </w:p>
    <w:p>
      <w:pPr>
        <w:pStyle w:val="Normal"/>
        <w:tabs>
          <w:tab w:val="clear" w:pos="708"/>
          <w:tab w:val="left" w:pos="-720" w:leader="none"/>
        </w:tabs>
        <w:suppressAutoHyphens w:val="true"/>
        <w:jc w:val="both"/>
        <w:rPr>
          <w:rFonts w:ascii="Trebuchet MS" w:hAnsi="Trebuchet MS" w:cs="Arial"/>
          <w:sz w:val="22"/>
          <w:szCs w:val="22"/>
        </w:rPr>
      </w:pPr>
      <w:r>
        <w:rPr>
          <w:rFonts w:cs="Arial" w:ascii="Trebuchet MS" w:hAnsi="Trebuchet MS"/>
          <w:sz w:val="22"/>
          <w:szCs w:val="22"/>
        </w:rPr>
      </w:r>
    </w:p>
    <w:tbl>
      <w:tblPr>
        <w:tblW w:w="9938" w:type="dxa"/>
        <w:jc w:val="center"/>
        <w:tblInd w:w="0" w:type="dxa"/>
        <w:tblLayout w:type="fixed"/>
        <w:tblCellMar>
          <w:top w:w="0" w:type="dxa"/>
          <w:left w:w="108" w:type="dxa"/>
          <w:bottom w:w="0" w:type="dxa"/>
          <w:right w:w="108" w:type="dxa"/>
        </w:tblCellMar>
        <w:tblLook w:firstRow="1" w:noVBand="0" w:lastRow="1" w:firstColumn="1" w:lastColumn="1" w:noHBand="0" w:val="01e0"/>
      </w:tblPr>
      <w:tblGrid>
        <w:gridCol w:w="2437"/>
        <w:gridCol w:w="2587"/>
        <w:gridCol w:w="4914"/>
      </w:tblGrid>
      <w:tr>
        <w:trPr>
          <w:trHeight w:val="82" w:hRule="atLeast"/>
        </w:trPr>
        <w:tc>
          <w:tcPr>
            <w:tcW w:w="243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jc w:val="center"/>
              <w:rPr>
                <w:rFonts w:ascii="Trebuchet MS" w:hAnsi="Trebuchet MS" w:eastAsia="Calibri" w:eastAsiaTheme="minorHAnsi"/>
                <w:b/>
                <w:b/>
                <w:sz w:val="22"/>
                <w:szCs w:val="22"/>
                <w:lang w:val="es-CO"/>
              </w:rPr>
            </w:pPr>
            <w:r>
              <w:rPr>
                <w:rFonts w:eastAsia="Calibri" w:ascii="Trebuchet MS" w:hAnsi="Trebuchet MS" w:eastAsiaTheme="minorHAnsi"/>
                <w:b/>
                <w:sz w:val="22"/>
                <w:szCs w:val="22"/>
                <w:lang w:val="es-CO"/>
              </w:rPr>
              <w:t>AMPARO</w:t>
            </w:r>
          </w:p>
        </w:tc>
        <w:tc>
          <w:tcPr>
            <w:tcW w:w="258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jc w:val="center"/>
              <w:rPr>
                <w:rFonts w:ascii="Trebuchet MS" w:hAnsi="Trebuchet MS" w:eastAsia="Calibri" w:eastAsiaTheme="minorHAnsi"/>
                <w:b/>
                <w:b/>
                <w:sz w:val="22"/>
                <w:szCs w:val="22"/>
                <w:lang w:val="es-CO"/>
              </w:rPr>
            </w:pPr>
            <w:r>
              <w:rPr>
                <w:rFonts w:eastAsia="Calibri" w:ascii="Trebuchet MS" w:hAnsi="Trebuchet MS" w:eastAsiaTheme="minorHAnsi"/>
                <w:b/>
                <w:sz w:val="22"/>
                <w:szCs w:val="22"/>
                <w:lang w:val="es-CO"/>
              </w:rPr>
              <w:t>PORCENTAJE</w:t>
            </w:r>
          </w:p>
        </w:tc>
        <w:tc>
          <w:tcPr>
            <w:tcW w:w="491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jc w:val="center"/>
              <w:rPr>
                <w:rFonts w:ascii="Trebuchet MS" w:hAnsi="Trebuchet MS" w:eastAsia="Calibri" w:eastAsiaTheme="minorHAnsi"/>
                <w:b/>
                <w:b/>
                <w:sz w:val="22"/>
                <w:szCs w:val="22"/>
                <w:lang w:val="es-CO"/>
              </w:rPr>
            </w:pPr>
            <w:r>
              <w:rPr>
                <w:rFonts w:eastAsia="Calibri" w:ascii="Trebuchet MS" w:hAnsi="Trebuchet MS" w:eastAsiaTheme="minorHAnsi"/>
                <w:b/>
                <w:sz w:val="22"/>
                <w:szCs w:val="22"/>
                <w:lang w:val="es-CO"/>
              </w:rPr>
              <w:t>VIGENCIA</w:t>
            </w:r>
          </w:p>
        </w:tc>
      </w:tr>
      <w:tr>
        <w:trPr>
          <w:trHeight w:val="168" w:hRule="atLeast"/>
        </w:trPr>
        <w:tc>
          <w:tcPr>
            <w:tcW w:w="24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rebuchet MS" w:hAnsi="Trebuchet MS" w:eastAsia="Calibri" w:eastAsiaTheme="minorHAnsi"/>
                <w:sz w:val="22"/>
                <w:szCs w:val="22"/>
                <w:lang w:val="es-CO"/>
              </w:rPr>
            </w:pPr>
            <w:r>
              <w:rPr>
                <w:rFonts w:eastAsia="Calibri" w:ascii="Trebuchet MS" w:hAnsi="Trebuchet MS" w:eastAsiaTheme="minorHAnsi"/>
                <w:sz w:val="22"/>
                <w:szCs w:val="22"/>
                <w:lang w:val="es-CO"/>
              </w:rPr>
              <w:t>Garantía de cumplimiento</w:t>
            </w:r>
          </w:p>
        </w:tc>
        <w:tc>
          <w:tcPr>
            <w:tcW w:w="25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rebuchet MS" w:hAnsi="Trebuchet MS" w:eastAsia="Calibri" w:eastAsiaTheme="minorHAnsi"/>
                <w:sz w:val="22"/>
                <w:szCs w:val="22"/>
                <w:lang w:val="es-CO"/>
              </w:rPr>
            </w:pPr>
            <w:r>
              <w:rPr>
                <w:rFonts w:eastAsia="Calibri" w:ascii="Trebuchet MS" w:hAnsi="Trebuchet MS" w:eastAsiaTheme="minorHAnsi"/>
                <w:sz w:val="22"/>
                <w:szCs w:val="22"/>
                <w:lang w:val="es-CO"/>
              </w:rPr>
              <w:t>10% del valor total del contrato</w:t>
            </w:r>
          </w:p>
        </w:tc>
        <w:tc>
          <w:tcPr>
            <w:tcW w:w="49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rebuchet MS" w:hAnsi="Trebuchet MS" w:eastAsia="Calibri" w:eastAsiaTheme="minorHAnsi"/>
                <w:sz w:val="22"/>
                <w:szCs w:val="22"/>
                <w:lang w:val="es-CO"/>
              </w:rPr>
            </w:pPr>
            <w:r>
              <w:rPr>
                <w:rFonts w:eastAsia="Calibri" w:ascii="Trebuchet MS" w:hAnsi="Trebuchet MS" w:eastAsiaTheme="minorHAnsi"/>
                <w:sz w:val="22"/>
                <w:szCs w:val="22"/>
                <w:lang w:val="es-CO"/>
              </w:rPr>
              <w:t>Con una duración igual a la ejecución del contrato y cuatro (04) meses más.</w:t>
            </w:r>
          </w:p>
        </w:tc>
      </w:tr>
      <w:tr>
        <w:trPr>
          <w:trHeight w:val="133" w:hRule="atLeast"/>
        </w:trPr>
        <w:tc>
          <w:tcPr>
            <w:tcW w:w="24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rebuchet MS" w:hAnsi="Trebuchet MS" w:eastAsia="Calibri" w:eastAsiaTheme="minorHAnsi"/>
                <w:sz w:val="22"/>
                <w:szCs w:val="22"/>
                <w:lang w:val="es-CO"/>
              </w:rPr>
            </w:pPr>
            <w:r>
              <w:rPr>
                <w:rFonts w:eastAsia="Calibri" w:ascii="Trebuchet MS" w:hAnsi="Trebuchet MS" w:eastAsiaTheme="minorHAnsi"/>
                <w:sz w:val="22"/>
                <w:szCs w:val="22"/>
                <w:lang w:val="es-CO"/>
              </w:rPr>
              <w:t>Calidad del servicio</w:t>
            </w:r>
          </w:p>
        </w:tc>
        <w:tc>
          <w:tcPr>
            <w:tcW w:w="25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rebuchet MS" w:hAnsi="Trebuchet MS" w:eastAsia="Calibri" w:eastAsiaTheme="minorHAnsi"/>
                <w:sz w:val="22"/>
                <w:szCs w:val="22"/>
                <w:lang w:val="es-CO"/>
              </w:rPr>
            </w:pPr>
            <w:r>
              <w:rPr>
                <w:rFonts w:eastAsia="Calibri" w:ascii="Trebuchet MS" w:hAnsi="Trebuchet MS" w:eastAsiaTheme="minorHAnsi"/>
                <w:sz w:val="22"/>
                <w:szCs w:val="22"/>
                <w:lang w:val="es-CO"/>
              </w:rPr>
              <w:t>20% del valor total del contrato</w:t>
            </w:r>
          </w:p>
        </w:tc>
        <w:tc>
          <w:tcPr>
            <w:tcW w:w="49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rebuchet MS" w:hAnsi="Trebuchet MS" w:eastAsia="Calibri" w:eastAsiaTheme="minorHAnsi"/>
                <w:sz w:val="22"/>
                <w:szCs w:val="22"/>
                <w:lang w:val="es-CO"/>
              </w:rPr>
            </w:pPr>
            <w:r>
              <w:rPr>
                <w:rFonts w:eastAsia="Calibri" w:ascii="Trebuchet MS" w:hAnsi="Trebuchet MS" w:eastAsiaTheme="minorHAnsi"/>
                <w:sz w:val="22"/>
                <w:szCs w:val="22"/>
                <w:lang w:val="es-CO"/>
              </w:rPr>
              <w:t>Con una duración igual a la del contrato y dos (2) años más contado a partir del vencimiento del plazo contractual.</w:t>
            </w:r>
          </w:p>
        </w:tc>
      </w:tr>
    </w:tbl>
    <w:p>
      <w:pPr>
        <w:pStyle w:val="Normal"/>
        <w:tabs>
          <w:tab w:val="clear" w:pos="708"/>
          <w:tab w:val="left" w:pos="-720" w:leader="none"/>
        </w:tabs>
        <w:suppressAutoHyphens w:val="true"/>
        <w:jc w:val="both"/>
        <w:rPr>
          <w:rFonts w:ascii="Trebuchet MS" w:hAnsi="Trebuchet MS" w:cs="Arial"/>
          <w:b/>
          <w:b/>
          <w:bCs/>
          <w:sz w:val="22"/>
          <w:szCs w:val="22"/>
          <w:u w:val="single"/>
        </w:rPr>
      </w:pPr>
      <w:r>
        <w:rPr>
          <w:rFonts w:cs="Arial" w:ascii="Trebuchet MS" w:hAnsi="Trebuchet MS"/>
          <w:b/>
          <w:bCs/>
          <w:sz w:val="22"/>
          <w:szCs w:val="22"/>
          <w:u w:val="single"/>
        </w:rPr>
      </w:r>
    </w:p>
    <w:p>
      <w:pPr>
        <w:pStyle w:val="Normal"/>
        <w:tabs>
          <w:tab w:val="clear" w:pos="708"/>
          <w:tab w:val="left" w:pos="-720" w:leader="none"/>
        </w:tabs>
        <w:suppressAutoHyphens w:val="true"/>
        <w:jc w:val="both"/>
        <w:rPr>
          <w:rFonts w:ascii="Trebuchet MS" w:hAnsi="Trebuchet MS" w:cs="Arial"/>
          <w:sz w:val="22"/>
          <w:szCs w:val="22"/>
        </w:rPr>
      </w:pPr>
      <w:r>
        <w:rPr>
          <w:rFonts w:cs="Arial" w:ascii="Trebuchet MS" w:hAnsi="Trebuchet MS"/>
          <w:b/>
          <w:bCs/>
          <w:sz w:val="22"/>
          <w:szCs w:val="22"/>
          <w:u w:val="single"/>
        </w:rPr>
        <w:t>CLÁUSULA DÉCIMA CUARTA.- SUPERVISIÓN:</w:t>
      </w:r>
      <w:r>
        <w:rPr>
          <w:rFonts w:cs="Arial" w:ascii="Trebuchet MS" w:hAnsi="Trebuchet MS"/>
          <w:b/>
          <w:bCs/>
          <w:sz w:val="22"/>
          <w:szCs w:val="22"/>
        </w:rPr>
        <w:t xml:space="preserve"> </w:t>
      </w:r>
      <w:r>
        <w:rPr>
          <w:rFonts w:cs="Arial" w:ascii="Trebuchet MS" w:hAnsi="Trebuchet MS"/>
          <w:bCs/>
          <w:sz w:val="22"/>
          <w:szCs w:val="22"/>
        </w:rPr>
        <w:t xml:space="preserve">La vigilancia, seguimiento y control del cumplimiento de las obligaciones a cargo del CONTRATISTA, serán ejercidas por el supervisor designado por el Ordenador del Gasto o quien haga sus veces. </w:t>
      </w:r>
      <w:r>
        <w:rPr>
          <w:rFonts w:cs="Arial" w:ascii="Trebuchet MS" w:hAnsi="Trebuchet MS"/>
          <w:b/>
          <w:bCs/>
          <w:sz w:val="22"/>
          <w:szCs w:val="22"/>
          <w:u w:val="single"/>
        </w:rPr>
        <w:t>CLÁUSULA DÉCIMA QUINTA.- INDEMNIDAD:</w:t>
      </w:r>
      <w:r>
        <w:rPr>
          <w:rFonts w:cs="Arial" w:ascii="Trebuchet MS" w:hAnsi="Trebuchet MS"/>
          <w:b/>
          <w:bCs/>
          <w:sz w:val="22"/>
          <w:szCs w:val="22"/>
        </w:rPr>
        <w:t xml:space="preserve"> </w:t>
      </w:r>
      <w:r>
        <w:rPr>
          <w:rFonts w:cs="Arial" w:ascii="Trebuchet MS" w:hAnsi="Trebuchet MS"/>
          <w:bCs/>
          <w:sz w:val="22"/>
          <w:szCs w:val="22"/>
        </w:rPr>
        <w:t>El</w:t>
      </w:r>
      <w:r>
        <w:rPr>
          <w:rFonts w:cs="Arial" w:ascii="Trebuchet MS" w:hAnsi="Trebuchet MS"/>
          <w:sz w:val="22"/>
          <w:szCs w:val="22"/>
        </w:rPr>
        <w:t xml:space="preserve"> CONTRATISTA acepta su obligación de mantener libre o exento de daño a La DEFENSORÍA, de cualquier reclamación proveniente de terceros que tenga como causa sus actuaciones; así mismo, </w:t>
      </w:r>
      <w:r>
        <w:rPr>
          <w:rFonts w:cs="Arial" w:ascii="Trebuchet MS" w:hAnsi="Trebuchet MS"/>
          <w:spacing w:val="-3"/>
          <w:sz w:val="22"/>
          <w:szCs w:val="22"/>
        </w:rPr>
        <w:t>se obliga a mantener indemne a La DEFENSORÍA</w:t>
      </w:r>
      <w:r>
        <w:rPr>
          <w:rFonts w:cs="Arial" w:ascii="Trebuchet MS" w:hAnsi="Trebuchet MS"/>
          <w:bCs/>
          <w:spacing w:val="-3"/>
          <w:sz w:val="22"/>
          <w:szCs w:val="22"/>
        </w:rPr>
        <w:t xml:space="preserve"> </w:t>
      </w:r>
      <w:r>
        <w:rPr>
          <w:rFonts w:cs="Arial" w:ascii="Trebuchet MS" w:hAnsi="Trebuchet MS"/>
          <w:spacing w:val="-3"/>
          <w:sz w:val="22"/>
          <w:szCs w:val="22"/>
        </w:rPr>
        <w:t xml:space="preserve">por cualquier concepto tributario derivado de la celebración, ejecución o liquidación del presente contrato. </w:t>
      </w:r>
      <w:r>
        <w:rPr>
          <w:rFonts w:cs="Arial" w:ascii="Trebuchet MS" w:hAnsi="Trebuchet MS"/>
          <w:b/>
          <w:bCs/>
          <w:sz w:val="22"/>
          <w:szCs w:val="22"/>
          <w:u w:val="single"/>
        </w:rPr>
        <w:t>CLÁUSULA DÉCIMA SEXTA.- EXCLUSIÓN DE LA RELACIÓN LABORAL:</w:t>
      </w:r>
      <w:r>
        <w:rPr>
          <w:rFonts w:cs="Arial" w:ascii="Trebuchet MS" w:hAnsi="Trebuchet MS"/>
          <w:b/>
          <w:bCs/>
          <w:sz w:val="22"/>
          <w:szCs w:val="22"/>
        </w:rPr>
        <w:t xml:space="preserve"> </w:t>
      </w:r>
      <w:r>
        <w:rPr>
          <w:rFonts w:cs="Arial" w:ascii="Trebuchet MS" w:hAnsi="Trebuchet MS"/>
          <w:sz w:val="22"/>
          <w:szCs w:val="22"/>
        </w:rPr>
        <w:t xml:space="preserve">El CONTRATISTA </w:t>
      </w:r>
      <w:r>
        <w:rPr>
          <w:rFonts w:eastAsia="SimSun" w:cs="Arial" w:ascii="Trebuchet MS" w:hAnsi="Trebuchet MS"/>
          <w:sz w:val="22"/>
          <w:szCs w:val="22"/>
          <w:lang w:val="es-ES"/>
        </w:rPr>
        <w:t>ejecutará el objeto contractual con plena autonomía técnica y administrativa, sin relación de subordinación o dependencia, por lo que no se genera ninguna clase de vínculo laboral entre</w:t>
      </w:r>
      <w:r>
        <w:rPr>
          <w:rFonts w:cs="Arial" w:ascii="Trebuchet MS" w:hAnsi="Trebuchet MS"/>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Pr>
          <w:rFonts w:cs="Arial" w:ascii="Trebuchet MS" w:hAnsi="Trebuchet MS"/>
          <w:b/>
          <w:bCs/>
          <w:sz w:val="22"/>
          <w:szCs w:val="22"/>
          <w:u w:val="single"/>
        </w:rPr>
        <w:t xml:space="preserve"> CLÁUSULA DÉCIMA SÉPTIMA. - MULTAS Y PROCEDIMIENTO SANCIONATORIO: </w:t>
      </w:r>
      <w:r>
        <w:rPr>
          <w:rFonts w:cs="Arial" w:ascii="Trebuchet MS" w:hAnsi="Trebuchet MS"/>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pPr>
        <w:pStyle w:val="Normal"/>
        <w:tabs>
          <w:tab w:val="clear" w:pos="708"/>
          <w:tab w:val="left" w:pos="-720" w:leader="none"/>
        </w:tabs>
        <w:suppressAutoHyphens w:val="true"/>
        <w:jc w:val="both"/>
        <w:rPr>
          <w:rFonts w:ascii="Trebuchet MS" w:hAnsi="Trebuchet MS" w:cs="Arial"/>
          <w:bCs/>
          <w:sz w:val="22"/>
          <w:szCs w:val="22"/>
        </w:rPr>
      </w:pPr>
      <w:r>
        <w:rPr>
          <w:rFonts w:cs="Arial" w:ascii="Trebuchet MS" w:hAnsi="Trebuchet MS"/>
          <w:bCs/>
          <w:sz w:val="22"/>
          <w:szCs w:val="22"/>
        </w:rPr>
      </w:r>
    </w:p>
    <w:tbl>
      <w:tblPr>
        <w:tblW w:w="10076" w:type="dxa"/>
        <w:jc w:val="left"/>
        <w:tblInd w:w="0" w:type="dxa"/>
        <w:tblLayout w:type="fixed"/>
        <w:tblCellMar>
          <w:top w:w="15" w:type="dxa"/>
          <w:left w:w="15" w:type="dxa"/>
          <w:bottom w:w="15" w:type="dxa"/>
          <w:right w:w="15" w:type="dxa"/>
        </w:tblCellMar>
        <w:tblLook w:firstRow="1" w:noVBand="1" w:lastRow="0" w:firstColumn="1" w:lastColumn="0" w:noHBand="0" w:val="04a0"/>
      </w:tblPr>
      <w:tblGrid>
        <w:gridCol w:w="418"/>
        <w:gridCol w:w="6929"/>
        <w:gridCol w:w="2729"/>
      </w:tblGrid>
      <w:tr>
        <w:trPr>
          <w:tblHeader w:val="true"/>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
                <w:b/>
                <w:bCs/>
                <w:sz w:val="22"/>
                <w:szCs w:val="22"/>
                <w:lang w:val="es-CO"/>
              </w:rPr>
            </w:pPr>
            <w:r>
              <w:rPr>
                <w:rFonts w:cs="Arial" w:ascii="Trebuchet MS" w:hAnsi="Trebuchet MS"/>
                <w:b/>
                <w:bCs/>
                <w:sz w:val="22"/>
                <w:szCs w:val="22"/>
                <w:lang w:val="es-CO"/>
              </w:rPr>
              <w:t>N.º</w:t>
            </w:r>
          </w:p>
        </w:tc>
        <w:tc>
          <w:tcPr>
            <w:tcW w:w="69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
                <w:b/>
                <w:bCs/>
                <w:sz w:val="22"/>
                <w:szCs w:val="22"/>
                <w:lang w:val="es-CO"/>
              </w:rPr>
            </w:pPr>
            <w:r>
              <w:rPr>
                <w:rFonts w:cs="Arial" w:ascii="Trebuchet MS" w:hAnsi="Trebuchet MS"/>
                <w:b/>
                <w:bCs/>
                <w:sz w:val="22"/>
                <w:szCs w:val="22"/>
                <w:lang w:val="es-CO"/>
              </w:rPr>
              <w:t>Conducta o Incumplimiento Específico</w:t>
            </w:r>
          </w:p>
        </w:tc>
        <w:tc>
          <w:tcPr>
            <w:tcW w:w="2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
                <w:b/>
                <w:bCs/>
                <w:sz w:val="22"/>
                <w:szCs w:val="22"/>
                <w:lang w:val="es-CO"/>
              </w:rPr>
            </w:pPr>
            <w:r>
              <w:rPr>
                <w:rFonts w:cs="Arial" w:ascii="Trebuchet MS" w:hAnsi="Trebuchet MS"/>
                <w:b/>
                <w:bCs/>
                <w:sz w:val="22"/>
                <w:szCs w:val="22"/>
                <w:lang w:val="es-CO"/>
              </w:rPr>
              <w:t>Sanción</w:t>
            </w:r>
          </w:p>
        </w:tc>
      </w:tr>
      <w:tr>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1</w:t>
            </w:r>
          </w:p>
        </w:tc>
        <w:tc>
          <w:tcPr>
            <w:tcW w:w="69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No radicar Informe Mensual en SECOP II de acuerdo con los términos establecidos por la entidad.</w:t>
            </w:r>
          </w:p>
        </w:tc>
        <w:tc>
          <w:tcPr>
            <w:tcW w:w="2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
                <w:bCs/>
                <w:sz w:val="22"/>
                <w:szCs w:val="22"/>
                <w:lang w:val="es-CO"/>
              </w:rPr>
              <w:t>Multa:</w:t>
            </w:r>
            <w:r>
              <w:rPr>
                <w:rFonts w:cs="Arial" w:ascii="Trebuchet MS" w:hAnsi="Trebuchet MS"/>
                <w:bCs/>
                <w:sz w:val="22"/>
                <w:szCs w:val="22"/>
                <w:lang w:val="es-CO"/>
              </w:rPr>
              <w:t xml:space="preserve"> 1,5 % de honorarios mensuales por cada día de retraso.</w:t>
            </w:r>
          </w:p>
        </w:tc>
      </w:tr>
      <w:tr>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3</w:t>
            </w:r>
          </w:p>
        </w:tc>
        <w:tc>
          <w:tcPr>
            <w:tcW w:w="69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 xml:space="preserve">No actualizar sistemas de información en 3 días hábiles </w:t>
            </w:r>
            <w:r>
              <w:rPr>
                <w:rFonts w:cs="Arial" w:ascii="Trebuchet MS" w:hAnsi="Trebuchet MS"/>
                <w:bCs/>
                <w:sz w:val="22"/>
                <w:szCs w:val="22"/>
              </w:rPr>
              <w:t>desde la última fecha de la correspondiente actuación.</w:t>
            </w:r>
          </w:p>
        </w:tc>
        <w:tc>
          <w:tcPr>
            <w:tcW w:w="2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
                <w:bCs/>
                <w:sz w:val="22"/>
                <w:szCs w:val="22"/>
                <w:lang w:val="es-CO"/>
              </w:rPr>
              <w:t>Multa:</w:t>
            </w:r>
            <w:r>
              <w:rPr>
                <w:rFonts w:cs="Arial" w:ascii="Trebuchet MS" w:hAnsi="Trebuchet MS"/>
                <w:bCs/>
                <w:sz w:val="22"/>
                <w:szCs w:val="22"/>
                <w:lang w:val="es-CO"/>
              </w:rPr>
              <w:t xml:space="preserve"> 2 % de honorarios mensuales por cada día de retraso.</w:t>
            </w:r>
          </w:p>
        </w:tc>
      </w:tr>
      <w:tr>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4</w:t>
            </w:r>
          </w:p>
        </w:tc>
        <w:tc>
          <w:tcPr>
            <w:tcW w:w="69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Mora en constitución o renovación de póliza de cumplimiento.</w:t>
            </w:r>
          </w:p>
        </w:tc>
        <w:tc>
          <w:tcPr>
            <w:tcW w:w="2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
                <w:bCs/>
                <w:sz w:val="22"/>
                <w:szCs w:val="22"/>
                <w:lang w:val="es-CO"/>
              </w:rPr>
              <w:t>Multa:</w:t>
            </w:r>
            <w:r>
              <w:rPr>
                <w:rFonts w:cs="Arial" w:ascii="Trebuchet MS" w:hAnsi="Trebuchet MS"/>
                <w:bCs/>
                <w:sz w:val="22"/>
                <w:szCs w:val="22"/>
                <w:lang w:val="es-CO"/>
              </w:rPr>
              <w:t xml:space="preserve"> 3 % de honorarios mensuales por cada día de retraso.</w:t>
            </w:r>
          </w:p>
        </w:tc>
      </w:tr>
      <w:tr>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5</w:t>
            </w:r>
          </w:p>
        </w:tc>
        <w:tc>
          <w:tcPr>
            <w:tcW w:w="69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rPr>
              <w:t>Falta de envío mensual a través de la plataforma del SECOP II, copia de los comprobantes de pago de los aportes al sistema de seguridad social en salud, pensiones y riesgos laborales</w:t>
            </w:r>
          </w:p>
        </w:tc>
        <w:tc>
          <w:tcPr>
            <w:tcW w:w="2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
                <w:bCs/>
                <w:sz w:val="22"/>
                <w:szCs w:val="22"/>
                <w:lang w:val="es-CO"/>
              </w:rPr>
              <w:t>Multa:</w:t>
            </w:r>
            <w:r>
              <w:rPr>
                <w:rFonts w:cs="Arial" w:ascii="Trebuchet MS" w:hAnsi="Trebuchet MS"/>
                <w:bCs/>
                <w:sz w:val="22"/>
                <w:szCs w:val="22"/>
                <w:lang w:val="es-CO"/>
              </w:rPr>
              <w:t xml:space="preserve"> 2 % de honorarios mensuales por cada día de retraso.</w:t>
            </w:r>
          </w:p>
        </w:tc>
      </w:tr>
      <w:tr>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7</w:t>
            </w:r>
          </w:p>
        </w:tc>
        <w:tc>
          <w:tcPr>
            <w:tcW w:w="69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No asistir a curso de Derechos Humanos en el término debidamente acordado en el marco de este contrato.</w:t>
            </w:r>
          </w:p>
        </w:tc>
        <w:tc>
          <w:tcPr>
            <w:tcW w:w="2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
                <w:bCs/>
                <w:sz w:val="22"/>
                <w:szCs w:val="22"/>
                <w:lang w:val="es-CO"/>
              </w:rPr>
              <w:t>Multa:</w:t>
            </w:r>
            <w:r>
              <w:rPr>
                <w:rFonts w:cs="Arial" w:ascii="Trebuchet MS" w:hAnsi="Trebuchet MS"/>
                <w:bCs/>
                <w:sz w:val="22"/>
                <w:szCs w:val="22"/>
                <w:lang w:val="es-CO"/>
              </w:rPr>
              <w:t xml:space="preserve"> 1 % de honorarios mensuales (e.g., $ 54.730 COP).</w:t>
            </w:r>
          </w:p>
        </w:tc>
      </w:tr>
      <w:tr>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10</w:t>
            </w:r>
          </w:p>
        </w:tc>
        <w:tc>
          <w:tcPr>
            <w:tcW w:w="69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Retraso en entregar carné institucional o no devolución tras terminación de contrato.</w:t>
            </w:r>
          </w:p>
        </w:tc>
        <w:tc>
          <w:tcPr>
            <w:tcW w:w="2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
                <w:bCs/>
                <w:sz w:val="22"/>
                <w:szCs w:val="22"/>
                <w:lang w:val="es-CO"/>
              </w:rPr>
              <w:t>Multa:</w:t>
            </w:r>
            <w:r>
              <w:rPr>
                <w:rFonts w:cs="Arial" w:ascii="Trebuchet MS" w:hAnsi="Trebuchet MS"/>
                <w:bCs/>
                <w:sz w:val="22"/>
                <w:szCs w:val="22"/>
                <w:lang w:val="es-CO"/>
              </w:rPr>
              <w:t xml:space="preserve"> 1,5 % de honorarios mensuales por cada día de retraso.</w:t>
            </w:r>
          </w:p>
        </w:tc>
      </w:tr>
      <w:tr>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11</w:t>
            </w:r>
          </w:p>
        </w:tc>
        <w:tc>
          <w:tcPr>
            <w:tcW w:w="69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 xml:space="preserve">No </w:t>
            </w:r>
            <w:r>
              <w:rPr>
                <w:rFonts w:cs="Arial" w:ascii="Trebuchet MS" w:hAnsi="Trebuchet MS"/>
                <w:bCs/>
                <w:sz w:val="22"/>
                <w:szCs w:val="22"/>
              </w:rPr>
              <w:t>rendir los informes requeridos por el Supervisor, Defensor del Pueblo Regional o Dirección Nacional de Defensoría Pública, de manera oportuna.</w:t>
            </w:r>
          </w:p>
        </w:tc>
        <w:tc>
          <w:tcPr>
            <w:tcW w:w="2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
                <w:b/>
                <w:bCs/>
                <w:sz w:val="22"/>
                <w:szCs w:val="22"/>
                <w:lang w:val="es-CO"/>
              </w:rPr>
            </w:pPr>
            <w:r>
              <w:rPr>
                <w:rFonts w:cs="Arial" w:ascii="Trebuchet MS" w:hAnsi="Trebuchet MS"/>
                <w:b/>
                <w:bCs/>
                <w:sz w:val="22"/>
                <w:szCs w:val="22"/>
                <w:lang w:val="es-CO"/>
              </w:rPr>
              <w:t>Multa:</w:t>
            </w:r>
            <w:r>
              <w:rPr>
                <w:rFonts w:cs="Arial" w:ascii="Trebuchet MS" w:hAnsi="Trebuchet MS"/>
                <w:bCs/>
                <w:sz w:val="22"/>
                <w:szCs w:val="22"/>
                <w:lang w:val="es-CO"/>
              </w:rPr>
              <w:t xml:space="preserve"> 1,5 % de honorarios mensuales por cada día de retraso.</w:t>
            </w:r>
          </w:p>
        </w:tc>
      </w:tr>
      <w:tr>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12</w:t>
            </w:r>
          </w:p>
        </w:tc>
        <w:tc>
          <w:tcPr>
            <w:tcW w:w="69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rPr>
              <w:t>No atender oportunamente, los requerimientos, instrucciones y recomendaciones que durante el desarrollo del contrato le imparta la DEFENSORÍA, a través del supervisor del contrato</w:t>
            </w:r>
          </w:p>
        </w:tc>
        <w:tc>
          <w:tcPr>
            <w:tcW w:w="2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
                <w:b/>
                <w:bCs/>
                <w:sz w:val="22"/>
                <w:szCs w:val="22"/>
                <w:lang w:val="es-CO"/>
              </w:rPr>
            </w:pPr>
            <w:r>
              <w:rPr>
                <w:rFonts w:cs="Arial" w:ascii="Trebuchet MS" w:hAnsi="Trebuchet MS"/>
                <w:b/>
                <w:bCs/>
                <w:sz w:val="22"/>
                <w:szCs w:val="22"/>
                <w:lang w:val="es-CO"/>
              </w:rPr>
              <w:t>Multa:</w:t>
            </w:r>
            <w:r>
              <w:rPr>
                <w:rFonts w:cs="Arial" w:ascii="Trebuchet MS" w:hAnsi="Trebuchet MS"/>
                <w:bCs/>
                <w:sz w:val="22"/>
                <w:szCs w:val="22"/>
                <w:lang w:val="es-CO"/>
              </w:rPr>
              <w:t xml:space="preserve"> 1,5 % de honorarios mensuales por cada día de retraso.</w:t>
            </w:r>
          </w:p>
        </w:tc>
      </w:tr>
      <w:tr>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13</w:t>
            </w:r>
          </w:p>
        </w:tc>
        <w:tc>
          <w:tcPr>
            <w:tcW w:w="69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rPr>
            </w:pPr>
            <w:r>
              <w:rPr>
                <w:rFonts w:cs="Arial" w:ascii="Trebuchet MS" w:hAnsi="Trebuchet MS"/>
                <w:bCs/>
                <w:sz w:val="22"/>
                <w:szCs w:val="22"/>
              </w:rPr>
              <w:t>No realizar entrevista usuario una vez le haya sido asignado el proceso.</w:t>
            </w:r>
          </w:p>
        </w:tc>
        <w:tc>
          <w:tcPr>
            <w:tcW w:w="2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
                <w:b/>
                <w:bCs/>
                <w:sz w:val="22"/>
                <w:szCs w:val="22"/>
                <w:lang w:val="es-CO"/>
              </w:rPr>
            </w:pPr>
            <w:r>
              <w:rPr>
                <w:rFonts w:cs="Arial" w:ascii="Trebuchet MS" w:hAnsi="Trebuchet MS"/>
                <w:b/>
                <w:bCs/>
                <w:sz w:val="22"/>
                <w:szCs w:val="22"/>
                <w:lang w:val="es-CO"/>
              </w:rPr>
              <w:t>Multa:</w:t>
            </w:r>
            <w:r>
              <w:rPr>
                <w:rFonts w:cs="Arial" w:ascii="Trebuchet MS" w:hAnsi="Trebuchet MS"/>
                <w:bCs/>
                <w:sz w:val="22"/>
                <w:szCs w:val="22"/>
                <w:lang w:val="es-CO"/>
              </w:rPr>
              <w:t xml:space="preserve"> 1,5 % de honorarios mensuales por cada día de retraso.</w:t>
            </w:r>
          </w:p>
        </w:tc>
      </w:tr>
      <w:tr>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14</w:t>
            </w:r>
          </w:p>
        </w:tc>
        <w:tc>
          <w:tcPr>
            <w:tcW w:w="69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rPr>
            </w:pPr>
            <w:r>
              <w:rPr>
                <w:rFonts w:cs="Arial" w:ascii="Trebuchet MS" w:hAnsi="Trebuchet MS"/>
                <w:bCs/>
                <w:sz w:val="22"/>
                <w:szCs w:val="22"/>
              </w:rPr>
              <w:t>Para los casos de representación judicial de víctimas, no realizar las correspondientes visitas o entrevistas personales una (1) vez cada mes a la tercera parte de éstas.</w:t>
            </w:r>
          </w:p>
        </w:tc>
        <w:tc>
          <w:tcPr>
            <w:tcW w:w="2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
                <w:b/>
                <w:bCs/>
                <w:sz w:val="22"/>
                <w:szCs w:val="22"/>
                <w:lang w:val="es-CO"/>
              </w:rPr>
            </w:pPr>
            <w:r>
              <w:rPr>
                <w:rFonts w:cs="Arial" w:ascii="Trebuchet MS" w:hAnsi="Trebuchet MS"/>
                <w:b/>
                <w:bCs/>
                <w:sz w:val="22"/>
                <w:szCs w:val="22"/>
                <w:lang w:val="es-CO"/>
              </w:rPr>
              <w:t>Multa:</w:t>
            </w:r>
            <w:r>
              <w:rPr>
                <w:rFonts w:cs="Arial" w:ascii="Trebuchet MS" w:hAnsi="Trebuchet MS"/>
                <w:bCs/>
                <w:sz w:val="22"/>
                <w:szCs w:val="22"/>
                <w:lang w:val="es-CO"/>
              </w:rPr>
              <w:t xml:space="preserve"> 3 % de honorarios mensuales por cada día de retraso.</w:t>
            </w:r>
          </w:p>
        </w:tc>
      </w:tr>
      <w:tr>
        <w:trPr/>
        <w:tc>
          <w:tcPr>
            <w:tcW w:w="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15</w:t>
            </w:r>
          </w:p>
        </w:tc>
        <w:tc>
          <w:tcPr>
            <w:tcW w:w="69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Cs/>
                <w:sz w:val="22"/>
                <w:szCs w:val="22"/>
                <w:lang w:val="es-CO"/>
              </w:rPr>
              <w:t>Cualquier otro incumplimiento contractual no mencionado anteriormente y que sea susceptible de ser conminable.</w:t>
            </w:r>
          </w:p>
        </w:tc>
        <w:tc>
          <w:tcPr>
            <w:tcW w:w="2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720" w:leader="none"/>
              </w:tabs>
              <w:suppressAutoHyphens w:val="true"/>
              <w:jc w:val="both"/>
              <w:rPr>
                <w:rFonts w:ascii="Trebuchet MS" w:hAnsi="Trebuchet MS" w:cs="Arial"/>
                <w:bCs/>
                <w:sz w:val="22"/>
                <w:szCs w:val="22"/>
                <w:lang w:val="es-CO"/>
              </w:rPr>
            </w:pPr>
            <w:r>
              <w:rPr>
                <w:rFonts w:cs="Arial" w:ascii="Trebuchet MS" w:hAnsi="Trebuchet MS"/>
                <w:b/>
                <w:bCs/>
                <w:sz w:val="22"/>
                <w:szCs w:val="22"/>
                <w:lang w:val="es-CO"/>
              </w:rPr>
              <w:t>Multa:</w:t>
            </w:r>
            <w:r>
              <w:rPr>
                <w:rFonts w:cs="Arial" w:ascii="Trebuchet MS" w:hAnsi="Trebuchet MS"/>
                <w:bCs/>
                <w:sz w:val="22"/>
                <w:szCs w:val="22"/>
                <w:lang w:val="es-CO"/>
              </w:rPr>
              <w:t xml:space="preserve"> 1 % de honorarios mensuales por cada día de retraso.</w:t>
            </w:r>
          </w:p>
        </w:tc>
      </w:tr>
    </w:tbl>
    <w:p>
      <w:pPr>
        <w:pStyle w:val="Normal"/>
        <w:tabs>
          <w:tab w:val="clear" w:pos="708"/>
          <w:tab w:val="left" w:pos="-720" w:leader="none"/>
        </w:tabs>
        <w:suppressAutoHyphens w:val="true"/>
        <w:jc w:val="both"/>
        <w:rPr>
          <w:rFonts w:ascii="Trebuchet MS" w:hAnsi="Trebuchet MS" w:cs="Arial"/>
          <w:sz w:val="22"/>
          <w:szCs w:val="22"/>
        </w:rPr>
      </w:pPr>
      <w:r>
        <w:rPr>
          <w:rFonts w:cs="Arial" w:ascii="Trebuchet MS" w:hAnsi="Trebuchet MS"/>
          <w:sz w:val="22"/>
          <w:szCs w:val="22"/>
        </w:rPr>
      </w:r>
    </w:p>
    <w:p>
      <w:pPr>
        <w:pStyle w:val="Normal"/>
        <w:tabs>
          <w:tab w:val="clear" w:pos="708"/>
          <w:tab w:val="left" w:pos="-720" w:leader="none"/>
        </w:tabs>
        <w:suppressAutoHyphens w:val="true"/>
        <w:jc w:val="both"/>
        <w:rPr>
          <w:rFonts w:ascii="Trebuchet MS" w:hAnsi="Trebuchet MS"/>
          <w:sz w:val="22"/>
          <w:szCs w:val="22"/>
        </w:rPr>
      </w:pPr>
      <w:r>
        <w:rPr>
          <w:rFonts w:cs="Arial" w:ascii="Trebuchet MS" w:hAnsi="Trebuchet MS"/>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Pr>
          <w:rFonts w:cs="Arial" w:ascii="Trebuchet MS" w:hAnsi="Trebuchet MS"/>
          <w:bCs/>
          <w:sz w:val="22"/>
          <w:szCs w:val="22"/>
        </w:rPr>
        <w:t xml:space="preserve"> PARÁGRAFO No 3: </w:t>
      </w:r>
      <w:r>
        <w:rPr>
          <w:rFonts w:cs="Arial" w:ascii="Trebuchet MS" w:hAnsi="Trebuchet MS"/>
          <w:bCs/>
          <w:sz w:val="22"/>
          <w:szCs w:val="22"/>
          <w:lang w:val="es-CO"/>
        </w:rPr>
        <w:t xml:space="preserve">Las multas a las que se refiere esta cláusula son apremios al </w:t>
      </w:r>
      <w:r>
        <w:rPr>
          <w:rFonts w:cs="Arial" w:ascii="Trebuchet MS" w:hAnsi="Trebuchet MS"/>
          <w:sz w:val="22"/>
          <w:szCs w:val="22"/>
          <w:lang w:val="es-CO"/>
        </w:rPr>
        <w:t>CONTRATISTA</w:t>
      </w:r>
      <w:r>
        <w:rPr>
          <w:rFonts w:cs="Arial" w:ascii="Trebuchet MS" w:hAnsi="Trebuchet MS"/>
          <w:b/>
          <w:bCs/>
          <w:sz w:val="22"/>
          <w:szCs w:val="22"/>
          <w:lang w:val="es-CO"/>
        </w:rPr>
        <w:t xml:space="preserve"> </w:t>
      </w:r>
      <w:r>
        <w:rPr>
          <w:rFonts w:cs="Arial" w:ascii="Trebuchet MS" w:hAnsi="Trebuchet MS"/>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Pr>
          <w:rFonts w:cs="Arial" w:ascii="Trebuchet MS" w:hAnsi="Trebuchet MS"/>
          <w:b/>
          <w:bCs/>
          <w:sz w:val="22"/>
          <w:szCs w:val="22"/>
          <w:u w:val="single"/>
        </w:rPr>
        <w:t xml:space="preserve">CLÁUSULA DÉCIMA OCTAVA. CLÁUSULA </w:t>
      </w:r>
      <w:r>
        <w:rPr>
          <w:rFonts w:ascii="Trebuchet MS" w:hAnsi="Trebuchet MS"/>
          <w:b/>
          <w:bCs/>
          <w:sz w:val="22"/>
          <w:szCs w:val="22"/>
          <w:u w:val="single"/>
        </w:rPr>
        <w:t>PENAL PECUNIARIA:</w:t>
      </w:r>
      <w:r>
        <w:rPr>
          <w:rFonts w:ascii="Trebuchet MS" w:hAnsi="Trebuchet MS"/>
          <w:b/>
          <w:bCs/>
          <w:sz w:val="22"/>
          <w:szCs w:val="22"/>
        </w:rPr>
        <w:t xml:space="preserve"> </w:t>
      </w:r>
      <w:r>
        <w:rPr>
          <w:rFonts w:ascii="Trebuchet MS" w:hAnsi="Trebuchet MS"/>
          <w:sz w:val="22"/>
          <w:szCs w:val="22"/>
        </w:rPr>
        <w:t xml:space="preserve">En caso de incumplimiento definitivo por parte de EL CONTRATISTA, </w:t>
      </w:r>
      <w:r>
        <w:rPr>
          <w:rFonts w:ascii="Trebuchet MS" w:hAnsi="Trebuchet MS"/>
          <w:sz w:val="22"/>
          <w:szCs w:val="22"/>
          <w:lang w:val="es-CO"/>
        </w:rPr>
        <w:t xml:space="preserve">mora o retardo en el cumplimiento de sus obligaciones  </w:t>
      </w:r>
      <w:r>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Pr>
          <w:rFonts w:ascii="Trebuchet MS" w:hAnsi="Trebuchet MS"/>
          <w:b/>
          <w:bCs/>
          <w:sz w:val="22"/>
          <w:szCs w:val="22"/>
          <w:lang w:val="es-CO"/>
        </w:rPr>
        <w:t>Contratista</w:t>
      </w:r>
      <w:r>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Pr>
          <w:rFonts w:ascii="Trebuchet MS" w:hAnsi="Trebuchet MS"/>
          <w:sz w:val="22"/>
          <w:szCs w:val="22"/>
        </w:rPr>
        <w:t xml:space="preserve"> </w:t>
      </w:r>
      <w:r>
        <w:rPr>
          <w:rFonts w:ascii="Trebuchet MS" w:hAnsi="Trebuchet MS"/>
          <w:sz w:val="22"/>
          <w:szCs w:val="22"/>
          <w:lang w:val="es-CO"/>
        </w:rPr>
        <w:t xml:space="preserve">EL CONTRATISTA </w:t>
      </w:r>
      <w:r>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Pr>
          <w:rFonts w:cs="Arial" w:ascii="Trebuchet MS" w:hAnsi="Trebuchet MS"/>
          <w:b/>
          <w:bCs/>
          <w:sz w:val="22"/>
          <w:szCs w:val="22"/>
          <w:u w:val="single"/>
        </w:rPr>
        <w:t xml:space="preserve"> </w:t>
      </w:r>
      <w:r>
        <w:rPr>
          <w:rFonts w:cs="Arial" w:ascii="Trebuchet MS" w:hAnsi="Trebuchet MS"/>
          <w:sz w:val="22"/>
          <w:szCs w:val="22"/>
        </w:rPr>
        <w:t xml:space="preserve">PARÁGRAFO No 2: </w:t>
      </w:r>
      <w:r>
        <w:rPr>
          <w:rFonts w:cs="Arial" w:ascii="Trebuchet MS" w:hAnsi="Trebuchet MS"/>
          <w:sz w:val="22"/>
          <w:szCs w:val="22"/>
          <w:lang w:val="es-CO"/>
        </w:rPr>
        <w:t xml:space="preserve">El pago o deducción de la cláusula penal no exonerará al Contratista, del cumplimiento de sus obligaciones emanadas del Contrato incluyendo de la que se declara el incumplimiento. </w:t>
      </w:r>
      <w:r>
        <w:rPr>
          <w:rFonts w:cs="Arial" w:ascii="Trebuchet MS" w:hAnsi="Trebuchet MS"/>
          <w:b/>
          <w:bCs/>
          <w:sz w:val="22"/>
          <w:szCs w:val="22"/>
          <w:u w:val="single"/>
        </w:rPr>
        <w:t>CLÁUSULA DÉCIMA NOVENA.- CESIÓN</w:t>
      </w:r>
      <w:r>
        <w:rPr>
          <w:rFonts w:cs="Arial" w:ascii="Trebuchet MS" w:hAnsi="Trebuchet MS"/>
          <w:b/>
          <w:bCs/>
          <w:sz w:val="22"/>
          <w:szCs w:val="22"/>
        </w:rPr>
        <w:t xml:space="preserve">: </w:t>
      </w:r>
      <w:r>
        <w:rPr>
          <w:rFonts w:cs="Arial" w:ascii="Trebuchet MS" w:hAnsi="Trebuchet MS"/>
          <w:bCs/>
          <w:sz w:val="22"/>
          <w:szCs w:val="22"/>
        </w:rPr>
        <w:t>El</w:t>
      </w:r>
      <w:r>
        <w:rPr>
          <w:rFonts w:cs="Arial" w:ascii="Trebuchet MS" w:hAnsi="Trebuchet MS"/>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Pr>
          <w:rFonts w:cs="Arial" w:ascii="Trebuchet MS" w:hAnsi="Trebuchet MS"/>
          <w:b/>
          <w:bCs/>
          <w:sz w:val="22"/>
          <w:szCs w:val="22"/>
          <w:u w:val="single"/>
        </w:rPr>
        <w:t>CLÁUSULA VIGÉSIMA.- DOMICILIO CONTRACTUAL.-</w:t>
      </w:r>
      <w:r>
        <w:rPr>
          <w:rFonts w:cs="Arial" w:ascii="Trebuchet MS" w:hAnsi="Trebuchet MS"/>
          <w:b/>
          <w:bCs/>
          <w:sz w:val="22"/>
          <w:szCs w:val="22"/>
        </w:rPr>
        <w:t xml:space="preserve"> </w:t>
      </w:r>
      <w:r>
        <w:rPr>
          <w:rFonts w:cs="Arial" w:ascii="Trebuchet MS" w:hAnsi="Trebuchet MS"/>
          <w:sz w:val="22"/>
          <w:szCs w:val="22"/>
        </w:rPr>
        <w:t>Para todos los efectos legales y contractuales el domicilio contractual será la ciudad de Bogotá D.C., Colombia.</w:t>
      </w:r>
      <w:r>
        <w:rPr>
          <w:rFonts w:cs="Arial" w:ascii="Trebuchet MS" w:hAnsi="Trebuchet MS"/>
          <w:b/>
          <w:bCs/>
          <w:sz w:val="22"/>
          <w:szCs w:val="22"/>
          <w:u w:val="single"/>
        </w:rPr>
        <w:t xml:space="preserve"> CLÁUSULA VIGÉSIMA PRIMERA.- SOLUCIÓN DE CONFLICTOS:</w:t>
      </w:r>
      <w:r>
        <w:rPr>
          <w:rFonts w:cs="Arial" w:ascii="Trebuchet MS" w:hAnsi="Trebuchet MS"/>
          <w:b/>
          <w:bCs/>
          <w:sz w:val="22"/>
          <w:szCs w:val="22"/>
        </w:rPr>
        <w:t xml:space="preserve"> </w:t>
      </w:r>
      <w:r>
        <w:rPr>
          <w:rFonts w:cs="Arial" w:ascii="Trebuchet MS" w:hAnsi="Trebuchet MS"/>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Pr>
          <w:rFonts w:cs="Arial" w:ascii="Trebuchet MS" w:hAnsi="Trebuchet MS"/>
          <w:b/>
          <w:bCs/>
          <w:sz w:val="22"/>
          <w:szCs w:val="22"/>
          <w:u w:val="single"/>
        </w:rPr>
        <w:t xml:space="preserve"> CLÁUSULA VIGÉSIMA SEGUNDA.- SISTEMA DE GESTIÓN DE LA SEGURIDAD Y SALUD EN EL TRABAJO (SG-SST):</w:t>
      </w:r>
      <w:r>
        <w:rPr>
          <w:rFonts w:cs="Arial" w:ascii="Trebuchet MS" w:hAnsi="Trebuchet MS"/>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Pr>
          <w:rFonts w:cs="Arial" w:ascii="Trebuchet MS" w:hAnsi="Trebuchet MS"/>
          <w:sz w:val="22"/>
          <w:szCs w:val="22"/>
          <w:lang w:eastAsia="es-CO"/>
        </w:rPr>
        <w:t>incluyendo lo definido en el Manual de requisitos de SST para la contratación,</w:t>
      </w:r>
      <w:r>
        <w:rPr>
          <w:rFonts w:cs="Arial" w:ascii="Trebuchet MS" w:hAnsi="Trebuchet MS"/>
          <w:bCs/>
          <w:sz w:val="22"/>
          <w:szCs w:val="22"/>
        </w:rPr>
        <w:t xml:space="preserve"> de conformidad con el artículo 2.2.4.6.4 del Decreto Único Reglamentario 1072 de 2015. </w:t>
      </w:r>
      <w:r>
        <w:rPr>
          <w:rFonts w:cs="Arial" w:ascii="Trebuchet MS" w:hAnsi="Trebuchet MS"/>
          <w:b/>
          <w:bCs/>
          <w:sz w:val="22"/>
          <w:szCs w:val="22"/>
          <w:u w:val="single"/>
        </w:rPr>
        <w:t xml:space="preserve">CLÁUSULA VIGÉSIMA TERCERA.- SUSPENSIÓN: </w:t>
      </w:r>
      <w:r>
        <w:rPr>
          <w:rFonts w:cs="Arial" w:ascii="Trebuchet MS" w:hAnsi="Trebuchet MS"/>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Pr>
          <w:rFonts w:cs="Arial" w:ascii="Trebuchet MS" w:hAnsi="Trebuchet MS"/>
          <w:b/>
          <w:bCs/>
          <w:sz w:val="22"/>
          <w:szCs w:val="22"/>
          <w:u w:val="single"/>
        </w:rPr>
        <w:t>PARÁGRAFO:</w:t>
      </w:r>
      <w:r>
        <w:rPr>
          <w:rFonts w:cs="Arial" w:ascii="Trebuchet MS" w:hAnsi="Trebuchet MS"/>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Pr>
          <w:rFonts w:cs="Arial" w:ascii="Trebuchet MS" w:hAnsi="Trebuchet MS"/>
          <w:b/>
          <w:bCs/>
          <w:sz w:val="22"/>
          <w:szCs w:val="22"/>
          <w:u w:val="single"/>
        </w:rPr>
        <w:t xml:space="preserve"> CLÁUSULA VIGÉSIMA CUARTA.- TERMINACIÓN DEL CONTRATO:</w:t>
      </w:r>
      <w:r>
        <w:rPr>
          <w:rFonts w:cs="Arial" w:ascii="Trebuchet MS" w:hAnsi="Trebuchet MS"/>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Pr>
          <w:rFonts w:cs="Arial" w:ascii="Trebuchet MS" w:hAnsi="Trebuchet MS"/>
          <w:bCs/>
          <w:color w:val="000000" w:themeColor="text1"/>
          <w:sz w:val="22"/>
          <w:szCs w:val="22"/>
        </w:rPr>
        <w:t>por parte de la Defensoría del Pueblo</w:t>
      </w:r>
      <w:r>
        <w:rPr>
          <w:rFonts w:cs="Arial" w:ascii="Trebuchet MS" w:hAnsi="Trebuchet MS"/>
          <w:bCs/>
          <w:sz w:val="22"/>
          <w:szCs w:val="22"/>
        </w:rPr>
        <w:t xml:space="preserve">, en los supuestos previstos en la ley. </w:t>
      </w:r>
      <w:r>
        <w:rPr>
          <w:rFonts w:cs="Arial" w:ascii="Trebuchet MS" w:hAnsi="Trebuchet MS"/>
          <w:b/>
          <w:bCs/>
          <w:sz w:val="22"/>
          <w:szCs w:val="22"/>
          <w:u w:val="single"/>
        </w:rPr>
        <w:t>PARÁGRAFO PRIMERO:</w:t>
      </w:r>
      <w:r>
        <w:rPr>
          <w:rFonts w:cs="Arial" w:ascii="Trebuchet MS" w:hAnsi="Trebuchet MS"/>
          <w:b/>
          <w:bCs/>
          <w:sz w:val="22"/>
          <w:szCs w:val="22"/>
        </w:rPr>
        <w:t xml:space="preserve"> </w:t>
      </w:r>
      <w:r>
        <w:rPr>
          <w:rFonts w:cs="Arial" w:ascii="Trebuchet MS" w:hAnsi="Trebuchet MS"/>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Pr>
          <w:rFonts w:cs="Arial" w:ascii="Trebuchet MS" w:hAnsi="Trebuchet MS"/>
          <w:b/>
          <w:bCs/>
          <w:sz w:val="22"/>
          <w:szCs w:val="22"/>
          <w:u w:val="single"/>
        </w:rPr>
        <w:t xml:space="preserve">PARÁGRAFO SEGUNDO: </w:t>
      </w:r>
      <w:r>
        <w:rPr>
          <w:rFonts w:cs="Arial" w:ascii="Trebuchet MS" w:hAnsi="Trebuchet MS"/>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Pr>
          <w:rFonts w:cs="Arial" w:ascii="Trebuchet MS" w:hAnsi="Trebuchet MS"/>
          <w:b/>
          <w:bCs/>
          <w:sz w:val="22"/>
          <w:szCs w:val="22"/>
          <w:u w:val="single"/>
        </w:rPr>
        <w:t>PARÁGRAFO TERCERO:</w:t>
      </w:r>
      <w:r>
        <w:rPr>
          <w:rFonts w:cs="Arial" w:ascii="Trebuchet MS" w:hAnsi="Trebuchet MS"/>
          <w:b/>
          <w:bCs/>
          <w:sz w:val="22"/>
          <w:szCs w:val="22"/>
        </w:rPr>
        <w:t xml:space="preserve"> </w:t>
      </w:r>
      <w:r>
        <w:rPr>
          <w:rFonts w:cs="Arial" w:ascii="Trebuchet MS" w:hAnsi="Trebuchet MS"/>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Pr>
          <w:rFonts w:cs="Arial" w:ascii="Trebuchet MS" w:hAnsi="Trebuchet MS"/>
          <w:b/>
          <w:bCs/>
          <w:sz w:val="22"/>
          <w:szCs w:val="22"/>
          <w:u w:val="single"/>
        </w:rPr>
        <w:t>CLAUSULA VIGÉSIMA QUINTA.-</w:t>
      </w:r>
      <w:r>
        <w:rPr>
          <w:rFonts w:cs="Arial" w:ascii="Trebuchet MS" w:hAnsi="Trebuchet MS"/>
          <w:bCs/>
          <w:sz w:val="22"/>
          <w:szCs w:val="22"/>
          <w:u w:val="single"/>
        </w:rPr>
        <w:t xml:space="preserve"> </w:t>
      </w:r>
      <w:r>
        <w:rPr>
          <w:rFonts w:cs="Arial" w:ascii="Trebuchet MS" w:hAnsi="Trebuchet MS"/>
          <w:b/>
          <w:bCs/>
          <w:sz w:val="22"/>
          <w:szCs w:val="22"/>
          <w:u w:val="single"/>
        </w:rPr>
        <w:t xml:space="preserve">INTERPRETACIÓN, MODIFICACIÓN Y TERMINACIÓN UNILATERAL: </w:t>
      </w:r>
      <w:r>
        <w:rPr>
          <w:rFonts w:cs="Arial" w:ascii="Trebuchet MS" w:hAnsi="Trebuchet MS"/>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cs="Arial" w:ascii="Trebuchet MS" w:hAnsi="Trebuchet MS"/>
          <w:b/>
          <w:bCs/>
          <w:sz w:val="22"/>
          <w:szCs w:val="22"/>
          <w:u w:val="single"/>
        </w:rPr>
        <w:t>CLÁUSULA VIGÉSIMA SEXTA.- CADUCIDAD</w:t>
      </w:r>
      <w:r>
        <w:rPr>
          <w:rFonts w:cs="Arial" w:ascii="Trebuchet MS" w:hAnsi="Trebuchet MS"/>
          <w:bCs/>
          <w:sz w:val="22"/>
          <w:szCs w:val="22"/>
          <w:u w:val="single"/>
        </w:rPr>
        <w:t xml:space="preserve"> </w:t>
      </w:r>
      <w:r>
        <w:rPr>
          <w:rFonts w:cs="Arial" w:ascii="Trebuchet MS" w:hAnsi="Trebuchet MS"/>
          <w:b/>
          <w:bCs/>
          <w:sz w:val="22"/>
          <w:szCs w:val="22"/>
          <w:u w:val="single"/>
        </w:rPr>
        <w:t xml:space="preserve">Y EFECTOS DE LA CADUCIDAD: </w:t>
      </w:r>
      <w:r>
        <w:rPr>
          <w:rFonts w:cs="Arial" w:ascii="Trebuchet MS" w:hAnsi="Trebuchet MS"/>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Pr>
          <w:rFonts w:cs="Arial" w:ascii="Trebuchet MS" w:hAnsi="Trebuchet MS"/>
          <w:b/>
          <w:bCs/>
          <w:sz w:val="22"/>
          <w:szCs w:val="22"/>
          <w:u w:val="single"/>
        </w:rPr>
        <w:t>CLÁUSULA VIGÉSIMA SÉPTIMA.-LIQUIDACIÓN DEL CONTRATO:</w:t>
      </w:r>
      <w:r>
        <w:rPr>
          <w:rFonts w:cs="Arial" w:ascii="Trebuchet MS" w:hAnsi="Trebuchet MS"/>
          <w:b/>
          <w:bCs/>
          <w:sz w:val="22"/>
          <w:szCs w:val="22"/>
        </w:rPr>
        <w:t xml:space="preserve"> </w:t>
      </w:r>
      <w:r>
        <w:rPr>
          <w:rFonts w:cs="Arial" w:ascii="Trebuchet MS" w:hAnsi="Trebuchet MS"/>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Pr>
          <w:rFonts w:cs="Arial" w:ascii="Trebuchet MS" w:hAnsi="Trebuchet MS"/>
          <w:b/>
          <w:bCs/>
          <w:sz w:val="22"/>
          <w:szCs w:val="22"/>
          <w:u w:val="single"/>
        </w:rPr>
        <w:t>CLÁUSULA VIGÉSIMA OCTAVA.-</w:t>
      </w:r>
      <w:r>
        <w:rPr>
          <w:rFonts w:cs="Arial" w:ascii="Trebuchet MS" w:hAnsi="Trebuchet MS"/>
          <w:bCs/>
          <w:sz w:val="22"/>
          <w:szCs w:val="22"/>
        </w:rPr>
        <w:t xml:space="preserve"> </w:t>
      </w:r>
      <w:r>
        <w:rPr>
          <w:rFonts w:cs="Arial" w:ascii="Trebuchet MS" w:hAnsi="Trebuchet MS"/>
          <w:b/>
          <w:bCs/>
          <w:sz w:val="22"/>
          <w:szCs w:val="22"/>
          <w:u w:val="single"/>
        </w:rPr>
        <w:t>DOCUMENTOS DEL CONTRATO</w:t>
      </w:r>
      <w:r>
        <w:rPr>
          <w:rFonts w:cs="Arial" w:ascii="Trebuchet MS" w:hAnsi="Trebuchet MS"/>
          <w:b/>
          <w:bCs/>
          <w:sz w:val="22"/>
          <w:szCs w:val="22"/>
        </w:rPr>
        <w:t xml:space="preserve">: </w:t>
      </w:r>
      <w:r>
        <w:rPr>
          <w:rFonts w:cs="Arial" w:ascii="Trebuchet MS" w:hAnsi="Trebuchet MS"/>
          <w:sz w:val="22"/>
          <w:szCs w:val="22"/>
        </w:rPr>
        <w:t>Hacen parte integrante del presente contrato los siguientes documentos: 27.</w:t>
      </w:r>
      <w:r>
        <w:rPr>
          <w:rFonts w:cs="Arial" w:ascii="Trebuchet MS" w:hAnsi="Trebuchet MS"/>
          <w:bCs/>
          <w:sz w:val="22"/>
          <w:szCs w:val="22"/>
        </w:rPr>
        <w:t>1.</w:t>
      </w:r>
      <w:r>
        <w:rPr>
          <w:rFonts w:cs="Arial" w:ascii="Trebuchet MS" w:hAnsi="Trebuchet MS"/>
          <w:b/>
          <w:bCs/>
          <w:sz w:val="22"/>
          <w:szCs w:val="22"/>
        </w:rPr>
        <w:t xml:space="preserve"> </w:t>
      </w:r>
      <w:r>
        <w:rPr>
          <w:rFonts w:cs="Arial" w:ascii="Trebuchet MS" w:hAnsi="Trebuchet MS"/>
          <w:sz w:val="22"/>
          <w:szCs w:val="22"/>
        </w:rPr>
        <w:t>El manual de contratación y supervisión. 27.</w:t>
      </w:r>
      <w:r>
        <w:rPr>
          <w:rFonts w:cs="Arial" w:ascii="Trebuchet MS" w:hAnsi="Trebuchet MS"/>
          <w:bCs/>
          <w:sz w:val="22"/>
          <w:szCs w:val="22"/>
        </w:rPr>
        <w:t>2</w:t>
      </w:r>
      <w:r>
        <w:rPr>
          <w:rFonts w:cs="Arial" w:ascii="Trebuchet MS" w:hAnsi="Trebuchet MS"/>
          <w:b/>
          <w:bCs/>
          <w:sz w:val="22"/>
          <w:szCs w:val="22"/>
        </w:rPr>
        <w:t xml:space="preserve">. </w:t>
      </w:r>
      <w:r>
        <w:rPr>
          <w:rFonts w:cs="Arial" w:ascii="Trebuchet MS" w:hAnsi="Trebuchet MS"/>
          <w:sz w:val="22"/>
          <w:szCs w:val="22"/>
        </w:rPr>
        <w:t>Estudios y documentos previos inherentes al contrato. 27.</w:t>
      </w:r>
      <w:r>
        <w:rPr>
          <w:rFonts w:cs="Arial" w:ascii="Trebuchet MS" w:hAnsi="Trebuchet MS"/>
          <w:bCs/>
          <w:sz w:val="22"/>
          <w:szCs w:val="22"/>
        </w:rPr>
        <w:t>3.</w:t>
      </w:r>
      <w:r>
        <w:rPr>
          <w:rFonts w:cs="Arial" w:ascii="Trebuchet MS" w:hAnsi="Trebuchet MS"/>
          <w:b/>
          <w:bCs/>
          <w:sz w:val="22"/>
          <w:szCs w:val="22"/>
        </w:rPr>
        <w:t xml:space="preserve"> </w:t>
      </w:r>
      <w:r>
        <w:rPr>
          <w:rFonts w:cs="Arial" w:ascii="Trebuchet MS" w:hAnsi="Trebuchet MS"/>
          <w:sz w:val="22"/>
          <w:szCs w:val="22"/>
        </w:rPr>
        <w:t>Hoja de vida del CONTRATISTA. 27.</w:t>
      </w:r>
      <w:r>
        <w:rPr>
          <w:rFonts w:cs="Arial" w:ascii="Trebuchet MS" w:hAnsi="Trebuchet MS"/>
          <w:bCs/>
          <w:sz w:val="22"/>
          <w:szCs w:val="22"/>
        </w:rPr>
        <w:t>4.</w:t>
      </w:r>
      <w:r>
        <w:rPr>
          <w:rFonts w:cs="Arial" w:ascii="Trebuchet MS" w:hAnsi="Trebuchet MS"/>
          <w:b/>
          <w:bCs/>
          <w:sz w:val="22"/>
          <w:szCs w:val="22"/>
        </w:rPr>
        <w:t xml:space="preserve"> </w:t>
      </w:r>
      <w:r>
        <w:rPr>
          <w:rFonts w:cs="Arial" w:ascii="Trebuchet MS" w:hAnsi="Trebuchet MS"/>
          <w:sz w:val="22"/>
          <w:szCs w:val="22"/>
        </w:rPr>
        <w:t>Certificado de disponibilidad presupuestal y registro presupuestal. 27.</w:t>
      </w:r>
      <w:r>
        <w:rPr>
          <w:rFonts w:cs="Arial" w:ascii="Trebuchet MS" w:hAnsi="Trebuchet MS"/>
          <w:bCs/>
          <w:sz w:val="22"/>
          <w:szCs w:val="22"/>
        </w:rPr>
        <w:t>5.</w:t>
      </w:r>
      <w:r>
        <w:rPr>
          <w:rFonts w:cs="Arial" w:ascii="Trebuchet MS" w:hAnsi="Trebuchet MS"/>
          <w:b/>
          <w:bCs/>
          <w:sz w:val="22"/>
          <w:szCs w:val="22"/>
        </w:rPr>
        <w:t xml:space="preserve"> </w:t>
      </w:r>
      <w:r>
        <w:rPr>
          <w:rFonts w:cs="Arial" w:ascii="Trebuchet MS" w:hAnsi="Trebuchet MS"/>
          <w:bCs/>
          <w:sz w:val="22"/>
          <w:szCs w:val="22"/>
        </w:rPr>
        <w:t>Certificado de inhabilidades e incompatibilidades.</w:t>
      </w:r>
      <w:r>
        <w:rPr>
          <w:rFonts w:cs="Arial" w:ascii="Trebuchet MS" w:hAnsi="Trebuchet MS"/>
          <w:b/>
          <w:bCs/>
          <w:sz w:val="22"/>
          <w:szCs w:val="22"/>
        </w:rPr>
        <w:t xml:space="preserve">  </w:t>
      </w:r>
      <w:r>
        <w:rPr>
          <w:rFonts w:cs="Arial" w:ascii="Trebuchet MS" w:hAnsi="Trebuchet MS"/>
          <w:b/>
          <w:sz w:val="22"/>
          <w:szCs w:val="22"/>
          <w:u w:val="single"/>
        </w:rPr>
        <w:t xml:space="preserve">CLAUSULA VIGÉSIMA NOVENA.- </w:t>
      </w:r>
      <w:r>
        <w:rPr>
          <w:rFonts w:cs="Arial" w:ascii="Trebuchet MS" w:hAnsi="Trebuchet MS"/>
          <w:b/>
          <w:bCs/>
          <w:sz w:val="22"/>
          <w:szCs w:val="22"/>
          <w:u w:val="single"/>
        </w:rPr>
        <w:t>REQUISITOS PARA EL PERFECCIONAMIENTO Y EJECUCIÓN DEL CONTRATO:</w:t>
      </w:r>
      <w:r>
        <w:rPr>
          <w:rFonts w:cs="Arial" w:ascii="Trebuchet MS" w:hAnsi="Trebuchet MS"/>
          <w:b/>
          <w:bCs/>
          <w:sz w:val="22"/>
          <w:szCs w:val="22"/>
        </w:rPr>
        <w:t xml:space="preserve"> </w:t>
      </w:r>
      <w:r>
        <w:rPr>
          <w:rFonts w:cs="Arial" w:ascii="Trebuchet MS" w:hAnsi="Trebuchet MS"/>
          <w:sz w:val="22"/>
          <w:szCs w:val="22"/>
        </w:rPr>
        <w:t xml:space="preserve">Este contrato se entiende perfeccionado con la firma de las partes. Para la ejecución se requiere la expedición del Registro Presupuestal y la aprobación de la garantía única. </w:t>
      </w:r>
      <w:r>
        <w:rPr>
          <w:rFonts w:cs="Arial" w:ascii="Trebuchet MS" w:hAnsi="Trebuchet MS"/>
          <w:b/>
          <w:sz w:val="22"/>
          <w:szCs w:val="22"/>
          <w:u w:val="single"/>
        </w:rPr>
        <w:t>PARÁGRAFO</w:t>
      </w:r>
      <w:r>
        <w:rPr>
          <w:rFonts w:cs="Arial" w:ascii="Trebuchet MS" w:hAnsi="Trebuchet MS"/>
          <w:sz w:val="22"/>
          <w:szCs w:val="22"/>
          <w:u w:val="single"/>
        </w:rPr>
        <w:t>:</w:t>
      </w:r>
      <w:r>
        <w:rPr>
          <w:rFonts w:cs="Arial" w:ascii="Trebuchet MS" w:hAnsi="Trebuchet MS"/>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Pr>
          <w:rFonts w:cs="Arial" w:ascii="Trebuchet MS" w:hAnsi="Trebuchet MS"/>
          <w:b/>
          <w:sz w:val="22"/>
          <w:szCs w:val="22"/>
          <w:u w:val="single"/>
        </w:rPr>
        <w:t>CLAUSULA TRIGÉSIMA.-</w:t>
      </w:r>
      <w:r>
        <w:rPr>
          <w:rFonts w:cs="Arial" w:ascii="Trebuchet MS" w:hAnsi="Trebuchet MS"/>
          <w:b/>
          <w:bCs/>
          <w:sz w:val="22"/>
          <w:szCs w:val="22"/>
          <w:u w:val="single"/>
        </w:rPr>
        <w:t>ACTA DE CIERRE DE EXPEDIENTE</w:t>
      </w:r>
      <w:r>
        <w:rPr>
          <w:rFonts w:cs="Arial" w:ascii="Trebuchet MS" w:hAnsi="Trebuchet MS"/>
          <w:b/>
          <w:bCs/>
          <w:sz w:val="22"/>
          <w:szCs w:val="22"/>
        </w:rPr>
        <w:t>:</w:t>
      </w:r>
      <w:r>
        <w:rPr>
          <w:rFonts w:cs="Arial" w:ascii="Trebuchet MS" w:hAnsi="Trebuchet MS"/>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pPr>
        <w:pStyle w:val="Normal"/>
        <w:tabs>
          <w:tab w:val="clear" w:pos="708"/>
          <w:tab w:val="left" w:pos="-720" w:leader="none"/>
        </w:tabs>
        <w:suppressAutoHyphens w:val="true"/>
        <w:jc w:val="both"/>
        <w:rPr>
          <w:rFonts w:ascii="Trebuchet MS" w:hAnsi="Trebuchet MS" w:cs="Arial"/>
          <w:b/>
          <w:b/>
          <w:sz w:val="22"/>
          <w:szCs w:val="22"/>
        </w:rPr>
      </w:pPr>
      <w:r>
        <w:rPr>
          <w:rFonts w:cs="Arial" w:ascii="Trebuchet MS" w:hAnsi="Trebuchet MS"/>
          <w:b/>
          <w:sz w:val="22"/>
          <w:szCs w:val="22"/>
        </w:rPr>
      </w:r>
    </w:p>
    <w:p>
      <w:pPr>
        <w:pStyle w:val="Normal"/>
        <w:tabs>
          <w:tab w:val="clear" w:pos="708"/>
          <w:tab w:val="left" w:pos="-720" w:leader="none"/>
        </w:tabs>
        <w:suppressAutoHyphens w:val="true"/>
        <w:jc w:val="both"/>
        <w:rPr>
          <w:rFonts w:ascii="Trebuchet MS" w:hAnsi="Trebuchet MS" w:cs="Arial"/>
          <w:spacing w:val="-3"/>
          <w:sz w:val="22"/>
          <w:szCs w:val="22"/>
        </w:rPr>
      </w:pPr>
      <w:r>
        <w:rPr>
          <w:rFonts w:cs="Arial" w:ascii="Trebuchet MS" w:hAnsi="Trebuchet MS"/>
          <w:spacing w:val="-3"/>
          <w:sz w:val="22"/>
          <w:szCs w:val="22"/>
        </w:rPr>
        <w:t>En constancia se suscribe en la ciudad de Bogotá D.C., a través del SECOP II.</w:t>
      </w:r>
    </w:p>
    <w:p>
      <w:pPr>
        <w:pStyle w:val="Normal"/>
        <w:tabs>
          <w:tab w:val="clear" w:pos="708"/>
          <w:tab w:val="left" w:pos="-720" w:leader="none"/>
        </w:tabs>
        <w:suppressAutoHyphens w:val="true"/>
        <w:jc w:val="both"/>
        <w:rPr>
          <w:rFonts w:ascii="Trebuchet MS" w:hAnsi="Trebuchet MS" w:cs="Arial"/>
          <w:spacing w:val="-3"/>
          <w:sz w:val="22"/>
          <w:szCs w:val="22"/>
        </w:rPr>
      </w:pPr>
      <w:r>
        <w:rPr>
          <w:rFonts w:cs="Arial" w:ascii="Trebuchet MS" w:hAnsi="Trebuchet MS"/>
          <w:spacing w:val="-3"/>
          <w:sz w:val="22"/>
          <w:szCs w:val="22"/>
        </w:rPr>
      </w:r>
    </w:p>
    <w:p>
      <w:pPr>
        <w:pStyle w:val="Normal"/>
        <w:widowControl/>
        <w:tabs>
          <w:tab w:val="clear" w:pos="708"/>
          <w:tab w:val="left" w:pos="-720" w:leader="none"/>
          <w:tab w:val="left" w:pos="8970" w:leader="none"/>
        </w:tabs>
        <w:suppressAutoHyphens w:val="true"/>
        <w:overflowPunct w:val="true"/>
        <w:jc w:val="both"/>
        <w:textAlignment w:val="baseline"/>
        <w:rPr>
          <w:rFonts w:ascii="Trebuchet MS" w:hAnsi="Trebuchet MS" w:cs="Arial"/>
          <w:i/>
          <w:i/>
          <w:sz w:val="22"/>
          <w:szCs w:val="22"/>
        </w:rPr>
      </w:pPr>
      <w:r>
        <w:rPr>
          <w:rFonts w:cs="Arial" w:ascii="Trebuchet MS" w:hAnsi="Trebuchet MS"/>
          <w:b/>
          <w:i/>
          <w:sz w:val="22"/>
          <w:szCs w:val="22"/>
        </w:rPr>
        <w:t>Revisó:</w:t>
      </w:r>
      <w:r>
        <w:rPr>
          <w:rFonts w:cs="Arial" w:ascii="Trebuchet MS" w:hAnsi="Trebuchet MS"/>
          <w:i/>
          <w:sz w:val="22"/>
          <w:szCs w:val="22"/>
        </w:rPr>
        <w:t xml:space="preserve"> Victoria de Jesús Maduro Goenaga – Coordinadora del Grupo de Registro y Selección de Operadores </w:t>
      </w:r>
    </w:p>
    <w:p>
      <w:pPr>
        <w:pStyle w:val="Normal"/>
        <w:tabs>
          <w:tab w:val="clear" w:pos="708"/>
          <w:tab w:val="left" w:pos="-720" w:leader="none"/>
        </w:tabs>
        <w:suppressAutoHyphens w:val="true"/>
        <w:jc w:val="both"/>
        <w:rPr>
          <w:rFonts w:ascii="Trebuchet MS" w:hAnsi="Trebuchet MS"/>
          <w:sz w:val="22"/>
          <w:szCs w:val="22"/>
        </w:rPr>
      </w:pPr>
      <w:r>
        <w:rPr>
          <w:rFonts w:cs="Arial" w:ascii="Trebuchet MS" w:hAnsi="Trebuchet MS"/>
          <w:b/>
          <w:i/>
          <w:sz w:val="22"/>
          <w:szCs w:val="22"/>
        </w:rPr>
        <w:t>Aprobó: Jhonny Marcel Diaz Ortega – Director Nacional de Defensoría Pública</w:t>
      </w:r>
    </w:p>
    <w:p>
      <w:pPr>
        <w:pStyle w:val="Normal"/>
        <w:tabs>
          <w:tab w:val="clear" w:pos="708"/>
          <w:tab w:val="left" w:pos="-720" w:leader="none"/>
        </w:tabs>
        <w:suppressAutoHyphens w:val="true"/>
        <w:jc w:val="both"/>
        <w:rPr>
          <w:rFonts w:ascii="Trebuchet MS" w:hAnsi="Trebuchet MS"/>
          <w:sz w:val="22"/>
          <w:szCs w:val="22"/>
        </w:rPr>
      </w:pPr>
      <w:r>
        <w:rPr/>
      </w:r>
    </w:p>
    <w:sectPr>
      <w:headerReference w:type="default" r:id="rId3"/>
      <w:headerReference w:type="first" r:id="rId4"/>
      <w:footerReference w:type="default" r:id="rId5"/>
      <w:footerReference w:type="first" r:id="rId6"/>
      <w:type w:val="nextPage"/>
      <w:pgSz w:w="12240" w:h="15840"/>
      <w:pgMar w:left="1077" w:right="1077" w:header="0" w:top="1440" w:footer="624" w:bottom="1191" w:gutter="0"/>
      <w:pgNumType w:start="1" w:fmt="decimal"/>
      <w:formProt w:val="false"/>
      <w:titlePg/>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ourier New">
    <w:charset w:val="00"/>
    <w:family w:val="roman"/>
    <w:pitch w:val="variable"/>
  </w:font>
  <w:font w:name="Arial">
    <w:charset w:val="00"/>
    <w:family w:val="roman"/>
    <w:pitch w:val="variable"/>
  </w:font>
  <w:font w:name="Segoe UI">
    <w:charset w:val="00"/>
    <w:family w:val="roman"/>
    <w:pitch w:val="variable"/>
  </w:font>
  <w:font w:name="Arial Narrow">
    <w:charset w:val="00"/>
    <w:family w:val="roman"/>
    <w:pitch w:val="variable"/>
  </w:font>
  <w:font w:name="Liberation Sans">
    <w:altName w:val="Arial"/>
    <w:charset w:val="00"/>
    <w:family w:val="swiss"/>
    <w:pitch w:val="variable"/>
  </w:font>
  <w:font w:name="Trebuchet M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pBdr>
        <w:top w:val="single" w:sz="4" w:space="1" w:color="000000"/>
      </w:pBdr>
      <w:jc w:val="center"/>
      <w:rPr>
        <w:rFonts w:ascii="Arial" w:hAnsi="Arial"/>
        <w:b/>
        <w:b/>
        <w:sz w:val="21"/>
        <w:szCs w:val="21"/>
      </w:rPr>
    </w:pPr>
    <w:r>
      <w:rPr>
        <w:rFonts w:ascii="Arial" w:hAnsi="Arial"/>
        <w:b/>
        <w:sz w:val="21"/>
        <w:szCs w:val="21"/>
      </w:rPr>
    </w:r>
  </w:p>
  <w:p>
    <w:pPr>
      <w:pStyle w:val="Piedepgina"/>
      <w:pBdr>
        <w:top w:val="single" w:sz="4" w:space="1" w:color="000000"/>
      </w:pBdr>
      <w:jc w:val="center"/>
      <w:rPr>
        <w:rFonts w:ascii="Arial" w:hAnsi="Arial" w:cs="Arial"/>
        <w:b/>
        <w:b/>
        <w:bCs/>
        <w:sz w:val="16"/>
      </w:rPr>
    </w:pPr>
    <w:r>
      <w:rPr>
        <w:rFonts w:cs="Arial" w:ascii="Arial" w:hAnsi="Arial"/>
        <w:b/>
        <w:bCs/>
        <w:sz w:val="16"/>
      </w:rPr>
      <w:t>ESTE DOCUMENTO ES VALIDO POR AMBAS CARAS</w:t>
    </w:r>
  </w:p>
  <w:p>
    <w:pPr>
      <w:pStyle w:val="Piedepgina"/>
      <w:pBdr>
        <w:top w:val="single" w:sz="4" w:space="1" w:color="000000"/>
      </w:pBdr>
      <w:jc w:val="center"/>
      <w:rPr>
        <w:rFonts w:ascii="Arial" w:hAnsi="Arial"/>
        <w:sz w:val="18"/>
        <w:szCs w:val="17"/>
      </w:rPr>
    </w:pPr>
    <w:r>
      <w:rPr>
        <w:rFonts w:ascii="Arial" w:hAnsi="Arial"/>
        <w:sz w:val="18"/>
        <w:szCs w:val="17"/>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pBdr>
        <w:top w:val="single" w:sz="4" w:space="1" w:color="000000"/>
      </w:pBdr>
      <w:jc w:val="center"/>
      <w:rPr>
        <w:rFonts w:ascii="Arial" w:hAnsi="Arial" w:cs="Arial"/>
        <w:b/>
        <w:b/>
        <w:bCs/>
        <w:sz w:val="16"/>
      </w:rPr>
    </w:pPr>
    <w:r>
      <w:rPr>
        <w:rFonts w:cs="Arial" w:ascii="Arial" w:hAnsi="Arial"/>
        <w:b/>
        <w:bCs/>
        <w:sz w:val="16"/>
      </w:rPr>
      <w:t>ESTE DOCUMENTO ES VALIDO POR AMBAS CARAS</w:t>
    </w:r>
  </w:p>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jc w:val="center"/>
      <w:rPr>
        <w:sz w:val="26"/>
        <w:szCs w:val="26"/>
      </w:rPr>
    </w:pPr>
    <w:r>
      <w:rPr/>
      <w:drawing>
        <wp:inline distT="0" distB="0" distL="0" distR="0">
          <wp:extent cx="873760" cy="985520"/>
          <wp:effectExtent l="0" t="0" r="0" b="0"/>
          <wp:docPr id="1"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02" descr="logotipoPrincipalAzul.jpg"/>
                  <pic:cNvPicPr>
                    <a:picLocks noChangeAspect="1" noChangeArrowheads="1"/>
                  </pic:cNvPicPr>
                </pic:nvPicPr>
                <pic:blipFill>
                  <a:blip r:embed="rId1"/>
                  <a:stretch>
                    <a:fillRect/>
                  </a:stretch>
                </pic:blipFill>
                <pic:spPr bwMode="auto">
                  <a:xfrm>
                    <a:off x="0" y="0"/>
                    <a:ext cx="873760" cy="985520"/>
                  </a:xfrm>
                  <a:prstGeom prst="rect">
                    <a:avLst/>
                  </a:prstGeom>
                </pic:spPr>
              </pic:pic>
            </a:graphicData>
          </a:graphic>
        </wp:inline>
      </w:drawing>
    </w:r>
  </w:p>
  <w:p>
    <w:pPr>
      <w:pStyle w:val="Cabecera"/>
      <w:pBdr>
        <w:bottom w:val="single" w:sz="4" w:space="1" w:color="000000"/>
      </w:pBdr>
      <w:ind w:right="360" w:hanging="0"/>
      <w:jc w:val="both"/>
      <w:rPr>
        <w:rFonts w:ascii="Arial" w:hAnsi="Arial"/>
        <w:b/>
        <w:b/>
        <w:sz w:val="18"/>
        <w:szCs w:val="18"/>
      </w:rPr>
    </w:pPr>
    <w:r>
      <w:drawing>
        <wp:anchor behindDoc="1" distT="0" distB="0" distL="0" distR="0" simplePos="0" locked="0" layoutInCell="0" allowOverlap="1" relativeHeight="12">
          <wp:simplePos x="0" y="0"/>
          <wp:positionH relativeFrom="margin">
            <wp:align>center</wp:align>
          </wp:positionH>
          <wp:positionV relativeFrom="paragraph">
            <wp:posOffset>459740</wp:posOffset>
          </wp:positionV>
          <wp:extent cx="7772400" cy="6626860"/>
          <wp:effectExtent l="0" t="0" r="0" b="0"/>
          <wp:wrapNone/>
          <wp:docPr id="2" name="Imagen 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03" descr=""/>
                  <pic:cNvPicPr>
                    <a:picLocks noChangeAspect="1" noChangeArrowheads="1"/>
                  </pic:cNvPicPr>
                </pic:nvPicPr>
                <pic:blipFill>
                  <a:blip r:embed="rId2"/>
                  <a:stretch>
                    <a:fillRect/>
                  </a:stretch>
                </pic:blipFill>
                <pic:spPr bwMode="auto">
                  <a:xfrm>
                    <a:off x="0" y="0"/>
                    <a:ext cx="7772400" cy="6626860"/>
                  </a:xfrm>
                  <a:prstGeom prst="rect">
                    <a:avLst/>
                  </a:prstGeom>
                </pic:spPr>
              </pic:pic>
            </a:graphicData>
          </a:graphic>
        </wp:anchor>
      </w:drawing>
    </w:r>
    <w:r>
      <w:rPr>
        <w:rFonts w:ascii="Arial" w:hAnsi="Arial"/>
        <w:b/>
        <w:szCs w:val="24"/>
      </w:rPr>
      <w:t>C</w:t>
    </w:r>
    <w:r>
      <w:rPr>
        <w:rFonts w:ascii="Arial" w:hAnsi="Arial"/>
        <w:b/>
        <w:szCs w:val="24"/>
      </w:rPr>
      <w:t xml:space="preserve">ONTRATO </w:t>
    </w:r>
    <w:r>
      <w:rPr>
        <w:rFonts w:cs="Arial" w:ascii="Trebuchet MS" w:hAnsi="Trebuchet MS"/>
        <w:b/>
        <w:spacing w:val="-3"/>
        <w:sz w:val="22"/>
        <w:szCs w:val="22"/>
      </w:rPr>
      <w:t>CD-DP-6536-2025</w:t>
    </w:r>
    <w:r>
      <w:rPr>
        <w:rFonts w:ascii="Arial" w:hAnsi="Arial"/>
        <w:b/>
        <w:szCs w:val="24"/>
      </w:rPr>
      <w:t xml:space="preserve"> DE PRESTACIÓN DE SERVICIOS PROFESIONALES CELEBRADO ENTRE LA DEFENSORÍA DEL PUEBLO Y </w:t>
    </w:r>
    <w:r>
      <w:rPr>
        <w:rFonts w:cs="Arial" w:ascii="Trebuchet MS" w:hAnsi="Trebuchet MS"/>
        <w:b/>
        <w:spacing w:val="-3"/>
        <w:sz w:val="22"/>
        <w:szCs w:val="22"/>
      </w:rPr>
      <w:t>CHARRIS MOVILLA PEDRO SEGUNDO</w:t>
    </w:r>
    <w:r>
      <w:rPr>
        <w:rFonts w:ascii="Arial" w:hAnsi="Arial"/>
        <w:b/>
        <w:sz w:val="18"/>
        <w:szCs w:val="18"/>
      </w:rPr>
      <w:tab/>
      <w:t xml:space="preserve">pág. </w:t>
    </w:r>
    <w:r>
      <w:rPr>
        <w:rFonts w:ascii="Arial" w:hAnsi="Arial"/>
        <w:b/>
        <w:sz w:val="18"/>
        <w:szCs w:val="18"/>
      </w:rPr>
      <w:fldChar w:fldCharType="begin"/>
    </w:r>
    <w:r>
      <w:rPr>
        <w:sz w:val="18"/>
        <w:b/>
        <w:szCs w:val="18"/>
        <w:rFonts w:ascii="Arial" w:hAnsi="Arial"/>
      </w:rPr>
      <w:instrText> PAGE </w:instrText>
    </w:r>
    <w:r>
      <w:rPr>
        <w:sz w:val="18"/>
        <w:b/>
        <w:szCs w:val="18"/>
        <w:rFonts w:ascii="Arial" w:hAnsi="Arial"/>
      </w:rPr>
      <w:fldChar w:fldCharType="separate"/>
    </w:r>
    <w:r>
      <w:rPr>
        <w:sz w:val="18"/>
        <w:b/>
        <w:szCs w:val="18"/>
        <w:rFonts w:ascii="Arial" w:hAnsi="Arial"/>
      </w:rPr>
      <w:t>11</w:t>
    </w:r>
    <w:r>
      <w:rPr>
        <w:sz w:val="18"/>
        <w:b/>
        <w:szCs w:val="18"/>
        <w:rFonts w:ascii="Arial" w:hAnsi="Arial"/>
      </w:rPr>
      <w:fldChar w:fldCharType="end"/>
    </w:r>
    <w:r>
      <w:rPr>
        <w:rFonts w:ascii="Arial" w:hAnsi="Arial"/>
        <w:b/>
        <w:sz w:val="18"/>
        <w:szCs w:val="18"/>
      </w:rPr>
      <w:t xml:space="preserve"> </w:t>
    </w:r>
  </w:p>
  <w:p>
    <w:pPr>
      <w:pStyle w:val="Cabecera"/>
      <w:pBdr>
        <w:bottom w:val="single" w:sz="4" w:space="1" w:color="000000"/>
      </w:pBdr>
      <w:ind w:right="360" w:hanging="0"/>
      <w:jc w:val="both"/>
      <w:rPr>
        <w:rFonts w:ascii="Arial" w:hAnsi="Arial"/>
        <w:b/>
        <w:b/>
        <w:sz w:val="18"/>
        <w:szCs w:val="18"/>
      </w:rPr>
    </w:pPr>
    <w:r>
      <w:rPr>
        <w:rFonts w:ascii="Arial" w:hAnsi="Arial"/>
        <w:b/>
        <w:sz w:val="18"/>
        <w:szCs w:val="18"/>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jc w:val="center"/>
      <w:rPr>
        <w:sz w:val="26"/>
        <w:szCs w:val="26"/>
      </w:rPr>
    </w:pPr>
    <w:r>
      <w:rPr/>
      <w:drawing>
        <wp:inline distT="0" distB="0" distL="0" distR="0">
          <wp:extent cx="873760" cy="985520"/>
          <wp:effectExtent l="0" t="0" r="0" b="0"/>
          <wp:docPr id="3"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04" descr="logotipoPrincipalAzul.jpg"/>
                  <pic:cNvPicPr>
                    <a:picLocks noChangeAspect="1" noChangeArrowheads="1"/>
                  </pic:cNvPicPr>
                </pic:nvPicPr>
                <pic:blipFill>
                  <a:blip r:embed="rId1"/>
                  <a:stretch>
                    <a:fillRect/>
                  </a:stretch>
                </pic:blipFill>
                <pic:spPr bwMode="auto">
                  <a:xfrm>
                    <a:off x="0" y="0"/>
                    <a:ext cx="873760" cy="985520"/>
                  </a:xfrm>
                  <a:prstGeom prst="rect">
                    <a:avLst/>
                  </a:prstGeom>
                </pic:spPr>
              </pic:pic>
            </a:graphicData>
          </a:graphic>
        </wp:inline>
      </w:drawing>
    </w:r>
  </w:p>
  <w:p>
    <w:pPr>
      <w:pStyle w:val="Cabecera"/>
      <w:rPr/>
    </w:pPr>
    <w:r>
      <w:rPr/>
    </w:r>
  </w:p>
  <w:p>
    <w:pPr>
      <w:pStyle w:val="Cabecera"/>
      <w:rPr/>
    </w:pPr>
    <w:r>
      <w:rPr/>
    </w:r>
  </w:p>
  <w:p>
    <w:pPr>
      <w:pStyle w:val="Cabecera"/>
      <w:rPr/>
    </w:pPr>
    <w:r>
      <w:rPr/>
      <w:drawing>
        <wp:anchor behindDoc="1" distT="0" distB="0" distL="0" distR="0" simplePos="0" locked="0" layoutInCell="0" allowOverlap="1" relativeHeight="2">
          <wp:simplePos x="0" y="0"/>
          <wp:positionH relativeFrom="column">
            <wp:posOffset>-929005</wp:posOffset>
          </wp:positionH>
          <wp:positionV relativeFrom="paragraph">
            <wp:posOffset>506095</wp:posOffset>
          </wp:positionV>
          <wp:extent cx="7772400" cy="6626860"/>
          <wp:effectExtent l="0" t="0" r="0" b="0"/>
          <wp:wrapNone/>
          <wp:docPr id="4" name="Imagen 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05" descr=""/>
                  <pic:cNvPicPr>
                    <a:picLocks noChangeAspect="1" noChangeArrowheads="1"/>
                  </pic:cNvPicPr>
                </pic:nvPicPr>
                <pic:blipFill>
                  <a:blip r:embed="rId2"/>
                  <a:stretch>
                    <a:fillRect/>
                  </a:stretch>
                </pic:blipFill>
                <pic:spPr bwMode="auto">
                  <a:xfrm>
                    <a:off x="0" y="0"/>
                    <a:ext cx="7772400" cy="662686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4"/>
      <w:numFmt w:val="upperRoman"/>
      <w:lvlText w:val="%1."/>
      <w:lvlJc w:val="left"/>
      <w:pPr>
        <w:tabs>
          <w:tab w:val="num" w:pos="1080"/>
        </w:tabs>
        <w:ind w:left="1080" w:hanging="72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es-CO"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CO"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625a0"/>
    <w:pPr>
      <w:widowControl w:val="false"/>
      <w:bidi w:val="0"/>
      <w:spacing w:lineRule="auto" w:line="240" w:before="0" w:after="0"/>
      <w:jc w:val="left"/>
    </w:pPr>
    <w:rPr>
      <w:rFonts w:ascii="Courier New" w:hAnsi="Courier New" w:eastAsia="Times New Roman" w:cs="Times New Roman"/>
      <w:color w:val="auto"/>
      <w:kern w:val="0"/>
      <w:sz w:val="24"/>
      <w:szCs w:val="20"/>
      <w:lang w:val="es-ES_tradnl" w:eastAsia="es-ES" w:bidi="ar-SA"/>
    </w:rPr>
  </w:style>
  <w:style w:type="paragraph" w:styleId="Ttulo2">
    <w:name w:val="Heading 2"/>
    <w:basedOn w:val="Normal"/>
    <w:next w:val="Normal"/>
    <w:link w:val="Ttulo2Car"/>
    <w:qFormat/>
    <w:rsid w:val="001625a0"/>
    <w:pPr>
      <w:keepNext w:val="true"/>
      <w:tabs>
        <w:tab w:val="clear" w:pos="708"/>
        <w:tab w:val="left" w:pos="-720" w:leader="none"/>
      </w:tabs>
      <w:suppressAutoHyphens w:val="true"/>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val="true"/>
      <w:tabs>
        <w:tab w:val="clear" w:pos="708"/>
        <w:tab w:val="left" w:pos="-720" w:leader="none"/>
      </w:tabs>
      <w:suppressAutoHyphens w:val="true"/>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val="true"/>
      <w:numPr>
        <w:ilvl w:val="0"/>
        <w:numId w:val="1"/>
      </w:numPr>
      <w:tabs>
        <w:tab w:val="clear" w:pos="708"/>
        <w:tab w:val="left" w:pos="-720" w:leader="none"/>
      </w:tabs>
      <w:suppressAutoHyphens w:val="true"/>
      <w:jc w:val="center"/>
      <w:outlineLvl w:val="0"/>
    </w:pPr>
    <w:rPr>
      <w:rFonts w:ascii="Arial" w:hAnsi="Arial" w:cs="Arial"/>
      <w:b/>
      <w:sz w:val="21"/>
      <w:szCs w:val="21"/>
    </w:rPr>
  </w:style>
  <w:style w:type="paragraph" w:styleId="Ttulo5">
    <w:name w:val="Heading 5"/>
    <w:basedOn w:val="Normal"/>
    <w:next w:val="Normal"/>
    <w:link w:val="Ttulo5Car"/>
    <w:qFormat/>
    <w:rsid w:val="001625a0"/>
    <w:pPr>
      <w:keepNext w:val="true"/>
      <w:tabs>
        <w:tab w:val="clear" w:pos="708"/>
        <w:tab w:val="left" w:pos="-720" w:leader="none"/>
      </w:tabs>
      <w:suppressAutoHyphens w:val="true"/>
      <w:jc w:val="center"/>
      <w:outlineLvl w:val="4"/>
    </w:pPr>
    <w:rPr>
      <w:rFonts w:ascii="Arial" w:hAnsi="Arial" w:cs="Arial"/>
      <w:b/>
      <w:sz w:val="19"/>
      <w:szCs w:val="19"/>
    </w:rPr>
  </w:style>
  <w:style w:type="character" w:styleId="DefaultParagraphFont" w:default="1">
    <w:name w:val="Default Paragraph Font"/>
    <w:uiPriority w:val="1"/>
    <w:semiHidden/>
    <w:unhideWhenUsed/>
    <w:qFormat/>
    <w:rPr/>
  </w:style>
  <w:style w:type="character" w:styleId="Ttulo2Car" w:customStyle="1">
    <w:name w:val="Título 2 Car"/>
    <w:basedOn w:val="DefaultParagraphFont"/>
    <w:link w:val="Ttulo2"/>
    <w:qFormat/>
    <w:rsid w:val="001625a0"/>
    <w:rPr>
      <w:rFonts w:ascii="Arial" w:hAnsi="Arial" w:eastAsia="Times New Roman" w:cs="Arial"/>
      <w:bCs/>
      <w:spacing w:val="-3"/>
      <w:szCs w:val="20"/>
      <w:u w:val="single"/>
      <w:lang w:val="es-ES_tradnl" w:eastAsia="es-ES"/>
    </w:rPr>
  </w:style>
  <w:style w:type="character" w:styleId="Ttulo3Car" w:customStyle="1">
    <w:name w:val="Título 3 Car"/>
    <w:basedOn w:val="DefaultParagraphFont"/>
    <w:link w:val="Ttulo3"/>
    <w:qFormat/>
    <w:rsid w:val="001625a0"/>
    <w:rPr>
      <w:rFonts w:ascii="Arial" w:hAnsi="Arial" w:eastAsia="Times New Roman" w:cs="Arial"/>
      <w:b/>
      <w:spacing w:val="-3"/>
      <w:szCs w:val="20"/>
      <w:lang w:val="es-ES_tradnl" w:eastAsia="es-ES"/>
    </w:rPr>
  </w:style>
  <w:style w:type="character" w:styleId="Ttulo4Car" w:customStyle="1">
    <w:name w:val="Título 4 Car"/>
    <w:basedOn w:val="DefaultParagraphFont"/>
    <w:link w:val="Ttulo4"/>
    <w:qFormat/>
    <w:rsid w:val="001625a0"/>
    <w:rPr>
      <w:rFonts w:ascii="Arial" w:hAnsi="Arial" w:eastAsia="Times New Roman" w:cs="Arial"/>
      <w:b/>
      <w:sz w:val="21"/>
      <w:szCs w:val="21"/>
      <w:lang w:val="es-ES_tradnl" w:eastAsia="es-ES"/>
    </w:rPr>
  </w:style>
  <w:style w:type="character" w:styleId="Ttulo5Car" w:customStyle="1">
    <w:name w:val="Título 5 Car"/>
    <w:basedOn w:val="DefaultParagraphFont"/>
    <w:link w:val="Ttulo5"/>
    <w:qFormat/>
    <w:rsid w:val="001625a0"/>
    <w:rPr>
      <w:rFonts w:ascii="Arial" w:hAnsi="Arial" w:eastAsia="Times New Roman" w:cs="Arial"/>
      <w:b/>
      <w:sz w:val="19"/>
      <w:szCs w:val="19"/>
      <w:lang w:val="es-ES_tradnl" w:eastAsia="es-ES"/>
    </w:rPr>
  </w:style>
  <w:style w:type="character" w:styleId="EncabezadoCar" w:customStyle="1">
    <w:name w:val="Encabezado Car"/>
    <w:basedOn w:val="DefaultParagraphFont"/>
    <w:link w:val="Encabezado"/>
    <w:uiPriority w:val="99"/>
    <w:qFormat/>
    <w:rsid w:val="001625a0"/>
    <w:rPr>
      <w:rFonts w:ascii="Courier New" w:hAnsi="Courier New" w:eastAsia="Times New Roman" w:cs="Times New Roman"/>
      <w:sz w:val="24"/>
      <w:szCs w:val="20"/>
      <w:lang w:val="es-ES_tradnl" w:eastAsia="es-ES"/>
    </w:rPr>
  </w:style>
  <w:style w:type="character" w:styleId="Pagenumber">
    <w:name w:val="page number"/>
    <w:basedOn w:val="DefaultParagraphFont"/>
    <w:qFormat/>
    <w:rsid w:val="001625a0"/>
    <w:rPr/>
  </w:style>
  <w:style w:type="character" w:styleId="PiedepginaCar" w:customStyle="1">
    <w:name w:val="Pie de página Car"/>
    <w:basedOn w:val="DefaultParagraphFont"/>
    <w:link w:val="Piedepgina"/>
    <w:qFormat/>
    <w:rsid w:val="001625a0"/>
    <w:rPr>
      <w:rFonts w:ascii="Courier New" w:hAnsi="Courier New" w:eastAsia="Times New Roman" w:cs="Times New Roman"/>
      <w:sz w:val="24"/>
      <w:szCs w:val="20"/>
      <w:lang w:val="es-ES_tradnl" w:eastAsia="es-ES"/>
    </w:rPr>
  </w:style>
  <w:style w:type="character" w:styleId="Strong">
    <w:name w:val="Strong"/>
    <w:uiPriority w:val="22"/>
    <w:qFormat/>
    <w:rsid w:val="001625a0"/>
    <w:rPr>
      <w:b/>
      <w:bCs/>
    </w:rPr>
  </w:style>
  <w:style w:type="character" w:styleId="TextodegloboCar" w:customStyle="1">
    <w:name w:val="Texto de globo Car"/>
    <w:basedOn w:val="DefaultParagraphFont"/>
    <w:link w:val="Textodeglobo"/>
    <w:uiPriority w:val="99"/>
    <w:semiHidden/>
    <w:qFormat/>
    <w:rsid w:val="00d23b36"/>
    <w:rPr>
      <w:rFonts w:ascii="Segoe UI" w:hAnsi="Segoe UI" w:eastAsia="Times New Roman" w:cs="Segoe UI"/>
      <w:sz w:val="18"/>
      <w:szCs w:val="18"/>
      <w:lang w:val="es-ES_tradnl" w:eastAsia="es-ES"/>
    </w:rPr>
  </w:style>
  <w:style w:type="character" w:styleId="PrrafodelistaCar" w:customStyle="1">
    <w:name w:val="Párrafo de lista Car"/>
    <w:link w:val="Prrafodelista"/>
    <w:uiPriority w:val="34"/>
    <w:qFormat/>
    <w:locked/>
    <w:rsid w:val="00712be2"/>
    <w:rPr>
      <w:rFonts w:ascii="Times New Roman" w:hAnsi="Times New Roman" w:eastAsia="Times New Roman" w:cs="Times New Roman"/>
      <w:sz w:val="24"/>
      <w:szCs w:val="24"/>
      <w:lang w:eastAsia="es-ES"/>
    </w:rPr>
  </w:style>
  <w:style w:type="character" w:styleId="Appleconvertedspace" w:customStyle="1">
    <w:name w:val="apple-converted-space"/>
    <w:basedOn w:val="DefaultParagraphFont"/>
    <w:qFormat/>
    <w:rsid w:val="00df146b"/>
    <w:rPr/>
  </w:style>
  <w:style w:type="character" w:styleId="Xappleconvertedspace" w:customStyle="1">
    <w:name w:val="x_apple-converted-space"/>
    <w:qFormat/>
    <w:rsid w:val="00df146b"/>
    <w:rPr/>
  </w:style>
  <w:style w:type="character" w:styleId="EquationCaption" w:customStyle="1">
    <w:name w:val="_Equation Caption"/>
    <w:qFormat/>
    <w:rsid w:val="003c4a5e"/>
    <w:rPr/>
  </w:style>
  <w:style w:type="character" w:styleId="EnlacedeInternet">
    <w:name w:val="Enlace de Internet"/>
    <w:uiPriority w:val="99"/>
    <w:unhideWhenUsed/>
    <w:rsid w:val="003c4a5e"/>
    <w:rPr>
      <w:color w:val="0563C1"/>
      <w:u w:val="single"/>
    </w:rPr>
  </w:style>
  <w:style w:type="character" w:styleId="Annotationreference">
    <w:name w:val="annotation reference"/>
    <w:basedOn w:val="DefaultParagraphFont"/>
    <w:uiPriority w:val="99"/>
    <w:semiHidden/>
    <w:unhideWhenUsed/>
    <w:qFormat/>
    <w:rsid w:val="00ff33e2"/>
    <w:rPr>
      <w:sz w:val="16"/>
      <w:szCs w:val="16"/>
    </w:rPr>
  </w:style>
  <w:style w:type="character" w:styleId="TextocomentarioCar" w:customStyle="1">
    <w:name w:val="Texto comentario Car"/>
    <w:basedOn w:val="DefaultParagraphFont"/>
    <w:link w:val="Textocomentario"/>
    <w:uiPriority w:val="99"/>
    <w:semiHidden/>
    <w:qFormat/>
    <w:rsid w:val="00ff33e2"/>
    <w:rPr>
      <w:rFonts w:ascii="Courier New" w:hAnsi="Courier New" w:eastAsia="Times New Roman" w:cs="Times New Roman"/>
      <w:sz w:val="20"/>
      <w:szCs w:val="20"/>
      <w:lang w:val="es-ES_tradnl" w:eastAsia="es-ES"/>
    </w:rPr>
  </w:style>
  <w:style w:type="character" w:styleId="AsuntodelcomentarioCar" w:customStyle="1">
    <w:name w:val="Asunto del comentario Car"/>
    <w:basedOn w:val="TextocomentarioCar"/>
    <w:link w:val="Asuntodelcomentario"/>
    <w:uiPriority w:val="99"/>
    <w:semiHidden/>
    <w:qFormat/>
    <w:rsid w:val="00ff33e2"/>
    <w:rPr>
      <w:rFonts w:ascii="Courier New" w:hAnsi="Courier New" w:eastAsia="Times New Roman" w:cs="Times New Roman"/>
      <w:b/>
      <w:bCs/>
      <w:sz w:val="20"/>
      <w:szCs w:val="20"/>
      <w:lang w:val="es-ES_tradnl" w:eastAsia="es-ES"/>
    </w:rPr>
  </w:style>
  <w:style w:type="character" w:styleId="T6" w:customStyle="1">
    <w:name w:val="T6"/>
    <w:qFormat/>
    <w:rsid w:val="009f7056"/>
    <w:rPr>
      <w:rFonts w:ascii="Arial Narrow" w:hAnsi="Arial Narrow" w:cs="Arial2"/>
    </w:rPr>
  </w:style>
  <w:style w:type="character" w:styleId="Xcontentpasted3" w:customStyle="1">
    <w:name w:val="x_contentpasted3"/>
    <w:basedOn w:val="DefaultParagraphFont"/>
    <w:qFormat/>
    <w:rsid w:val="005e5d32"/>
    <w:rPr/>
  </w:style>
  <w:style w:type="character" w:styleId="Caracteresdenotafinal">
    <w:name w:val="Caracteres de nota final"/>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ceraypie">
    <w:name w:val="Cabecera y pie"/>
    <w:basedOn w:val="Normal"/>
    <w:qFormat/>
    <w:pPr/>
    <w:rPr/>
  </w:style>
  <w:style w:type="paragraph" w:styleId="Cabecera">
    <w:name w:val="Header"/>
    <w:basedOn w:val="Normal"/>
    <w:link w:val="EncabezadoCar"/>
    <w:uiPriority w:val="99"/>
    <w:rsid w:val="001625a0"/>
    <w:pPr>
      <w:tabs>
        <w:tab w:val="clear" w:pos="708"/>
        <w:tab w:val="center" w:pos="4252" w:leader="none"/>
        <w:tab w:val="right" w:pos="8504" w:leader="none"/>
      </w:tabs>
    </w:pPr>
    <w:rPr/>
  </w:style>
  <w:style w:type="paragraph" w:styleId="Piedepgina">
    <w:name w:val="Footer"/>
    <w:basedOn w:val="Normal"/>
    <w:link w:val="PiedepginaCar"/>
    <w:rsid w:val="001625a0"/>
    <w:pPr>
      <w:tabs>
        <w:tab w:val="clear" w:pos="708"/>
        <w:tab w:val="center" w:pos="4252" w:leader="none"/>
        <w:tab w:val="right" w:pos="8504" w:leader="none"/>
      </w:tabs>
    </w:pPr>
    <w:rPr/>
  </w:style>
  <w:style w:type="paragraph" w:styleId="ListParagraph">
    <w:name w:val="List Paragraph"/>
    <w:basedOn w:val="Normal"/>
    <w:link w:val="PrrafodelistaCar"/>
    <w:uiPriority w:val="34"/>
    <w:qFormat/>
    <w:rsid w:val="001625a0"/>
    <w:pPr>
      <w:widowControl/>
      <w:ind w:left="708" w:hanging="0"/>
    </w:pPr>
    <w:rPr>
      <w:rFonts w:ascii="Times New Roman" w:hAnsi="Times New Roman"/>
      <w:szCs w:val="24"/>
      <w:lang w:val="es-CO"/>
    </w:rPr>
  </w:style>
  <w:style w:type="paragraph" w:styleId="BalloonText">
    <w:name w:val="Balloon Text"/>
    <w:basedOn w:val="Normal"/>
    <w:link w:val="TextodegloboCar"/>
    <w:uiPriority w:val="99"/>
    <w:semiHidden/>
    <w:unhideWhenUsed/>
    <w:qFormat/>
    <w:rsid w:val="00d23b36"/>
    <w:pPr/>
    <w:rPr>
      <w:rFonts w:ascii="Segoe UI" w:hAnsi="Segoe UI" w:cs="Segoe UI"/>
      <w:sz w:val="18"/>
      <w:szCs w:val="18"/>
    </w:rPr>
  </w:style>
  <w:style w:type="paragraph" w:styleId="CM16" w:customStyle="1">
    <w:name w:val="CM16"/>
    <w:basedOn w:val="Normal"/>
    <w:next w:val="Normal"/>
    <w:uiPriority w:val="99"/>
    <w:qFormat/>
    <w:rsid w:val="00712be2"/>
    <w:pPr>
      <w:widowControl/>
    </w:pPr>
    <w:rPr>
      <w:rFonts w:ascii="Arial" w:hAnsi="Arial" w:eastAsia="Calibri" w:cs="Arial"/>
      <w:szCs w:val="24"/>
      <w:lang w:val="es-CO" w:eastAsia="en-US"/>
    </w:rPr>
  </w:style>
  <w:style w:type="paragraph" w:styleId="Xmsonormal" w:customStyle="1">
    <w:name w:val="x_msonormal"/>
    <w:basedOn w:val="Normal"/>
    <w:qFormat/>
    <w:rsid w:val="00df146b"/>
    <w:pPr>
      <w:widowControl/>
      <w:spacing w:beforeAutospacing="1" w:afterAutospacing="1"/>
    </w:pPr>
    <w:rPr>
      <w:rFonts w:ascii="Times New Roman" w:hAnsi="Times New Roman"/>
      <w:szCs w:val="24"/>
      <w:lang w:val="es-MX" w:eastAsia="es-MX"/>
    </w:rPr>
  </w:style>
  <w:style w:type="paragraph" w:styleId="NormalWeb">
    <w:name w:val="Normal (Web)"/>
    <w:basedOn w:val="Normal"/>
    <w:uiPriority w:val="99"/>
    <w:unhideWhenUsed/>
    <w:qFormat/>
    <w:rsid w:val="009f0e96"/>
    <w:pPr>
      <w:widowControl/>
    </w:pPr>
    <w:rPr>
      <w:rFonts w:ascii="Times New Roman" w:hAnsi="Times New Roman" w:eastAsia="Calibri" w:eastAsiaTheme="minorHAnsi"/>
      <w:szCs w:val="24"/>
      <w:lang w:val="es-CO" w:eastAsia="es-CO"/>
    </w:rPr>
  </w:style>
  <w:style w:type="paragraph" w:styleId="Annotationtext">
    <w:name w:val="annotation text"/>
    <w:basedOn w:val="Normal"/>
    <w:link w:val="TextocomentarioCar"/>
    <w:uiPriority w:val="99"/>
    <w:semiHidden/>
    <w:unhideWhenUsed/>
    <w:qFormat/>
    <w:rsid w:val="00ff33e2"/>
    <w:pPr/>
    <w:rPr>
      <w:sz w:val="20"/>
    </w:rPr>
  </w:style>
  <w:style w:type="paragraph" w:styleId="Annotationsubject">
    <w:name w:val="annotation subject"/>
    <w:basedOn w:val="Annotationtext"/>
    <w:next w:val="Annotationtext"/>
    <w:link w:val="AsuntodelcomentarioCar"/>
    <w:uiPriority w:val="99"/>
    <w:semiHidden/>
    <w:unhideWhenUsed/>
    <w:qFormat/>
    <w:rsid w:val="00ff33e2"/>
    <w:pPr/>
    <w:rPr>
      <w:b/>
      <w:bCs/>
    </w:rPr>
  </w:style>
  <w:style w:type="paragraph" w:styleId="CM46" w:customStyle="1">
    <w:name w:val="CM46"/>
    <w:basedOn w:val="Normal"/>
    <w:next w:val="Normal"/>
    <w:uiPriority w:val="99"/>
    <w:qFormat/>
    <w:rsid w:val="00932819"/>
    <w:pPr>
      <w:widowControl/>
    </w:pPr>
    <w:rPr>
      <w:rFonts w:ascii="Arial" w:hAnsi="Arial" w:cs="Arial"/>
      <w:szCs w:val="24"/>
      <w:lang w:val="es-CO" w:eastAsia="es-CO"/>
    </w:rPr>
  </w:style>
  <w:style w:type="paragraph" w:styleId="NoSpacing">
    <w:name w:val="No Spacing"/>
    <w:uiPriority w:val="1"/>
    <w:qFormat/>
    <w:rsid w:val="007912fd"/>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es-CO" w:eastAsia="en-US" w:bidi="ar-SA"/>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5b403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ampusvirtual.defensoria.gov.co/cursos/login/index.php"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4.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1CED9-F4E2-4B85-B823-44496A6D7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Application>LibreOffice/7.0.3.1$Windows_X86_64 LibreOffice_project/d7547858d014d4cf69878db179d326fc3483e082</Application>
  <Pages>3</Pages>
  <Words>6254</Words>
  <Characters>34708</Characters>
  <CharactersWithSpaces>40887</CharactersWithSpaces>
  <Paragraphs>107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2025-08-14T20:42:00Z</dcterms:created>
  <dc:creator>Nadia_Yarala</dc:creator>
  <dc:description/>
  <dc:language>es-CO</dc:language>
  <cp:lastModifiedBy>AdminUTILS</cp:lastModifiedBy>
  <cp:lastPrinted>2019-08-22T16:38:00Z</cp:lastPrinted>
  <dcterms:modified xsi:type="dcterms:W3CDTF">2025-11-07T12:45:00Z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