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D0C" w:rsidRPr="00F028C4" w:rsidRDefault="003F5D0C" w:rsidP="00C12687">
      <w:pPr>
        <w:jc w:val="center"/>
        <w:rPr>
          <w:rFonts w:ascii="Arial Narrow" w:hAnsi="Arial Narrow"/>
          <w:b/>
        </w:rPr>
      </w:pPr>
      <w:r w:rsidRPr="00F028C4">
        <w:rPr>
          <w:rFonts w:ascii="Arial Narrow" w:hAnsi="Arial Narrow"/>
          <w:b/>
        </w:rPr>
        <w:t>Anexo 1</w:t>
      </w:r>
    </w:p>
    <w:p w:rsidR="003F5D0C" w:rsidRPr="00BF316C" w:rsidRDefault="003F5D0C" w:rsidP="003F5D0C">
      <w:pPr>
        <w:pStyle w:val="Sinespaciado"/>
        <w:jc w:val="center"/>
        <w:rPr>
          <w:rFonts w:ascii="Arial Narrow" w:hAnsi="Arial Narrow"/>
          <w:sz w:val="22"/>
          <w:szCs w:val="22"/>
        </w:rPr>
      </w:pPr>
      <w:r w:rsidRPr="00BF316C">
        <w:rPr>
          <w:rFonts w:ascii="Arial Narrow" w:hAnsi="Arial Narrow"/>
          <w:sz w:val="22"/>
          <w:szCs w:val="22"/>
        </w:rPr>
        <w:t>Proceso de Selección Abreviada - Adquisición de bienes y servicios de características técnicas uniformes y de común utilización  No. SASI - 0</w:t>
      </w:r>
      <w:r>
        <w:rPr>
          <w:rFonts w:ascii="Arial Narrow" w:hAnsi="Arial Narrow"/>
          <w:sz w:val="22"/>
          <w:szCs w:val="22"/>
        </w:rPr>
        <w:t>3</w:t>
      </w:r>
      <w:r w:rsidRPr="00BF316C">
        <w:rPr>
          <w:rFonts w:ascii="Arial Narrow" w:hAnsi="Arial Narrow"/>
          <w:sz w:val="22"/>
          <w:szCs w:val="22"/>
        </w:rPr>
        <w:t xml:space="preserve"> de 2020</w:t>
      </w:r>
    </w:p>
    <w:p w:rsidR="003F5D0C" w:rsidRDefault="003F5D0C" w:rsidP="003F5D0C">
      <w:pPr>
        <w:jc w:val="center"/>
        <w:rPr>
          <w:b/>
        </w:rPr>
      </w:pPr>
      <w:bookmarkStart w:id="0" w:name="_GoBack"/>
      <w:bookmarkEnd w:id="0"/>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3"/>
        <w:gridCol w:w="691"/>
        <w:gridCol w:w="1016"/>
        <w:gridCol w:w="703"/>
        <w:gridCol w:w="4986"/>
      </w:tblGrid>
      <w:tr w:rsidR="00C12687" w:rsidRPr="00C12687" w:rsidTr="00885780">
        <w:trPr>
          <w:trHeight w:val="20"/>
          <w:jc w:val="center"/>
        </w:trPr>
        <w:tc>
          <w:tcPr>
            <w:tcW w:w="8789" w:type="dxa"/>
            <w:gridSpan w:val="5"/>
            <w:shd w:val="clear" w:color="auto" w:fill="BFBFBF"/>
            <w:vAlign w:val="center"/>
          </w:tcPr>
          <w:p w:rsidR="00C12687" w:rsidRPr="00C12687" w:rsidRDefault="00C12687" w:rsidP="00885780">
            <w:pPr>
              <w:jc w:val="center"/>
              <w:rPr>
                <w:rFonts w:ascii="Arial Narrow" w:hAnsi="Arial Narrow"/>
                <w:b/>
              </w:rPr>
            </w:pPr>
            <w:r w:rsidRPr="00C12687">
              <w:rPr>
                <w:rFonts w:ascii="Arial Narrow" w:hAnsi="Arial Narrow"/>
                <w:b/>
              </w:rPr>
              <w:t xml:space="preserve">FICHA TÉCNICA DEL BIEN </w:t>
            </w:r>
          </w:p>
        </w:tc>
      </w:tr>
      <w:tr w:rsidR="00C12687" w:rsidRPr="00C12687" w:rsidTr="00885780">
        <w:trPr>
          <w:trHeight w:val="20"/>
          <w:jc w:val="center"/>
        </w:trPr>
        <w:tc>
          <w:tcPr>
            <w:tcW w:w="3803" w:type="dxa"/>
            <w:gridSpan w:val="4"/>
            <w:shd w:val="clear" w:color="auto" w:fill="D9D9D9"/>
            <w:vAlign w:val="center"/>
          </w:tcPr>
          <w:p w:rsidR="00C12687" w:rsidRPr="00C12687" w:rsidRDefault="00C12687" w:rsidP="00885780">
            <w:pPr>
              <w:rPr>
                <w:rFonts w:ascii="Arial Narrow" w:hAnsi="Arial Narrow"/>
                <w:b/>
              </w:rPr>
            </w:pPr>
            <w:r w:rsidRPr="00C12687">
              <w:rPr>
                <w:rFonts w:ascii="Arial Narrow" w:eastAsia="Calibri" w:hAnsi="Arial Narrow"/>
                <w:b/>
              </w:rPr>
              <w:t>Código UNSPSC</w:t>
            </w:r>
          </w:p>
        </w:tc>
        <w:tc>
          <w:tcPr>
            <w:tcW w:w="4986" w:type="dxa"/>
            <w:vAlign w:val="center"/>
          </w:tcPr>
          <w:p w:rsidR="00C12687" w:rsidRPr="00C12687" w:rsidRDefault="00C12687" w:rsidP="00885780">
            <w:pPr>
              <w:jc w:val="both"/>
              <w:rPr>
                <w:rFonts w:ascii="Arial Narrow" w:hAnsi="Arial Narrow"/>
                <w:b/>
                <w:color w:val="FF0000"/>
              </w:rPr>
            </w:pPr>
            <w:r w:rsidRPr="00C12687">
              <w:rPr>
                <w:rFonts w:ascii="Arial Narrow" w:hAnsi="Arial Narrow" w:cs="Calibri"/>
                <w:color w:val="000000"/>
              </w:rPr>
              <w:t xml:space="preserve">43222600 </w:t>
            </w:r>
            <w:proofErr w:type="spellStart"/>
            <w:r w:rsidRPr="00C12687">
              <w:rPr>
                <w:rFonts w:ascii="Arial Narrow" w:hAnsi="Arial Narrow" w:cs="Calibri"/>
                <w:color w:val="000000"/>
              </w:rPr>
              <w:t>ó</w:t>
            </w:r>
            <w:proofErr w:type="spellEnd"/>
            <w:r w:rsidRPr="00C12687">
              <w:rPr>
                <w:rFonts w:ascii="Arial Narrow" w:hAnsi="Arial Narrow" w:cs="Calibri"/>
                <w:color w:val="000000"/>
              </w:rPr>
              <w:t xml:space="preserve"> 43223300   </w:t>
            </w:r>
          </w:p>
        </w:tc>
      </w:tr>
      <w:tr w:rsidR="00C12687" w:rsidRPr="00C12687" w:rsidTr="00885780">
        <w:trPr>
          <w:trHeight w:val="20"/>
          <w:jc w:val="center"/>
        </w:trPr>
        <w:tc>
          <w:tcPr>
            <w:tcW w:w="3803" w:type="dxa"/>
            <w:gridSpan w:val="4"/>
            <w:shd w:val="clear" w:color="auto" w:fill="D9D9D9"/>
            <w:vAlign w:val="center"/>
          </w:tcPr>
          <w:p w:rsidR="00C12687" w:rsidRPr="00C12687" w:rsidRDefault="00C12687" w:rsidP="00885780">
            <w:pPr>
              <w:rPr>
                <w:rFonts w:ascii="Arial Narrow" w:eastAsia="Calibri" w:hAnsi="Arial Narrow"/>
                <w:b/>
              </w:rPr>
            </w:pPr>
            <w:r w:rsidRPr="00C12687">
              <w:rPr>
                <w:rFonts w:ascii="Arial Narrow" w:eastAsia="Calibri" w:hAnsi="Arial Narrow"/>
                <w:b/>
              </w:rPr>
              <w:t>Nombre Oficial - Código UNSPSC</w:t>
            </w:r>
          </w:p>
        </w:tc>
        <w:tc>
          <w:tcPr>
            <w:tcW w:w="4986" w:type="dxa"/>
            <w:vAlign w:val="center"/>
          </w:tcPr>
          <w:p w:rsidR="00C12687" w:rsidRPr="00C12687" w:rsidRDefault="00C12687" w:rsidP="00885780">
            <w:pPr>
              <w:jc w:val="both"/>
              <w:rPr>
                <w:rFonts w:ascii="Arial Narrow" w:hAnsi="Arial Narrow"/>
                <w:b/>
                <w:color w:val="FF0000"/>
              </w:rPr>
            </w:pPr>
            <w:r w:rsidRPr="00C12687">
              <w:rPr>
                <w:rFonts w:ascii="Arial Narrow" w:hAnsi="Arial Narrow" w:cs="Calibri"/>
                <w:color w:val="000000"/>
              </w:rPr>
              <w:t xml:space="preserve">Equipo de servicio de red  o Dispositivos y equipos para instalación de conectividad de redes y </w:t>
            </w:r>
            <w:proofErr w:type="spellStart"/>
            <w:r w:rsidRPr="00C12687">
              <w:rPr>
                <w:rFonts w:ascii="Arial Narrow" w:hAnsi="Arial Narrow" w:cs="Calibri"/>
                <w:color w:val="000000"/>
              </w:rPr>
              <w:t>Datacom</w:t>
            </w:r>
            <w:proofErr w:type="spellEnd"/>
          </w:p>
        </w:tc>
      </w:tr>
      <w:tr w:rsidR="00C12687" w:rsidRPr="00C12687" w:rsidTr="00885780">
        <w:trPr>
          <w:trHeight w:val="20"/>
          <w:jc w:val="center"/>
        </w:trPr>
        <w:tc>
          <w:tcPr>
            <w:tcW w:w="3803" w:type="dxa"/>
            <w:gridSpan w:val="4"/>
            <w:shd w:val="clear" w:color="auto" w:fill="D9D9D9"/>
            <w:vAlign w:val="center"/>
          </w:tcPr>
          <w:p w:rsidR="00C12687" w:rsidRPr="00C12687" w:rsidRDefault="00C12687" w:rsidP="00885780">
            <w:pPr>
              <w:rPr>
                <w:rFonts w:ascii="Arial Narrow" w:hAnsi="Arial Narrow"/>
                <w:b/>
              </w:rPr>
            </w:pPr>
            <w:r w:rsidRPr="00C12687">
              <w:rPr>
                <w:rFonts w:ascii="Arial Narrow" w:hAnsi="Arial Narrow"/>
                <w:b/>
              </w:rPr>
              <w:t>DENOMINACIÓN DEL BIEN O SERVICIO:</w:t>
            </w:r>
          </w:p>
        </w:tc>
        <w:tc>
          <w:tcPr>
            <w:tcW w:w="4986" w:type="dxa"/>
            <w:vAlign w:val="center"/>
          </w:tcPr>
          <w:p w:rsidR="00C12687" w:rsidRPr="00C12687" w:rsidRDefault="00C12687" w:rsidP="00885780">
            <w:pPr>
              <w:jc w:val="both"/>
              <w:rPr>
                <w:rFonts w:ascii="Arial Narrow" w:hAnsi="Arial Narrow"/>
                <w:b/>
              </w:rPr>
            </w:pPr>
            <w:r w:rsidRPr="00C12687">
              <w:rPr>
                <w:rFonts w:ascii="Arial Narrow" w:hAnsi="Arial Narrow" w:cs="Calibri"/>
              </w:rPr>
              <w:t>ADQUISICIÓN  DE SWITCH CORE TIPO CHASIS PARA LA PLATAFORMA TECNOLÓGICA DE LA VUCE, DE ACUERDO A LAS ESPECIFICACIONES TÉCNICAS MÍNIMAS SOLICITADAS.</w:t>
            </w:r>
          </w:p>
        </w:tc>
      </w:tr>
      <w:tr w:rsidR="00C12687" w:rsidRPr="00C12687" w:rsidTr="00885780">
        <w:trPr>
          <w:trHeight w:val="20"/>
          <w:jc w:val="center"/>
        </w:trPr>
        <w:tc>
          <w:tcPr>
            <w:tcW w:w="3803" w:type="dxa"/>
            <w:gridSpan w:val="4"/>
            <w:shd w:val="clear" w:color="auto" w:fill="D9D9D9"/>
            <w:vAlign w:val="center"/>
          </w:tcPr>
          <w:p w:rsidR="00C12687" w:rsidRPr="00C12687" w:rsidRDefault="00C12687" w:rsidP="00885780">
            <w:pPr>
              <w:rPr>
                <w:rFonts w:ascii="Arial Narrow" w:hAnsi="Arial Narrow"/>
                <w:b/>
              </w:rPr>
            </w:pPr>
            <w:r w:rsidRPr="00C12687">
              <w:rPr>
                <w:rFonts w:ascii="Arial Narrow" w:hAnsi="Arial Narrow"/>
                <w:b/>
              </w:rPr>
              <w:t>DENOMINACIÓN TÉCNICA DEL BIEN O SERVICIO:</w:t>
            </w:r>
          </w:p>
        </w:tc>
        <w:tc>
          <w:tcPr>
            <w:tcW w:w="4986" w:type="dxa"/>
            <w:vAlign w:val="center"/>
          </w:tcPr>
          <w:p w:rsidR="00C12687" w:rsidRPr="00C12687" w:rsidRDefault="00C12687" w:rsidP="00885780">
            <w:pPr>
              <w:jc w:val="both"/>
              <w:rPr>
                <w:rFonts w:ascii="Arial Narrow" w:hAnsi="Arial Narrow"/>
                <w:b/>
              </w:rPr>
            </w:pPr>
            <w:r w:rsidRPr="00C12687">
              <w:rPr>
                <w:rFonts w:ascii="Arial Narrow" w:hAnsi="Arial Narrow" w:cs="Calibri"/>
              </w:rPr>
              <w:t>ADQUISICIÓN  DE SWITCH CORE TIPO CHASIS PARA LA PLATAFORMA TECNOLÓGICA DE LA VUCE, DE ACUERDO A LAS ESPECIFICACIONES TÉCNICAS MÍNIMAS SOLICITADAS.</w:t>
            </w:r>
          </w:p>
        </w:tc>
      </w:tr>
      <w:tr w:rsidR="00C12687" w:rsidRPr="00C12687" w:rsidTr="00885780">
        <w:trPr>
          <w:trHeight w:val="20"/>
          <w:jc w:val="center"/>
        </w:trPr>
        <w:tc>
          <w:tcPr>
            <w:tcW w:w="3100" w:type="dxa"/>
            <w:gridSpan w:val="3"/>
            <w:shd w:val="clear" w:color="auto" w:fill="D9D9D9"/>
            <w:vAlign w:val="center"/>
          </w:tcPr>
          <w:p w:rsidR="00C12687" w:rsidRPr="00C12687" w:rsidRDefault="00C12687" w:rsidP="00885780">
            <w:pPr>
              <w:jc w:val="both"/>
              <w:rPr>
                <w:rFonts w:ascii="Arial Narrow" w:hAnsi="Arial Narrow"/>
              </w:rPr>
            </w:pPr>
            <w:r w:rsidRPr="00C12687">
              <w:rPr>
                <w:rFonts w:ascii="Arial Narrow" w:hAnsi="Arial Narrow"/>
              </w:rPr>
              <w:t>Unidad de medida:</w:t>
            </w:r>
          </w:p>
        </w:tc>
        <w:tc>
          <w:tcPr>
            <w:tcW w:w="5689" w:type="dxa"/>
            <w:gridSpan w:val="2"/>
            <w:vAlign w:val="center"/>
          </w:tcPr>
          <w:p w:rsidR="00C12687" w:rsidRPr="00C12687" w:rsidRDefault="00C12687" w:rsidP="00885780">
            <w:pPr>
              <w:jc w:val="both"/>
              <w:rPr>
                <w:rFonts w:ascii="Arial Narrow" w:hAnsi="Arial Narrow"/>
              </w:rPr>
            </w:pPr>
            <w:r w:rsidRPr="00C12687">
              <w:rPr>
                <w:rFonts w:ascii="Arial Narrow" w:hAnsi="Arial Narrow"/>
              </w:rPr>
              <w:t>Unidades.</w:t>
            </w:r>
          </w:p>
        </w:tc>
      </w:tr>
      <w:tr w:rsidR="00C12687" w:rsidRPr="00C12687" w:rsidTr="00885780">
        <w:trPr>
          <w:trHeight w:val="20"/>
          <w:jc w:val="center"/>
        </w:trPr>
        <w:tc>
          <w:tcPr>
            <w:tcW w:w="8789" w:type="dxa"/>
            <w:gridSpan w:val="5"/>
            <w:shd w:val="clear" w:color="auto" w:fill="B3B3B3"/>
            <w:vAlign w:val="center"/>
          </w:tcPr>
          <w:p w:rsidR="00C12687" w:rsidRPr="00C12687" w:rsidRDefault="00C12687" w:rsidP="00885780">
            <w:pPr>
              <w:jc w:val="center"/>
              <w:rPr>
                <w:rFonts w:ascii="Arial Narrow" w:hAnsi="Arial Narrow"/>
                <w:b/>
              </w:rPr>
            </w:pPr>
            <w:r w:rsidRPr="00C12687">
              <w:rPr>
                <w:rFonts w:ascii="Arial Narrow" w:hAnsi="Arial Narrow"/>
                <w:b/>
              </w:rPr>
              <w:t>Descripción General:</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C12687" w:rsidRPr="00C12687" w:rsidRDefault="00C12687" w:rsidP="00885780">
            <w:pPr>
              <w:contextualSpacing/>
              <w:jc w:val="center"/>
              <w:rPr>
                <w:rFonts w:ascii="Arial Narrow" w:hAnsi="Arial Narrow"/>
                <w:b/>
              </w:rPr>
            </w:pPr>
            <w:r w:rsidRPr="00C12687">
              <w:rPr>
                <w:rFonts w:ascii="Arial Narrow" w:hAnsi="Arial Narrow"/>
                <w:b/>
              </w:rPr>
              <w:t>DESCRIPCIÓN</w:t>
            </w:r>
          </w:p>
        </w:tc>
        <w:tc>
          <w:tcPr>
            <w:tcW w:w="691" w:type="dxa"/>
            <w:tcBorders>
              <w:top w:val="single" w:sz="8" w:space="0" w:color="auto"/>
              <w:left w:val="nil"/>
              <w:bottom w:val="single" w:sz="8" w:space="0" w:color="auto"/>
              <w:right w:val="single" w:sz="8" w:space="0" w:color="auto"/>
            </w:tcBorders>
            <w:shd w:val="clear" w:color="000000" w:fill="D9D9D9"/>
            <w:vAlign w:val="center"/>
            <w:hideMark/>
          </w:tcPr>
          <w:p w:rsidR="00C12687" w:rsidRPr="00C12687" w:rsidRDefault="00C12687" w:rsidP="00885780">
            <w:pPr>
              <w:contextualSpacing/>
              <w:jc w:val="center"/>
              <w:rPr>
                <w:rFonts w:ascii="Arial Narrow" w:hAnsi="Arial Narrow"/>
                <w:b/>
              </w:rPr>
            </w:pPr>
            <w:r w:rsidRPr="00C12687">
              <w:rPr>
                <w:rFonts w:ascii="Arial Narrow" w:hAnsi="Arial Narrow"/>
                <w:b/>
              </w:rPr>
              <w:t>CANT.</w:t>
            </w:r>
          </w:p>
        </w:tc>
        <w:tc>
          <w:tcPr>
            <w:tcW w:w="6705" w:type="dxa"/>
            <w:gridSpan w:val="3"/>
            <w:tcBorders>
              <w:top w:val="single" w:sz="8" w:space="0" w:color="auto"/>
              <w:left w:val="nil"/>
              <w:bottom w:val="single" w:sz="8" w:space="0" w:color="auto"/>
              <w:right w:val="single" w:sz="8" w:space="0" w:color="auto"/>
            </w:tcBorders>
            <w:shd w:val="clear" w:color="000000" w:fill="D9D9D9"/>
            <w:vAlign w:val="center"/>
            <w:hideMark/>
          </w:tcPr>
          <w:p w:rsidR="00C12687" w:rsidRPr="00C12687" w:rsidRDefault="00C12687" w:rsidP="00885780">
            <w:pPr>
              <w:contextualSpacing/>
              <w:jc w:val="center"/>
              <w:rPr>
                <w:rFonts w:ascii="Arial Narrow" w:hAnsi="Arial Narrow"/>
                <w:b/>
              </w:rPr>
            </w:pPr>
            <w:r w:rsidRPr="00C12687">
              <w:rPr>
                <w:rFonts w:ascii="Arial Narrow" w:hAnsi="Arial Narrow"/>
                <w:b/>
              </w:rPr>
              <w:t>ESPECIFICACIONES REQUERIDAS</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val="restart"/>
            <w:tcBorders>
              <w:top w:val="nil"/>
              <w:left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proofErr w:type="spellStart"/>
            <w:r w:rsidRPr="00C12687">
              <w:rPr>
                <w:rFonts w:ascii="Arial Narrow" w:hAnsi="Arial Narrow" w:cs="Calibri"/>
              </w:rPr>
              <w:t>Switch</w:t>
            </w:r>
            <w:proofErr w:type="spellEnd"/>
            <w:r w:rsidRPr="00C12687">
              <w:rPr>
                <w:rFonts w:ascii="Arial Narrow" w:hAnsi="Arial Narrow" w:cs="Calibri"/>
              </w:rPr>
              <w:t xml:space="preserve"> Tipo Chasis</w:t>
            </w:r>
          </w:p>
        </w:tc>
        <w:tc>
          <w:tcPr>
            <w:tcW w:w="691" w:type="dxa"/>
            <w:vMerge w:val="restart"/>
            <w:tcBorders>
              <w:top w:val="nil"/>
              <w:left w:val="nil"/>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2</w:t>
            </w:r>
          </w:p>
        </w:tc>
        <w:tc>
          <w:tcPr>
            <w:tcW w:w="6705" w:type="dxa"/>
            <w:gridSpan w:val="3"/>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Los equipos Ofrecidos deben ser tipo Chasis</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top w:val="nil"/>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top w:val="nil"/>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Deben Contar con al menos 5 bahías de expansión que permitan la instalación de módulos que contengan:</w:t>
            </w:r>
          </w:p>
          <w:p w:rsidR="00C12687" w:rsidRPr="00C12687" w:rsidRDefault="00C12687" w:rsidP="00C12687">
            <w:pPr>
              <w:pStyle w:val="NormalWeb"/>
              <w:numPr>
                <w:ilvl w:val="0"/>
                <w:numId w:val="2"/>
              </w:numPr>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 xml:space="preserve">Puertos de 1GbE </w:t>
            </w:r>
            <w:proofErr w:type="spellStart"/>
            <w:r w:rsidRPr="00C12687">
              <w:rPr>
                <w:rFonts w:ascii="Arial Narrow" w:hAnsi="Arial Narrow" w:cs="Calibri"/>
                <w:sz w:val="22"/>
                <w:szCs w:val="22"/>
                <w:lang w:val="es-CO"/>
              </w:rPr>
              <w:t>Class</w:t>
            </w:r>
            <w:proofErr w:type="spellEnd"/>
            <w:r w:rsidRPr="00C12687">
              <w:rPr>
                <w:rFonts w:ascii="Arial Narrow" w:hAnsi="Arial Narrow" w:cs="Calibri"/>
                <w:sz w:val="22"/>
                <w:szCs w:val="22"/>
                <w:lang w:val="es-CO"/>
              </w:rPr>
              <w:t xml:space="preserve"> </w:t>
            </w:r>
            <w:proofErr w:type="spellStart"/>
            <w:r w:rsidRPr="00C12687">
              <w:rPr>
                <w:rFonts w:ascii="Arial Narrow" w:hAnsi="Arial Narrow" w:cs="Calibri"/>
                <w:sz w:val="22"/>
                <w:szCs w:val="22"/>
                <w:lang w:val="es-CO"/>
              </w:rPr>
              <w:t>PoE</w:t>
            </w:r>
            <w:proofErr w:type="spellEnd"/>
            <w:r w:rsidRPr="00C12687">
              <w:rPr>
                <w:rFonts w:ascii="Arial Narrow" w:hAnsi="Arial Narrow" w:cs="Calibri"/>
                <w:sz w:val="22"/>
                <w:szCs w:val="22"/>
                <w:lang w:val="es-CO"/>
              </w:rPr>
              <w:t xml:space="preserve"> </w:t>
            </w:r>
          </w:p>
          <w:p w:rsidR="00C12687" w:rsidRPr="00C12687" w:rsidRDefault="00C12687" w:rsidP="00C12687">
            <w:pPr>
              <w:pStyle w:val="NormalWeb"/>
              <w:numPr>
                <w:ilvl w:val="0"/>
                <w:numId w:val="2"/>
              </w:numPr>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Puertos  SFP +</w:t>
            </w:r>
          </w:p>
          <w:p w:rsidR="00C12687" w:rsidRPr="00C12687" w:rsidRDefault="00C12687" w:rsidP="00C12687">
            <w:pPr>
              <w:pStyle w:val="NormalWeb"/>
              <w:numPr>
                <w:ilvl w:val="0"/>
                <w:numId w:val="2"/>
              </w:numPr>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 xml:space="preserve">Puertos SFP56 </w:t>
            </w:r>
            <w:proofErr w:type="spellStart"/>
            <w:r w:rsidRPr="00C12687">
              <w:rPr>
                <w:rFonts w:ascii="Arial Narrow" w:hAnsi="Arial Narrow" w:cs="Calibri"/>
                <w:sz w:val="22"/>
                <w:szCs w:val="22"/>
                <w:lang w:val="es-CO"/>
              </w:rPr>
              <w:t>ó</w:t>
            </w:r>
            <w:proofErr w:type="spellEnd"/>
            <w:r w:rsidRPr="00C12687">
              <w:rPr>
                <w:rFonts w:ascii="Arial Narrow" w:hAnsi="Arial Narrow" w:cs="Calibri"/>
                <w:sz w:val="22"/>
                <w:szCs w:val="22"/>
                <w:lang w:val="es-CO"/>
              </w:rPr>
              <w:t xml:space="preserve"> QSFP</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Contar con al menos 1 bahía para administrar módulos de gestión.</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Soportar estándares POE IEEE 802.3af, 802.3at, 802.3bt</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Soportar al menos 4 fuentes de poder en configuración redundante</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Soportar al menos 2 ventiladores para refrigeración </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Puertos de Consola RJ</w:t>
            </w:r>
            <w:r w:rsidRPr="00C12687">
              <w:rPr>
                <w:rFonts w:ascii="Cambria Math" w:hAnsi="Cambria Math" w:cs="Cambria Math"/>
                <w:sz w:val="22"/>
                <w:szCs w:val="22"/>
                <w:lang w:val="es-CO"/>
              </w:rPr>
              <w:t>‐</w:t>
            </w:r>
            <w:r w:rsidRPr="00C12687">
              <w:rPr>
                <w:rFonts w:ascii="Arial Narrow" w:hAnsi="Arial Narrow" w:cs="Calibri"/>
                <w:sz w:val="22"/>
                <w:szCs w:val="22"/>
                <w:lang w:val="es-CO"/>
              </w:rPr>
              <w:t>45 y USB-C</w:t>
            </w:r>
          </w:p>
          <w:p w:rsidR="00C12687" w:rsidRPr="00C12687" w:rsidRDefault="00C12687" w:rsidP="00885780">
            <w:pPr>
              <w:pStyle w:val="NormalWeb"/>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 xml:space="preserve">Bluetooth </w:t>
            </w:r>
            <w:proofErr w:type="spellStart"/>
            <w:r w:rsidRPr="00C12687">
              <w:rPr>
                <w:rFonts w:ascii="Arial Narrow" w:hAnsi="Arial Narrow" w:cs="Calibri"/>
                <w:sz w:val="22"/>
                <w:szCs w:val="22"/>
                <w:lang w:val="es-CO"/>
              </w:rPr>
              <w:t>dongle</w:t>
            </w:r>
            <w:proofErr w:type="spellEnd"/>
            <w:r w:rsidRPr="00C12687">
              <w:rPr>
                <w:rFonts w:ascii="Arial Narrow" w:hAnsi="Arial Narrow" w:cs="Calibri"/>
                <w:sz w:val="22"/>
                <w:szCs w:val="22"/>
                <w:lang w:val="es-CO"/>
              </w:rPr>
              <w:t xml:space="preserve"> para ser usado como consola de administración a través de una App </w:t>
            </w:r>
            <w:proofErr w:type="spellStart"/>
            <w:r w:rsidRPr="00C12687">
              <w:rPr>
                <w:rFonts w:ascii="Arial Narrow" w:hAnsi="Arial Narrow" w:cs="Calibri"/>
                <w:sz w:val="22"/>
                <w:szCs w:val="22"/>
                <w:lang w:val="es-CO"/>
              </w:rPr>
              <w:t>Mobil</w:t>
            </w:r>
            <w:proofErr w:type="spellEnd"/>
            <w:r w:rsidRPr="00C12687">
              <w:rPr>
                <w:rFonts w:ascii="Arial Narrow" w:hAnsi="Arial Narrow" w:cs="Calibri"/>
                <w:sz w:val="22"/>
                <w:szCs w:val="22"/>
                <w:lang w:val="es-CO"/>
              </w:rPr>
              <w:t xml:space="preserve"> </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contextualSpacing/>
              <w:rPr>
                <w:rFonts w:ascii="Arial Narrow" w:hAnsi="Arial Narrow" w:cs="Calibri"/>
                <w:sz w:val="22"/>
                <w:szCs w:val="22"/>
                <w:lang w:val="es-CO"/>
              </w:rPr>
            </w:pPr>
            <w:r w:rsidRPr="00C12687">
              <w:rPr>
                <w:rFonts w:ascii="Arial Narrow" w:hAnsi="Arial Narrow" w:cs="Calibri"/>
                <w:sz w:val="22"/>
                <w:szCs w:val="22"/>
                <w:lang w:val="es-CO"/>
              </w:rPr>
              <w:t>Soporte de IPV6</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proofErr w:type="spellStart"/>
            <w:r w:rsidRPr="00C12687">
              <w:rPr>
                <w:rFonts w:ascii="Arial Narrow" w:hAnsi="Arial Narrow" w:cs="Calibri"/>
                <w:sz w:val="22"/>
                <w:szCs w:val="22"/>
                <w:lang w:val="es-CO"/>
              </w:rPr>
              <w:t>Switching</w:t>
            </w:r>
            <w:proofErr w:type="spellEnd"/>
            <w:r w:rsidRPr="00C12687">
              <w:rPr>
                <w:rFonts w:ascii="Arial Narrow" w:hAnsi="Arial Narrow" w:cs="Calibri"/>
                <w:sz w:val="22"/>
                <w:szCs w:val="22"/>
                <w:lang w:val="es-CO"/>
              </w:rPr>
              <w:t xml:space="preserve"> </w:t>
            </w:r>
            <w:proofErr w:type="spellStart"/>
            <w:r w:rsidRPr="00C12687">
              <w:rPr>
                <w:rFonts w:ascii="Arial Narrow" w:hAnsi="Arial Narrow" w:cs="Calibri"/>
                <w:sz w:val="22"/>
                <w:szCs w:val="22"/>
                <w:lang w:val="es-CO"/>
              </w:rPr>
              <w:t>capacity</w:t>
            </w:r>
            <w:proofErr w:type="spellEnd"/>
            <w:r w:rsidRPr="00C12687">
              <w:rPr>
                <w:rFonts w:ascii="Arial Narrow" w:hAnsi="Arial Narrow" w:cs="Calibri"/>
                <w:sz w:val="22"/>
                <w:szCs w:val="22"/>
                <w:lang w:val="es-CO"/>
              </w:rPr>
              <w:t xml:space="preserve"> &gt; 14 </w:t>
            </w:r>
            <w:proofErr w:type="spellStart"/>
            <w:r w:rsidRPr="00C12687">
              <w:rPr>
                <w:rFonts w:ascii="Arial Narrow" w:hAnsi="Arial Narrow" w:cs="Calibri"/>
                <w:sz w:val="22"/>
                <w:szCs w:val="22"/>
                <w:lang w:val="es-CO"/>
              </w:rPr>
              <w:t>Tbps</w:t>
            </w:r>
            <w:proofErr w:type="spellEnd"/>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proofErr w:type="spellStart"/>
            <w:r w:rsidRPr="00C12687">
              <w:rPr>
                <w:rFonts w:ascii="Arial Narrow" w:hAnsi="Arial Narrow" w:cs="Calibri"/>
                <w:sz w:val="22"/>
                <w:szCs w:val="22"/>
                <w:lang w:val="es-CO"/>
              </w:rPr>
              <w:t>Throughput</w:t>
            </w:r>
            <w:proofErr w:type="spellEnd"/>
            <w:r w:rsidRPr="00C12687">
              <w:rPr>
                <w:rFonts w:ascii="Arial Narrow" w:hAnsi="Arial Narrow" w:cs="Calibri"/>
                <w:sz w:val="22"/>
                <w:szCs w:val="22"/>
                <w:lang w:val="es-CO"/>
              </w:rPr>
              <w:t xml:space="preserve"> </w:t>
            </w:r>
            <w:proofErr w:type="spellStart"/>
            <w:r w:rsidRPr="00C12687">
              <w:rPr>
                <w:rFonts w:ascii="Arial Narrow" w:hAnsi="Arial Narrow" w:cs="Calibri"/>
                <w:sz w:val="22"/>
                <w:szCs w:val="22"/>
                <w:lang w:val="es-CO"/>
              </w:rPr>
              <w:t>capacity</w:t>
            </w:r>
            <w:proofErr w:type="spellEnd"/>
            <w:r w:rsidRPr="00C12687">
              <w:rPr>
                <w:rFonts w:ascii="Arial Narrow" w:hAnsi="Arial Narrow" w:cs="Calibri"/>
                <w:sz w:val="22"/>
                <w:szCs w:val="22"/>
                <w:lang w:val="es-CO"/>
              </w:rPr>
              <w:t xml:space="preserve"> &gt; 5.5 </w:t>
            </w:r>
            <w:proofErr w:type="spellStart"/>
            <w:r w:rsidRPr="00C12687">
              <w:rPr>
                <w:rFonts w:ascii="Arial Narrow" w:hAnsi="Arial Narrow" w:cs="Calibri"/>
                <w:sz w:val="22"/>
                <w:szCs w:val="22"/>
                <w:lang w:val="es-CO"/>
              </w:rPr>
              <w:t>Gbps</w:t>
            </w:r>
            <w:proofErr w:type="spellEnd"/>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 xml:space="preserve">Rutas IPv4 </w:t>
            </w:r>
            <w:proofErr w:type="spellStart"/>
            <w:r w:rsidRPr="00C12687">
              <w:rPr>
                <w:rFonts w:ascii="Arial Narrow" w:hAnsi="Arial Narrow" w:cs="Calibri"/>
                <w:sz w:val="22"/>
                <w:szCs w:val="22"/>
                <w:lang w:val="es-CO"/>
              </w:rPr>
              <w:t>unicast</w:t>
            </w:r>
            <w:proofErr w:type="spellEnd"/>
            <w:r w:rsidRPr="00C12687">
              <w:rPr>
                <w:rFonts w:ascii="Arial Narrow" w:hAnsi="Arial Narrow" w:cs="Calibri"/>
                <w:sz w:val="22"/>
                <w:szCs w:val="22"/>
                <w:lang w:val="es-CO"/>
              </w:rPr>
              <w:t xml:space="preserve"> &gt;=60.000</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 xml:space="preserve">Rutas Ipv6 </w:t>
            </w:r>
            <w:proofErr w:type="spellStart"/>
            <w:r w:rsidRPr="00C12687">
              <w:rPr>
                <w:rFonts w:ascii="Arial Narrow" w:hAnsi="Arial Narrow" w:cs="Calibri"/>
                <w:sz w:val="22"/>
                <w:szCs w:val="22"/>
                <w:lang w:val="es-CO"/>
              </w:rPr>
              <w:t>unicast</w:t>
            </w:r>
            <w:proofErr w:type="spellEnd"/>
            <w:r w:rsidRPr="00C12687">
              <w:rPr>
                <w:rFonts w:ascii="Arial Narrow" w:hAnsi="Arial Narrow" w:cs="Calibri"/>
                <w:sz w:val="22"/>
                <w:szCs w:val="22"/>
                <w:lang w:val="es-CO"/>
              </w:rPr>
              <w:t xml:space="preserve"> &gt;=60.000</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 xml:space="preserve">Rutas IPv4 </w:t>
            </w:r>
            <w:proofErr w:type="spellStart"/>
            <w:r w:rsidRPr="00C12687">
              <w:rPr>
                <w:rFonts w:ascii="Arial Narrow" w:hAnsi="Arial Narrow" w:cs="Calibri"/>
                <w:sz w:val="22"/>
                <w:szCs w:val="22"/>
                <w:lang w:val="es-CO"/>
              </w:rPr>
              <w:t>multicast</w:t>
            </w:r>
            <w:proofErr w:type="spellEnd"/>
            <w:r w:rsidRPr="00C12687">
              <w:rPr>
                <w:rFonts w:ascii="Arial Narrow" w:hAnsi="Arial Narrow" w:cs="Calibri"/>
                <w:sz w:val="22"/>
                <w:szCs w:val="22"/>
                <w:lang w:val="es-CO"/>
              </w:rPr>
              <w:t xml:space="preserve"> &gt; 2 </w:t>
            </w:r>
            <w:proofErr w:type="spellStart"/>
            <w:r w:rsidRPr="00C12687">
              <w:rPr>
                <w:rFonts w:ascii="Arial Narrow" w:hAnsi="Arial Narrow" w:cs="Calibri"/>
                <w:sz w:val="22"/>
                <w:szCs w:val="22"/>
                <w:lang w:val="es-CO"/>
              </w:rPr>
              <w:t>Exp</w:t>
            </w:r>
            <w:proofErr w:type="spellEnd"/>
            <w:r w:rsidRPr="00C12687">
              <w:rPr>
                <w:rFonts w:ascii="Arial Narrow" w:hAnsi="Arial Narrow" w:cs="Calibri"/>
                <w:sz w:val="22"/>
                <w:szCs w:val="22"/>
                <w:lang w:val="es-CO"/>
              </w:rPr>
              <w:t xml:space="preserve"> 13</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 xml:space="preserve">Rutas IPv4 </w:t>
            </w:r>
            <w:proofErr w:type="spellStart"/>
            <w:r w:rsidRPr="00C12687">
              <w:rPr>
                <w:rFonts w:ascii="Arial Narrow" w:hAnsi="Arial Narrow" w:cs="Calibri"/>
                <w:sz w:val="22"/>
                <w:szCs w:val="22"/>
                <w:lang w:val="es-CO"/>
              </w:rPr>
              <w:t>multicast</w:t>
            </w:r>
            <w:proofErr w:type="spellEnd"/>
            <w:r w:rsidRPr="00C12687">
              <w:rPr>
                <w:rFonts w:ascii="Arial Narrow" w:hAnsi="Arial Narrow" w:cs="Calibri"/>
                <w:sz w:val="22"/>
                <w:szCs w:val="22"/>
                <w:lang w:val="es-CO"/>
              </w:rPr>
              <w:t xml:space="preserve"> &gt; 2 </w:t>
            </w:r>
            <w:proofErr w:type="spellStart"/>
            <w:r w:rsidRPr="00C12687">
              <w:rPr>
                <w:rFonts w:ascii="Arial Narrow" w:hAnsi="Arial Narrow" w:cs="Calibri"/>
                <w:sz w:val="22"/>
                <w:szCs w:val="22"/>
                <w:lang w:val="es-CO"/>
              </w:rPr>
              <w:t>Exp</w:t>
            </w:r>
            <w:proofErr w:type="spellEnd"/>
            <w:r w:rsidRPr="00C12687">
              <w:rPr>
                <w:rFonts w:ascii="Arial Narrow" w:hAnsi="Arial Narrow" w:cs="Calibri"/>
                <w:sz w:val="22"/>
                <w:szCs w:val="22"/>
                <w:lang w:val="es-CO"/>
              </w:rPr>
              <w:t xml:space="preserve"> 13</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 xml:space="preserve">Capacidad de Tabla MAC &gt; 2 </w:t>
            </w:r>
            <w:proofErr w:type="spellStart"/>
            <w:r w:rsidRPr="00C12687">
              <w:rPr>
                <w:rFonts w:ascii="Arial Narrow" w:hAnsi="Arial Narrow" w:cs="Calibri"/>
                <w:sz w:val="22"/>
                <w:szCs w:val="22"/>
                <w:lang w:val="es-CO"/>
              </w:rPr>
              <w:t>Exp</w:t>
            </w:r>
            <w:proofErr w:type="spellEnd"/>
            <w:r w:rsidRPr="00C12687">
              <w:rPr>
                <w:rFonts w:ascii="Arial Narrow" w:hAnsi="Arial Narrow" w:cs="Calibri"/>
                <w:sz w:val="22"/>
                <w:szCs w:val="22"/>
                <w:lang w:val="es-CO"/>
              </w:rPr>
              <w:t xml:space="preserve"> 14</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Grupos IGMP &gt;= 8192</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Temperatura de Operación en Bogotá &lt;=0ºC y &gt;=40ºC</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Humedad Relativa de Operación &lt;=15% y &gt;=95%</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Voltaje de operación 110-127 / 200-240V</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pStyle w:val="NormalWeb"/>
              <w:shd w:val="clear" w:color="auto" w:fill="FFFFFF"/>
              <w:spacing w:before="0" w:beforeAutospacing="0" w:after="0" w:afterAutospacing="0"/>
              <w:rPr>
                <w:rFonts w:ascii="Arial Narrow" w:hAnsi="Arial Narrow" w:cs="Calibri"/>
                <w:sz w:val="22"/>
                <w:szCs w:val="22"/>
                <w:lang w:val="es-CO"/>
              </w:rPr>
            </w:pPr>
            <w:r w:rsidRPr="00C12687">
              <w:rPr>
                <w:rFonts w:ascii="Arial Narrow" w:hAnsi="Arial Narrow" w:cs="Calibri"/>
                <w:sz w:val="22"/>
                <w:szCs w:val="22"/>
                <w:lang w:val="es-CO"/>
              </w:rPr>
              <w:t>Frecuencia de operación 50-60 Hz</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bottom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Deben instalarse y configurarse en alta disponibilidad</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nil"/>
              <w:left w:val="single" w:sz="4" w:space="0" w:color="auto"/>
              <w:bottom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Fuentes de Poder para </w:t>
            </w:r>
            <w:proofErr w:type="spellStart"/>
            <w:r w:rsidRPr="00C12687">
              <w:rPr>
                <w:rFonts w:ascii="Arial Narrow" w:hAnsi="Arial Narrow" w:cs="Calibri"/>
              </w:rPr>
              <w:t>Switch</w:t>
            </w:r>
            <w:proofErr w:type="spellEnd"/>
            <w:r w:rsidRPr="00C12687">
              <w:rPr>
                <w:rFonts w:ascii="Arial Narrow" w:hAnsi="Arial Narrow" w:cs="Calibri"/>
              </w:rPr>
              <w:t xml:space="preserve"> de Chasis</w:t>
            </w:r>
          </w:p>
        </w:tc>
        <w:tc>
          <w:tcPr>
            <w:tcW w:w="691" w:type="dxa"/>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4</w:t>
            </w:r>
          </w:p>
        </w:tc>
        <w:tc>
          <w:tcPr>
            <w:tcW w:w="6705" w:type="dxa"/>
            <w:gridSpan w:val="3"/>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Cada uno de los </w:t>
            </w:r>
            <w:proofErr w:type="spellStart"/>
            <w:r w:rsidRPr="00C12687">
              <w:rPr>
                <w:rFonts w:ascii="Arial Narrow" w:hAnsi="Arial Narrow" w:cs="Calibri"/>
              </w:rPr>
              <w:t>Switches</w:t>
            </w:r>
            <w:proofErr w:type="spellEnd"/>
            <w:r w:rsidRPr="00C12687">
              <w:rPr>
                <w:rFonts w:ascii="Arial Narrow" w:hAnsi="Arial Narrow" w:cs="Calibri"/>
              </w:rPr>
              <w:t xml:space="preserve"> de Chasis debe incluir al menos dos fuentes de poder cada una de mínimo 1.800 W con su respectivo cable de Poder</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nil"/>
              <w:left w:val="single" w:sz="4" w:space="0" w:color="auto"/>
              <w:bottom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Módulo de conectividad para granja de servidores</w:t>
            </w:r>
          </w:p>
        </w:tc>
        <w:tc>
          <w:tcPr>
            <w:tcW w:w="691" w:type="dxa"/>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2</w:t>
            </w:r>
          </w:p>
        </w:tc>
        <w:tc>
          <w:tcPr>
            <w:tcW w:w="6705" w:type="dxa"/>
            <w:gridSpan w:val="3"/>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Cada </w:t>
            </w:r>
            <w:proofErr w:type="spellStart"/>
            <w:r w:rsidRPr="00C12687">
              <w:rPr>
                <w:rFonts w:ascii="Arial Narrow" w:hAnsi="Arial Narrow" w:cs="Calibri"/>
              </w:rPr>
              <w:t>Switch</w:t>
            </w:r>
            <w:proofErr w:type="spellEnd"/>
            <w:r w:rsidRPr="00C12687">
              <w:rPr>
                <w:rFonts w:ascii="Arial Narrow" w:hAnsi="Arial Narrow" w:cs="Calibri"/>
              </w:rPr>
              <w:t xml:space="preserve"> debe incluir un módulo de conectividad con al menos 48 puertos 1GbE CL4 </w:t>
            </w:r>
            <w:proofErr w:type="spellStart"/>
            <w:r w:rsidRPr="00C12687">
              <w:rPr>
                <w:rFonts w:ascii="Arial Narrow" w:hAnsi="Arial Narrow" w:cs="Calibri"/>
              </w:rPr>
              <w:t>PoE</w:t>
            </w:r>
            <w:proofErr w:type="spellEnd"/>
            <w:r w:rsidRPr="00C12687">
              <w:rPr>
                <w:rFonts w:ascii="Arial Narrow" w:hAnsi="Arial Narrow" w:cs="Calibri"/>
              </w:rPr>
              <w:t xml:space="preserve"> y 4SFP56</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nil"/>
              <w:left w:val="single" w:sz="4" w:space="0" w:color="auto"/>
              <w:bottom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Módulo de conectividad para Up Link hacia </w:t>
            </w:r>
            <w:proofErr w:type="spellStart"/>
            <w:r w:rsidRPr="00C12687">
              <w:rPr>
                <w:rFonts w:ascii="Arial Narrow" w:hAnsi="Arial Narrow" w:cs="Calibri"/>
              </w:rPr>
              <w:t>Switches</w:t>
            </w:r>
            <w:proofErr w:type="spellEnd"/>
            <w:r w:rsidRPr="00C12687">
              <w:rPr>
                <w:rFonts w:ascii="Arial Narrow" w:hAnsi="Arial Narrow" w:cs="Calibri"/>
              </w:rPr>
              <w:t xml:space="preserve"> de acceso</w:t>
            </w:r>
          </w:p>
        </w:tc>
        <w:tc>
          <w:tcPr>
            <w:tcW w:w="691" w:type="dxa"/>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2</w:t>
            </w: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Cada </w:t>
            </w:r>
            <w:proofErr w:type="spellStart"/>
            <w:r w:rsidRPr="00C12687">
              <w:rPr>
                <w:rFonts w:ascii="Arial Narrow" w:hAnsi="Arial Narrow" w:cs="Calibri"/>
              </w:rPr>
              <w:t>Switch</w:t>
            </w:r>
            <w:proofErr w:type="spellEnd"/>
            <w:r w:rsidRPr="00C12687">
              <w:rPr>
                <w:rFonts w:ascii="Arial Narrow" w:hAnsi="Arial Narrow" w:cs="Calibri"/>
              </w:rPr>
              <w:t xml:space="preserve"> debe incluir un módulo de conectividad con al menos 24 puertos SFP+ y 4SFP56. Cada uno de los módulos debe incluir 24 </w:t>
            </w:r>
            <w:proofErr w:type="spellStart"/>
            <w:r w:rsidRPr="00C12687">
              <w:rPr>
                <w:rFonts w:ascii="Arial Narrow" w:hAnsi="Arial Narrow" w:cs="Calibri"/>
              </w:rPr>
              <w:t>Transceiver</w:t>
            </w:r>
            <w:proofErr w:type="spellEnd"/>
            <w:r w:rsidRPr="00C12687">
              <w:rPr>
                <w:rFonts w:ascii="Arial Narrow" w:hAnsi="Arial Narrow" w:cs="Calibri"/>
              </w:rPr>
              <w:t xml:space="preserve"> 10G SFP+ LC SR 300m MMF</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nil"/>
              <w:left w:val="single" w:sz="4" w:space="0" w:color="auto"/>
              <w:bottom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Cables de conexión de 3 </w:t>
            </w:r>
            <w:proofErr w:type="spellStart"/>
            <w:r w:rsidRPr="00C12687">
              <w:rPr>
                <w:rFonts w:ascii="Arial Narrow" w:hAnsi="Arial Narrow" w:cs="Calibri"/>
              </w:rPr>
              <w:t>Mts</w:t>
            </w:r>
            <w:proofErr w:type="spellEnd"/>
            <w:r w:rsidRPr="00C12687">
              <w:rPr>
                <w:rFonts w:ascii="Arial Narrow" w:hAnsi="Arial Narrow" w:cs="Calibri"/>
              </w:rPr>
              <w:t xml:space="preserve"> que debe incluir en cada extremo un </w:t>
            </w:r>
            <w:proofErr w:type="spellStart"/>
            <w:r w:rsidRPr="00C12687">
              <w:rPr>
                <w:rFonts w:ascii="Arial Narrow" w:hAnsi="Arial Narrow" w:cs="Calibri"/>
              </w:rPr>
              <w:t>Transceiver</w:t>
            </w:r>
            <w:proofErr w:type="spellEnd"/>
            <w:r w:rsidRPr="00C12687">
              <w:rPr>
                <w:rFonts w:ascii="Arial Narrow" w:hAnsi="Arial Narrow" w:cs="Calibri"/>
              </w:rPr>
              <w:t xml:space="preserve"> 25G SFP28 </w:t>
            </w:r>
          </w:p>
        </w:tc>
        <w:tc>
          <w:tcPr>
            <w:tcW w:w="691" w:type="dxa"/>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3</w:t>
            </w:r>
          </w:p>
        </w:tc>
        <w:tc>
          <w:tcPr>
            <w:tcW w:w="6705" w:type="dxa"/>
            <w:gridSpan w:val="3"/>
            <w:tcBorders>
              <w:top w:val="nil"/>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Se deben asegurar dos de estas conexiones para realizar la configuración de alta disponibilidad entre los </w:t>
            </w:r>
            <w:proofErr w:type="spellStart"/>
            <w:r w:rsidRPr="00C12687">
              <w:rPr>
                <w:rFonts w:ascii="Arial Narrow" w:hAnsi="Arial Narrow" w:cs="Calibri"/>
              </w:rPr>
              <w:t>switches</w:t>
            </w:r>
            <w:proofErr w:type="spellEnd"/>
            <w:r w:rsidRPr="00C12687">
              <w:rPr>
                <w:rFonts w:ascii="Arial Narrow" w:hAnsi="Arial Narrow" w:cs="Calibri"/>
              </w:rPr>
              <w:t xml:space="preserve"> y una tercera conexión para asegurar tráfico independiente para gestión entre los </w:t>
            </w:r>
            <w:proofErr w:type="spellStart"/>
            <w:r w:rsidRPr="00C12687">
              <w:rPr>
                <w:rFonts w:ascii="Arial Narrow" w:hAnsi="Arial Narrow" w:cs="Calibri"/>
              </w:rPr>
              <w:t>Switches</w:t>
            </w:r>
            <w:proofErr w:type="spellEnd"/>
            <w:r w:rsidRPr="00C12687">
              <w:rPr>
                <w:rFonts w:ascii="Arial Narrow" w:hAnsi="Arial Narrow" w:cs="Calibri"/>
              </w:rPr>
              <w:t xml:space="preserve">. </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top w:val="nil"/>
              <w:left w:val="single" w:sz="4" w:space="0" w:color="auto"/>
              <w:bottom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Soporte y Garantía extendida en Modalidad 7x24x4 para cada uno de los equipos, módulos y accesorios ofrecidos </w:t>
            </w:r>
          </w:p>
        </w:tc>
        <w:tc>
          <w:tcPr>
            <w:tcW w:w="691" w:type="dxa"/>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2</w:t>
            </w:r>
          </w:p>
        </w:tc>
        <w:tc>
          <w:tcPr>
            <w:tcW w:w="6705" w:type="dxa"/>
            <w:gridSpan w:val="3"/>
            <w:tcBorders>
              <w:top w:val="nil"/>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Adquisición del servicio 7x24x4 para los  elementos a suministrar con vigencia de 3 años;  que permita contar con  las siguientes coberturas para los elementos cubiertos:</w:t>
            </w:r>
          </w:p>
          <w:p w:rsidR="00C12687" w:rsidRPr="00C12687" w:rsidRDefault="00C12687" w:rsidP="00885780">
            <w:pPr>
              <w:contextualSpacing/>
              <w:jc w:val="both"/>
              <w:rPr>
                <w:rFonts w:ascii="Arial Narrow" w:hAnsi="Arial Narrow" w:cs="Calibri"/>
              </w:rPr>
            </w:pP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Período de cobertura: 7x24x4: El servicio esté disponible 24 horas al día, siete días por semana, incluyendo los feriados, por tres años.</w:t>
            </w: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Servicio de diagnóstico y soporte remoto</w:t>
            </w: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Respuesta en 4 horas en el sitio: En el caso de incidentes con hardware cubierto que no puedan resolverse de forma remota. Un representante autorizado del fabricante de los equipos ofrecidos llegará al sitio del cliente durante el período de cobertura para comenzar el servicio de mantenimiento de hardware dentro de las 4 horas posteriores a la recepción y al acuse de recibo de la llamada.</w:t>
            </w: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Compromiso de reparación en 24 horas</w:t>
            </w: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Peticiones ilimitadas</w:t>
            </w:r>
          </w:p>
          <w:p w:rsidR="00C12687" w:rsidRPr="00C12687" w:rsidRDefault="00C12687" w:rsidP="00C12687">
            <w:pPr>
              <w:numPr>
                <w:ilvl w:val="0"/>
                <w:numId w:val="1"/>
              </w:numPr>
              <w:spacing w:after="0" w:line="240" w:lineRule="auto"/>
              <w:contextualSpacing/>
              <w:jc w:val="both"/>
              <w:rPr>
                <w:rFonts w:ascii="Arial Narrow" w:hAnsi="Arial Narrow" w:cs="Calibri"/>
              </w:rPr>
            </w:pPr>
            <w:r w:rsidRPr="00C12687">
              <w:rPr>
                <w:rFonts w:ascii="Arial Narrow" w:hAnsi="Arial Narrow" w:cs="Calibri"/>
              </w:rPr>
              <w:t>Piezas de repuesto y materiales: El fabricante de los equipos ofrecidos suministrará las piezas de repuesto con soporte de técnico de fábrica y cualquier material necesario para mantener operativo el hardware cubierto, incluyendo piezas y materiales para mejoras de ingeniería disponibles para mantener el soporte del producto. Las piezas y los productos de reemplazo proporcionados deben ser nuevos o funcionalmente equivalentes a nuevos en términos de desempeño.</w:t>
            </w:r>
          </w:p>
          <w:p w:rsidR="00C12687" w:rsidRPr="00C12687" w:rsidRDefault="00C12687" w:rsidP="00885780">
            <w:pPr>
              <w:contextualSpacing/>
              <w:jc w:val="both"/>
              <w:rPr>
                <w:rFonts w:ascii="Arial Narrow" w:hAnsi="Arial Narrow" w:cs="Calibri"/>
              </w:rPr>
            </w:pP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val="restart"/>
            <w:tcBorders>
              <w:top w:val="single" w:sz="4" w:space="0" w:color="auto"/>
              <w:left w:val="single" w:sz="4" w:space="0" w:color="auto"/>
              <w:right w:val="single" w:sz="4" w:space="0" w:color="auto"/>
            </w:tcBorders>
            <w:shd w:val="clear" w:color="auto" w:fill="auto"/>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lastRenderedPageBreak/>
              <w:t>Software de Gestión y Administración</w:t>
            </w:r>
          </w:p>
        </w:tc>
        <w:tc>
          <w:tcPr>
            <w:tcW w:w="691" w:type="dxa"/>
            <w:vMerge w:val="restart"/>
            <w:tcBorders>
              <w:top w:val="single" w:sz="4" w:space="0" w:color="auto"/>
              <w:left w:val="nil"/>
              <w:right w:val="single" w:sz="4" w:space="0" w:color="auto"/>
            </w:tcBorders>
            <w:shd w:val="clear" w:color="auto" w:fill="auto"/>
            <w:noWrap/>
            <w:vAlign w:val="center"/>
            <w:hideMark/>
          </w:tcPr>
          <w:p w:rsidR="00C12687" w:rsidRPr="00C12687" w:rsidRDefault="00C12687" w:rsidP="00885780">
            <w:pPr>
              <w:contextualSpacing/>
              <w:jc w:val="center"/>
              <w:rPr>
                <w:rFonts w:ascii="Arial Narrow" w:hAnsi="Arial Narrow" w:cs="Calibri"/>
              </w:rPr>
            </w:pPr>
            <w:r w:rsidRPr="00C12687">
              <w:rPr>
                <w:rFonts w:ascii="Arial Narrow" w:hAnsi="Arial Narrow" w:cs="Calibri"/>
              </w:rPr>
              <w:t>1</w:t>
            </w: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hideMark/>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Se debe incluir dentro de la solución la gestión y administración de la solución ofrecida </w:t>
            </w:r>
          </w:p>
          <w:p w:rsidR="00C12687" w:rsidRPr="00C12687" w:rsidRDefault="00C12687" w:rsidP="00885780">
            <w:pPr>
              <w:contextualSpacing/>
              <w:jc w:val="both"/>
              <w:rPr>
                <w:rFonts w:ascii="Arial Narrow" w:hAnsi="Arial Narrow" w:cs="Calibri"/>
              </w:rPr>
            </w:pPr>
          </w:p>
          <w:p w:rsidR="00C12687" w:rsidRPr="00C12687" w:rsidRDefault="00C12687" w:rsidP="00885780">
            <w:pPr>
              <w:contextualSpacing/>
              <w:jc w:val="both"/>
              <w:rPr>
                <w:rFonts w:ascii="Arial Narrow" w:hAnsi="Arial Narrow" w:cs="Calibri"/>
              </w:rPr>
            </w:pPr>
            <w:r w:rsidRPr="00C12687">
              <w:rPr>
                <w:rFonts w:ascii="Arial Narrow" w:hAnsi="Arial Narrow" w:cs="Calibri"/>
              </w:rPr>
              <w:t>Visualización y Edición simultánea de varios dispositivos</w:t>
            </w:r>
          </w:p>
          <w:p w:rsidR="00C12687" w:rsidRPr="00C12687" w:rsidRDefault="00C12687" w:rsidP="00885780">
            <w:pPr>
              <w:contextualSpacing/>
              <w:jc w:val="both"/>
              <w:rPr>
                <w:rFonts w:ascii="Arial Narrow" w:hAnsi="Arial Narrow" w:cs="Calibri"/>
              </w:rPr>
            </w:pP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Configuración automatizada a gran escala sin necesidad de programación</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vMerge/>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vMerge/>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Análisis avanzado y resolución de problemas</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Interfaz intuitiva diferente a CLI que simplifique la operación y administración de la solución implementada</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Visualización dinámica y automática de la topología de red</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Descubrimiento automático de dispositivos de infraestructura de red a través de Protocolo de descubrimiento de capa de enlace (LLDP).</w:t>
            </w:r>
            <w:r w:rsidRPr="00C12687">
              <w:rPr>
                <w:rFonts w:ascii="Arial Narrow" w:hAnsi="Arial Narrow" w:cs="Calibri"/>
              </w:rPr>
              <w:br/>
              <w:t>El software de gestión debe identificar dispositivos de diferentes marcas a través SNMP.</w:t>
            </w:r>
          </w:p>
          <w:p w:rsidR="00C12687" w:rsidRPr="00C12687" w:rsidRDefault="00C12687" w:rsidP="00885780">
            <w:pPr>
              <w:contextualSpacing/>
              <w:jc w:val="both"/>
              <w:rPr>
                <w:rFonts w:ascii="Arial Narrow" w:hAnsi="Arial Narrow" w:cs="Calibri"/>
              </w:rPr>
            </w:pPr>
            <w:r w:rsidRPr="00C12687">
              <w:rPr>
                <w:rFonts w:ascii="Arial Narrow" w:hAnsi="Arial Narrow" w:cs="Calibri"/>
              </w:rPr>
              <w:br/>
              <w:t>Los nuevos dispositivos conectados a la red deben incluirse automáticamente a la topología de red.</w:t>
            </w:r>
          </w:p>
          <w:p w:rsidR="00C12687" w:rsidRPr="00C12687" w:rsidRDefault="00C12687" w:rsidP="00885780">
            <w:pPr>
              <w:contextualSpacing/>
              <w:jc w:val="both"/>
              <w:rPr>
                <w:rFonts w:ascii="Arial Narrow" w:hAnsi="Arial Narrow" w:cs="Calibri"/>
              </w:rPr>
            </w:pP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El software de gestión debe permitir la configuración de varios dispositivos a la vez</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Determinar si un cambio o línea de comando está funcionando correctamente antes de implementarlo.</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El software de gestión debe proporcionar información sobre el estado de la red y los servicios antes y después de un cambio</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bottom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Monitoreo, detección y Resolución de problemas que afectan la red.</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right w:val="single" w:sz="4" w:space="0" w:color="auto"/>
            </w:tcBorders>
            <w:shd w:val="clear" w:color="auto" w:fill="auto"/>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Servicios de Instalación y configuración</w:t>
            </w:r>
          </w:p>
        </w:tc>
        <w:tc>
          <w:tcPr>
            <w:tcW w:w="691" w:type="dxa"/>
            <w:tcBorders>
              <w:left w:val="nil"/>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r w:rsidRPr="00C12687">
              <w:rPr>
                <w:rFonts w:ascii="Arial Narrow" w:hAnsi="Arial Narrow" w:cs="Calibri"/>
              </w:rPr>
              <w:t>1</w:t>
            </w: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both"/>
              <w:rPr>
                <w:rFonts w:ascii="Arial Narrow" w:hAnsi="Arial Narrow" w:cs="Calibri"/>
              </w:rPr>
            </w:pPr>
            <w:r w:rsidRPr="00C12687">
              <w:rPr>
                <w:rFonts w:ascii="Arial Narrow" w:hAnsi="Arial Narrow" w:cs="Calibri"/>
              </w:rPr>
              <w:t xml:space="preserve">Se debe recuperar la configuración existente del arreglo de </w:t>
            </w:r>
            <w:proofErr w:type="spellStart"/>
            <w:r w:rsidRPr="00C12687">
              <w:rPr>
                <w:rFonts w:ascii="Arial Narrow" w:hAnsi="Arial Narrow" w:cs="Calibri"/>
              </w:rPr>
              <w:t>Switch</w:t>
            </w:r>
            <w:proofErr w:type="spellEnd"/>
            <w:r w:rsidRPr="00C12687">
              <w:rPr>
                <w:rFonts w:ascii="Arial Narrow" w:hAnsi="Arial Narrow" w:cs="Calibri"/>
              </w:rPr>
              <w:t xml:space="preserve"> Core existente en la Entidad y replicarla en los nuevos equipos a instalar, esta instalación debe ser ejecutada por un Ingeniero certificado y avalado por el fabricante de la solución ofrecida específicamente para para este proyecto.</w:t>
            </w:r>
          </w:p>
        </w:tc>
      </w:tr>
      <w:tr w:rsidR="00C12687" w:rsidRPr="00C12687" w:rsidTr="008857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jc w:val="center"/>
        </w:trPr>
        <w:tc>
          <w:tcPr>
            <w:tcW w:w="1393" w:type="dxa"/>
            <w:tcBorders>
              <w:left w:val="single" w:sz="4" w:space="0" w:color="auto"/>
              <w:bottom w:val="single" w:sz="4" w:space="0" w:color="auto"/>
              <w:right w:val="single" w:sz="4" w:space="0" w:color="auto"/>
            </w:tcBorders>
            <w:shd w:val="clear" w:color="auto" w:fill="auto"/>
            <w:vAlign w:val="center"/>
          </w:tcPr>
          <w:p w:rsidR="00C12687" w:rsidRPr="00C12687" w:rsidRDefault="00C12687" w:rsidP="00885780">
            <w:pPr>
              <w:contextualSpacing/>
              <w:rPr>
                <w:rFonts w:ascii="Arial Narrow" w:hAnsi="Arial Narrow" w:cs="Calibri"/>
              </w:rPr>
            </w:pPr>
          </w:p>
        </w:tc>
        <w:tc>
          <w:tcPr>
            <w:tcW w:w="691" w:type="dxa"/>
            <w:tcBorders>
              <w:left w:val="nil"/>
              <w:bottom w:val="single" w:sz="4" w:space="0" w:color="auto"/>
              <w:right w:val="single" w:sz="4" w:space="0" w:color="auto"/>
            </w:tcBorders>
            <w:shd w:val="clear" w:color="auto" w:fill="auto"/>
            <w:noWrap/>
            <w:vAlign w:val="center"/>
          </w:tcPr>
          <w:p w:rsidR="00C12687" w:rsidRPr="00C12687" w:rsidRDefault="00C12687" w:rsidP="00885780">
            <w:pPr>
              <w:contextualSpacing/>
              <w:jc w:val="center"/>
              <w:rPr>
                <w:rFonts w:ascii="Arial Narrow" w:hAnsi="Arial Narrow" w:cs="Calibri"/>
              </w:rPr>
            </w:pPr>
          </w:p>
        </w:tc>
        <w:tc>
          <w:tcPr>
            <w:tcW w:w="6705" w:type="dxa"/>
            <w:gridSpan w:val="3"/>
            <w:tcBorders>
              <w:top w:val="single" w:sz="4" w:space="0" w:color="auto"/>
              <w:left w:val="nil"/>
              <w:bottom w:val="single" w:sz="4" w:space="0" w:color="auto"/>
              <w:right w:val="single" w:sz="4" w:space="0" w:color="auto"/>
            </w:tcBorders>
            <w:shd w:val="clear" w:color="auto" w:fill="auto"/>
            <w:noWrap/>
            <w:vAlign w:val="center"/>
          </w:tcPr>
          <w:p w:rsidR="00C12687" w:rsidRPr="00C12687" w:rsidRDefault="00C12687" w:rsidP="00885780">
            <w:pPr>
              <w:jc w:val="both"/>
              <w:rPr>
                <w:rFonts w:ascii="Arial Narrow" w:hAnsi="Arial Narrow" w:cs="Calibri"/>
              </w:rPr>
            </w:pPr>
            <w:r w:rsidRPr="00C12687">
              <w:rPr>
                <w:rFonts w:ascii="Arial Narrow" w:hAnsi="Arial Narrow" w:cs="Calibri"/>
              </w:rPr>
              <w:t>La marca ofertada deberá estar incluida como Líder en el cuadrante de “</w:t>
            </w:r>
            <w:proofErr w:type="spellStart"/>
            <w:r w:rsidRPr="00C12687">
              <w:rPr>
                <w:rFonts w:ascii="Arial Narrow" w:hAnsi="Arial Narrow" w:cs="Calibri"/>
              </w:rPr>
              <w:t>Wired</w:t>
            </w:r>
            <w:proofErr w:type="spellEnd"/>
            <w:r w:rsidRPr="00C12687">
              <w:rPr>
                <w:rFonts w:ascii="Arial Narrow" w:hAnsi="Arial Narrow" w:cs="Calibri"/>
              </w:rPr>
              <w:t xml:space="preserve"> and Wireless LAN Access Infraestructura” 2019</w:t>
            </w:r>
          </w:p>
        </w:tc>
      </w:tr>
    </w:tbl>
    <w:p w:rsidR="00C12687" w:rsidRPr="00C12687" w:rsidRDefault="00C12687" w:rsidP="00C12687">
      <w:pPr>
        <w:contextualSpacing/>
        <w:rPr>
          <w:rFonts w:ascii="Arial Narrow" w:hAnsi="Arial Narrow" w:cs="Calibri"/>
          <w:b/>
          <w:u w:val="single"/>
        </w:rPr>
      </w:pPr>
      <w:r w:rsidRPr="00C12687">
        <w:rPr>
          <w:rFonts w:ascii="Arial Narrow" w:hAnsi="Arial Narrow" w:cs="Calibri"/>
          <w:b/>
          <w:u w:val="single"/>
        </w:rPr>
        <w:t>Notas de estricto cumplimiento:</w:t>
      </w:r>
    </w:p>
    <w:p w:rsidR="00C12687" w:rsidRPr="00C12687" w:rsidRDefault="00C12687" w:rsidP="00C12687">
      <w:pPr>
        <w:contextualSpacing/>
        <w:rPr>
          <w:rFonts w:ascii="Arial Narrow" w:hAnsi="Arial Narrow" w:cs="Calibri"/>
        </w:rPr>
      </w:pPr>
      <w:r w:rsidRPr="00C12687">
        <w:rPr>
          <w:rFonts w:ascii="Arial Narrow" w:hAnsi="Arial Narrow" w:cs="Calibri"/>
        </w:rPr>
        <w:t> </w:t>
      </w:r>
    </w:p>
    <w:p w:rsidR="00C12687" w:rsidRPr="00C12687" w:rsidRDefault="00C12687" w:rsidP="00C12687">
      <w:pPr>
        <w:numPr>
          <w:ilvl w:val="0"/>
          <w:numId w:val="3"/>
        </w:numPr>
        <w:spacing w:after="0" w:line="240" w:lineRule="auto"/>
        <w:ind w:left="567" w:hanging="567"/>
        <w:contextualSpacing/>
        <w:jc w:val="both"/>
        <w:rPr>
          <w:rFonts w:ascii="Arial Narrow" w:hAnsi="Arial Narrow" w:cs="Calibri"/>
        </w:rPr>
      </w:pPr>
      <w:r w:rsidRPr="00C12687">
        <w:rPr>
          <w:rFonts w:ascii="Arial Narrow" w:hAnsi="Arial Narrow" w:cs="Calibri"/>
        </w:rPr>
        <w:t>Los equipos a ofrecer deben ser nuevos en su totalidad y cumplir con todas las especificaciones técnicas</w:t>
      </w:r>
    </w:p>
    <w:p w:rsidR="00C12687" w:rsidRPr="00C12687" w:rsidRDefault="00C12687" w:rsidP="00C12687">
      <w:pPr>
        <w:numPr>
          <w:ilvl w:val="0"/>
          <w:numId w:val="3"/>
        </w:numPr>
        <w:spacing w:after="0" w:line="240" w:lineRule="auto"/>
        <w:ind w:left="567" w:hanging="567"/>
        <w:contextualSpacing/>
        <w:jc w:val="both"/>
        <w:rPr>
          <w:rFonts w:ascii="Arial Narrow" w:hAnsi="Arial Narrow" w:cs="Calibri"/>
        </w:rPr>
      </w:pPr>
      <w:r w:rsidRPr="00C12687">
        <w:rPr>
          <w:rFonts w:ascii="Arial Narrow" w:hAnsi="Arial Narrow" w:cs="Calibri"/>
        </w:rPr>
        <w:t>El oferente debe anexar certificación expedida por el fabricante donde lo acredité como distribuidor autorizado para venta y soporte técnico para Colombia.</w:t>
      </w:r>
    </w:p>
    <w:p w:rsidR="00C12687" w:rsidRPr="00C12687" w:rsidRDefault="00C12687" w:rsidP="00C12687">
      <w:pPr>
        <w:numPr>
          <w:ilvl w:val="0"/>
          <w:numId w:val="3"/>
        </w:numPr>
        <w:spacing w:after="0" w:line="240" w:lineRule="auto"/>
        <w:ind w:left="567" w:hanging="567"/>
        <w:contextualSpacing/>
        <w:jc w:val="both"/>
        <w:rPr>
          <w:rFonts w:ascii="Arial Narrow" w:hAnsi="Arial Narrow" w:cs="Calibri"/>
        </w:rPr>
      </w:pPr>
      <w:r w:rsidRPr="00C12687">
        <w:rPr>
          <w:rFonts w:ascii="Arial Narrow" w:hAnsi="Arial Narrow" w:cs="Calibri"/>
        </w:rPr>
        <w:t>El  Contratista deberá instalar la última versión estable del software en los equipos amparados.</w:t>
      </w:r>
    </w:p>
    <w:p w:rsidR="00C12687" w:rsidRPr="00C12687" w:rsidRDefault="00C12687" w:rsidP="00C12687">
      <w:pPr>
        <w:numPr>
          <w:ilvl w:val="0"/>
          <w:numId w:val="3"/>
        </w:numPr>
        <w:spacing w:after="0" w:line="240" w:lineRule="auto"/>
        <w:ind w:left="567" w:hanging="567"/>
        <w:contextualSpacing/>
        <w:jc w:val="both"/>
        <w:rPr>
          <w:rFonts w:ascii="Arial Narrow" w:hAnsi="Arial Narrow" w:cs="Calibri"/>
        </w:rPr>
      </w:pPr>
      <w:r w:rsidRPr="00C12687">
        <w:rPr>
          <w:rFonts w:ascii="Arial Narrow" w:hAnsi="Arial Narrow" w:cs="Calibri"/>
        </w:rPr>
        <w:t>El Contratista debe entregar el documento respectivo de respaldo del servicio  a nombre del Ministerio.</w:t>
      </w:r>
    </w:p>
    <w:p w:rsidR="003F5D0C" w:rsidRPr="00C12687" w:rsidRDefault="00C12687" w:rsidP="00C12687">
      <w:pPr>
        <w:numPr>
          <w:ilvl w:val="0"/>
          <w:numId w:val="3"/>
        </w:numPr>
        <w:spacing w:after="0" w:line="240" w:lineRule="auto"/>
        <w:ind w:left="567" w:hanging="567"/>
        <w:contextualSpacing/>
        <w:jc w:val="both"/>
        <w:rPr>
          <w:rFonts w:ascii="Arial Narrow" w:hAnsi="Arial Narrow" w:cs="Calibri"/>
        </w:rPr>
      </w:pPr>
      <w:r w:rsidRPr="00C12687">
        <w:rPr>
          <w:rFonts w:ascii="Arial Narrow" w:hAnsi="Arial Narrow" w:cs="Calibri"/>
        </w:rPr>
        <w:t>Propuestas que no cumplan con los requisitos técnicos NO SE VERIFICARÁ NI PARTICIPARA EN EL PROCESO DE CONTRATACIÓN</w:t>
      </w:r>
      <w:r>
        <w:rPr>
          <w:rFonts w:ascii="Arial Narrow" w:hAnsi="Arial Narrow" w:cs="Calibri"/>
        </w:rPr>
        <w:t>.</w:t>
      </w:r>
    </w:p>
    <w:sectPr w:rsidR="003F5D0C" w:rsidRPr="00C126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E089A"/>
    <w:multiLevelType w:val="hybridMultilevel"/>
    <w:tmpl w:val="4F1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D6B0275"/>
    <w:multiLevelType w:val="multilevel"/>
    <w:tmpl w:val="CB643E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cs="Arial" w:hint="default"/>
        <w:b/>
        <w:color w:val="000000"/>
      </w:rPr>
    </w:lvl>
    <w:lvl w:ilvl="2">
      <w:start w:val="1"/>
      <w:numFmt w:val="decimal"/>
      <w:isLgl/>
      <w:lvlText w:val="%1.%2.%3."/>
      <w:lvlJc w:val="left"/>
      <w:pPr>
        <w:ind w:left="1080" w:hanging="720"/>
      </w:pPr>
      <w:rPr>
        <w:rFonts w:eastAsia="Calibri" w:cs="Arial" w:hint="default"/>
        <w:b/>
        <w:color w:val="000000"/>
      </w:rPr>
    </w:lvl>
    <w:lvl w:ilvl="3">
      <w:start w:val="1"/>
      <w:numFmt w:val="decimal"/>
      <w:isLgl/>
      <w:lvlText w:val="%1.%2.%3.%4."/>
      <w:lvlJc w:val="left"/>
      <w:pPr>
        <w:ind w:left="1080" w:hanging="720"/>
      </w:pPr>
      <w:rPr>
        <w:rFonts w:eastAsia="Calibri" w:cs="Arial" w:hint="default"/>
        <w:b/>
        <w:color w:val="000000"/>
      </w:rPr>
    </w:lvl>
    <w:lvl w:ilvl="4">
      <w:start w:val="1"/>
      <w:numFmt w:val="decimal"/>
      <w:isLgl/>
      <w:lvlText w:val="%1.%2.%3.%4.%5."/>
      <w:lvlJc w:val="left"/>
      <w:pPr>
        <w:ind w:left="1440" w:hanging="1080"/>
      </w:pPr>
      <w:rPr>
        <w:rFonts w:eastAsia="Calibri" w:cs="Arial" w:hint="default"/>
        <w:b/>
        <w:color w:val="000000"/>
      </w:rPr>
    </w:lvl>
    <w:lvl w:ilvl="5">
      <w:start w:val="1"/>
      <w:numFmt w:val="decimal"/>
      <w:isLgl/>
      <w:lvlText w:val="%1.%2.%3.%4.%5.%6."/>
      <w:lvlJc w:val="left"/>
      <w:pPr>
        <w:ind w:left="1440" w:hanging="1080"/>
      </w:pPr>
      <w:rPr>
        <w:rFonts w:eastAsia="Calibri" w:cs="Arial" w:hint="default"/>
        <w:b/>
        <w:color w:val="000000"/>
      </w:rPr>
    </w:lvl>
    <w:lvl w:ilvl="6">
      <w:start w:val="1"/>
      <w:numFmt w:val="decimal"/>
      <w:isLgl/>
      <w:lvlText w:val="%1.%2.%3.%4.%5.%6.%7."/>
      <w:lvlJc w:val="left"/>
      <w:pPr>
        <w:ind w:left="1440" w:hanging="1080"/>
      </w:pPr>
      <w:rPr>
        <w:rFonts w:eastAsia="Calibri" w:cs="Arial" w:hint="default"/>
        <w:b/>
        <w:color w:val="000000"/>
      </w:rPr>
    </w:lvl>
    <w:lvl w:ilvl="7">
      <w:start w:val="1"/>
      <w:numFmt w:val="decimal"/>
      <w:isLgl/>
      <w:lvlText w:val="%1.%2.%3.%4.%5.%6.%7.%8."/>
      <w:lvlJc w:val="left"/>
      <w:pPr>
        <w:ind w:left="1800" w:hanging="1440"/>
      </w:pPr>
      <w:rPr>
        <w:rFonts w:eastAsia="Calibri" w:cs="Arial" w:hint="default"/>
        <w:b/>
        <w:color w:val="000000"/>
      </w:rPr>
    </w:lvl>
    <w:lvl w:ilvl="8">
      <w:start w:val="1"/>
      <w:numFmt w:val="decimal"/>
      <w:isLgl/>
      <w:lvlText w:val="%1.%2.%3.%4.%5.%6.%7.%8.%9."/>
      <w:lvlJc w:val="left"/>
      <w:pPr>
        <w:ind w:left="1800" w:hanging="1440"/>
      </w:pPr>
      <w:rPr>
        <w:rFonts w:eastAsia="Calibri" w:cs="Arial" w:hint="default"/>
        <w:b/>
        <w:color w:val="000000"/>
      </w:rPr>
    </w:lvl>
  </w:abstractNum>
  <w:abstractNum w:abstractNumId="2" w15:restartNumberingAfterBreak="0">
    <w:nsid w:val="72062238"/>
    <w:multiLevelType w:val="hybridMultilevel"/>
    <w:tmpl w:val="0BE24E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D0C"/>
    <w:rsid w:val="00090504"/>
    <w:rsid w:val="000A549B"/>
    <w:rsid w:val="000B6E94"/>
    <w:rsid w:val="001012AB"/>
    <w:rsid w:val="00131C19"/>
    <w:rsid w:val="001C53A8"/>
    <w:rsid w:val="00284AE0"/>
    <w:rsid w:val="00307127"/>
    <w:rsid w:val="003F1D96"/>
    <w:rsid w:val="003F5D0C"/>
    <w:rsid w:val="00422D80"/>
    <w:rsid w:val="006A0E12"/>
    <w:rsid w:val="007068C3"/>
    <w:rsid w:val="0074465A"/>
    <w:rsid w:val="007464D1"/>
    <w:rsid w:val="007F40DC"/>
    <w:rsid w:val="009D6DF5"/>
    <w:rsid w:val="00A82EA8"/>
    <w:rsid w:val="00BC25B4"/>
    <w:rsid w:val="00BE12A7"/>
    <w:rsid w:val="00C12687"/>
    <w:rsid w:val="00C951F9"/>
    <w:rsid w:val="00E51D45"/>
    <w:rsid w:val="00EE52C3"/>
    <w:rsid w:val="00F028C4"/>
    <w:rsid w:val="00FE09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1A67B4-EE2C-4EC4-872B-13B092A9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3F5D0C"/>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99"/>
    <w:locked/>
    <w:rsid w:val="003F5D0C"/>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3F5D0C"/>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996</Words>
  <Characters>5480</Characters>
  <Application>Microsoft Office Word</Application>
  <DocSecurity>0</DocSecurity>
  <Lines>45</Lines>
  <Paragraphs>12</Paragraphs>
  <ScaleCrop>false</ScaleCrop>
  <Company/>
  <LinksUpToDate>false</LinksUpToDate>
  <CharactersWithSpaces>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Yohanna Castilla Lozano - Cont</dc:creator>
  <cp:keywords/>
  <dc:description/>
  <cp:lastModifiedBy>Ines Yohanna Castilla Lozano - Cont</cp:lastModifiedBy>
  <cp:revision>3</cp:revision>
  <dcterms:created xsi:type="dcterms:W3CDTF">2020-10-27T00:25:00Z</dcterms:created>
  <dcterms:modified xsi:type="dcterms:W3CDTF">2020-11-05T14:09:00Z</dcterms:modified>
</cp:coreProperties>
</file>